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35296">
      <w:pPr>
        <w:pageBreakBefore w:val="0"/>
        <w:wordWrap w:val="0"/>
        <w:overflowPunct/>
        <w:topLinePunct w:val="0"/>
        <w:bidi w:val="0"/>
        <w:spacing w:line="360" w:lineRule="auto"/>
        <w:jc w:val="center"/>
        <w:rPr>
          <w:rFonts w:ascii="宋体" w:hAnsi="宋体" w:cs="宋体"/>
          <w:color w:val="auto"/>
          <w:sz w:val="52"/>
          <w:szCs w:val="52"/>
          <w:highlight w:val="none"/>
        </w:rPr>
      </w:pPr>
    </w:p>
    <w:p w14:paraId="168F4C63">
      <w:pPr>
        <w:pageBreakBefore w:val="0"/>
        <w:wordWrap w:val="0"/>
        <w:overflowPunct/>
        <w:topLinePunct w:val="0"/>
        <w:bidi w:val="0"/>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南宁市政府采购</w:t>
      </w:r>
    </w:p>
    <w:p w14:paraId="691EE4B7">
      <w:pPr>
        <w:pageBreakBefore w:val="0"/>
        <w:wordWrap w:val="0"/>
        <w:overflowPunct/>
        <w:topLinePunct w:val="0"/>
        <w:bidi w:val="0"/>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公开招标文件（服务类）</w:t>
      </w:r>
    </w:p>
    <w:p w14:paraId="50666C61">
      <w:pPr>
        <w:pageBreakBefore w:val="0"/>
        <w:wordWrap w:val="0"/>
        <w:overflowPunct/>
        <w:topLinePunct w:val="0"/>
        <w:bidi w:val="0"/>
        <w:spacing w:line="360" w:lineRule="auto"/>
        <w:jc w:val="center"/>
        <w:rPr>
          <w:rFonts w:ascii="宋体" w:hAnsi="宋体" w:cs="宋体"/>
          <w:b/>
          <w:color w:val="auto"/>
          <w:sz w:val="48"/>
          <w:szCs w:val="48"/>
          <w:highlight w:val="none"/>
        </w:rPr>
      </w:pPr>
    </w:p>
    <w:p w14:paraId="790E9FB3">
      <w:pPr>
        <w:pageBreakBefore w:val="0"/>
        <w:wordWrap w:val="0"/>
        <w:overflowPunct/>
        <w:topLinePunct w:val="0"/>
        <w:bidi w:val="0"/>
        <w:spacing w:line="360" w:lineRule="auto"/>
        <w:jc w:val="center"/>
        <w:rPr>
          <w:rFonts w:ascii="宋体" w:hAnsi="宋体" w:cs="宋体"/>
          <w:b/>
          <w:color w:val="auto"/>
          <w:sz w:val="48"/>
          <w:szCs w:val="48"/>
          <w:highlight w:val="none"/>
        </w:rPr>
      </w:pPr>
    </w:p>
    <w:p w14:paraId="190214E4">
      <w:pPr>
        <w:pageBreakBefore w:val="0"/>
        <w:wordWrap w:val="0"/>
        <w:overflowPunct/>
        <w:topLinePunct w:val="0"/>
        <w:bidi w:val="0"/>
        <w:snapToGrid w:val="0"/>
        <w:spacing w:line="360" w:lineRule="auto"/>
        <w:jc w:val="center"/>
        <w:rPr>
          <w:rFonts w:ascii="宋体" w:hAnsi="宋体" w:cs="宋体"/>
          <w:color w:val="auto"/>
          <w:sz w:val="72"/>
          <w:szCs w:val="72"/>
          <w:highlight w:val="none"/>
        </w:rPr>
      </w:pPr>
      <w:r>
        <w:rPr>
          <w:rFonts w:hint="eastAsia" w:ascii="宋体" w:hAnsi="宋体" w:cs="宋体"/>
          <w:color w:val="auto"/>
          <w:sz w:val="72"/>
          <w:szCs w:val="72"/>
          <w:highlight w:val="none"/>
        </w:rPr>
        <w:t>招 标 文 件</w:t>
      </w:r>
    </w:p>
    <w:p w14:paraId="343474A4">
      <w:pPr>
        <w:pageBreakBefore w:val="0"/>
        <w:wordWrap w:val="0"/>
        <w:overflowPunct/>
        <w:topLinePunct w:val="0"/>
        <w:bidi w:val="0"/>
        <w:snapToGrid w:val="0"/>
        <w:spacing w:line="360" w:lineRule="auto"/>
        <w:jc w:val="center"/>
        <w:rPr>
          <w:rFonts w:ascii="宋体" w:hAnsi="宋体" w:cs="宋体"/>
          <w:color w:val="auto"/>
          <w:sz w:val="30"/>
          <w:szCs w:val="72"/>
          <w:highlight w:val="none"/>
        </w:rPr>
      </w:pPr>
      <w:r>
        <w:rPr>
          <w:rFonts w:hint="eastAsia" w:ascii="宋体" w:hAnsi="宋体" w:cs="宋体"/>
          <w:color w:val="auto"/>
          <w:sz w:val="30"/>
          <w:szCs w:val="72"/>
          <w:highlight w:val="none"/>
        </w:rPr>
        <w:t>（全流程电子化评标）</w:t>
      </w:r>
    </w:p>
    <w:p w14:paraId="4BCF8706">
      <w:pPr>
        <w:pageBreakBefore w:val="0"/>
        <w:widowControl/>
        <w:kinsoku w:val="0"/>
        <w:overflowPunct/>
        <w:topLinePunct w:val="0"/>
        <w:autoSpaceDE w:val="0"/>
        <w:autoSpaceDN w:val="0"/>
        <w:bidi w:val="0"/>
        <w:adjustRightInd w:val="0"/>
        <w:snapToGrid w:val="0"/>
        <w:spacing w:line="360" w:lineRule="auto"/>
        <w:ind w:left="1221"/>
        <w:textAlignment w:val="baseline"/>
        <w:rPr>
          <w:rFonts w:ascii="仿宋" w:hAnsi="仿宋" w:eastAsia="仿宋" w:cs="仿宋"/>
          <w:color w:val="auto"/>
          <w:spacing w:val="-11"/>
          <w:position w:val="23"/>
          <w:sz w:val="30"/>
          <w:szCs w:val="30"/>
          <w:highlight w:val="none"/>
          <w14:textOutline w14:w="6350" w14:cap="flat" w14:cmpd="sng" w14:algn="ctr">
            <w14:solidFill>
              <w14:srgbClr w14:val="000000"/>
            </w14:solidFill>
            <w14:prstDash w14:val="solid"/>
            <w14:miter w14:val="0"/>
          </w14:textOutline>
        </w:rPr>
      </w:pPr>
      <w:r>
        <w:rPr>
          <w:color w:val="auto"/>
          <w:highlight w:val="none"/>
        </w:rPr>
        <w:drawing>
          <wp:anchor distT="0" distB="0" distL="114300" distR="114300" simplePos="0" relativeHeight="251663360" behindDoc="1" locked="0" layoutInCell="1" allowOverlap="1">
            <wp:simplePos x="0" y="0"/>
            <wp:positionH relativeFrom="column">
              <wp:posOffset>-166370</wp:posOffset>
            </wp:positionH>
            <wp:positionV relativeFrom="paragraph">
              <wp:posOffset>373380</wp:posOffset>
            </wp:positionV>
            <wp:extent cx="6327140" cy="3705225"/>
            <wp:effectExtent l="0" t="0" r="0" b="0"/>
            <wp:wrapTight wrapText="bothSides">
              <wp:wrapPolygon>
                <wp:start x="0" y="0"/>
                <wp:lineTo x="0" y="21544"/>
                <wp:lineTo x="21526" y="21544"/>
                <wp:lineTo x="21526" y="0"/>
                <wp:lineTo x="0" y="0"/>
              </wp:wrapPolygon>
            </wp:wrapTight>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5"/>
                    <a:stretch>
                      <a:fillRect/>
                    </a:stretch>
                  </pic:blipFill>
                  <pic:spPr>
                    <a:xfrm>
                      <a:off x="0" y="0"/>
                      <a:ext cx="6327140" cy="3705225"/>
                    </a:xfrm>
                    <a:prstGeom prst="rect">
                      <a:avLst/>
                    </a:prstGeom>
                    <a:noFill/>
                    <a:ln>
                      <a:noFill/>
                    </a:ln>
                  </pic:spPr>
                </pic:pic>
              </a:graphicData>
            </a:graphic>
          </wp:anchor>
        </w:drawing>
      </w:r>
    </w:p>
    <w:p w14:paraId="78BEE6E7">
      <w:pPr>
        <w:pageBreakBefore w:val="0"/>
        <w:widowControl/>
        <w:kinsoku w:val="0"/>
        <w:overflowPunct/>
        <w:topLinePunct w:val="0"/>
        <w:autoSpaceDE w:val="0"/>
        <w:autoSpaceDN w:val="0"/>
        <w:bidi w:val="0"/>
        <w:adjustRightInd w:val="0"/>
        <w:snapToGrid w:val="0"/>
        <w:spacing w:line="360" w:lineRule="auto"/>
        <w:ind w:left="1221"/>
        <w:textAlignment w:val="baseline"/>
        <w:rPr>
          <w:color w:val="auto"/>
          <w:highlight w:val="none"/>
        </w:rPr>
        <w:sectPr>
          <w:pgSz w:w="11906" w:h="16838"/>
          <w:pgMar w:top="1440" w:right="1080" w:bottom="1440" w:left="1080" w:header="720" w:footer="720" w:gutter="0"/>
          <w:pgNumType w:start="1"/>
          <w:cols w:space="720" w:num="1"/>
          <w:docGrid w:type="lines" w:linePitch="331" w:charSpace="0"/>
        </w:sectPr>
      </w:pPr>
    </w:p>
    <w:p w14:paraId="0BE0D28F">
      <w:pPr>
        <w:pStyle w:val="12"/>
        <w:pageBreakBefore w:val="0"/>
        <w:wordWrap w:val="0"/>
        <w:overflowPunct/>
        <w:topLinePunct w:val="0"/>
        <w:bidi w:val="0"/>
        <w:spacing w:line="360" w:lineRule="auto"/>
        <w:jc w:val="center"/>
        <w:rPr>
          <w:rFonts w:hAnsi="宋体" w:cs="宋体"/>
          <w:b/>
          <w:color w:val="auto"/>
          <w:sz w:val="48"/>
          <w:szCs w:val="48"/>
          <w:highlight w:val="none"/>
        </w:rPr>
      </w:pPr>
      <w:r>
        <w:rPr>
          <w:rFonts w:hint="eastAsia" w:hAnsi="宋体" w:cs="宋体"/>
          <w:b/>
          <w:color w:val="auto"/>
          <w:sz w:val="48"/>
          <w:szCs w:val="48"/>
          <w:highlight w:val="none"/>
        </w:rPr>
        <w:t>目     录</w:t>
      </w:r>
    </w:p>
    <w:p w14:paraId="2629ACDB">
      <w:pPr>
        <w:pStyle w:val="15"/>
        <w:pageBreakBefore w:val="0"/>
        <w:tabs>
          <w:tab w:val="right" w:leader="dot" w:pos="9746"/>
        </w:tabs>
        <w:overflowPunct/>
        <w:topLinePunct w:val="0"/>
        <w:bidi w:val="0"/>
        <w:spacing w:before="0" w:after="0" w:line="360" w:lineRule="auto"/>
        <w:rPr>
          <w:color w:val="auto"/>
          <w:highlight w:val="none"/>
        </w:rPr>
      </w:pPr>
      <w:r>
        <w:rPr>
          <w:rFonts w:hint="eastAsia" w:ascii="宋体" w:hAnsi="宋体" w:cs="宋体"/>
          <w:b w:val="0"/>
          <w:bCs w:val="0"/>
          <w:caps w:val="0"/>
          <w:color w:val="auto"/>
          <w:sz w:val="32"/>
          <w:szCs w:val="32"/>
          <w:highlight w:val="none"/>
        </w:rPr>
        <w:fldChar w:fldCharType="begin"/>
      </w:r>
      <w:r>
        <w:rPr>
          <w:rFonts w:hint="eastAsia" w:ascii="宋体" w:hAnsi="宋体" w:cs="宋体"/>
          <w:b w:val="0"/>
          <w:bCs w:val="0"/>
          <w:caps w:val="0"/>
          <w:color w:val="auto"/>
          <w:sz w:val="32"/>
          <w:szCs w:val="32"/>
          <w:highlight w:val="none"/>
        </w:rPr>
        <w:instrText xml:space="preserve"> TOC \o "1-3" \h \z \u </w:instrText>
      </w:r>
      <w:r>
        <w:rPr>
          <w:rFonts w:hint="eastAsia" w:ascii="宋体" w:hAnsi="宋体" w:cs="宋体"/>
          <w:b w:val="0"/>
          <w:bCs w:val="0"/>
          <w:caps w:val="0"/>
          <w:color w:val="auto"/>
          <w:sz w:val="32"/>
          <w:szCs w:val="32"/>
          <w:highlight w:val="none"/>
        </w:rPr>
        <w:fldChar w:fldCharType="separate"/>
      </w:r>
      <w:r>
        <w:rPr>
          <w:color w:val="auto"/>
          <w:highlight w:val="none"/>
        </w:rPr>
        <w:fldChar w:fldCharType="begin"/>
      </w:r>
      <w:r>
        <w:rPr>
          <w:color w:val="auto"/>
          <w:highlight w:val="none"/>
        </w:rPr>
        <w:instrText xml:space="preserve"> HYPERLINK \l "_Toc12415" </w:instrText>
      </w:r>
      <w:r>
        <w:rPr>
          <w:color w:val="auto"/>
          <w:highlight w:val="none"/>
        </w:rPr>
        <w:fldChar w:fldCharType="separate"/>
      </w:r>
      <w:r>
        <w:rPr>
          <w:rFonts w:hint="eastAsia" w:hAnsi="宋体" w:cs="宋体"/>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_Toc12415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22FDF20D">
      <w:pPr>
        <w:pStyle w:val="15"/>
        <w:pageBreakBefore w:val="0"/>
        <w:tabs>
          <w:tab w:val="right" w:leader="dot" w:pos="9746"/>
        </w:tabs>
        <w:overflowPunct/>
        <w:topLinePunct w:val="0"/>
        <w:bidi w:val="0"/>
        <w:spacing w:before="0" w:after="0" w:line="360" w:lineRule="auto"/>
        <w:rPr>
          <w:color w:val="auto"/>
          <w:highlight w:val="none"/>
        </w:rPr>
      </w:pPr>
      <w:r>
        <w:rPr>
          <w:color w:val="auto"/>
          <w:highlight w:val="none"/>
        </w:rPr>
        <w:fldChar w:fldCharType="begin"/>
      </w:r>
      <w:r>
        <w:rPr>
          <w:color w:val="auto"/>
          <w:highlight w:val="none"/>
        </w:rPr>
        <w:instrText xml:space="preserve"> HYPERLINK \l "_Toc2043" </w:instrText>
      </w:r>
      <w:r>
        <w:rPr>
          <w:color w:val="auto"/>
          <w:highlight w:val="none"/>
        </w:rPr>
        <w:fldChar w:fldCharType="separate"/>
      </w:r>
      <w:r>
        <w:rPr>
          <w:rFonts w:hint="eastAsia" w:hAnsi="宋体" w:cs="宋体"/>
          <w:color w:val="auto"/>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_Toc2043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5C721FD3">
      <w:pPr>
        <w:pStyle w:val="15"/>
        <w:pageBreakBefore w:val="0"/>
        <w:tabs>
          <w:tab w:val="right" w:leader="dot" w:pos="9746"/>
        </w:tabs>
        <w:overflowPunct/>
        <w:topLinePunct w:val="0"/>
        <w:bidi w:val="0"/>
        <w:spacing w:before="0" w:after="0" w:line="360" w:lineRule="auto"/>
        <w:rPr>
          <w:color w:val="auto"/>
          <w:highlight w:val="none"/>
        </w:rPr>
      </w:pPr>
      <w:r>
        <w:rPr>
          <w:color w:val="auto"/>
          <w:highlight w:val="none"/>
        </w:rPr>
        <w:fldChar w:fldCharType="begin"/>
      </w:r>
      <w:r>
        <w:rPr>
          <w:color w:val="auto"/>
          <w:highlight w:val="none"/>
        </w:rPr>
        <w:instrText xml:space="preserve"> HYPERLINK \l "_Toc29457" </w:instrText>
      </w:r>
      <w:r>
        <w:rPr>
          <w:color w:val="auto"/>
          <w:highlight w:val="none"/>
        </w:rPr>
        <w:fldChar w:fldCharType="separate"/>
      </w:r>
      <w:r>
        <w:rPr>
          <w:rFonts w:hint="eastAsia" w:hAnsi="宋体" w:cs="宋体"/>
          <w:color w:val="auto"/>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_Toc29457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14:paraId="393716CD">
      <w:pPr>
        <w:pStyle w:val="17"/>
        <w:pageBreakBefore w:val="0"/>
        <w:tabs>
          <w:tab w:val="right" w:leader="dot" w:pos="9746"/>
        </w:tabs>
        <w:overflowPunct/>
        <w:topLinePunct w:val="0"/>
        <w:bidi w:val="0"/>
        <w:spacing w:line="360" w:lineRule="auto"/>
        <w:rPr>
          <w:color w:val="auto"/>
          <w:highlight w:val="none"/>
        </w:rPr>
      </w:pPr>
      <w:r>
        <w:rPr>
          <w:color w:val="auto"/>
          <w:highlight w:val="none"/>
        </w:rPr>
        <w:fldChar w:fldCharType="begin"/>
      </w:r>
      <w:r>
        <w:rPr>
          <w:color w:val="auto"/>
          <w:highlight w:val="none"/>
        </w:rPr>
        <w:instrText xml:space="preserve"> HYPERLINK \l "_Toc26080" </w:instrText>
      </w:r>
      <w:r>
        <w:rPr>
          <w:color w:val="auto"/>
          <w:highlight w:val="none"/>
        </w:rPr>
        <w:fldChar w:fldCharType="separate"/>
      </w:r>
      <w:r>
        <w:rPr>
          <w:rFonts w:hint="eastAsia" w:hAnsi="宋体" w:cs="宋体"/>
          <w:color w:val="auto"/>
          <w:szCs w:val="30"/>
          <w:highlight w:val="none"/>
        </w:rPr>
        <w:t>第一节 投标人须知前附表</w:t>
      </w:r>
      <w:r>
        <w:rPr>
          <w:color w:val="auto"/>
          <w:highlight w:val="none"/>
        </w:rPr>
        <w:tab/>
      </w:r>
      <w:r>
        <w:rPr>
          <w:color w:val="auto"/>
          <w:highlight w:val="none"/>
        </w:rPr>
        <w:fldChar w:fldCharType="begin"/>
      </w:r>
      <w:r>
        <w:rPr>
          <w:color w:val="auto"/>
          <w:highlight w:val="none"/>
        </w:rPr>
        <w:instrText xml:space="preserve"> PAGEREF _Toc26080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14:paraId="3B016440">
      <w:pPr>
        <w:pStyle w:val="17"/>
        <w:pageBreakBefore w:val="0"/>
        <w:tabs>
          <w:tab w:val="right" w:leader="dot" w:pos="9746"/>
        </w:tabs>
        <w:overflowPunct/>
        <w:topLinePunct w:val="0"/>
        <w:bidi w:val="0"/>
        <w:spacing w:line="360" w:lineRule="auto"/>
        <w:rPr>
          <w:color w:val="auto"/>
          <w:highlight w:val="none"/>
        </w:rPr>
      </w:pPr>
      <w:r>
        <w:rPr>
          <w:color w:val="auto"/>
          <w:highlight w:val="none"/>
        </w:rPr>
        <w:fldChar w:fldCharType="begin"/>
      </w:r>
      <w:r>
        <w:rPr>
          <w:color w:val="auto"/>
          <w:highlight w:val="none"/>
        </w:rPr>
        <w:instrText xml:space="preserve"> HYPERLINK \l "_Toc5937" </w:instrText>
      </w:r>
      <w:r>
        <w:rPr>
          <w:color w:val="auto"/>
          <w:highlight w:val="none"/>
        </w:rPr>
        <w:fldChar w:fldCharType="separate"/>
      </w:r>
      <w:r>
        <w:rPr>
          <w:rFonts w:hint="eastAsia" w:ascii="宋体" w:hAnsi="宋体" w:cs="宋体"/>
          <w:color w:val="auto"/>
          <w:highlight w:val="none"/>
        </w:rPr>
        <w:t>第二节 投标人须知正文</w:t>
      </w:r>
      <w:r>
        <w:rPr>
          <w:color w:val="auto"/>
          <w:highlight w:val="none"/>
        </w:rPr>
        <w:tab/>
      </w:r>
      <w:r>
        <w:rPr>
          <w:color w:val="auto"/>
          <w:highlight w:val="none"/>
        </w:rPr>
        <w:fldChar w:fldCharType="begin"/>
      </w:r>
      <w:r>
        <w:rPr>
          <w:color w:val="auto"/>
          <w:highlight w:val="none"/>
        </w:rPr>
        <w:instrText xml:space="preserve"> PAGEREF _Toc5937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14:paraId="05ECA9B4">
      <w:pPr>
        <w:pStyle w:val="15"/>
        <w:pageBreakBefore w:val="0"/>
        <w:tabs>
          <w:tab w:val="right" w:leader="dot" w:pos="9746"/>
        </w:tabs>
        <w:overflowPunct/>
        <w:topLinePunct w:val="0"/>
        <w:bidi w:val="0"/>
        <w:spacing w:before="0" w:after="0" w:line="360" w:lineRule="auto"/>
        <w:rPr>
          <w:color w:val="auto"/>
          <w:highlight w:val="none"/>
        </w:rPr>
      </w:pPr>
      <w:r>
        <w:rPr>
          <w:color w:val="auto"/>
          <w:highlight w:val="none"/>
        </w:rPr>
        <w:fldChar w:fldCharType="begin"/>
      </w:r>
      <w:r>
        <w:rPr>
          <w:color w:val="auto"/>
          <w:highlight w:val="none"/>
        </w:rPr>
        <w:instrText xml:space="preserve"> HYPERLINK \l "_Toc4997" </w:instrText>
      </w:r>
      <w:r>
        <w:rPr>
          <w:color w:val="auto"/>
          <w:highlight w:val="none"/>
        </w:rPr>
        <w:fldChar w:fldCharType="separate"/>
      </w:r>
      <w:r>
        <w:rPr>
          <w:rFonts w:hint="eastAsia" w:hAnsi="宋体" w:cs="宋体"/>
          <w:color w:val="auto"/>
          <w:highlight w:val="none"/>
        </w:rPr>
        <w:t>第四章  评标方法及评分标准</w:t>
      </w:r>
      <w:r>
        <w:rPr>
          <w:color w:val="auto"/>
          <w:highlight w:val="none"/>
        </w:rPr>
        <w:tab/>
      </w:r>
      <w:r>
        <w:rPr>
          <w:color w:val="auto"/>
          <w:highlight w:val="none"/>
        </w:rPr>
        <w:fldChar w:fldCharType="begin"/>
      </w:r>
      <w:r>
        <w:rPr>
          <w:color w:val="auto"/>
          <w:highlight w:val="none"/>
        </w:rPr>
        <w:instrText xml:space="preserve"> PAGEREF _Toc4997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14:paraId="550FD881">
      <w:pPr>
        <w:pStyle w:val="17"/>
        <w:pageBreakBefore w:val="0"/>
        <w:tabs>
          <w:tab w:val="right" w:leader="dot" w:pos="9746"/>
        </w:tabs>
        <w:overflowPunct/>
        <w:topLinePunct w:val="0"/>
        <w:bidi w:val="0"/>
        <w:spacing w:line="360" w:lineRule="auto"/>
        <w:rPr>
          <w:color w:val="auto"/>
          <w:highlight w:val="none"/>
        </w:rPr>
      </w:pPr>
      <w:r>
        <w:rPr>
          <w:color w:val="auto"/>
          <w:highlight w:val="none"/>
        </w:rPr>
        <w:fldChar w:fldCharType="begin"/>
      </w:r>
      <w:r>
        <w:rPr>
          <w:color w:val="auto"/>
          <w:highlight w:val="none"/>
        </w:rPr>
        <w:instrText xml:space="preserve"> HYPERLINK \l "_Toc2118" </w:instrText>
      </w:r>
      <w:r>
        <w:rPr>
          <w:color w:val="auto"/>
          <w:highlight w:val="none"/>
        </w:rPr>
        <w:fldChar w:fldCharType="separate"/>
      </w:r>
      <w:r>
        <w:rPr>
          <w:rFonts w:hint="eastAsia" w:hAnsi="宋体" w:cs="宋体"/>
          <w:color w:val="auto"/>
          <w:szCs w:val="32"/>
          <w:highlight w:val="none"/>
        </w:rPr>
        <w:t>第一节 评标方法</w:t>
      </w:r>
      <w:r>
        <w:rPr>
          <w:color w:val="auto"/>
          <w:highlight w:val="none"/>
        </w:rPr>
        <w:tab/>
      </w:r>
      <w:r>
        <w:rPr>
          <w:color w:val="auto"/>
          <w:highlight w:val="none"/>
        </w:rPr>
        <w:fldChar w:fldCharType="begin"/>
      </w:r>
      <w:r>
        <w:rPr>
          <w:color w:val="auto"/>
          <w:highlight w:val="none"/>
        </w:rPr>
        <w:instrText xml:space="preserve"> PAGEREF _Toc2118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14:paraId="279F6918">
      <w:pPr>
        <w:pStyle w:val="17"/>
        <w:pageBreakBefore w:val="0"/>
        <w:tabs>
          <w:tab w:val="right" w:leader="dot" w:pos="9746"/>
        </w:tabs>
        <w:overflowPunct/>
        <w:topLinePunct w:val="0"/>
        <w:bidi w:val="0"/>
        <w:spacing w:line="360" w:lineRule="auto"/>
        <w:rPr>
          <w:color w:val="auto"/>
          <w:highlight w:val="none"/>
        </w:rPr>
      </w:pPr>
      <w:r>
        <w:rPr>
          <w:color w:val="auto"/>
          <w:highlight w:val="none"/>
        </w:rPr>
        <w:fldChar w:fldCharType="begin"/>
      </w:r>
      <w:r>
        <w:rPr>
          <w:color w:val="auto"/>
          <w:highlight w:val="none"/>
        </w:rPr>
        <w:instrText xml:space="preserve"> HYPERLINK \l "_Toc3444" </w:instrText>
      </w:r>
      <w:r>
        <w:rPr>
          <w:color w:val="auto"/>
          <w:highlight w:val="none"/>
        </w:rPr>
        <w:fldChar w:fldCharType="separate"/>
      </w:r>
      <w:r>
        <w:rPr>
          <w:rFonts w:hint="eastAsia" w:hAnsi="宋体" w:cs="宋体"/>
          <w:color w:val="auto"/>
          <w:szCs w:val="32"/>
          <w:highlight w:val="none"/>
        </w:rPr>
        <w:t>第二节 评标程序</w:t>
      </w:r>
      <w:r>
        <w:rPr>
          <w:color w:val="auto"/>
          <w:highlight w:val="none"/>
        </w:rPr>
        <w:tab/>
      </w:r>
      <w:r>
        <w:rPr>
          <w:color w:val="auto"/>
          <w:highlight w:val="none"/>
        </w:rPr>
        <w:fldChar w:fldCharType="begin"/>
      </w:r>
      <w:r>
        <w:rPr>
          <w:color w:val="auto"/>
          <w:highlight w:val="none"/>
        </w:rPr>
        <w:instrText xml:space="preserve"> PAGEREF _Toc3444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14:paraId="06329032">
      <w:pPr>
        <w:pStyle w:val="17"/>
        <w:pageBreakBefore w:val="0"/>
        <w:tabs>
          <w:tab w:val="right" w:leader="dot" w:pos="9746"/>
        </w:tabs>
        <w:overflowPunct/>
        <w:topLinePunct w:val="0"/>
        <w:bidi w:val="0"/>
        <w:spacing w:line="360" w:lineRule="auto"/>
        <w:rPr>
          <w:color w:val="auto"/>
          <w:highlight w:val="none"/>
        </w:rPr>
      </w:pPr>
      <w:r>
        <w:rPr>
          <w:color w:val="auto"/>
          <w:highlight w:val="none"/>
        </w:rPr>
        <w:fldChar w:fldCharType="begin"/>
      </w:r>
      <w:r>
        <w:rPr>
          <w:color w:val="auto"/>
          <w:highlight w:val="none"/>
        </w:rPr>
        <w:instrText xml:space="preserve"> HYPERLINK \l "_Toc32456" </w:instrText>
      </w:r>
      <w:r>
        <w:rPr>
          <w:color w:val="auto"/>
          <w:highlight w:val="none"/>
        </w:rPr>
        <w:fldChar w:fldCharType="separate"/>
      </w:r>
      <w:r>
        <w:rPr>
          <w:rFonts w:hint="eastAsia" w:ascii="宋体" w:hAnsi="宋体" w:cs="宋体"/>
          <w:color w:val="auto"/>
          <w:szCs w:val="30"/>
          <w:highlight w:val="none"/>
        </w:rPr>
        <w:t>第三节 评分标准</w:t>
      </w:r>
      <w:r>
        <w:rPr>
          <w:color w:val="auto"/>
          <w:highlight w:val="none"/>
        </w:rPr>
        <w:tab/>
      </w:r>
      <w:r>
        <w:rPr>
          <w:color w:val="auto"/>
          <w:highlight w:val="none"/>
        </w:rPr>
        <w:fldChar w:fldCharType="begin"/>
      </w:r>
      <w:r>
        <w:rPr>
          <w:color w:val="auto"/>
          <w:highlight w:val="none"/>
        </w:rPr>
        <w:instrText xml:space="preserve"> PAGEREF _Toc32456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14:paraId="544C788D">
      <w:pPr>
        <w:pStyle w:val="17"/>
        <w:pageBreakBefore w:val="0"/>
        <w:tabs>
          <w:tab w:val="right" w:leader="dot" w:pos="9746"/>
        </w:tabs>
        <w:overflowPunct/>
        <w:topLinePunct w:val="0"/>
        <w:bidi w:val="0"/>
        <w:spacing w:line="360" w:lineRule="auto"/>
        <w:rPr>
          <w:color w:val="auto"/>
          <w:highlight w:val="none"/>
        </w:rPr>
      </w:pPr>
      <w:r>
        <w:rPr>
          <w:color w:val="auto"/>
          <w:highlight w:val="none"/>
        </w:rPr>
        <w:fldChar w:fldCharType="begin"/>
      </w:r>
      <w:r>
        <w:rPr>
          <w:color w:val="auto"/>
          <w:highlight w:val="none"/>
        </w:rPr>
        <w:instrText xml:space="preserve"> HYPERLINK \l "_Toc26276" </w:instrText>
      </w:r>
      <w:r>
        <w:rPr>
          <w:color w:val="auto"/>
          <w:highlight w:val="none"/>
        </w:rPr>
        <w:fldChar w:fldCharType="separate"/>
      </w:r>
      <w:r>
        <w:rPr>
          <w:rFonts w:hint="eastAsia" w:ascii="宋体" w:hAnsi="宋体" w:cs="宋体"/>
          <w:color w:val="auto"/>
          <w:szCs w:val="30"/>
          <w:highlight w:val="none"/>
        </w:rPr>
        <w:t>第四节 中标候选人推荐原则</w:t>
      </w:r>
      <w:r>
        <w:rPr>
          <w:color w:val="auto"/>
          <w:highlight w:val="none"/>
        </w:rPr>
        <w:tab/>
      </w:r>
      <w:r>
        <w:rPr>
          <w:color w:val="auto"/>
          <w:highlight w:val="none"/>
        </w:rPr>
        <w:fldChar w:fldCharType="begin"/>
      </w:r>
      <w:r>
        <w:rPr>
          <w:color w:val="auto"/>
          <w:highlight w:val="none"/>
        </w:rPr>
        <w:instrText xml:space="preserve"> PAGEREF _Toc26276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14:paraId="5B7965DB">
      <w:pPr>
        <w:pStyle w:val="17"/>
        <w:pageBreakBefore w:val="0"/>
        <w:tabs>
          <w:tab w:val="right" w:leader="dot" w:pos="9746"/>
        </w:tabs>
        <w:overflowPunct/>
        <w:topLinePunct w:val="0"/>
        <w:bidi w:val="0"/>
        <w:spacing w:line="360" w:lineRule="auto"/>
        <w:rPr>
          <w:color w:val="auto"/>
          <w:highlight w:val="none"/>
        </w:rPr>
      </w:pPr>
      <w:r>
        <w:rPr>
          <w:color w:val="auto"/>
          <w:highlight w:val="none"/>
        </w:rPr>
        <w:fldChar w:fldCharType="begin"/>
      </w:r>
      <w:r>
        <w:rPr>
          <w:color w:val="auto"/>
          <w:highlight w:val="none"/>
        </w:rPr>
        <w:instrText xml:space="preserve"> HYPERLINK \l "_Toc52" </w:instrText>
      </w:r>
      <w:r>
        <w:rPr>
          <w:color w:val="auto"/>
          <w:highlight w:val="none"/>
        </w:rPr>
        <w:fldChar w:fldCharType="separate"/>
      </w:r>
      <w:r>
        <w:rPr>
          <w:rFonts w:hint="eastAsia" w:ascii="宋体" w:hAnsi="宋体" w:cs="宋体"/>
          <w:color w:val="auto"/>
          <w:szCs w:val="30"/>
          <w:highlight w:val="none"/>
        </w:rPr>
        <w:t>第五节 评标报告</w:t>
      </w:r>
      <w:r>
        <w:rPr>
          <w:color w:val="auto"/>
          <w:highlight w:val="none"/>
        </w:rPr>
        <w:tab/>
      </w:r>
      <w:r>
        <w:rPr>
          <w:color w:val="auto"/>
          <w:highlight w:val="none"/>
        </w:rPr>
        <w:fldChar w:fldCharType="begin"/>
      </w:r>
      <w:r>
        <w:rPr>
          <w:color w:val="auto"/>
          <w:highlight w:val="none"/>
        </w:rPr>
        <w:instrText xml:space="preserve"> PAGEREF _Toc52 \h </w:instrText>
      </w:r>
      <w:r>
        <w:rPr>
          <w:color w:val="auto"/>
          <w:highlight w:val="none"/>
        </w:rPr>
        <w:fldChar w:fldCharType="separate"/>
      </w:r>
      <w:r>
        <w:rPr>
          <w:color w:val="auto"/>
          <w:highlight w:val="none"/>
        </w:rPr>
        <w:t>97</w:t>
      </w:r>
      <w:r>
        <w:rPr>
          <w:color w:val="auto"/>
          <w:highlight w:val="none"/>
        </w:rPr>
        <w:fldChar w:fldCharType="end"/>
      </w:r>
      <w:r>
        <w:rPr>
          <w:color w:val="auto"/>
          <w:highlight w:val="none"/>
        </w:rPr>
        <w:fldChar w:fldCharType="end"/>
      </w:r>
    </w:p>
    <w:p w14:paraId="50CC1316">
      <w:pPr>
        <w:pStyle w:val="15"/>
        <w:pageBreakBefore w:val="0"/>
        <w:tabs>
          <w:tab w:val="right" w:leader="dot" w:pos="9746"/>
        </w:tabs>
        <w:overflowPunct/>
        <w:topLinePunct w:val="0"/>
        <w:bidi w:val="0"/>
        <w:spacing w:before="0" w:after="0" w:line="360" w:lineRule="auto"/>
        <w:rPr>
          <w:color w:val="auto"/>
          <w:highlight w:val="none"/>
        </w:rPr>
      </w:pPr>
      <w:r>
        <w:rPr>
          <w:color w:val="auto"/>
          <w:highlight w:val="none"/>
        </w:rPr>
        <w:fldChar w:fldCharType="begin"/>
      </w:r>
      <w:r>
        <w:rPr>
          <w:color w:val="auto"/>
          <w:highlight w:val="none"/>
        </w:rPr>
        <w:instrText xml:space="preserve"> HYPERLINK \l "_Toc29194" </w:instrText>
      </w:r>
      <w:r>
        <w:rPr>
          <w:color w:val="auto"/>
          <w:highlight w:val="none"/>
        </w:rPr>
        <w:fldChar w:fldCharType="separate"/>
      </w:r>
      <w:r>
        <w:rPr>
          <w:rFonts w:hint="eastAsia" w:hAnsi="宋体" w:cs="宋体"/>
          <w:color w:val="auto"/>
          <w:highlight w:val="none"/>
        </w:rPr>
        <w:t>第五章 拟签订的合同文本</w:t>
      </w:r>
      <w:r>
        <w:rPr>
          <w:color w:val="auto"/>
          <w:highlight w:val="none"/>
        </w:rPr>
        <w:tab/>
      </w:r>
      <w:r>
        <w:rPr>
          <w:color w:val="auto"/>
          <w:highlight w:val="none"/>
        </w:rPr>
        <w:fldChar w:fldCharType="begin"/>
      </w:r>
      <w:r>
        <w:rPr>
          <w:color w:val="auto"/>
          <w:highlight w:val="none"/>
        </w:rPr>
        <w:instrText xml:space="preserve"> PAGEREF _Toc29194 \h </w:instrText>
      </w:r>
      <w:r>
        <w:rPr>
          <w:color w:val="auto"/>
          <w:highlight w:val="none"/>
        </w:rPr>
        <w:fldChar w:fldCharType="separate"/>
      </w:r>
      <w:r>
        <w:rPr>
          <w:color w:val="auto"/>
          <w:highlight w:val="none"/>
        </w:rPr>
        <w:t>98</w:t>
      </w:r>
      <w:r>
        <w:rPr>
          <w:color w:val="auto"/>
          <w:highlight w:val="none"/>
        </w:rPr>
        <w:fldChar w:fldCharType="end"/>
      </w:r>
      <w:r>
        <w:rPr>
          <w:color w:val="auto"/>
          <w:highlight w:val="none"/>
        </w:rPr>
        <w:fldChar w:fldCharType="end"/>
      </w:r>
    </w:p>
    <w:p w14:paraId="567AF509">
      <w:pPr>
        <w:pStyle w:val="15"/>
        <w:pageBreakBefore w:val="0"/>
        <w:tabs>
          <w:tab w:val="right" w:leader="dot" w:pos="9746"/>
        </w:tabs>
        <w:overflowPunct/>
        <w:topLinePunct w:val="0"/>
        <w:bidi w:val="0"/>
        <w:spacing w:before="0" w:after="0" w:line="360" w:lineRule="auto"/>
        <w:rPr>
          <w:color w:val="auto"/>
          <w:highlight w:val="none"/>
        </w:rPr>
      </w:pPr>
      <w:r>
        <w:rPr>
          <w:color w:val="auto"/>
          <w:highlight w:val="none"/>
        </w:rPr>
        <w:fldChar w:fldCharType="begin"/>
      </w:r>
      <w:r>
        <w:rPr>
          <w:color w:val="auto"/>
          <w:highlight w:val="none"/>
        </w:rPr>
        <w:instrText xml:space="preserve"> HYPERLINK \l "_Toc2856" </w:instrText>
      </w:r>
      <w:r>
        <w:rPr>
          <w:color w:val="auto"/>
          <w:highlight w:val="none"/>
        </w:rPr>
        <w:fldChar w:fldCharType="separate"/>
      </w:r>
      <w:r>
        <w:rPr>
          <w:rFonts w:hint="eastAsia" w:hAnsi="宋体" w:cs="宋体"/>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_Toc2856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14:paraId="70248BDC">
      <w:pPr>
        <w:pStyle w:val="17"/>
        <w:pageBreakBefore w:val="0"/>
        <w:tabs>
          <w:tab w:val="right" w:leader="dot" w:pos="9746"/>
        </w:tabs>
        <w:overflowPunct/>
        <w:topLinePunct w:val="0"/>
        <w:bidi w:val="0"/>
        <w:spacing w:line="360" w:lineRule="auto"/>
        <w:rPr>
          <w:color w:val="auto"/>
          <w:highlight w:val="none"/>
        </w:rPr>
      </w:pPr>
      <w:r>
        <w:rPr>
          <w:color w:val="auto"/>
          <w:highlight w:val="none"/>
        </w:rPr>
        <w:fldChar w:fldCharType="begin"/>
      </w:r>
      <w:r>
        <w:rPr>
          <w:color w:val="auto"/>
          <w:highlight w:val="none"/>
        </w:rPr>
        <w:instrText xml:space="preserve"> HYPERLINK \l "_Toc13658" </w:instrText>
      </w:r>
      <w:r>
        <w:rPr>
          <w:color w:val="auto"/>
          <w:highlight w:val="none"/>
        </w:rPr>
        <w:fldChar w:fldCharType="separate"/>
      </w:r>
      <w:r>
        <w:rPr>
          <w:rFonts w:hint="eastAsia" w:hAnsi="宋体" w:cs="宋体"/>
          <w:color w:val="auto"/>
          <w:szCs w:val="28"/>
          <w:highlight w:val="none"/>
        </w:rPr>
        <w:t>第一节 投标文件外层包装封面</w:t>
      </w:r>
      <w:r>
        <w:rPr>
          <w:color w:val="auto"/>
          <w:highlight w:val="none"/>
        </w:rPr>
        <w:tab/>
      </w:r>
      <w:r>
        <w:rPr>
          <w:color w:val="auto"/>
          <w:highlight w:val="none"/>
        </w:rPr>
        <w:fldChar w:fldCharType="begin"/>
      </w:r>
      <w:r>
        <w:rPr>
          <w:color w:val="auto"/>
          <w:highlight w:val="none"/>
        </w:rPr>
        <w:instrText xml:space="preserve"> PAGEREF _Toc13658 \h </w:instrText>
      </w:r>
      <w:r>
        <w:rPr>
          <w:color w:val="auto"/>
          <w:highlight w:val="none"/>
        </w:rPr>
        <w:fldChar w:fldCharType="separate"/>
      </w:r>
      <w:r>
        <w:rPr>
          <w:color w:val="auto"/>
          <w:highlight w:val="none"/>
        </w:rPr>
        <w:t>114</w:t>
      </w:r>
      <w:r>
        <w:rPr>
          <w:color w:val="auto"/>
          <w:highlight w:val="none"/>
        </w:rPr>
        <w:fldChar w:fldCharType="end"/>
      </w:r>
      <w:r>
        <w:rPr>
          <w:color w:val="auto"/>
          <w:highlight w:val="none"/>
        </w:rPr>
        <w:fldChar w:fldCharType="end"/>
      </w:r>
    </w:p>
    <w:p w14:paraId="70859AC5">
      <w:pPr>
        <w:pStyle w:val="17"/>
        <w:pageBreakBefore w:val="0"/>
        <w:tabs>
          <w:tab w:val="right" w:leader="dot" w:pos="9746"/>
        </w:tabs>
        <w:overflowPunct/>
        <w:topLinePunct w:val="0"/>
        <w:bidi w:val="0"/>
        <w:spacing w:line="360" w:lineRule="auto"/>
        <w:rPr>
          <w:color w:val="auto"/>
          <w:highlight w:val="none"/>
        </w:rPr>
      </w:pPr>
      <w:r>
        <w:rPr>
          <w:color w:val="auto"/>
          <w:highlight w:val="none"/>
        </w:rPr>
        <w:fldChar w:fldCharType="begin"/>
      </w:r>
      <w:r>
        <w:rPr>
          <w:color w:val="auto"/>
          <w:highlight w:val="none"/>
        </w:rPr>
        <w:instrText xml:space="preserve"> HYPERLINK \l "_Toc20946" </w:instrText>
      </w:r>
      <w:r>
        <w:rPr>
          <w:color w:val="auto"/>
          <w:highlight w:val="none"/>
        </w:rPr>
        <w:fldChar w:fldCharType="separate"/>
      </w:r>
      <w:r>
        <w:rPr>
          <w:rFonts w:hint="eastAsia" w:hAnsi="宋体" w:cs="宋体"/>
          <w:color w:val="auto"/>
          <w:szCs w:val="28"/>
          <w:highlight w:val="none"/>
        </w:rPr>
        <w:t>第二节 资格证明文件格式</w:t>
      </w:r>
      <w:r>
        <w:rPr>
          <w:color w:val="auto"/>
          <w:highlight w:val="none"/>
        </w:rPr>
        <w:tab/>
      </w:r>
      <w:r>
        <w:rPr>
          <w:color w:val="auto"/>
          <w:highlight w:val="none"/>
        </w:rPr>
        <w:fldChar w:fldCharType="begin"/>
      </w:r>
      <w:r>
        <w:rPr>
          <w:color w:val="auto"/>
          <w:highlight w:val="none"/>
        </w:rPr>
        <w:instrText xml:space="preserve"> PAGEREF _Toc20946 \h </w:instrText>
      </w:r>
      <w:r>
        <w:rPr>
          <w:color w:val="auto"/>
          <w:highlight w:val="none"/>
        </w:rPr>
        <w:fldChar w:fldCharType="separate"/>
      </w:r>
      <w:r>
        <w:rPr>
          <w:color w:val="auto"/>
          <w:highlight w:val="none"/>
        </w:rPr>
        <w:t>115</w:t>
      </w:r>
      <w:r>
        <w:rPr>
          <w:color w:val="auto"/>
          <w:highlight w:val="none"/>
        </w:rPr>
        <w:fldChar w:fldCharType="end"/>
      </w:r>
      <w:r>
        <w:rPr>
          <w:color w:val="auto"/>
          <w:highlight w:val="none"/>
        </w:rPr>
        <w:fldChar w:fldCharType="end"/>
      </w:r>
    </w:p>
    <w:p w14:paraId="35182553">
      <w:pPr>
        <w:pStyle w:val="17"/>
        <w:pageBreakBefore w:val="0"/>
        <w:tabs>
          <w:tab w:val="right" w:leader="dot" w:pos="9746"/>
        </w:tabs>
        <w:overflowPunct/>
        <w:topLinePunct w:val="0"/>
        <w:bidi w:val="0"/>
        <w:spacing w:line="360" w:lineRule="auto"/>
        <w:rPr>
          <w:color w:val="auto"/>
          <w:highlight w:val="none"/>
        </w:rPr>
      </w:pPr>
      <w:r>
        <w:rPr>
          <w:color w:val="auto"/>
          <w:highlight w:val="none"/>
        </w:rPr>
        <w:fldChar w:fldCharType="begin"/>
      </w:r>
      <w:r>
        <w:rPr>
          <w:color w:val="auto"/>
          <w:highlight w:val="none"/>
        </w:rPr>
        <w:instrText xml:space="preserve"> HYPERLINK \l "_Toc30766" </w:instrText>
      </w:r>
      <w:r>
        <w:rPr>
          <w:color w:val="auto"/>
          <w:highlight w:val="none"/>
        </w:rPr>
        <w:fldChar w:fldCharType="separate"/>
      </w:r>
      <w:r>
        <w:rPr>
          <w:rFonts w:hint="eastAsia" w:hAnsi="宋体" w:cs="宋体"/>
          <w:color w:val="auto"/>
          <w:szCs w:val="28"/>
          <w:highlight w:val="none"/>
        </w:rPr>
        <w:t>第三节 商务文件格式</w:t>
      </w:r>
      <w:r>
        <w:rPr>
          <w:color w:val="auto"/>
          <w:highlight w:val="none"/>
        </w:rPr>
        <w:tab/>
      </w:r>
      <w:r>
        <w:rPr>
          <w:color w:val="auto"/>
          <w:highlight w:val="none"/>
        </w:rPr>
        <w:fldChar w:fldCharType="begin"/>
      </w:r>
      <w:r>
        <w:rPr>
          <w:color w:val="auto"/>
          <w:highlight w:val="none"/>
        </w:rPr>
        <w:instrText xml:space="preserve"> PAGEREF _Toc30766 \h </w:instrText>
      </w:r>
      <w:r>
        <w:rPr>
          <w:color w:val="auto"/>
          <w:highlight w:val="none"/>
        </w:rPr>
        <w:fldChar w:fldCharType="separate"/>
      </w:r>
      <w:r>
        <w:rPr>
          <w:color w:val="auto"/>
          <w:highlight w:val="none"/>
        </w:rPr>
        <w:t>123</w:t>
      </w:r>
      <w:r>
        <w:rPr>
          <w:color w:val="auto"/>
          <w:highlight w:val="none"/>
        </w:rPr>
        <w:fldChar w:fldCharType="end"/>
      </w:r>
      <w:r>
        <w:rPr>
          <w:color w:val="auto"/>
          <w:highlight w:val="none"/>
        </w:rPr>
        <w:fldChar w:fldCharType="end"/>
      </w:r>
    </w:p>
    <w:p w14:paraId="46A79399">
      <w:pPr>
        <w:pStyle w:val="17"/>
        <w:pageBreakBefore w:val="0"/>
        <w:tabs>
          <w:tab w:val="right" w:leader="dot" w:pos="9746"/>
        </w:tabs>
        <w:overflowPunct/>
        <w:topLinePunct w:val="0"/>
        <w:bidi w:val="0"/>
        <w:spacing w:line="360" w:lineRule="auto"/>
        <w:rPr>
          <w:color w:val="auto"/>
          <w:highlight w:val="none"/>
        </w:rPr>
      </w:pPr>
      <w:r>
        <w:rPr>
          <w:color w:val="auto"/>
          <w:highlight w:val="none"/>
        </w:rPr>
        <w:fldChar w:fldCharType="begin"/>
      </w:r>
      <w:r>
        <w:rPr>
          <w:color w:val="auto"/>
          <w:highlight w:val="none"/>
        </w:rPr>
        <w:instrText xml:space="preserve"> HYPERLINK \l "_Toc27389" </w:instrText>
      </w:r>
      <w:r>
        <w:rPr>
          <w:color w:val="auto"/>
          <w:highlight w:val="none"/>
        </w:rPr>
        <w:fldChar w:fldCharType="separate"/>
      </w:r>
      <w:r>
        <w:rPr>
          <w:rFonts w:hint="eastAsia" w:hAnsi="宋体" w:cs="宋体"/>
          <w:color w:val="auto"/>
          <w:szCs w:val="28"/>
          <w:highlight w:val="none"/>
        </w:rPr>
        <w:t>第四节 技术文件格式</w:t>
      </w:r>
      <w:r>
        <w:rPr>
          <w:color w:val="auto"/>
          <w:highlight w:val="none"/>
        </w:rPr>
        <w:tab/>
      </w:r>
      <w:r>
        <w:rPr>
          <w:color w:val="auto"/>
          <w:highlight w:val="none"/>
        </w:rPr>
        <w:fldChar w:fldCharType="begin"/>
      </w:r>
      <w:r>
        <w:rPr>
          <w:color w:val="auto"/>
          <w:highlight w:val="none"/>
        </w:rPr>
        <w:instrText xml:space="preserve"> PAGEREF _Toc27389 \h </w:instrText>
      </w:r>
      <w:r>
        <w:rPr>
          <w:color w:val="auto"/>
          <w:highlight w:val="none"/>
        </w:rPr>
        <w:fldChar w:fldCharType="separate"/>
      </w:r>
      <w:r>
        <w:rPr>
          <w:color w:val="auto"/>
          <w:highlight w:val="none"/>
        </w:rPr>
        <w:t>134</w:t>
      </w:r>
      <w:r>
        <w:rPr>
          <w:color w:val="auto"/>
          <w:highlight w:val="none"/>
        </w:rPr>
        <w:fldChar w:fldCharType="end"/>
      </w:r>
      <w:r>
        <w:rPr>
          <w:color w:val="auto"/>
          <w:highlight w:val="none"/>
        </w:rPr>
        <w:fldChar w:fldCharType="end"/>
      </w:r>
    </w:p>
    <w:p w14:paraId="7DB70E42">
      <w:pPr>
        <w:pStyle w:val="17"/>
        <w:pageBreakBefore w:val="0"/>
        <w:tabs>
          <w:tab w:val="right" w:leader="dot" w:pos="9746"/>
        </w:tabs>
        <w:overflowPunct/>
        <w:topLinePunct w:val="0"/>
        <w:bidi w:val="0"/>
        <w:spacing w:line="360" w:lineRule="auto"/>
        <w:rPr>
          <w:color w:val="auto"/>
          <w:highlight w:val="none"/>
        </w:rPr>
      </w:pPr>
      <w:r>
        <w:rPr>
          <w:color w:val="auto"/>
          <w:highlight w:val="none"/>
        </w:rPr>
        <w:fldChar w:fldCharType="begin"/>
      </w:r>
      <w:r>
        <w:rPr>
          <w:color w:val="auto"/>
          <w:highlight w:val="none"/>
        </w:rPr>
        <w:instrText xml:space="preserve"> HYPERLINK \l "_Toc5466" </w:instrText>
      </w:r>
      <w:r>
        <w:rPr>
          <w:color w:val="auto"/>
          <w:highlight w:val="none"/>
        </w:rPr>
        <w:fldChar w:fldCharType="separate"/>
      </w:r>
      <w:r>
        <w:rPr>
          <w:rFonts w:hint="eastAsia" w:hAnsi="宋体" w:cs="宋体"/>
          <w:color w:val="auto"/>
          <w:szCs w:val="28"/>
          <w:highlight w:val="none"/>
        </w:rPr>
        <w:t>第五节 报价文件格式</w:t>
      </w:r>
      <w:r>
        <w:rPr>
          <w:color w:val="auto"/>
          <w:highlight w:val="none"/>
        </w:rPr>
        <w:tab/>
      </w:r>
      <w:r>
        <w:rPr>
          <w:color w:val="auto"/>
          <w:highlight w:val="none"/>
        </w:rPr>
        <w:fldChar w:fldCharType="begin"/>
      </w:r>
      <w:r>
        <w:rPr>
          <w:color w:val="auto"/>
          <w:highlight w:val="none"/>
        </w:rPr>
        <w:instrText xml:space="preserve"> PAGEREF _Toc5466 \h </w:instrText>
      </w:r>
      <w:r>
        <w:rPr>
          <w:color w:val="auto"/>
          <w:highlight w:val="none"/>
        </w:rPr>
        <w:fldChar w:fldCharType="separate"/>
      </w:r>
      <w:r>
        <w:rPr>
          <w:color w:val="auto"/>
          <w:highlight w:val="none"/>
        </w:rPr>
        <w:t>142</w:t>
      </w:r>
      <w:r>
        <w:rPr>
          <w:color w:val="auto"/>
          <w:highlight w:val="none"/>
        </w:rPr>
        <w:fldChar w:fldCharType="end"/>
      </w:r>
      <w:r>
        <w:rPr>
          <w:color w:val="auto"/>
          <w:highlight w:val="none"/>
        </w:rPr>
        <w:fldChar w:fldCharType="end"/>
      </w:r>
    </w:p>
    <w:p w14:paraId="38615794">
      <w:pPr>
        <w:pStyle w:val="17"/>
        <w:pageBreakBefore w:val="0"/>
        <w:tabs>
          <w:tab w:val="right" w:leader="dot" w:pos="9746"/>
        </w:tabs>
        <w:overflowPunct/>
        <w:topLinePunct w:val="0"/>
        <w:bidi w:val="0"/>
        <w:spacing w:line="360" w:lineRule="auto"/>
        <w:rPr>
          <w:color w:val="auto"/>
          <w:highlight w:val="none"/>
        </w:rPr>
      </w:pPr>
      <w:r>
        <w:rPr>
          <w:color w:val="auto"/>
          <w:highlight w:val="none"/>
        </w:rPr>
        <w:fldChar w:fldCharType="begin"/>
      </w:r>
      <w:r>
        <w:rPr>
          <w:color w:val="auto"/>
          <w:highlight w:val="none"/>
        </w:rPr>
        <w:instrText xml:space="preserve"> HYPERLINK \l "_Toc12438" </w:instrText>
      </w:r>
      <w:r>
        <w:rPr>
          <w:color w:val="auto"/>
          <w:highlight w:val="none"/>
        </w:rPr>
        <w:fldChar w:fldCharType="separate"/>
      </w:r>
      <w:r>
        <w:rPr>
          <w:rFonts w:hint="eastAsia" w:ascii="宋体" w:hAnsi="宋体" w:cs="宋体"/>
          <w:color w:val="auto"/>
          <w:szCs w:val="28"/>
          <w:highlight w:val="none"/>
        </w:rPr>
        <w:t>第六节 其他文书、文件格式</w:t>
      </w:r>
      <w:r>
        <w:rPr>
          <w:color w:val="auto"/>
          <w:highlight w:val="none"/>
        </w:rPr>
        <w:tab/>
      </w:r>
      <w:r>
        <w:rPr>
          <w:color w:val="auto"/>
          <w:highlight w:val="none"/>
        </w:rPr>
        <w:fldChar w:fldCharType="begin"/>
      </w:r>
      <w:r>
        <w:rPr>
          <w:color w:val="auto"/>
          <w:highlight w:val="none"/>
        </w:rPr>
        <w:instrText xml:space="preserve"> PAGEREF _Toc12438 \h </w:instrText>
      </w:r>
      <w:r>
        <w:rPr>
          <w:color w:val="auto"/>
          <w:highlight w:val="none"/>
        </w:rPr>
        <w:fldChar w:fldCharType="separate"/>
      </w:r>
      <w:r>
        <w:rPr>
          <w:color w:val="auto"/>
          <w:highlight w:val="none"/>
        </w:rPr>
        <w:t>142</w:t>
      </w:r>
      <w:r>
        <w:rPr>
          <w:color w:val="auto"/>
          <w:highlight w:val="none"/>
        </w:rPr>
        <w:fldChar w:fldCharType="end"/>
      </w:r>
      <w:r>
        <w:rPr>
          <w:color w:val="auto"/>
          <w:highlight w:val="none"/>
        </w:rPr>
        <w:fldChar w:fldCharType="end"/>
      </w:r>
    </w:p>
    <w:p w14:paraId="0CD45601">
      <w:pPr>
        <w:pStyle w:val="15"/>
        <w:pageBreakBefore w:val="0"/>
        <w:tabs>
          <w:tab w:val="right" w:leader="dot" w:pos="9746"/>
        </w:tabs>
        <w:overflowPunct/>
        <w:topLinePunct w:val="0"/>
        <w:bidi w:val="0"/>
        <w:spacing w:before="0" w:after="0" w:line="360" w:lineRule="auto"/>
        <w:rPr>
          <w:color w:val="auto"/>
          <w:highlight w:val="none"/>
        </w:rPr>
      </w:pPr>
      <w:r>
        <w:rPr>
          <w:color w:val="auto"/>
          <w:highlight w:val="none"/>
        </w:rPr>
        <w:fldChar w:fldCharType="begin"/>
      </w:r>
      <w:r>
        <w:rPr>
          <w:color w:val="auto"/>
          <w:highlight w:val="none"/>
        </w:rPr>
        <w:instrText xml:space="preserve"> HYPERLINK \l "_Toc26579" </w:instrText>
      </w:r>
      <w:r>
        <w:rPr>
          <w:color w:val="auto"/>
          <w:highlight w:val="none"/>
        </w:rPr>
        <w:fldChar w:fldCharType="separate"/>
      </w:r>
      <w:r>
        <w:rPr>
          <w:rFonts w:hint="eastAsia" w:hAnsi="宋体" w:cs="宋体"/>
          <w:color w:val="auto"/>
          <w:highlight w:val="none"/>
        </w:rPr>
        <w:t>第七章 质疑、投诉证明材料格式</w:t>
      </w:r>
      <w:r>
        <w:rPr>
          <w:color w:val="auto"/>
          <w:highlight w:val="none"/>
        </w:rPr>
        <w:tab/>
      </w:r>
      <w:r>
        <w:rPr>
          <w:color w:val="auto"/>
          <w:highlight w:val="none"/>
        </w:rPr>
        <w:fldChar w:fldCharType="begin"/>
      </w:r>
      <w:r>
        <w:rPr>
          <w:color w:val="auto"/>
          <w:highlight w:val="none"/>
        </w:rPr>
        <w:instrText xml:space="preserve"> PAGEREF _Toc26579 \h </w:instrText>
      </w:r>
      <w:r>
        <w:rPr>
          <w:color w:val="auto"/>
          <w:highlight w:val="none"/>
        </w:rPr>
        <w:fldChar w:fldCharType="separate"/>
      </w:r>
      <w:r>
        <w:rPr>
          <w:color w:val="auto"/>
          <w:highlight w:val="none"/>
        </w:rPr>
        <w:t>150</w:t>
      </w:r>
      <w:r>
        <w:rPr>
          <w:color w:val="auto"/>
          <w:highlight w:val="none"/>
        </w:rPr>
        <w:fldChar w:fldCharType="end"/>
      </w:r>
      <w:r>
        <w:rPr>
          <w:color w:val="auto"/>
          <w:highlight w:val="none"/>
        </w:rPr>
        <w:fldChar w:fldCharType="end"/>
      </w:r>
    </w:p>
    <w:p w14:paraId="7D86066B">
      <w:pPr>
        <w:pStyle w:val="17"/>
        <w:pageBreakBefore w:val="0"/>
        <w:tabs>
          <w:tab w:val="right" w:leader="dot" w:pos="9746"/>
        </w:tabs>
        <w:overflowPunct/>
        <w:topLinePunct w:val="0"/>
        <w:bidi w:val="0"/>
        <w:spacing w:line="360" w:lineRule="auto"/>
        <w:rPr>
          <w:color w:val="auto"/>
          <w:highlight w:val="none"/>
        </w:rPr>
      </w:pPr>
      <w:r>
        <w:rPr>
          <w:color w:val="auto"/>
          <w:highlight w:val="none"/>
        </w:rPr>
        <w:fldChar w:fldCharType="begin"/>
      </w:r>
      <w:r>
        <w:rPr>
          <w:color w:val="auto"/>
          <w:highlight w:val="none"/>
        </w:rPr>
        <w:instrText xml:space="preserve"> HYPERLINK \l "_Toc24445" </w:instrText>
      </w:r>
      <w:r>
        <w:rPr>
          <w:color w:val="auto"/>
          <w:highlight w:val="none"/>
        </w:rPr>
        <w:fldChar w:fldCharType="separate"/>
      </w:r>
      <w:r>
        <w:rPr>
          <w:rFonts w:hint="eastAsia" w:ascii="宋体" w:hAnsi="宋体" w:cs="宋体"/>
          <w:bCs w:val="0"/>
          <w:color w:val="auto"/>
          <w:highlight w:val="none"/>
        </w:rPr>
        <w:t>第一节 质疑函（格式）</w:t>
      </w:r>
      <w:r>
        <w:rPr>
          <w:color w:val="auto"/>
          <w:highlight w:val="none"/>
        </w:rPr>
        <w:tab/>
      </w:r>
      <w:r>
        <w:rPr>
          <w:color w:val="auto"/>
          <w:highlight w:val="none"/>
        </w:rPr>
        <w:fldChar w:fldCharType="begin"/>
      </w:r>
      <w:r>
        <w:rPr>
          <w:color w:val="auto"/>
          <w:highlight w:val="none"/>
        </w:rPr>
        <w:instrText xml:space="preserve"> PAGEREF _Toc24445 \h </w:instrText>
      </w:r>
      <w:r>
        <w:rPr>
          <w:color w:val="auto"/>
          <w:highlight w:val="none"/>
        </w:rPr>
        <w:fldChar w:fldCharType="separate"/>
      </w:r>
      <w:r>
        <w:rPr>
          <w:color w:val="auto"/>
          <w:highlight w:val="none"/>
        </w:rPr>
        <w:t>151</w:t>
      </w:r>
      <w:r>
        <w:rPr>
          <w:color w:val="auto"/>
          <w:highlight w:val="none"/>
        </w:rPr>
        <w:fldChar w:fldCharType="end"/>
      </w:r>
      <w:r>
        <w:rPr>
          <w:color w:val="auto"/>
          <w:highlight w:val="none"/>
        </w:rPr>
        <w:fldChar w:fldCharType="end"/>
      </w:r>
    </w:p>
    <w:p w14:paraId="23A80656">
      <w:pPr>
        <w:pStyle w:val="17"/>
        <w:pageBreakBefore w:val="0"/>
        <w:tabs>
          <w:tab w:val="right" w:leader="dot" w:pos="9746"/>
        </w:tabs>
        <w:overflowPunct/>
        <w:topLinePunct w:val="0"/>
        <w:bidi w:val="0"/>
        <w:spacing w:line="360" w:lineRule="auto"/>
        <w:rPr>
          <w:color w:val="auto"/>
          <w:highlight w:val="none"/>
        </w:rPr>
      </w:pPr>
      <w:r>
        <w:rPr>
          <w:color w:val="auto"/>
          <w:highlight w:val="none"/>
        </w:rPr>
        <w:fldChar w:fldCharType="begin"/>
      </w:r>
      <w:r>
        <w:rPr>
          <w:color w:val="auto"/>
          <w:highlight w:val="none"/>
        </w:rPr>
        <w:instrText xml:space="preserve"> HYPERLINK \l "_Toc14288" </w:instrText>
      </w:r>
      <w:r>
        <w:rPr>
          <w:color w:val="auto"/>
          <w:highlight w:val="none"/>
        </w:rPr>
        <w:fldChar w:fldCharType="separate"/>
      </w:r>
      <w:r>
        <w:rPr>
          <w:rFonts w:hint="eastAsia" w:ascii="宋体" w:hAnsi="宋体" w:cs="宋体"/>
          <w:bCs w:val="0"/>
          <w:color w:val="auto"/>
          <w:highlight w:val="none"/>
        </w:rPr>
        <w:t>第二节 投诉书（格式）</w:t>
      </w:r>
      <w:r>
        <w:rPr>
          <w:color w:val="auto"/>
          <w:highlight w:val="none"/>
        </w:rPr>
        <w:tab/>
      </w:r>
      <w:r>
        <w:rPr>
          <w:color w:val="auto"/>
          <w:highlight w:val="none"/>
        </w:rPr>
        <w:fldChar w:fldCharType="begin"/>
      </w:r>
      <w:r>
        <w:rPr>
          <w:color w:val="auto"/>
          <w:highlight w:val="none"/>
        </w:rPr>
        <w:instrText xml:space="preserve"> PAGEREF _Toc14288 \h </w:instrText>
      </w:r>
      <w:r>
        <w:rPr>
          <w:color w:val="auto"/>
          <w:highlight w:val="none"/>
        </w:rPr>
        <w:fldChar w:fldCharType="separate"/>
      </w:r>
      <w:r>
        <w:rPr>
          <w:color w:val="auto"/>
          <w:highlight w:val="none"/>
        </w:rPr>
        <w:t>154</w:t>
      </w:r>
      <w:r>
        <w:rPr>
          <w:color w:val="auto"/>
          <w:highlight w:val="none"/>
        </w:rPr>
        <w:fldChar w:fldCharType="end"/>
      </w:r>
      <w:r>
        <w:rPr>
          <w:color w:val="auto"/>
          <w:highlight w:val="none"/>
        </w:rPr>
        <w:fldChar w:fldCharType="end"/>
      </w:r>
    </w:p>
    <w:p w14:paraId="2EA5BF9C">
      <w:pPr>
        <w:pStyle w:val="12"/>
        <w:pageBreakBefore w:val="0"/>
        <w:wordWrap w:val="0"/>
        <w:overflowPunct/>
        <w:topLinePunct w:val="0"/>
        <w:bidi w:val="0"/>
        <w:spacing w:line="360" w:lineRule="auto"/>
        <w:jc w:val="center"/>
        <w:rPr>
          <w:rFonts w:hAnsi="宋体" w:cs="宋体"/>
          <w:color w:val="auto"/>
          <w:highlight w:val="none"/>
        </w:rPr>
        <w:sectPr>
          <w:headerReference r:id="rId3" w:type="default"/>
          <w:pgSz w:w="11906" w:h="16838"/>
          <w:pgMar w:top="1440" w:right="1080" w:bottom="1440" w:left="1080" w:header="720" w:footer="720" w:gutter="0"/>
          <w:pgNumType w:start="1"/>
          <w:cols w:space="720" w:num="1"/>
          <w:docGrid w:type="lines" w:linePitch="331" w:charSpace="0"/>
        </w:sectPr>
      </w:pPr>
      <w:r>
        <w:rPr>
          <w:rFonts w:hint="eastAsia" w:hAnsi="宋体" w:cs="宋体"/>
          <w:bCs/>
          <w:caps/>
          <w:color w:val="auto"/>
          <w:szCs w:val="32"/>
          <w:highlight w:val="none"/>
          <w:u w:val="single"/>
        </w:rPr>
        <w:fldChar w:fldCharType="end"/>
      </w:r>
      <w:bookmarkStart w:id="0" w:name="_Toc11954"/>
      <w:r>
        <w:rPr>
          <w:rFonts w:hint="eastAsia" w:hAnsi="宋体" w:cs="宋体"/>
          <w:color w:val="auto"/>
          <w:highlight w:val="none"/>
        </w:rPr>
        <w:tab/>
      </w:r>
      <w:bookmarkEnd w:id="0"/>
      <w:bookmarkStart w:id="1" w:name="_Toc532545041"/>
    </w:p>
    <w:bookmarkEnd w:id="1"/>
    <w:p w14:paraId="4C19A9B9">
      <w:pPr>
        <w:pStyle w:val="12"/>
        <w:pageBreakBefore w:val="0"/>
        <w:wordWrap w:val="0"/>
        <w:overflowPunct/>
        <w:topLinePunct w:val="0"/>
        <w:bidi w:val="0"/>
        <w:spacing w:line="360" w:lineRule="auto"/>
        <w:jc w:val="center"/>
        <w:outlineLvl w:val="0"/>
        <w:rPr>
          <w:rFonts w:hAnsi="宋体" w:cs="宋体"/>
          <w:b/>
          <w:color w:val="auto"/>
          <w:sz w:val="36"/>
          <w:szCs w:val="36"/>
          <w:highlight w:val="none"/>
        </w:rPr>
      </w:pPr>
      <w:bookmarkStart w:id="2" w:name="_Toc532545042"/>
      <w:r>
        <w:rPr>
          <w:rFonts w:hint="eastAsia" w:hAnsi="宋体" w:cs="宋体"/>
          <w:b/>
          <w:color w:val="auto"/>
          <w:sz w:val="36"/>
          <w:highlight w:val="none"/>
        </w:rPr>
        <w:t xml:space="preserve"> </w:t>
      </w:r>
      <w:bookmarkStart w:id="3" w:name="_Toc12415"/>
      <w:r>
        <w:rPr>
          <w:rFonts w:hint="eastAsia" w:hAnsi="宋体" w:cs="宋体"/>
          <w:b/>
          <w:color w:val="auto"/>
          <w:sz w:val="36"/>
          <w:highlight w:val="none"/>
        </w:rPr>
        <w:t>第一章  招标公告</w:t>
      </w:r>
      <w:bookmarkEnd w:id="3"/>
    </w:p>
    <w:p w14:paraId="1BC45641">
      <w:pPr>
        <w:pStyle w:val="12"/>
        <w:pageBreakBefore w:val="0"/>
        <w:wordWrap w:val="0"/>
        <w:overflowPunct/>
        <w:topLinePunct w:val="0"/>
        <w:bidi w:val="0"/>
        <w:spacing w:line="360" w:lineRule="auto"/>
        <w:jc w:val="center"/>
        <w:rPr>
          <w:rFonts w:hAnsi="宋体" w:cs="宋体"/>
          <w:b/>
          <w:color w:val="auto"/>
          <w:sz w:val="30"/>
          <w:szCs w:val="30"/>
          <w:highlight w:val="none"/>
        </w:rPr>
      </w:pPr>
      <w:r>
        <w:rPr>
          <w:rFonts w:hint="eastAsia" w:hAnsi="宋体" w:cs="宋体"/>
          <w:b/>
          <w:color w:val="auto"/>
          <w:sz w:val="30"/>
          <w:szCs w:val="30"/>
          <w:highlight w:val="none"/>
        </w:rPr>
        <w:t>公开招标公告</w:t>
      </w:r>
    </w:p>
    <w:p w14:paraId="255FFF23">
      <w:pPr>
        <w:pageBreakBefore w:val="0"/>
        <w:pBdr>
          <w:top w:val="single" w:color="auto" w:sz="4" w:space="1"/>
          <w:left w:val="single" w:color="auto" w:sz="4" w:space="4"/>
          <w:bottom w:val="single" w:color="auto" w:sz="4" w:space="1"/>
          <w:right w:val="single" w:color="auto" w:sz="4" w:space="4"/>
        </w:pBdr>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EFC7189">
      <w:pPr>
        <w:pageBreakBefore w:val="0"/>
        <w:pBdr>
          <w:top w:val="single" w:color="auto" w:sz="4" w:space="1"/>
          <w:left w:val="single" w:color="auto" w:sz="4" w:space="4"/>
          <w:bottom w:val="single" w:color="auto" w:sz="4" w:space="1"/>
          <w:right w:val="single" w:color="auto" w:sz="4" w:space="4"/>
        </w:pBdr>
        <w:wordWrap w:val="0"/>
        <w:overflowPunct/>
        <w:topLinePunct w:val="0"/>
        <w:bidi w:val="0"/>
        <w:spacing w:line="360" w:lineRule="auto"/>
        <w:ind w:firstLine="600" w:firstLineChars="250"/>
        <w:rPr>
          <w:rFonts w:ascii="宋体" w:hAnsi="宋体" w:cs="宋体"/>
          <w:color w:val="auto"/>
          <w:sz w:val="24"/>
          <w:highlight w:val="none"/>
          <w:u w:val="single"/>
        </w:rPr>
      </w:pPr>
      <w:r>
        <w:rPr>
          <w:rFonts w:hint="eastAsia" w:ascii="宋体" w:hAnsi="宋体" w:cs="宋体"/>
          <w:color w:val="auto"/>
          <w:sz w:val="24"/>
          <w:highlight w:val="none"/>
          <w:u w:val="single"/>
          <w:lang w:eastAsia="zh-CN"/>
        </w:rPr>
        <w:t>南宁市第十四中学数字校园建设项目</w:t>
      </w:r>
      <w:r>
        <w:rPr>
          <w:rFonts w:hint="eastAsia" w:ascii="宋体" w:hAnsi="宋体" w:cs="宋体"/>
          <w:color w:val="auto"/>
          <w:sz w:val="24"/>
          <w:highlight w:val="none"/>
        </w:rPr>
        <w:t>招标项目的潜在投标人应在</w:t>
      </w:r>
      <w:r>
        <w:rPr>
          <w:rFonts w:hint="eastAsia" w:ascii="宋体" w:hAnsi="宋体" w:cs="宋体"/>
          <w:color w:val="auto"/>
          <w:sz w:val="24"/>
          <w:highlight w:val="none"/>
          <w:lang w:eastAsia="zh-CN"/>
        </w:rPr>
        <w:t>广西政府采购云平台（https://login.gcy.zfcg.gxzf.gov.cn/user-login/#/）</w:t>
      </w:r>
      <w:r>
        <w:rPr>
          <w:rFonts w:hint="eastAsia" w:ascii="宋体" w:hAnsi="宋体" w:cs="宋体"/>
          <w:color w:val="auto"/>
          <w:sz w:val="24"/>
          <w:highlight w:val="none"/>
        </w:rPr>
        <w:t>获取（下载）招标文件，并于</w:t>
      </w:r>
      <w:r>
        <w:rPr>
          <w:rFonts w:hint="eastAsia" w:ascii="宋体" w:hAnsi="宋体" w:cs="宋体"/>
          <w:color w:val="auto"/>
          <w:sz w:val="24"/>
          <w:highlight w:val="none"/>
          <w:u w:val="single"/>
          <w:lang w:eastAsia="zh-CN" w:bidi="ar"/>
        </w:rPr>
        <w:t>2025年8月5日9时30分00秒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6C5B1F3">
      <w:pPr>
        <w:pageBreakBefore w:val="0"/>
        <w:wordWrap w:val="0"/>
        <w:overflowPunct/>
        <w:topLinePunct w:val="0"/>
        <w:bidi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一、项目基本情况</w:t>
      </w:r>
    </w:p>
    <w:p w14:paraId="2D3FF712">
      <w:pPr>
        <w:pageBreakBefore w:val="0"/>
        <w:wordWrap w:val="0"/>
        <w:overflowPunct/>
        <w:topLinePunct w:val="0"/>
        <w:bidi w:val="0"/>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项目编号：NNZC2025-G3-990632-GXYZ</w:t>
      </w:r>
    </w:p>
    <w:p w14:paraId="7EB3D870">
      <w:pPr>
        <w:pageBreakBefore w:val="0"/>
        <w:wordWrap w:val="0"/>
        <w:overflowPunct/>
        <w:topLinePunct w:val="0"/>
        <w:bidi w:val="0"/>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采购计划文号：NNZC[2025]3851号</w:t>
      </w:r>
    </w:p>
    <w:p w14:paraId="21D403D7">
      <w:pPr>
        <w:pageBreakBefore w:val="0"/>
        <w:wordWrap w:val="0"/>
        <w:overflowPunct/>
        <w:topLinePunct w:val="0"/>
        <w:bidi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项目名称：南宁市第十四中学数字校园建设项目</w:t>
      </w:r>
    </w:p>
    <w:p w14:paraId="1DA593A0">
      <w:pPr>
        <w:pageBreakBefore w:val="0"/>
        <w:wordWrap w:val="0"/>
        <w:overflowPunct/>
        <w:topLinePunct w:val="0"/>
        <w:bidi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预算金额：人民币</w:t>
      </w:r>
      <w:r>
        <w:rPr>
          <w:rFonts w:hint="eastAsia" w:ascii="宋体" w:hAnsi="宋体" w:cs="宋体"/>
          <w:color w:val="auto"/>
          <w:sz w:val="24"/>
          <w:highlight w:val="none"/>
          <w:lang w:val="en-US" w:eastAsia="zh-CN"/>
        </w:rPr>
        <w:t>壹佰万元整</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100</w:t>
      </w:r>
      <w:r>
        <w:rPr>
          <w:rFonts w:hint="eastAsia" w:ascii="宋体" w:hAnsi="宋体" w:cs="宋体"/>
          <w:color w:val="auto"/>
          <w:sz w:val="24"/>
          <w:highlight w:val="none"/>
        </w:rPr>
        <w:t>0000.00）</w:t>
      </w:r>
      <w:bookmarkStart w:id="293" w:name="_GoBack"/>
      <w:bookmarkEnd w:id="293"/>
    </w:p>
    <w:p w14:paraId="0C3FAE1F">
      <w:pPr>
        <w:pageBreakBefore w:val="0"/>
        <w:wordWrap w:val="0"/>
        <w:overflowPunct/>
        <w:topLinePunct w:val="0"/>
        <w:bidi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最高限价：人民币</w:t>
      </w:r>
      <w:r>
        <w:rPr>
          <w:rFonts w:hint="eastAsia" w:ascii="宋体" w:hAnsi="宋体" w:cs="宋体"/>
          <w:color w:val="auto"/>
          <w:sz w:val="24"/>
          <w:highlight w:val="none"/>
          <w:lang w:val="en-US" w:eastAsia="zh-CN"/>
        </w:rPr>
        <w:t>壹佰万元整</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100</w:t>
      </w:r>
      <w:r>
        <w:rPr>
          <w:rFonts w:hint="eastAsia" w:ascii="宋体" w:hAnsi="宋体" w:cs="宋体"/>
          <w:color w:val="auto"/>
          <w:sz w:val="24"/>
          <w:highlight w:val="none"/>
        </w:rPr>
        <w:t>0000.00）</w:t>
      </w:r>
    </w:p>
    <w:p w14:paraId="724D6A79">
      <w:pPr>
        <w:pageBreakBefore w:val="0"/>
        <w:wordWrap w:val="0"/>
        <w:overflowPunct/>
        <w:topLinePunct w:val="0"/>
        <w:bidi w:val="0"/>
        <w:spacing w:line="360" w:lineRule="auto"/>
        <w:rPr>
          <w:color w:val="auto"/>
          <w:highlight w:val="none"/>
        </w:rPr>
      </w:pPr>
      <w:r>
        <w:rPr>
          <w:rFonts w:hint="eastAsia" w:ascii="宋体" w:hAnsi="宋体" w:cs="宋体"/>
          <w:color w:val="auto"/>
          <w:sz w:val="24"/>
          <w:highlight w:val="none"/>
        </w:rPr>
        <w:t xml:space="preserve">采购需求： </w:t>
      </w:r>
    </w:p>
    <w:tbl>
      <w:tblPr>
        <w:tblStyle w:val="19"/>
        <w:tblW w:w="10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2"/>
        <w:gridCol w:w="2046"/>
        <w:gridCol w:w="600"/>
        <w:gridCol w:w="613"/>
        <w:gridCol w:w="6262"/>
      </w:tblGrid>
      <w:tr w14:paraId="25E73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19"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14:paraId="2A254F7E">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2046" w:type="dxa"/>
            <w:tcBorders>
              <w:top w:val="single" w:color="auto" w:sz="4" w:space="0"/>
              <w:left w:val="single" w:color="auto" w:sz="4" w:space="0"/>
              <w:bottom w:val="single" w:color="auto" w:sz="4" w:space="0"/>
              <w:right w:val="single" w:color="auto" w:sz="4" w:space="0"/>
            </w:tcBorders>
            <w:vAlign w:val="center"/>
          </w:tcPr>
          <w:p w14:paraId="2FB0BA49">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标的的名称</w:t>
            </w:r>
          </w:p>
        </w:tc>
        <w:tc>
          <w:tcPr>
            <w:tcW w:w="600" w:type="dxa"/>
            <w:tcBorders>
              <w:top w:val="single" w:color="auto" w:sz="4" w:space="0"/>
              <w:left w:val="single" w:color="auto" w:sz="4" w:space="0"/>
              <w:bottom w:val="single" w:color="auto" w:sz="4" w:space="0"/>
              <w:right w:val="single" w:color="auto" w:sz="4" w:space="0"/>
            </w:tcBorders>
            <w:vAlign w:val="center"/>
          </w:tcPr>
          <w:p w14:paraId="349D9EC3">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单位</w:t>
            </w:r>
          </w:p>
        </w:tc>
        <w:tc>
          <w:tcPr>
            <w:tcW w:w="613" w:type="dxa"/>
            <w:tcBorders>
              <w:top w:val="single" w:color="auto" w:sz="4" w:space="0"/>
              <w:left w:val="single" w:color="auto" w:sz="4" w:space="0"/>
              <w:bottom w:val="single" w:color="auto" w:sz="4" w:space="0"/>
              <w:right w:val="single" w:color="auto" w:sz="4" w:space="0"/>
            </w:tcBorders>
            <w:vAlign w:val="center"/>
          </w:tcPr>
          <w:p w14:paraId="25A4B6BE">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6262" w:type="dxa"/>
            <w:tcBorders>
              <w:top w:val="single" w:color="auto" w:sz="4" w:space="0"/>
              <w:left w:val="single" w:color="auto" w:sz="4" w:space="0"/>
              <w:bottom w:val="single" w:color="auto" w:sz="4" w:space="0"/>
              <w:right w:val="single" w:color="auto" w:sz="4" w:space="0"/>
            </w:tcBorders>
            <w:vAlign w:val="center"/>
          </w:tcPr>
          <w:p w14:paraId="427D35E6">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简要服务要求或者技术需求</w:t>
            </w:r>
          </w:p>
        </w:tc>
      </w:tr>
      <w:tr w14:paraId="41BF8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2" w:type="dxa"/>
            <w:tcBorders>
              <w:top w:val="single" w:color="auto" w:sz="4" w:space="0"/>
              <w:left w:val="single" w:color="auto" w:sz="4" w:space="0"/>
              <w:bottom w:val="single" w:color="auto" w:sz="4" w:space="0"/>
              <w:right w:val="single" w:color="auto" w:sz="4" w:space="0"/>
            </w:tcBorders>
            <w:vAlign w:val="center"/>
          </w:tcPr>
          <w:p w14:paraId="3623C3F6">
            <w:pPr>
              <w:keepNext w:val="0"/>
              <w:keepLines w:val="0"/>
              <w:pageBreakBefore w:val="0"/>
              <w:kinsoku/>
              <w:wordWrap w:val="0"/>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eastAsia="宋体" w:cs="宋体"/>
                <w:bCs/>
                <w:color w:val="auto"/>
                <w:sz w:val="24"/>
                <w:szCs w:val="24"/>
                <w:highlight w:val="none"/>
              </w:rPr>
              <w:t>1</w:t>
            </w:r>
          </w:p>
        </w:tc>
        <w:tc>
          <w:tcPr>
            <w:tcW w:w="2046" w:type="dxa"/>
            <w:tcBorders>
              <w:top w:val="single" w:color="auto" w:sz="4" w:space="0"/>
              <w:left w:val="single" w:color="auto" w:sz="4" w:space="0"/>
              <w:bottom w:val="single" w:color="auto" w:sz="4" w:space="0"/>
              <w:right w:val="single" w:color="auto" w:sz="4" w:space="0"/>
            </w:tcBorders>
            <w:vAlign w:val="center"/>
          </w:tcPr>
          <w:p w14:paraId="5311E51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校园数字基座及AI智能服务</w:t>
            </w:r>
          </w:p>
        </w:tc>
        <w:tc>
          <w:tcPr>
            <w:tcW w:w="600" w:type="dxa"/>
            <w:tcBorders>
              <w:top w:val="single" w:color="auto" w:sz="4" w:space="0"/>
              <w:left w:val="single" w:color="auto" w:sz="4" w:space="0"/>
              <w:bottom w:val="single" w:color="auto" w:sz="4" w:space="0"/>
              <w:right w:val="single" w:color="auto" w:sz="4" w:space="0"/>
            </w:tcBorders>
            <w:vAlign w:val="center"/>
          </w:tcPr>
          <w:p w14:paraId="59828C3D">
            <w:pPr>
              <w:pStyle w:val="3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ascii="宋体" w:hAnsi="宋体" w:cs="宋体"/>
                <w:color w:val="auto"/>
                <w:sz w:val="24"/>
                <w:highlight w:val="none"/>
              </w:rPr>
            </w:pPr>
            <w:r>
              <w:rPr>
                <w:rFonts w:hint="eastAsia" w:ascii="宋体" w:hAnsi="宋体" w:eastAsia="宋体" w:cs="宋体"/>
                <w:color w:val="auto"/>
                <w:sz w:val="24"/>
                <w:szCs w:val="24"/>
                <w:highlight w:val="none"/>
                <w:lang w:val="en-US" w:eastAsia="zh-CN"/>
              </w:rPr>
              <w:t>项</w:t>
            </w:r>
          </w:p>
        </w:tc>
        <w:tc>
          <w:tcPr>
            <w:tcW w:w="613" w:type="dxa"/>
            <w:tcBorders>
              <w:top w:val="single" w:color="auto" w:sz="4" w:space="0"/>
              <w:left w:val="single" w:color="auto" w:sz="4" w:space="0"/>
              <w:bottom w:val="single" w:color="auto" w:sz="4" w:space="0"/>
              <w:right w:val="single" w:color="auto" w:sz="4" w:space="0"/>
            </w:tcBorders>
            <w:vAlign w:val="center"/>
          </w:tcPr>
          <w:p w14:paraId="4A54F08B">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eastAsia="宋体" w:cs="宋体"/>
                <w:color w:val="auto"/>
                <w:sz w:val="24"/>
                <w:szCs w:val="24"/>
                <w:highlight w:val="none"/>
                <w:lang w:val="en-US" w:eastAsia="zh-CN"/>
              </w:rPr>
              <w:t>1</w:t>
            </w:r>
          </w:p>
        </w:tc>
        <w:tc>
          <w:tcPr>
            <w:tcW w:w="6262" w:type="dxa"/>
            <w:tcBorders>
              <w:top w:val="single" w:color="auto" w:sz="4" w:space="0"/>
              <w:left w:val="single" w:color="auto" w:sz="4" w:space="0"/>
              <w:bottom w:val="single" w:color="auto" w:sz="4" w:space="0"/>
              <w:right w:val="single" w:color="auto" w:sz="4" w:space="0"/>
            </w:tcBorders>
            <w:vAlign w:val="center"/>
          </w:tcPr>
          <w:p w14:paraId="04818DB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cs="宋体"/>
                <w:b/>
                <w:bCs/>
                <w:color w:val="auto"/>
                <w:kern w:val="0"/>
                <w:sz w:val="24"/>
                <w:szCs w:val="24"/>
                <w:highlight w:val="none"/>
                <w:lang w:val="en-US" w:eastAsia="zh-CN"/>
              </w:rPr>
              <w:t>一、</w:t>
            </w:r>
            <w:r>
              <w:rPr>
                <w:rFonts w:hint="eastAsia" w:ascii="宋体" w:hAnsi="宋体" w:eastAsia="宋体" w:cs="宋体"/>
                <w:b/>
                <w:bCs/>
                <w:i w:val="0"/>
                <w:iCs w:val="0"/>
                <w:color w:val="auto"/>
                <w:kern w:val="0"/>
                <w:sz w:val="22"/>
                <w:szCs w:val="22"/>
                <w:highlight w:val="none"/>
                <w:u w:val="none"/>
                <w:lang w:val="en-US" w:eastAsia="zh-CN" w:bidi="ar"/>
              </w:rPr>
              <w:t>校园数字基座</w:t>
            </w:r>
          </w:p>
          <w:p w14:paraId="733CD8DB">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（一）统一门户</w:t>
            </w:r>
          </w:p>
          <w:p w14:paraId="14DBD51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1、需支持多端登录，包括PC-Web端、APP、企业微信、钉钉、微信小程序；</w:t>
            </w:r>
          </w:p>
          <w:p w14:paraId="4AD58EB0">
            <w:pPr>
              <w:pageBreakBefore w:val="0"/>
              <w:wordWrap w:val="0"/>
              <w:overflowPunct/>
              <w:topLinePunct w:val="0"/>
              <w:bidi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szCs w:val="24"/>
                <w:highlight w:val="none"/>
                <w:vertAlign w:val="baseline"/>
                <w:lang w:eastAsia="zh-CN"/>
              </w:rPr>
              <w:t>……具体</w:t>
            </w:r>
            <w:r>
              <w:rPr>
                <w:rFonts w:hint="eastAsia" w:ascii="宋体" w:hAnsi="宋体" w:eastAsia="宋体" w:cs="宋体"/>
                <w:b/>
                <w:bCs/>
                <w:color w:val="auto"/>
                <w:sz w:val="24"/>
                <w:szCs w:val="24"/>
                <w:highlight w:val="none"/>
                <w:vertAlign w:val="baseline"/>
                <w:lang w:eastAsia="zh-CN"/>
              </w:rPr>
              <w:t>详见公开招标文件</w:t>
            </w:r>
            <w:r>
              <w:rPr>
                <w:rFonts w:hint="eastAsia" w:ascii="宋体" w:hAnsi="宋体" w:cs="宋体"/>
                <w:b/>
                <w:bCs/>
                <w:color w:val="auto"/>
                <w:sz w:val="24"/>
                <w:szCs w:val="24"/>
                <w:highlight w:val="none"/>
                <w:vertAlign w:val="baseline"/>
                <w:lang w:val="en-US" w:eastAsia="zh-CN"/>
              </w:rPr>
              <w:t xml:space="preserve"> </w:t>
            </w:r>
            <w:r>
              <w:rPr>
                <w:rFonts w:hint="eastAsia" w:ascii="宋体" w:hAnsi="宋体" w:eastAsia="宋体" w:cs="宋体"/>
                <w:b/>
                <w:bCs/>
                <w:color w:val="auto"/>
                <w:sz w:val="24"/>
                <w:szCs w:val="24"/>
                <w:highlight w:val="none"/>
                <w:vertAlign w:val="baseline"/>
                <w:lang w:eastAsia="zh-CN"/>
              </w:rPr>
              <w:t>第二章 采购需求</w:t>
            </w:r>
            <w:r>
              <w:rPr>
                <w:rFonts w:hint="eastAsia" w:ascii="宋体" w:hAnsi="宋体" w:cs="宋体"/>
                <w:b/>
                <w:bCs/>
                <w:color w:val="auto"/>
                <w:sz w:val="24"/>
                <w:szCs w:val="24"/>
                <w:highlight w:val="none"/>
                <w:vertAlign w:val="baseline"/>
                <w:lang w:eastAsia="zh-CN"/>
              </w:rPr>
              <w:t>。</w:t>
            </w:r>
          </w:p>
        </w:tc>
      </w:tr>
      <w:tr w14:paraId="62CD0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2" w:type="dxa"/>
            <w:tcBorders>
              <w:top w:val="single" w:color="auto" w:sz="4" w:space="0"/>
              <w:left w:val="single" w:color="auto" w:sz="4" w:space="0"/>
              <w:bottom w:val="single" w:color="auto" w:sz="4" w:space="0"/>
              <w:right w:val="single" w:color="auto" w:sz="4" w:space="0"/>
            </w:tcBorders>
            <w:vAlign w:val="center"/>
          </w:tcPr>
          <w:p w14:paraId="18854A6A">
            <w:pPr>
              <w:keepNext w:val="0"/>
              <w:keepLines w:val="0"/>
              <w:pageBreakBefore w:val="0"/>
              <w:kinsoku/>
              <w:wordWrap w:val="0"/>
              <w:overflowPunct/>
              <w:topLinePunct w:val="0"/>
              <w:autoSpaceDE/>
              <w:autoSpaceDN/>
              <w:bidi w:val="0"/>
              <w:adjustRightInd/>
              <w:snapToGrid/>
              <w:spacing w:line="360" w:lineRule="auto"/>
              <w:jc w:val="center"/>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w:t>
            </w:r>
          </w:p>
        </w:tc>
        <w:tc>
          <w:tcPr>
            <w:tcW w:w="2046" w:type="dxa"/>
            <w:tcBorders>
              <w:top w:val="single" w:color="auto" w:sz="4" w:space="0"/>
              <w:left w:val="single" w:color="auto" w:sz="4" w:space="0"/>
              <w:bottom w:val="single" w:color="auto" w:sz="4" w:space="0"/>
              <w:right w:val="single" w:color="auto" w:sz="4" w:space="0"/>
            </w:tcBorders>
            <w:vAlign w:val="center"/>
          </w:tcPr>
          <w:p w14:paraId="3CBDC6F7">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600" w:type="dxa"/>
            <w:tcBorders>
              <w:top w:val="single" w:color="auto" w:sz="4" w:space="0"/>
              <w:left w:val="single" w:color="auto" w:sz="4" w:space="0"/>
              <w:bottom w:val="single" w:color="auto" w:sz="4" w:space="0"/>
              <w:right w:val="single" w:color="auto" w:sz="4" w:space="0"/>
            </w:tcBorders>
            <w:vAlign w:val="center"/>
          </w:tcPr>
          <w:p w14:paraId="2D35ACF6">
            <w:pPr>
              <w:pStyle w:val="3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613" w:type="dxa"/>
            <w:tcBorders>
              <w:top w:val="single" w:color="auto" w:sz="4" w:space="0"/>
              <w:left w:val="single" w:color="auto" w:sz="4" w:space="0"/>
              <w:bottom w:val="single" w:color="auto" w:sz="4" w:space="0"/>
              <w:right w:val="single" w:color="auto" w:sz="4" w:space="0"/>
            </w:tcBorders>
            <w:vAlign w:val="center"/>
          </w:tcPr>
          <w:p w14:paraId="3B14F1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6262" w:type="dxa"/>
            <w:tcBorders>
              <w:top w:val="single" w:color="auto" w:sz="4" w:space="0"/>
              <w:left w:val="single" w:color="auto" w:sz="4" w:space="0"/>
              <w:bottom w:val="single" w:color="auto" w:sz="4" w:space="0"/>
              <w:right w:val="single" w:color="auto" w:sz="4" w:space="0"/>
            </w:tcBorders>
            <w:vAlign w:val="center"/>
          </w:tcPr>
          <w:p w14:paraId="3689840E">
            <w:pPr>
              <w:pageBreakBefore w:val="0"/>
              <w:wordWrap w:val="0"/>
              <w:overflowPunct/>
              <w:topLinePunct w:val="0"/>
              <w:bidi w:val="0"/>
              <w:spacing w:line="360" w:lineRule="auto"/>
              <w:ind w:firstLine="482" w:firstLineChars="200"/>
              <w:jc w:val="center"/>
              <w:rPr>
                <w:rFonts w:hint="default"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w:t>
            </w:r>
          </w:p>
        </w:tc>
      </w:tr>
      <w:tr w14:paraId="61C7B8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2" w:type="dxa"/>
            <w:tcBorders>
              <w:top w:val="single" w:color="auto" w:sz="4" w:space="0"/>
              <w:left w:val="single" w:color="auto" w:sz="4" w:space="0"/>
              <w:bottom w:val="single" w:color="auto" w:sz="4" w:space="0"/>
              <w:right w:val="single" w:color="auto" w:sz="4" w:space="0"/>
            </w:tcBorders>
            <w:vAlign w:val="center"/>
          </w:tcPr>
          <w:p w14:paraId="062FEF77">
            <w:pPr>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w:t>
            </w:r>
          </w:p>
        </w:tc>
        <w:tc>
          <w:tcPr>
            <w:tcW w:w="2046" w:type="dxa"/>
            <w:tcBorders>
              <w:top w:val="single" w:color="auto" w:sz="4" w:space="0"/>
              <w:left w:val="single" w:color="auto" w:sz="4" w:space="0"/>
              <w:bottom w:val="single" w:color="auto" w:sz="4" w:space="0"/>
              <w:right w:val="single" w:color="auto" w:sz="4" w:space="0"/>
            </w:tcBorders>
            <w:vAlign w:val="center"/>
          </w:tcPr>
          <w:p w14:paraId="307083D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AI数字课堂系统</w:t>
            </w:r>
          </w:p>
        </w:tc>
        <w:tc>
          <w:tcPr>
            <w:tcW w:w="600" w:type="dxa"/>
            <w:tcBorders>
              <w:top w:val="single" w:color="auto" w:sz="4" w:space="0"/>
              <w:left w:val="single" w:color="auto" w:sz="4" w:space="0"/>
              <w:bottom w:val="single" w:color="auto" w:sz="4" w:space="0"/>
              <w:right w:val="single" w:color="auto" w:sz="4" w:space="0"/>
            </w:tcBorders>
            <w:vAlign w:val="center"/>
          </w:tcPr>
          <w:p w14:paraId="64323094">
            <w:pPr>
              <w:pStyle w:val="3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套</w:t>
            </w:r>
          </w:p>
        </w:tc>
        <w:tc>
          <w:tcPr>
            <w:tcW w:w="613" w:type="dxa"/>
            <w:tcBorders>
              <w:top w:val="single" w:color="auto" w:sz="4" w:space="0"/>
              <w:left w:val="single" w:color="auto" w:sz="4" w:space="0"/>
              <w:bottom w:val="single" w:color="auto" w:sz="4" w:space="0"/>
              <w:right w:val="single" w:color="auto" w:sz="4" w:space="0"/>
            </w:tcBorders>
            <w:vAlign w:val="center"/>
          </w:tcPr>
          <w:p w14:paraId="25AAC40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6262" w:type="dxa"/>
            <w:tcBorders>
              <w:top w:val="single" w:color="auto" w:sz="4" w:space="0"/>
              <w:left w:val="single" w:color="auto" w:sz="4" w:space="0"/>
              <w:bottom w:val="single" w:color="auto" w:sz="4" w:space="0"/>
              <w:right w:val="single" w:color="auto" w:sz="4" w:space="0"/>
            </w:tcBorders>
            <w:vAlign w:val="center"/>
          </w:tcPr>
          <w:p w14:paraId="1C89D6F4">
            <w:pPr>
              <w:spacing w:line="420" w:lineRule="exact"/>
              <w:ind w:firstLine="482" w:firstLineChars="200"/>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cs="宋体"/>
                <w:b/>
                <w:bCs/>
                <w:color w:val="auto"/>
                <w:kern w:val="0"/>
                <w:sz w:val="24"/>
                <w:szCs w:val="24"/>
                <w:highlight w:val="none"/>
                <w:lang w:val="en-US" w:eastAsia="zh-CN"/>
              </w:rPr>
              <w:t>一、</w:t>
            </w:r>
            <w:r>
              <w:rPr>
                <w:rFonts w:hint="eastAsia" w:ascii="宋体" w:hAnsi="宋体" w:eastAsia="宋体" w:cs="宋体"/>
                <w:b/>
                <w:bCs/>
                <w:i w:val="0"/>
                <w:iCs w:val="0"/>
                <w:color w:val="auto"/>
                <w:kern w:val="0"/>
                <w:sz w:val="22"/>
                <w:szCs w:val="22"/>
                <w:highlight w:val="none"/>
                <w:u w:val="none"/>
                <w:lang w:val="en-US" w:eastAsia="zh-CN" w:bidi="ar"/>
              </w:rPr>
              <w:t>AI数字课堂</w:t>
            </w:r>
          </w:p>
          <w:p w14:paraId="7CB46E0C">
            <w:pPr>
              <w:spacing w:line="420" w:lineRule="exact"/>
              <w:ind w:firstLine="482" w:firstLineChars="200"/>
              <w:rPr>
                <w:rFonts w:hint="eastAsia" w:ascii="宋体" w:hAnsi="宋体" w:eastAsia="宋体" w:cs="宋体"/>
                <w:b/>
                <w:bCs/>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w:t>
            </w:r>
            <w:r>
              <w:rPr>
                <w:rFonts w:hint="eastAsia" w:ascii="宋体" w:hAnsi="宋体" w:eastAsia="宋体" w:cs="宋体"/>
                <w:b/>
                <w:bCs/>
                <w:i w:val="0"/>
                <w:iCs w:val="0"/>
                <w:color w:val="auto"/>
                <w:kern w:val="0"/>
                <w:sz w:val="22"/>
                <w:szCs w:val="22"/>
                <w:highlight w:val="none"/>
                <w:u w:val="none"/>
                <w:lang w:val="en-US" w:eastAsia="zh-CN" w:bidi="ar"/>
              </w:rPr>
              <w:t>1、资源管理</w:t>
            </w:r>
          </w:p>
          <w:p w14:paraId="3A22CFB9">
            <w:pPr>
              <w:pageBreakBefore w:val="0"/>
              <w:wordWrap w:val="0"/>
              <w:overflowPunct/>
              <w:topLinePunct w:val="0"/>
              <w:bidi w:val="0"/>
              <w:spacing w:line="360" w:lineRule="auto"/>
              <w:ind w:firstLine="440" w:firstLineChars="200"/>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资源管理：提供校本库、平台库、个人库；支持用户管理平台内个人空间内的个人资源支持机构用户管理平台内个人上传到学校共享空间的校本资源；</w:t>
            </w:r>
          </w:p>
          <w:p w14:paraId="186B3C23">
            <w:pPr>
              <w:pStyle w:val="25"/>
              <w:rPr>
                <w:rFonts w:hint="eastAsia"/>
                <w:color w:val="auto"/>
                <w:highlight w:val="none"/>
                <w:lang w:eastAsia="zh-CN"/>
              </w:rPr>
            </w:pPr>
            <w:r>
              <w:rPr>
                <w:rFonts w:hint="eastAsia" w:ascii="宋体" w:hAnsi="宋体" w:cs="宋体"/>
                <w:b/>
                <w:bCs/>
                <w:color w:val="auto"/>
                <w:sz w:val="24"/>
                <w:szCs w:val="24"/>
                <w:highlight w:val="none"/>
                <w:vertAlign w:val="baseline"/>
                <w:lang w:eastAsia="zh-CN"/>
              </w:rPr>
              <w:t>……具体</w:t>
            </w:r>
            <w:r>
              <w:rPr>
                <w:rFonts w:hint="eastAsia" w:ascii="宋体" w:hAnsi="宋体" w:eastAsia="宋体" w:cs="宋体"/>
                <w:b/>
                <w:bCs/>
                <w:color w:val="auto"/>
                <w:sz w:val="24"/>
                <w:szCs w:val="24"/>
                <w:highlight w:val="none"/>
                <w:vertAlign w:val="baseline"/>
                <w:lang w:eastAsia="zh-CN"/>
              </w:rPr>
              <w:t>详见公开招标文件</w:t>
            </w:r>
            <w:r>
              <w:rPr>
                <w:rFonts w:hint="eastAsia" w:ascii="宋体" w:hAnsi="宋体" w:cs="宋体"/>
                <w:b/>
                <w:bCs/>
                <w:color w:val="auto"/>
                <w:sz w:val="24"/>
                <w:szCs w:val="24"/>
                <w:highlight w:val="none"/>
                <w:vertAlign w:val="baseline"/>
                <w:lang w:val="en-US" w:eastAsia="zh-CN"/>
              </w:rPr>
              <w:t xml:space="preserve"> </w:t>
            </w:r>
            <w:r>
              <w:rPr>
                <w:rFonts w:hint="eastAsia" w:ascii="宋体" w:hAnsi="宋体" w:eastAsia="宋体" w:cs="宋体"/>
                <w:b/>
                <w:bCs/>
                <w:color w:val="auto"/>
                <w:sz w:val="24"/>
                <w:szCs w:val="24"/>
                <w:highlight w:val="none"/>
                <w:vertAlign w:val="baseline"/>
                <w:lang w:eastAsia="zh-CN"/>
              </w:rPr>
              <w:t>第二章 采购需求</w:t>
            </w:r>
            <w:r>
              <w:rPr>
                <w:rFonts w:hint="eastAsia" w:ascii="宋体" w:hAnsi="宋体" w:cs="宋体"/>
                <w:b/>
                <w:bCs/>
                <w:color w:val="auto"/>
                <w:sz w:val="24"/>
                <w:szCs w:val="24"/>
                <w:highlight w:val="none"/>
                <w:vertAlign w:val="baseline"/>
                <w:lang w:eastAsia="zh-CN"/>
              </w:rPr>
              <w:t>。</w:t>
            </w:r>
          </w:p>
        </w:tc>
      </w:tr>
    </w:tbl>
    <w:p w14:paraId="7E21D875">
      <w:pPr>
        <w:pageBreakBefore w:val="0"/>
        <w:wordWrap w:val="0"/>
        <w:overflowPunct/>
        <w:topLinePunct w:val="0"/>
        <w:bidi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合同履行期限：详见公开招标文件。</w:t>
      </w:r>
    </w:p>
    <w:p w14:paraId="0F0CFA1B">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是否接受联合体投标：本项目</w:t>
      </w:r>
      <w:r>
        <w:rPr>
          <w:rFonts w:hint="eastAsia" w:ascii="宋体" w:hAnsi="宋体" w:cs="宋体"/>
          <w:color w:val="auto"/>
          <w:sz w:val="24"/>
          <w:highlight w:val="none"/>
          <w:lang w:val="en-US" w:eastAsia="zh-CN"/>
        </w:rPr>
        <w:t>不</w:t>
      </w:r>
      <w:r>
        <w:rPr>
          <w:rFonts w:hint="eastAsia" w:ascii="宋体" w:hAnsi="宋体" w:cs="宋体"/>
          <w:color w:val="auto"/>
          <w:sz w:val="24"/>
          <w:highlight w:val="none"/>
        </w:rPr>
        <w:t>接受联合体。</w:t>
      </w:r>
    </w:p>
    <w:p w14:paraId="7040F12E">
      <w:pPr>
        <w:pageBreakBefore w:val="0"/>
        <w:wordWrap w:val="0"/>
        <w:overflowPunct/>
        <w:topLinePunct w:val="0"/>
        <w:bidi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二、投标人的资格要求：</w:t>
      </w:r>
    </w:p>
    <w:p w14:paraId="12F163D1">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38B1C0AF">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2.落实政府采购政策需满足的资格要求：专门面向</w:t>
      </w:r>
      <w:r>
        <w:rPr>
          <w:rFonts w:hint="eastAsia" w:ascii="宋体" w:hAnsi="宋体" w:cs="宋体"/>
          <w:color w:val="auto"/>
          <w:sz w:val="24"/>
          <w:highlight w:val="none"/>
          <w:lang w:val="en-US" w:eastAsia="zh-CN"/>
        </w:rPr>
        <w:t>中小</w:t>
      </w:r>
      <w:r>
        <w:rPr>
          <w:rFonts w:hint="eastAsia" w:ascii="宋体" w:hAnsi="宋体" w:cs="宋体"/>
          <w:color w:val="auto"/>
          <w:sz w:val="24"/>
          <w:highlight w:val="none"/>
        </w:rPr>
        <w:t>企业采购的项目（供应商应为</w:t>
      </w:r>
      <w:r>
        <w:rPr>
          <w:rFonts w:hint="eastAsia" w:ascii="宋体" w:hAnsi="宋体" w:cs="宋体"/>
          <w:color w:val="auto"/>
          <w:sz w:val="24"/>
          <w:highlight w:val="none"/>
          <w:lang w:val="en-US" w:eastAsia="zh-CN"/>
        </w:rPr>
        <w:t>中、</w:t>
      </w:r>
      <w:r>
        <w:rPr>
          <w:rFonts w:hint="eastAsia" w:ascii="宋体" w:hAnsi="宋体" w:cs="宋体"/>
          <w:color w:val="auto"/>
          <w:sz w:val="24"/>
          <w:highlight w:val="none"/>
        </w:rPr>
        <w:t>小</w:t>
      </w:r>
      <w:r>
        <w:rPr>
          <w:rFonts w:hint="eastAsia" w:ascii="宋体" w:hAnsi="宋体" w:cs="宋体"/>
          <w:color w:val="auto"/>
          <w:sz w:val="24"/>
          <w:highlight w:val="none"/>
          <w:lang w:eastAsia="zh-CN"/>
        </w:rPr>
        <w:t>、</w:t>
      </w:r>
      <w:r>
        <w:rPr>
          <w:rFonts w:hint="eastAsia" w:ascii="宋体" w:hAnsi="宋体" w:cs="宋体"/>
          <w:color w:val="auto"/>
          <w:sz w:val="24"/>
          <w:highlight w:val="none"/>
        </w:rPr>
        <w:t>微企业、监狱企业、残疾人福利性单位)</w:t>
      </w:r>
      <w:r>
        <w:rPr>
          <w:rFonts w:hint="eastAsia" w:ascii="宋体" w:hAnsi="宋体" w:cs="宋体"/>
          <w:color w:val="auto"/>
          <w:sz w:val="24"/>
          <w:highlight w:val="none"/>
          <w:lang w:eastAsia="zh-CN"/>
        </w:rPr>
        <w:t>。</w:t>
      </w:r>
    </w:p>
    <w:p w14:paraId="3E859F3B">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w:t>
      </w:r>
      <w:r>
        <w:rPr>
          <w:rFonts w:hint="eastAsia" w:ascii="宋体" w:hAnsi="宋体" w:cs="宋体"/>
          <w:color w:val="auto"/>
          <w:sz w:val="24"/>
          <w:highlight w:val="none"/>
          <w:lang w:val="en-US" w:eastAsia="zh-CN"/>
        </w:rPr>
        <w:t>无</w:t>
      </w:r>
      <w:r>
        <w:rPr>
          <w:rFonts w:hint="eastAsia" w:ascii="宋体" w:hAnsi="宋体" w:cs="宋体"/>
          <w:color w:val="auto"/>
          <w:sz w:val="24"/>
          <w:highlight w:val="none"/>
          <w:lang w:eastAsia="zh-CN"/>
        </w:rPr>
        <w:t>。</w:t>
      </w:r>
    </w:p>
    <w:p w14:paraId="06895A61">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4.本项目的特定条件：无。</w:t>
      </w:r>
    </w:p>
    <w:p w14:paraId="6A9DCD5B">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4665DEA">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 对在“信用中国”网站(www.creditchina.gov.cn) 、中国政府采购网(www.ccgp.gov.cn)被列入失信被执行人、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、政府采购严重违法失信行为记录名单及其他不符合《中华人民共和国政府采购法》第二十二条规定条件的供应商，不得参与政府采购活动。</w:t>
      </w:r>
    </w:p>
    <w:p w14:paraId="3E8EE2B8">
      <w:pPr>
        <w:pageBreakBefore w:val="0"/>
        <w:wordWrap w:val="0"/>
        <w:overflowPunct/>
        <w:topLinePunct w:val="0"/>
        <w:bidi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三、获取招标文件</w:t>
      </w:r>
    </w:p>
    <w:p w14:paraId="682280C0">
      <w:pPr>
        <w:pageBreakBefore w:val="0"/>
        <w:wordWrap w:val="0"/>
        <w:overflowPunct/>
        <w:topLinePunct w:val="0"/>
        <w:bidi w:val="0"/>
        <w:snapToGrid w:val="0"/>
        <w:spacing w:line="360" w:lineRule="auto"/>
        <w:ind w:firstLine="540" w:firstLineChars="225"/>
        <w:rPr>
          <w:rFonts w:ascii="宋体" w:hAnsi="宋体" w:cs="宋体"/>
          <w:color w:val="auto"/>
          <w:sz w:val="24"/>
          <w:highlight w:val="none"/>
        </w:rPr>
      </w:pPr>
      <w:r>
        <w:rPr>
          <w:rFonts w:hint="eastAsia" w:ascii="宋体" w:hAnsi="宋体" w:cs="宋体"/>
          <w:color w:val="auto"/>
          <w:sz w:val="24"/>
          <w:highlight w:val="none"/>
        </w:rPr>
        <w:t>时间：自公告发布之日起。</w:t>
      </w:r>
    </w:p>
    <w:p w14:paraId="5E034D2C">
      <w:pPr>
        <w:pageBreakBefore w:val="0"/>
        <w:wordWrap w:val="0"/>
        <w:overflowPunct/>
        <w:topLinePunct w:val="0"/>
        <w:bidi w:val="0"/>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获取方式:网上下载。本项目不发放纸质文件，供应商可自行在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cs="宋体"/>
          <w:color w:val="auto"/>
          <w:sz w:val="24"/>
          <w:highlight w:val="none"/>
        </w:rPr>
        <w:t>广西政府采购云平台（https://login.gcy.zfcg.gxzf.gov.cn/user-login/#/）下载招标文件（操作路径：登录广西政府采购云平台-项目采购-获取采购文件-找到本项目-点击“申请获取采购文件”），电子投标文件制作需要基于广西政府采购云平台获取的招标文件编制。</w:t>
      </w:r>
    </w:p>
    <w:p w14:paraId="24872A9B">
      <w:pPr>
        <w:pageBreakBefore w:val="0"/>
        <w:wordWrap w:val="0"/>
        <w:overflowPunct/>
        <w:topLinePunct w:val="0"/>
        <w:bidi w:val="0"/>
        <w:snapToGrid w:val="0"/>
        <w:spacing w:line="360" w:lineRule="auto"/>
        <w:ind w:firstLine="540" w:firstLineChars="225"/>
        <w:rPr>
          <w:rFonts w:ascii="宋体" w:hAnsi="宋体" w:cs="宋体"/>
          <w:color w:val="auto"/>
          <w:sz w:val="24"/>
          <w:highlight w:val="none"/>
        </w:rPr>
      </w:pPr>
      <w:r>
        <w:rPr>
          <w:rFonts w:hint="eastAsia" w:ascii="宋体" w:hAnsi="宋体" w:cs="宋体"/>
          <w:color w:val="auto"/>
          <w:sz w:val="24"/>
          <w:highlight w:val="none"/>
        </w:rPr>
        <w:t>售价：0元。</w:t>
      </w:r>
    </w:p>
    <w:p w14:paraId="11A1CEC8">
      <w:pPr>
        <w:pageBreakBefore w:val="0"/>
        <w:wordWrap w:val="0"/>
        <w:overflowPunct/>
        <w:topLinePunct w:val="0"/>
        <w:bidi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14:paraId="48846357">
      <w:pPr>
        <w:pageBreakBefore w:val="0"/>
        <w:wordWrap w:val="0"/>
        <w:overflowPunct/>
        <w:topLinePunct w:val="0"/>
        <w:bidi w:val="0"/>
        <w:spacing w:line="360" w:lineRule="auto"/>
        <w:ind w:firstLine="480" w:firstLineChars="200"/>
        <w:rPr>
          <w:rFonts w:ascii="宋体" w:hAnsi="宋体" w:cs="宋体"/>
          <w:color w:val="auto"/>
          <w:sz w:val="24"/>
          <w:highlight w:val="none"/>
          <w:u w:val="single"/>
        </w:rPr>
      </w:pPr>
      <w:r>
        <w:rPr>
          <w:rFonts w:hint="eastAsia" w:ascii="宋体" w:hAnsi="宋体" w:cs="宋体"/>
          <w:bCs/>
          <w:color w:val="auto"/>
          <w:sz w:val="24"/>
          <w:highlight w:val="none"/>
        </w:rPr>
        <w:t>1、提交投标文件截止时间和开标时间：</w:t>
      </w:r>
      <w:r>
        <w:rPr>
          <w:rFonts w:hint="eastAsia" w:ascii="宋体" w:hAnsi="宋体" w:cs="宋体"/>
          <w:color w:val="auto"/>
          <w:sz w:val="24"/>
          <w:highlight w:val="none"/>
          <w:u w:val="single"/>
          <w:lang w:eastAsia="zh-CN" w:bidi="ar"/>
        </w:rPr>
        <w:t>2025年8月5日9时30分00秒</w:t>
      </w:r>
      <w:r>
        <w:rPr>
          <w:rFonts w:hint="eastAsia" w:ascii="宋体" w:hAnsi="宋体" w:cs="宋体"/>
          <w:bCs/>
          <w:color w:val="auto"/>
          <w:sz w:val="24"/>
          <w:highlight w:val="none"/>
        </w:rPr>
        <w:t>（北京时间）</w:t>
      </w:r>
    </w:p>
    <w:p w14:paraId="090EC314">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2、投标和开标地点：</w:t>
      </w:r>
    </w:p>
    <w:p w14:paraId="5821DAA3">
      <w:pPr>
        <w:pageBreakBefore w:val="0"/>
        <w:widowControl/>
        <w:wordWrap w:val="0"/>
        <w:overflowPunct/>
        <w:topLinePunct w:val="0"/>
        <w:bidi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（1）投标文件提交方式：本项目为南宁市全流程电子化项目，通过广西政府采购云平台（https://login.gcy.zfcg.gxzf.gov.cn/user-login/#/）实行在线电子投标，供应商应先安装“</w:t>
      </w:r>
      <w:r>
        <w:rPr>
          <w:rFonts w:hint="eastAsia" w:ascii="宋体" w:hAnsi="宋体" w:cs="宋体"/>
          <w:color w:val="auto"/>
          <w:sz w:val="24"/>
          <w:highlight w:val="none"/>
          <w:lang w:val="en-US" w:eastAsia="zh-CN"/>
        </w:rPr>
        <w:t>广西采购云平台</w:t>
      </w:r>
      <w:r>
        <w:rPr>
          <w:rFonts w:hint="eastAsia" w:ascii="宋体" w:hAnsi="宋体" w:cs="宋体"/>
          <w:color w:val="auto"/>
          <w:sz w:val="24"/>
          <w:highlight w:val="none"/>
        </w:rPr>
        <w:t>电子交易客户端”（请自行前往广西政府采购云平台进行下载），并按照本项目招标文件和广西政府采购云平台的要求编制、加密后在投标截止时间前通过网络上传至南宁市广西政府采购云平台，</w:t>
      </w:r>
      <w:r>
        <w:rPr>
          <w:rFonts w:hint="eastAsia" w:ascii="宋体" w:hAnsi="宋体" w:cs="宋体"/>
          <w:b/>
          <w:color w:val="auto"/>
          <w:sz w:val="24"/>
          <w:highlight w:val="none"/>
        </w:rPr>
        <w:t>供应商在广西政府采购云平台提交电子版投标文件时，请填写参加远程开标活动经办人联系方式，</w:t>
      </w:r>
      <w:r>
        <w:rPr>
          <w:rFonts w:hint="eastAsia" w:ascii="宋体" w:hAnsi="宋体" w:cs="宋体"/>
          <w:color w:val="auto"/>
          <w:sz w:val="24"/>
          <w:highlight w:val="none"/>
        </w:rPr>
        <w:t>电子投标具体操作流程详见本公告附件 。</w:t>
      </w:r>
    </w:p>
    <w:p w14:paraId="694D78FB">
      <w:pPr>
        <w:pageBreakBefore w:val="0"/>
        <w:widowControl/>
        <w:wordWrap w:val="0"/>
        <w:overflowPunct/>
        <w:topLinePunct w:val="0"/>
        <w:bidi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投标人只需办理其中一家CA数字证书及签章，建议各投标人抓紧时间办理。</w:t>
      </w:r>
    </w:p>
    <w:p w14:paraId="0224FF8F">
      <w:pPr>
        <w:pageBreakBefore w:val="0"/>
        <w:widowControl/>
        <w:wordWrap w:val="0"/>
        <w:overflowPunct/>
        <w:topLinePunct w:val="0"/>
        <w:bidi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（3）为确保网上操作合法、有效和安全，请投标人确保在电子投标过程中能够对相关数据电文进行加密和使用电子签章，妥善保管CA数字证书并使用有效的CA数字证书参与整个招标活动。</w:t>
      </w:r>
    </w:p>
    <w:p w14:paraId="7FFA79E1">
      <w:pPr>
        <w:pageBreakBefore w:val="0"/>
        <w:wordWrap w:val="0"/>
        <w:overflowPunct/>
        <w:topLinePunct w:val="0"/>
        <w:bidi w:val="0"/>
        <w:spacing w:line="360" w:lineRule="auto"/>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06AB1F17">
      <w:pPr>
        <w:pageBreakBefore w:val="0"/>
        <w:widowControl/>
        <w:wordWrap w:val="0"/>
        <w:overflowPunct/>
        <w:topLinePunct w:val="0"/>
        <w:bidi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（4）开标地点：本次招标将于</w:t>
      </w:r>
      <w:r>
        <w:rPr>
          <w:rFonts w:hint="eastAsia" w:ascii="宋体" w:hAnsi="宋体" w:cs="宋体"/>
          <w:color w:val="auto"/>
          <w:sz w:val="24"/>
          <w:highlight w:val="none"/>
          <w:u w:val="single"/>
          <w:lang w:eastAsia="zh-CN" w:bidi="ar"/>
        </w:rPr>
        <w:t>2025年8月5日9时30分00秒</w:t>
      </w:r>
      <w:r>
        <w:rPr>
          <w:rFonts w:hint="eastAsia" w:ascii="宋体" w:hAnsi="宋体" w:cs="宋体"/>
          <w:color w:val="auto"/>
          <w:sz w:val="24"/>
          <w:highlight w:val="none"/>
        </w:rPr>
        <w:t>在广西政府采购云平台电子开标大厅开标。</w:t>
      </w:r>
    </w:p>
    <w:p w14:paraId="1A4A43EC">
      <w:pPr>
        <w:pageBreakBefore w:val="0"/>
        <w:wordWrap w:val="0"/>
        <w:overflowPunct/>
        <w:topLinePunct w:val="0"/>
        <w:bidi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（5）CA证书在线解密：供应商投标时，需携带制作投标文件时用来加密的有效数字证书（CA认证）登录广西政府采购云平台电子开标大厅现场按规定时间对加密的投标文件进行解密，</w:t>
      </w:r>
      <w:r>
        <w:rPr>
          <w:rFonts w:ascii="宋体" w:hAnsi="宋体" w:cs="宋体"/>
          <w:color w:val="auto"/>
          <w:sz w:val="24"/>
          <w:highlight w:val="none"/>
        </w:rPr>
        <w:t>未能按要求进行解密的，由此产生的后果由投标人自行承担</w:t>
      </w:r>
      <w:r>
        <w:rPr>
          <w:rFonts w:hint="eastAsia" w:ascii="宋体" w:hAnsi="宋体" w:cs="宋体"/>
          <w:color w:val="auto"/>
          <w:kern w:val="0"/>
          <w:sz w:val="24"/>
          <w:highlight w:val="none"/>
        </w:rPr>
        <w:t>。</w:t>
      </w:r>
    </w:p>
    <w:p w14:paraId="50CCDEDE">
      <w:pPr>
        <w:keepNext w:val="0"/>
        <w:keepLines w:val="0"/>
        <w:pageBreakBefore w:val="0"/>
        <w:widowControl w:val="0"/>
        <w:kinsoku/>
        <w:wordWrap w:val="0"/>
        <w:overflowPunct/>
        <w:topLinePunct w:val="0"/>
        <w:autoSpaceDE/>
        <w:autoSpaceDN/>
        <w:bidi w:val="0"/>
        <w:adjustRightInd/>
        <w:snapToGrid/>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五、公告期限</w:t>
      </w:r>
    </w:p>
    <w:p w14:paraId="3BBD75D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14:paraId="0195322C">
      <w:pPr>
        <w:keepNext w:val="0"/>
        <w:keepLines w:val="0"/>
        <w:pageBreakBefore w:val="0"/>
        <w:widowControl w:val="0"/>
        <w:kinsoku/>
        <w:wordWrap w:val="0"/>
        <w:overflowPunct/>
        <w:topLinePunct w:val="0"/>
        <w:autoSpaceDE/>
        <w:autoSpaceDN/>
        <w:bidi w:val="0"/>
        <w:adjustRightInd/>
        <w:snapToGrid/>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六、其他补充事宜</w:t>
      </w:r>
    </w:p>
    <w:p w14:paraId="3FF4F6C6">
      <w:pPr>
        <w:keepNext w:val="0"/>
        <w:keepLines w:val="0"/>
        <w:pageBreakBefore w:val="0"/>
        <w:widowControl w:val="0"/>
        <w:kinsoku/>
        <w:wordWrap w:val="0"/>
        <w:overflowPunct/>
        <w:topLinePunct w:val="0"/>
        <w:autoSpaceDE/>
        <w:autoSpaceDN/>
        <w:bidi w:val="0"/>
        <w:adjustRightInd/>
        <w:snapToGrid/>
        <w:spacing w:line="360" w:lineRule="auto"/>
        <w:ind w:firstLine="360" w:firstLineChars="150"/>
        <w:textAlignment w:val="auto"/>
        <w:rPr>
          <w:rFonts w:ascii="宋体" w:hAnsi="宋体" w:cs="宋体"/>
          <w:color w:val="auto"/>
          <w:kern w:val="0"/>
          <w:sz w:val="24"/>
          <w:highlight w:val="none"/>
        </w:rPr>
      </w:pPr>
      <w:r>
        <w:rPr>
          <w:rFonts w:hint="eastAsia" w:ascii="宋体" w:hAnsi="宋体" w:cs="宋体"/>
          <w:color w:val="auto"/>
          <w:kern w:val="0"/>
          <w:sz w:val="24"/>
          <w:highlight w:val="none"/>
        </w:rPr>
        <w:t>1.投标保证金：本项目不收取投标保证金</w:t>
      </w:r>
    </w:p>
    <w:p w14:paraId="2FB99EE2">
      <w:pPr>
        <w:keepNext w:val="0"/>
        <w:keepLines w:val="0"/>
        <w:pageBreakBefore w:val="0"/>
        <w:widowControl w:val="0"/>
        <w:kinsoku/>
        <w:wordWrap w:val="0"/>
        <w:overflowPunct/>
        <w:topLinePunct w:val="0"/>
        <w:autoSpaceDE/>
        <w:autoSpaceDN/>
        <w:bidi w:val="0"/>
        <w:adjustRightInd/>
        <w:snapToGrid/>
        <w:spacing w:line="360" w:lineRule="auto"/>
        <w:ind w:firstLine="360" w:firstLineChars="15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2.采购意向公开链</w:t>
      </w:r>
      <w:r>
        <w:rPr>
          <w:rFonts w:hint="eastAsia" w:ascii="宋体" w:hAnsi="宋体" w:cs="宋体"/>
          <w:color w:val="auto"/>
          <w:kern w:val="0"/>
          <w:sz w:val="24"/>
          <w:highlight w:val="none"/>
          <w:lang w:eastAsia="zh-CN"/>
        </w:rPr>
        <w:t>接：</w:t>
      </w:r>
      <w:r>
        <w:rPr>
          <w:rFonts w:hint="eastAsia" w:ascii="宋体" w:hAnsi="宋体" w:cs="宋体"/>
          <w:color w:val="auto"/>
          <w:kern w:val="0"/>
          <w:sz w:val="24"/>
          <w:highlight w:val="none"/>
        </w:rPr>
        <w:t>南宁市第十四中学2025年4月至6月政府采购意向：https://zfcg.gxzf.gov.cn/site/detail?categoryCode=reformColumn&amp;parentId=66601&amp;articleId=bPedCEiMkWJ8jH6mqH0llg==</w:t>
      </w:r>
    </w:p>
    <w:p w14:paraId="3A515A1B">
      <w:pPr>
        <w:keepNext w:val="0"/>
        <w:keepLines w:val="0"/>
        <w:pageBreakBefore w:val="0"/>
        <w:widowControl w:val="0"/>
        <w:kinsoku/>
        <w:wordWrap w:val="0"/>
        <w:overflowPunct/>
        <w:topLinePunct w:val="0"/>
        <w:autoSpaceDE/>
        <w:autoSpaceDN/>
        <w:bidi w:val="0"/>
        <w:adjustRightInd/>
        <w:snapToGrid/>
        <w:spacing w:line="360" w:lineRule="auto"/>
        <w:ind w:firstLine="360" w:firstLineChars="150"/>
        <w:textAlignment w:val="auto"/>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sz w:val="24"/>
          <w:highlight w:val="none"/>
        </w:rPr>
        <w:t xml:space="preserve"> </w:t>
      </w:r>
      <w:r>
        <w:rPr>
          <w:rFonts w:hint="eastAsia" w:ascii="宋体" w:hAnsi="宋体" w:cs="宋体"/>
          <w:color w:val="auto"/>
          <w:kern w:val="0"/>
          <w:sz w:val="24"/>
          <w:highlight w:val="none"/>
        </w:rPr>
        <w:t>网上查询地址</w:t>
      </w:r>
    </w:p>
    <w:p w14:paraId="3A4A2CD5">
      <w:pPr>
        <w:pageBreakBefore w:val="0"/>
        <w:wordWrap w:val="0"/>
        <w:overflowPunct/>
        <w:topLinePunct w:val="0"/>
        <w:bidi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中国政府采购网（www.ccgp.gov.cn）、广西壮族自治区政府采购网（http://zfcg.gxzf.gov.cn/）、全国公共资源交易平台（广西·南宁）（http://ggzy.jgswj.gxzf.gov.cn/nnggzy/）；</w:t>
      </w:r>
    </w:p>
    <w:p w14:paraId="26054207">
      <w:pPr>
        <w:keepNext w:val="0"/>
        <w:keepLines w:val="0"/>
        <w:pageBreakBefore w:val="0"/>
        <w:widowControl w:val="0"/>
        <w:kinsoku/>
        <w:wordWrap w:val="0"/>
        <w:overflowPunct/>
        <w:topLinePunct w:val="0"/>
        <w:autoSpaceDE/>
        <w:autoSpaceDN/>
        <w:bidi w:val="0"/>
        <w:adjustRightInd/>
        <w:snapToGrid/>
        <w:spacing w:line="360" w:lineRule="auto"/>
        <w:ind w:firstLine="240" w:firstLineChars="100"/>
        <w:textAlignment w:val="auto"/>
        <w:rPr>
          <w:rFonts w:ascii="宋体" w:hAnsi="宋体" w:cs="宋体"/>
          <w:color w:val="auto"/>
          <w:kern w:val="0"/>
          <w:sz w:val="24"/>
          <w:highlight w:val="none"/>
        </w:rPr>
      </w:pPr>
      <w:r>
        <w:rPr>
          <w:rFonts w:hint="eastAsia" w:ascii="宋体" w:hAnsi="宋体" w:cs="宋体"/>
          <w:color w:val="auto"/>
          <w:kern w:val="0"/>
          <w:sz w:val="24"/>
          <w:highlight w:val="none"/>
        </w:rPr>
        <w:t>4.本项目需要落实的政府采购政策：</w:t>
      </w:r>
    </w:p>
    <w:p w14:paraId="0E9D5EB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（1）政府采购促进</w:t>
      </w:r>
      <w:r>
        <w:rPr>
          <w:rFonts w:hint="eastAsia" w:ascii="宋体" w:hAnsi="宋体" w:cs="宋体"/>
          <w:color w:val="auto"/>
          <w:kern w:val="0"/>
          <w:sz w:val="24"/>
          <w:highlight w:val="none"/>
          <w:lang w:val="en-US" w:eastAsia="zh-CN"/>
        </w:rPr>
        <w:t>中小</w:t>
      </w:r>
      <w:r>
        <w:rPr>
          <w:rFonts w:hint="eastAsia" w:ascii="宋体" w:hAnsi="宋体" w:cs="宋体"/>
          <w:color w:val="auto"/>
          <w:kern w:val="0"/>
          <w:sz w:val="24"/>
          <w:highlight w:val="none"/>
        </w:rPr>
        <w:t>企业发展。</w:t>
      </w:r>
    </w:p>
    <w:p w14:paraId="40BDBBB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（2）政府采购支持采用本国产品的政策。</w:t>
      </w:r>
    </w:p>
    <w:p w14:paraId="5792B24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（3）政府采购促进残疾人就业政策。</w:t>
      </w:r>
    </w:p>
    <w:p w14:paraId="10BDD45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（4）政府采购支持监狱企业发展。</w:t>
      </w:r>
    </w:p>
    <w:p w14:paraId="3167391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（5）扶持不发达地区和少数民族地区政策。</w:t>
      </w:r>
    </w:p>
    <w:p w14:paraId="6FA8B9E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72CC6F2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6.若对项目采购电子交易系统操作有疑问，可登录广西政府采购云平台（https://login.gcy.zfcg.gxzf.gov.cn/user-login/#/），点击右侧咨询小采，获取采小蜜智能服务管家帮助，或拨打服务热线95763获取热线服务帮助。</w:t>
      </w:r>
    </w:p>
    <w:p w14:paraId="379B2171">
      <w:pPr>
        <w:keepNext w:val="0"/>
        <w:keepLines w:val="0"/>
        <w:pageBreakBefore w:val="0"/>
        <w:widowControl w:val="0"/>
        <w:kinsoku/>
        <w:wordWrap w:val="0"/>
        <w:overflowPunct/>
        <w:topLinePunct w:val="0"/>
        <w:autoSpaceDE/>
        <w:autoSpaceDN/>
        <w:bidi w:val="0"/>
        <w:adjustRightInd/>
        <w:snapToGrid/>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p>
    <w:p w14:paraId="5EB6793C">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ascii="宋体" w:hAnsi="宋体" w:cs="宋体"/>
          <w:color w:val="auto"/>
          <w:sz w:val="24"/>
          <w:highlight w:val="none"/>
        </w:rPr>
      </w:pPr>
      <w:r>
        <w:rPr>
          <w:rFonts w:hint="eastAsia" w:ascii="宋体" w:hAnsi="宋体" w:cs="宋体"/>
          <w:color w:val="auto"/>
          <w:sz w:val="24"/>
          <w:highlight w:val="none"/>
        </w:rPr>
        <w:t>　　　1.采购人信息</w:t>
      </w:r>
    </w:p>
    <w:p w14:paraId="13A0C82C">
      <w:pPr>
        <w:keepNext w:val="0"/>
        <w:keepLines w:val="0"/>
        <w:pageBreakBefore w:val="0"/>
        <w:widowControl w:val="0"/>
        <w:kinsoku/>
        <w:wordWrap w:val="0"/>
        <w:overflowPunct/>
        <w:topLinePunct w:val="0"/>
        <w:autoSpaceDE/>
        <w:autoSpaceDN/>
        <w:bidi w:val="0"/>
        <w:adjustRightInd/>
        <w:snapToGrid/>
        <w:spacing w:line="360" w:lineRule="auto"/>
        <w:ind w:left="1079" w:leftChars="371" w:hanging="300" w:hangingChars="125"/>
        <w:jc w:val="left"/>
        <w:textAlignment w:val="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名 称：</w:t>
      </w:r>
      <w:r>
        <w:rPr>
          <w:rFonts w:hint="eastAsia" w:ascii="宋体" w:hAnsi="宋体" w:cs="宋体"/>
          <w:color w:val="auto"/>
          <w:sz w:val="24"/>
          <w:highlight w:val="none"/>
          <w:u w:val="single"/>
          <w:lang w:eastAsia="zh-CN"/>
        </w:rPr>
        <w:t>南宁市第十四中学</w:t>
      </w:r>
    </w:p>
    <w:p w14:paraId="42A2D59A">
      <w:pPr>
        <w:keepNext w:val="0"/>
        <w:keepLines w:val="0"/>
        <w:pageBreakBefore w:val="0"/>
        <w:widowControl w:val="0"/>
        <w:kinsoku/>
        <w:wordWrap w:val="0"/>
        <w:overflowPunct/>
        <w:topLinePunct w:val="0"/>
        <w:autoSpaceDE/>
        <w:autoSpaceDN/>
        <w:bidi w:val="0"/>
        <w:adjustRightInd/>
        <w:snapToGrid/>
        <w:spacing w:line="360" w:lineRule="auto"/>
        <w:ind w:left="1079" w:leftChars="371" w:hanging="300" w:hangingChars="125"/>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u w:val="single"/>
          <w:lang w:eastAsia="zh-CN"/>
        </w:rPr>
        <w:t>南宁市青秀区竹塘路17号</w:t>
      </w:r>
    </w:p>
    <w:p w14:paraId="26916554">
      <w:pPr>
        <w:pStyle w:val="12"/>
        <w:keepNext w:val="0"/>
        <w:keepLines w:val="0"/>
        <w:pageBreakBefore w:val="0"/>
        <w:widowControl w:val="0"/>
        <w:kinsoku/>
        <w:wordWrap w:val="0"/>
        <w:overflowPunct/>
        <w:topLinePunct w:val="0"/>
        <w:autoSpaceDE/>
        <w:autoSpaceDN/>
        <w:bidi w:val="0"/>
        <w:adjustRightInd/>
        <w:snapToGrid/>
        <w:spacing w:line="360" w:lineRule="auto"/>
        <w:ind w:firstLine="840" w:firstLineChars="350"/>
        <w:textAlignment w:val="auto"/>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rPr>
        <w:t>项目联系人：</w:t>
      </w:r>
      <w:r>
        <w:rPr>
          <w:rFonts w:hint="eastAsia" w:hAnsi="宋体" w:cs="宋体"/>
          <w:color w:val="auto"/>
          <w:sz w:val="24"/>
          <w:szCs w:val="24"/>
          <w:highlight w:val="none"/>
          <w:lang w:val="en-US" w:eastAsia="zh-CN"/>
        </w:rPr>
        <w:t>徐主任</w:t>
      </w:r>
    </w:p>
    <w:p w14:paraId="52F8ABF5">
      <w:pPr>
        <w:keepNext w:val="0"/>
        <w:keepLines w:val="0"/>
        <w:pageBreakBefore w:val="0"/>
        <w:widowControl w:val="0"/>
        <w:kinsoku/>
        <w:wordWrap w:val="0"/>
        <w:overflowPunct/>
        <w:topLinePunct w:val="0"/>
        <w:autoSpaceDE/>
        <w:autoSpaceDN/>
        <w:bidi w:val="0"/>
        <w:adjustRightInd/>
        <w:snapToGrid/>
        <w:spacing w:line="360" w:lineRule="auto"/>
        <w:ind w:left="1079" w:leftChars="371" w:hanging="300" w:hangingChars="125"/>
        <w:jc w:val="left"/>
        <w:textAlignment w:val="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联系电话：</w:t>
      </w:r>
      <w:r>
        <w:rPr>
          <w:rFonts w:hint="eastAsia" w:ascii="宋体" w:hAnsi="宋体" w:cs="宋体"/>
          <w:color w:val="auto"/>
          <w:sz w:val="24"/>
          <w:highlight w:val="none"/>
          <w:u w:val="single"/>
          <w:lang w:eastAsia="zh-CN"/>
        </w:rPr>
        <w:t>0771-5707463</w:t>
      </w:r>
    </w:p>
    <w:p w14:paraId="7E2F7A4C">
      <w:pPr>
        <w:keepNext w:val="0"/>
        <w:keepLines w:val="0"/>
        <w:pageBreakBefore w:val="0"/>
        <w:widowControl w:val="0"/>
        <w:kinsoku/>
        <w:wordWrap w:val="0"/>
        <w:overflowPunct/>
        <w:topLinePunct w:val="0"/>
        <w:autoSpaceDE/>
        <w:autoSpaceDN/>
        <w:bidi w:val="0"/>
        <w:adjustRightInd/>
        <w:snapToGrid/>
        <w:spacing w:line="360" w:lineRule="auto"/>
        <w:ind w:left="1079" w:leftChars="371" w:hanging="300" w:hangingChars="125"/>
        <w:jc w:val="left"/>
        <w:textAlignment w:val="auto"/>
        <w:rPr>
          <w:rFonts w:ascii="宋体" w:hAnsi="宋体" w:cs="宋体"/>
          <w:color w:val="auto"/>
          <w:sz w:val="24"/>
          <w:highlight w:val="none"/>
        </w:rPr>
      </w:pPr>
      <w:r>
        <w:rPr>
          <w:rFonts w:hint="eastAsia" w:ascii="宋体" w:hAnsi="宋体" w:cs="宋体"/>
          <w:color w:val="auto"/>
          <w:sz w:val="24"/>
          <w:highlight w:val="none"/>
        </w:rPr>
        <w:t>2.采购代理机构信息</w:t>
      </w:r>
    </w:p>
    <w:p w14:paraId="3374DA5B">
      <w:pPr>
        <w:keepNext w:val="0"/>
        <w:keepLines w:val="0"/>
        <w:pageBreakBefore w:val="0"/>
        <w:widowControl w:val="0"/>
        <w:kinsoku/>
        <w:wordWrap w:val="0"/>
        <w:overflowPunct/>
        <w:topLinePunct w:val="0"/>
        <w:autoSpaceDE/>
        <w:autoSpaceDN/>
        <w:bidi w:val="0"/>
        <w:adjustRightInd/>
        <w:snapToGrid/>
        <w:spacing w:line="360" w:lineRule="auto"/>
        <w:ind w:firstLine="840" w:firstLineChars="350"/>
        <w:textAlignment w:val="auto"/>
        <w:rPr>
          <w:rFonts w:ascii="宋体" w:hAnsi="宋体" w:cs="宋体"/>
          <w:color w:val="auto"/>
          <w:sz w:val="24"/>
          <w:highlight w:val="none"/>
          <w:u w:val="single"/>
        </w:rPr>
      </w:pPr>
      <w:r>
        <w:rPr>
          <w:rFonts w:hint="eastAsia" w:ascii="宋体" w:hAnsi="宋体" w:cs="宋体"/>
          <w:color w:val="auto"/>
          <w:sz w:val="24"/>
          <w:highlight w:val="none"/>
        </w:rPr>
        <w:t>名 称：</w:t>
      </w:r>
      <w:r>
        <w:rPr>
          <w:rFonts w:hint="eastAsia" w:ascii="宋体" w:hAnsi="宋体" w:cs="宋体"/>
          <w:color w:val="auto"/>
          <w:sz w:val="24"/>
          <w:highlight w:val="none"/>
          <w:u w:val="single"/>
        </w:rPr>
        <w:t>广西邕政采购代理有限公司</w:t>
      </w:r>
    </w:p>
    <w:p w14:paraId="79622DE2">
      <w:pPr>
        <w:keepNext w:val="0"/>
        <w:keepLines w:val="0"/>
        <w:pageBreakBefore w:val="0"/>
        <w:widowControl w:val="0"/>
        <w:kinsoku/>
        <w:wordWrap w:val="0"/>
        <w:overflowPunct/>
        <w:topLinePunct w:val="0"/>
        <w:autoSpaceDE/>
        <w:autoSpaceDN/>
        <w:bidi w:val="0"/>
        <w:adjustRightInd/>
        <w:snapToGrid/>
        <w:spacing w:line="360" w:lineRule="auto"/>
        <w:ind w:firstLine="840" w:firstLineChars="350"/>
        <w:textAlignment w:val="auto"/>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南宁市青秀区民族大道180号（</w:t>
      </w:r>
      <w:r>
        <w:rPr>
          <w:rFonts w:hint="eastAsia" w:ascii="宋体" w:hAnsi="宋体" w:cs="宋体"/>
          <w:color w:val="auto"/>
          <w:sz w:val="24"/>
          <w:highlight w:val="none"/>
          <w:u w:val="single"/>
          <w:lang w:eastAsia="zh-CN"/>
        </w:rPr>
        <w:t>威壮大厦</w:t>
      </w:r>
      <w:r>
        <w:rPr>
          <w:rFonts w:hint="eastAsia" w:ascii="宋体" w:hAnsi="宋体" w:cs="宋体"/>
          <w:color w:val="auto"/>
          <w:sz w:val="24"/>
          <w:highlight w:val="none"/>
          <w:u w:val="single"/>
        </w:rPr>
        <w:t>）22层2210～2217室</w:t>
      </w:r>
    </w:p>
    <w:p w14:paraId="394C7A68">
      <w:pPr>
        <w:keepNext w:val="0"/>
        <w:keepLines w:val="0"/>
        <w:pageBreakBefore w:val="0"/>
        <w:widowControl w:val="0"/>
        <w:kinsoku/>
        <w:wordWrap w:val="0"/>
        <w:overflowPunct/>
        <w:topLinePunct w:val="0"/>
        <w:autoSpaceDE/>
        <w:autoSpaceDN/>
        <w:bidi w:val="0"/>
        <w:adjustRightInd/>
        <w:snapToGrid/>
        <w:spacing w:line="360" w:lineRule="auto"/>
        <w:ind w:firstLine="840" w:firstLineChars="350"/>
        <w:textAlignment w:val="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0771-2225338</w:t>
      </w:r>
    </w:p>
    <w:p w14:paraId="3B739A0D">
      <w:pPr>
        <w:keepNext w:val="0"/>
        <w:keepLines w:val="0"/>
        <w:pageBreakBefore w:val="0"/>
        <w:widowControl w:val="0"/>
        <w:kinsoku/>
        <w:wordWrap w:val="0"/>
        <w:overflowPunct/>
        <w:topLinePunct w:val="0"/>
        <w:autoSpaceDE/>
        <w:autoSpaceDN/>
        <w:bidi w:val="0"/>
        <w:adjustRightInd/>
        <w:snapToGrid/>
        <w:spacing w:line="360" w:lineRule="auto"/>
        <w:ind w:firstLine="840" w:firstLineChars="350"/>
        <w:textAlignment w:val="auto"/>
        <w:rPr>
          <w:rFonts w:ascii="宋体" w:hAnsi="宋体" w:cs="宋体"/>
          <w:color w:val="auto"/>
          <w:sz w:val="24"/>
          <w:highlight w:val="none"/>
        </w:rPr>
      </w:pPr>
      <w:r>
        <w:rPr>
          <w:rFonts w:hint="eastAsia" w:ascii="宋体" w:hAnsi="宋体" w:cs="宋体"/>
          <w:color w:val="auto"/>
          <w:sz w:val="24"/>
          <w:highlight w:val="none"/>
        </w:rPr>
        <w:t>3.项目联系方式</w:t>
      </w:r>
    </w:p>
    <w:p w14:paraId="409155A3">
      <w:pPr>
        <w:keepNext w:val="0"/>
        <w:keepLines w:val="0"/>
        <w:pageBreakBefore w:val="0"/>
        <w:widowControl w:val="0"/>
        <w:kinsoku/>
        <w:wordWrap w:val="0"/>
        <w:overflowPunct/>
        <w:topLinePunct w:val="0"/>
        <w:autoSpaceDE/>
        <w:autoSpaceDN/>
        <w:bidi w:val="0"/>
        <w:adjustRightInd/>
        <w:snapToGrid/>
        <w:spacing w:line="360" w:lineRule="auto"/>
        <w:ind w:firstLine="840" w:firstLineChars="35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u w:val="single"/>
          <w:lang w:eastAsia="zh-CN"/>
        </w:rPr>
        <w:t>罗霞、欧昌梅、黄秋梅</w:t>
      </w:r>
    </w:p>
    <w:p w14:paraId="6F2828C1">
      <w:pPr>
        <w:keepNext w:val="0"/>
        <w:keepLines w:val="0"/>
        <w:pageBreakBefore w:val="0"/>
        <w:widowControl w:val="0"/>
        <w:kinsoku/>
        <w:wordWrap w:val="0"/>
        <w:overflowPunct/>
        <w:topLinePunct w:val="0"/>
        <w:autoSpaceDE/>
        <w:autoSpaceDN/>
        <w:bidi w:val="0"/>
        <w:adjustRightInd/>
        <w:snapToGrid/>
        <w:spacing w:line="360" w:lineRule="auto"/>
        <w:ind w:firstLine="840" w:firstLineChars="350"/>
        <w:textAlignment w:val="auto"/>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s="宋体"/>
          <w:color w:val="auto"/>
          <w:sz w:val="24"/>
          <w:highlight w:val="none"/>
          <w:u w:val="single"/>
        </w:rPr>
        <w:t>0771-2225338</w:t>
      </w:r>
    </w:p>
    <w:p w14:paraId="0F2D1B2A">
      <w:pPr>
        <w:pageBreakBefore w:val="0"/>
        <w:overflowPunct/>
        <w:topLinePunct w:val="0"/>
        <w:bidi w:val="0"/>
        <w:spacing w:line="360" w:lineRule="auto"/>
        <w:rPr>
          <w:rFonts w:ascii="宋体" w:hAnsi="宋体" w:cs="宋体"/>
          <w:color w:val="auto"/>
          <w:sz w:val="24"/>
          <w:highlight w:val="none"/>
          <w:u w:val="single"/>
        </w:rPr>
      </w:pPr>
    </w:p>
    <w:p w14:paraId="78F9C5F9">
      <w:pPr>
        <w:pageBreakBefore w:val="0"/>
        <w:overflowPunct/>
        <w:topLinePunct w:val="0"/>
        <w:bidi w:val="0"/>
        <w:spacing w:line="360" w:lineRule="auto"/>
        <w:rPr>
          <w:rFonts w:ascii="宋体" w:hAnsi="宋体" w:cs="宋体"/>
          <w:color w:val="auto"/>
          <w:sz w:val="24"/>
          <w:highlight w:val="none"/>
          <w:u w:val="single"/>
        </w:rPr>
      </w:pPr>
      <w:r>
        <w:rPr>
          <w:rFonts w:ascii="宋体" w:hAnsi="宋体" w:cs="宋体"/>
          <w:color w:val="auto"/>
          <w:sz w:val="24"/>
          <w:highlight w:val="none"/>
          <w:u w:val="single"/>
        </w:rPr>
        <w:t xml:space="preserve">附件： 1.CA 证书申请方式及操作指南下载地址（登陆 http://nncz.nanning.gov.cn/（南宁市财政局官 网）-业务专题-政府采购监督管理-资料下载-“广西政采云西部 CA 办理方式”或“南宁市政采云 CA 证 书办理操作指南”） </w:t>
      </w:r>
    </w:p>
    <w:p w14:paraId="02368B3A">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sz w:val="24"/>
          <w:highlight w:val="none"/>
          <w:u w:val="single"/>
        </w:rPr>
      </w:pPr>
      <w:r>
        <w:rPr>
          <w:rFonts w:ascii="宋体" w:hAnsi="宋体" w:cs="宋体"/>
          <w:color w:val="auto"/>
          <w:sz w:val="24"/>
          <w:highlight w:val="none"/>
          <w:u w:val="single"/>
        </w:rPr>
        <w:t>2.电子投标文件制作与投送教程（在此网址下载：http://nncz.nanning.gov.cn/（南宁市财政局官网）- 业务专题-政府采购监督管理-资料下载-南宁市政府采购项目全流程电子化交易操作指南）</w:t>
      </w:r>
    </w:p>
    <w:p w14:paraId="10A738AC">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ascii="宋体" w:hAnsi="宋体" w:cs="宋体"/>
          <w:color w:val="auto"/>
          <w:sz w:val="24"/>
          <w:highlight w:val="none"/>
        </w:rPr>
      </w:pPr>
      <w:r>
        <w:rPr>
          <w:rFonts w:hint="eastAsia" w:ascii="宋体" w:hAnsi="宋体" w:cs="宋体"/>
          <w:color w:val="auto"/>
          <w:sz w:val="24"/>
          <w:highlight w:val="none"/>
          <w:u w:val="single"/>
        </w:rPr>
        <w:t>广西邕政采购代理有限公司</w:t>
      </w:r>
    </w:p>
    <w:p w14:paraId="16679CFE">
      <w:pPr>
        <w:keepNext w:val="0"/>
        <w:keepLines w:val="0"/>
        <w:pageBreakBefore w:val="0"/>
        <w:widowControl w:val="0"/>
        <w:kinsoku/>
        <w:wordWrap w:val="0"/>
        <w:overflowPunct/>
        <w:topLinePunct w:val="0"/>
        <w:autoSpaceDE/>
        <w:autoSpaceDN/>
        <w:bidi w:val="0"/>
        <w:adjustRightInd/>
        <w:snapToGrid/>
        <w:spacing w:line="360" w:lineRule="auto"/>
        <w:ind w:firstLine="240" w:firstLineChars="100"/>
        <w:jc w:val="right"/>
        <w:textAlignment w:val="auto"/>
        <w:rPr>
          <w:rFonts w:ascii="宋体" w:hAnsi="宋体" w:cs="宋体"/>
          <w:color w:val="auto"/>
          <w:sz w:val="24"/>
          <w:highlight w:val="none"/>
        </w:rPr>
      </w:pP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7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15 </w:t>
      </w:r>
      <w:r>
        <w:rPr>
          <w:rFonts w:hint="eastAsia" w:ascii="宋体" w:hAnsi="宋体" w:cs="宋体"/>
          <w:color w:val="auto"/>
          <w:sz w:val="24"/>
          <w:highlight w:val="none"/>
        </w:rPr>
        <w:t>日</w:t>
      </w:r>
    </w:p>
    <w:p w14:paraId="0686ACED">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br w:type="page"/>
      </w:r>
    </w:p>
    <w:p w14:paraId="0378793D">
      <w:pPr>
        <w:pStyle w:val="9"/>
        <w:pageBreakBefore w:val="0"/>
        <w:wordWrap w:val="0"/>
        <w:overflowPunct/>
        <w:topLinePunct w:val="0"/>
        <w:bidi w:val="0"/>
        <w:spacing w:after="0" w:line="360" w:lineRule="auto"/>
        <w:rPr>
          <w:color w:val="auto"/>
          <w:highlight w:val="none"/>
        </w:rPr>
      </w:pPr>
    </w:p>
    <w:p w14:paraId="65731922">
      <w:pPr>
        <w:pStyle w:val="12"/>
        <w:pageBreakBefore w:val="0"/>
        <w:wordWrap w:val="0"/>
        <w:overflowPunct/>
        <w:topLinePunct w:val="0"/>
        <w:bidi w:val="0"/>
        <w:spacing w:line="360" w:lineRule="auto"/>
        <w:jc w:val="center"/>
        <w:outlineLvl w:val="0"/>
        <w:rPr>
          <w:rFonts w:hAnsi="宋体" w:cs="宋体"/>
          <w:b/>
          <w:color w:val="auto"/>
          <w:sz w:val="36"/>
          <w:highlight w:val="none"/>
        </w:rPr>
      </w:pPr>
      <w:bookmarkStart w:id="4" w:name="_Toc2043"/>
      <w:r>
        <w:rPr>
          <w:rFonts w:hint="eastAsia" w:hAnsi="宋体" w:cs="宋体"/>
          <w:b/>
          <w:color w:val="auto"/>
          <w:sz w:val="36"/>
          <w:highlight w:val="none"/>
        </w:rPr>
        <w:t xml:space="preserve">第二章  </w:t>
      </w:r>
      <w:bookmarkEnd w:id="2"/>
      <w:r>
        <w:rPr>
          <w:rFonts w:hint="eastAsia" w:hAnsi="宋体" w:cs="宋体"/>
          <w:b/>
          <w:color w:val="auto"/>
          <w:sz w:val="36"/>
          <w:highlight w:val="none"/>
        </w:rPr>
        <w:t>采购需求</w:t>
      </w:r>
      <w:bookmarkEnd w:id="4"/>
    </w:p>
    <w:p w14:paraId="1437A4B6">
      <w:pPr>
        <w:pageBreakBefore w:val="0"/>
        <w:wordWrap w:val="0"/>
        <w:overflowPunct/>
        <w:topLinePunct w:val="0"/>
        <w:bidi w:val="0"/>
        <w:adjustRightInd w:val="0"/>
        <w:spacing w:line="360" w:lineRule="auto"/>
        <w:rPr>
          <w:rFonts w:ascii="宋体" w:hAnsi="宋体" w:cs="宋体"/>
          <w:b/>
          <w:color w:val="auto"/>
          <w:szCs w:val="21"/>
          <w:highlight w:val="none"/>
        </w:rPr>
      </w:pPr>
    </w:p>
    <w:p w14:paraId="620CAE62">
      <w:pPr>
        <w:pageBreakBefore w:val="0"/>
        <w:wordWrap w:val="0"/>
        <w:overflowPunct/>
        <w:topLinePunct w:val="0"/>
        <w:bidi w:val="0"/>
        <w:adjustRightInd w:val="0"/>
        <w:spacing w:line="360" w:lineRule="auto"/>
        <w:rPr>
          <w:rFonts w:ascii="宋体" w:hAnsi="宋体" w:cs="宋体"/>
          <w:b/>
          <w:color w:val="auto"/>
          <w:sz w:val="24"/>
          <w:highlight w:val="none"/>
        </w:rPr>
      </w:pPr>
      <w:r>
        <w:rPr>
          <w:rFonts w:hint="eastAsia" w:ascii="宋体" w:hAnsi="宋体" w:cs="宋体"/>
          <w:b/>
          <w:color w:val="auto"/>
          <w:sz w:val="24"/>
          <w:highlight w:val="none"/>
        </w:rPr>
        <w:t>说明：</w:t>
      </w:r>
    </w:p>
    <w:p w14:paraId="328F6F5F">
      <w:pPr>
        <w:pageBreakBefore w:val="0"/>
        <w:wordWrap w:val="0"/>
        <w:overflowPunct/>
        <w:topLinePunct w:val="0"/>
        <w:bidi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 为落实政府采购政策需满足的要求：</w:t>
      </w:r>
    </w:p>
    <w:p w14:paraId="46F19375">
      <w:pPr>
        <w:pageBreakBefore w:val="0"/>
        <w:wordWrap w:val="0"/>
        <w:overflowPunct/>
        <w:topLinePunct w:val="0"/>
        <w:bidi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（1）本招标文件所称中小企业必须符合《政府采购促进中小企业发展管理办法》（财库〔2020〕46号）的规定。</w:t>
      </w:r>
    </w:p>
    <w:p w14:paraId="6DB73F6B">
      <w:pPr>
        <w:pageBreakBefore w:val="0"/>
        <w:wordWrap w:val="0"/>
        <w:overflowPunct/>
        <w:topLinePunct w:val="0"/>
        <w:bidi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14:paraId="2924697C">
      <w:pPr>
        <w:pageBreakBefore w:val="0"/>
        <w:wordWrap w:val="0"/>
        <w:overflowPunct/>
        <w:topLinePunct w:val="0"/>
        <w:bidi w:val="0"/>
        <w:spacing w:line="360" w:lineRule="auto"/>
        <w:ind w:firstLine="487" w:firstLineChars="202"/>
        <w:jc w:val="left"/>
        <w:rPr>
          <w:rFonts w:ascii="宋体" w:hAnsi="宋体" w:cs="宋体"/>
          <w:b w:val="0"/>
          <w:bCs w:val="0"/>
          <w:color w:val="auto"/>
          <w:sz w:val="24"/>
          <w:highlight w:val="none"/>
        </w:rPr>
      </w:pPr>
      <w:r>
        <w:rPr>
          <w:rFonts w:hint="eastAsia" w:ascii="宋体" w:hAnsi="宋体" w:cs="宋体"/>
          <w:b/>
          <w:bCs/>
          <w:color w:val="auto"/>
          <w:sz w:val="24"/>
          <w:highlight w:val="none"/>
        </w:rPr>
        <w:t>（3）</w:t>
      </w:r>
      <w:r>
        <w:rPr>
          <w:rFonts w:hint="eastAsia" w:ascii="宋体" w:hAnsi="宋体" w:cs="宋体"/>
          <w:b/>
          <w:color w:val="auto"/>
          <w:sz w:val="24"/>
          <w:highlight w:val="none"/>
        </w:rPr>
        <w:t>服务项目中伴随的货物包含列入《网络关键设备和网络安全专用产品目录》的网络安全专用产品，应当按照《信息安全技术网络安全专用产品安全技术要求》等相关国家标准的强制性要求，提供具备资格的机构安全认证合格或者安全检测证明材料（加盖投标人公章），否则投标文件作无效处理。</w:t>
      </w:r>
    </w:p>
    <w:p w14:paraId="68568ECB">
      <w:pPr>
        <w:pageBreakBefore w:val="0"/>
        <w:numPr>
          <w:ilvl w:val="0"/>
          <w:numId w:val="1"/>
        </w:numPr>
        <w:wordWrap w:val="0"/>
        <w:overflowPunct/>
        <w:topLinePunct w:val="0"/>
        <w:bidi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“实质性要求”是指招标文件中已经指明不满足则投标无效的条款，或者不能负偏离的条款，或者采购需求中带“▲”的条款。</w:t>
      </w:r>
    </w:p>
    <w:p w14:paraId="1C2D12B8">
      <w:pPr>
        <w:pageBreakBefore w:val="0"/>
        <w:numPr>
          <w:ilvl w:val="0"/>
          <w:numId w:val="1"/>
        </w:numPr>
        <w:wordWrap w:val="0"/>
        <w:overflowPunct/>
        <w:topLinePunct w:val="0"/>
        <w:bidi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不需要投标人对采购需求响应为具体数值的，此采购需求的数值后将以◆号标注。</w:t>
      </w:r>
    </w:p>
    <w:p w14:paraId="5E566878">
      <w:pPr>
        <w:pageBreakBefore w:val="0"/>
        <w:numPr>
          <w:ilvl w:val="0"/>
          <w:numId w:val="1"/>
        </w:numPr>
        <w:wordWrap w:val="0"/>
        <w:overflowPunct/>
        <w:topLinePunct w:val="0"/>
        <w:bidi w:val="0"/>
        <w:spacing w:line="360" w:lineRule="auto"/>
        <w:ind w:firstLine="484" w:firstLineChars="202"/>
        <w:jc w:val="left"/>
        <w:rPr>
          <w:rFonts w:ascii="宋体" w:hAnsi="宋体" w:cs="宋体"/>
          <w:color w:val="auto"/>
          <w:sz w:val="24"/>
          <w:highlight w:val="none"/>
        </w:rPr>
        <w:sectPr>
          <w:footerReference r:id="rId4" w:type="default"/>
          <w:pgSz w:w="11906" w:h="16838"/>
          <w:pgMar w:top="1440" w:right="1080" w:bottom="1440" w:left="1080" w:header="720" w:footer="720" w:gutter="0"/>
          <w:pgNumType w:fmt="decimal" w:start="1"/>
          <w:cols w:space="720" w:num="1"/>
          <w:docGrid w:type="lines" w:linePitch="331" w:charSpace="0"/>
        </w:sectPr>
      </w:pPr>
      <w:r>
        <w:rPr>
          <w:rFonts w:hint="eastAsia" w:ascii="宋体" w:hAnsi="宋体" w:cs="宋体"/>
          <w:color w:val="auto"/>
          <w:sz w:val="24"/>
          <w:highlight w:val="none"/>
        </w:rPr>
        <w:t>如投标人投标产品存在侵犯他人的知识产权或者专利成果行为的，应承担相应法律责任</w:t>
      </w:r>
      <w:bookmarkStart w:id="5" w:name="PO_TDCUS_ITEM_PB_REQ_TITLE_1"/>
      <w:r>
        <w:rPr>
          <w:rFonts w:hint="eastAsia" w:ascii="宋体" w:hAnsi="宋体" w:cs="宋体"/>
          <w:color w:val="auto"/>
          <w:sz w:val="24"/>
          <w:highlight w:val="none"/>
        </w:rPr>
        <w:t>。</w:t>
      </w:r>
    </w:p>
    <w:bookmarkEnd w:id="5"/>
    <w:tbl>
      <w:tblPr>
        <w:tblStyle w:val="19"/>
        <w:tblW w:w="10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545"/>
        <w:gridCol w:w="1121"/>
        <w:gridCol w:w="570"/>
        <w:gridCol w:w="585"/>
        <w:gridCol w:w="3697"/>
        <w:gridCol w:w="1632"/>
        <w:gridCol w:w="1426"/>
      </w:tblGrid>
      <w:tr w14:paraId="739F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121" w:type="dxa"/>
            <w:gridSpan w:val="8"/>
            <w:vAlign w:val="center"/>
          </w:tcPr>
          <w:p w14:paraId="1A493BAF">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24"/>
                <w:szCs w:val="24"/>
                <w:highlight w:val="none"/>
              </w:rPr>
            </w:pPr>
            <w:bookmarkStart w:id="6" w:name="PO_TDCUS_ITEM_PB_REQ_TABLE_1_1"/>
            <w:bookmarkEnd w:id="6"/>
            <w:bookmarkStart w:id="7" w:name="PO_TDCUS_ITEM_PB_REQ_TITLE_2"/>
            <w:r>
              <w:rPr>
                <w:rFonts w:hint="eastAsia" w:asciiTheme="minorEastAsia" w:hAnsiTheme="minorEastAsia" w:eastAsiaTheme="minorEastAsia" w:cstheme="minorEastAsia"/>
                <w:b/>
                <w:color w:val="auto"/>
                <w:sz w:val="24"/>
                <w:szCs w:val="24"/>
                <w:highlight w:val="none"/>
              </w:rPr>
              <w:t>服务需求一览表</w:t>
            </w:r>
          </w:p>
        </w:tc>
      </w:tr>
      <w:tr w14:paraId="551AD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45" w:type="dxa"/>
            <w:vMerge w:val="restart"/>
          </w:tcPr>
          <w:p w14:paraId="0FAA537E">
            <w:pPr>
              <w:keepNext w:val="0"/>
              <w:keepLines w:val="0"/>
              <w:pageBreakBefore w:val="0"/>
              <w:kinsoku/>
              <w:wordWrap w:val="0"/>
              <w:overflowPunct/>
              <w:topLinePunct w:val="0"/>
              <w:autoSpaceDE/>
              <w:autoSpaceDN/>
              <w:bidi w:val="0"/>
              <w:adjustRightInd/>
              <w:snapToGrid/>
              <w:spacing w:line="360" w:lineRule="auto"/>
              <w:ind w:leftChars="0"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采购清单及服务参数</w:t>
            </w:r>
          </w:p>
        </w:tc>
        <w:tc>
          <w:tcPr>
            <w:tcW w:w="545" w:type="dxa"/>
            <w:tcMar>
              <w:top w:w="0" w:type="dxa"/>
              <w:left w:w="0" w:type="dxa"/>
              <w:bottom w:w="0" w:type="dxa"/>
              <w:right w:w="0" w:type="dxa"/>
            </w:tcMar>
            <w:vAlign w:val="center"/>
          </w:tcPr>
          <w:p w14:paraId="0E93371E">
            <w:pPr>
              <w:keepNext w:val="0"/>
              <w:keepLines w:val="0"/>
              <w:pageBreakBefore w:val="0"/>
              <w:kinsoku/>
              <w:wordWrap w:val="0"/>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121" w:type="dxa"/>
            <w:vAlign w:val="center"/>
          </w:tcPr>
          <w:p w14:paraId="598DB8D3">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采购服务</w:t>
            </w:r>
            <w:r>
              <w:rPr>
                <w:rFonts w:hint="eastAsia" w:asciiTheme="minorEastAsia" w:hAnsiTheme="minorEastAsia" w:eastAsiaTheme="minorEastAsia" w:cstheme="minorEastAsia"/>
                <w:color w:val="auto"/>
                <w:sz w:val="24"/>
                <w:szCs w:val="24"/>
                <w:highlight w:val="none"/>
                <w:lang w:val="en-US" w:eastAsia="zh-CN"/>
              </w:rPr>
              <w:t>标的</w:t>
            </w:r>
            <w:r>
              <w:rPr>
                <w:rFonts w:hint="eastAsia" w:asciiTheme="minorEastAsia" w:hAnsiTheme="minorEastAsia" w:eastAsiaTheme="minorEastAsia" w:cstheme="minorEastAsia"/>
                <w:color w:val="auto"/>
                <w:sz w:val="24"/>
                <w:szCs w:val="24"/>
                <w:highlight w:val="none"/>
              </w:rPr>
              <w:t>名称</w:t>
            </w:r>
          </w:p>
        </w:tc>
        <w:tc>
          <w:tcPr>
            <w:tcW w:w="570" w:type="dxa"/>
            <w:vAlign w:val="center"/>
          </w:tcPr>
          <w:p w14:paraId="1F279CE6">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单位</w:t>
            </w:r>
          </w:p>
        </w:tc>
        <w:tc>
          <w:tcPr>
            <w:tcW w:w="585" w:type="dxa"/>
            <w:vAlign w:val="center"/>
          </w:tcPr>
          <w:p w14:paraId="6EA51AE1">
            <w:pPr>
              <w:bidi w:val="0"/>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数量</w:t>
            </w:r>
          </w:p>
        </w:tc>
        <w:tc>
          <w:tcPr>
            <w:tcW w:w="3697" w:type="dxa"/>
            <w:vAlign w:val="center"/>
          </w:tcPr>
          <w:p w14:paraId="7A895754">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服务参数</w:t>
            </w:r>
          </w:p>
        </w:tc>
        <w:tc>
          <w:tcPr>
            <w:tcW w:w="1632" w:type="dxa"/>
            <w:vAlign w:val="center"/>
          </w:tcPr>
          <w:p w14:paraId="10625166">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分项预算合计（元）</w:t>
            </w:r>
          </w:p>
        </w:tc>
        <w:tc>
          <w:tcPr>
            <w:tcW w:w="1426" w:type="dxa"/>
            <w:vAlign w:val="center"/>
          </w:tcPr>
          <w:p w14:paraId="32011BE1">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中小企业划分标准所属行业名称（行业名称及划分见本章附件</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w:t>
            </w:r>
          </w:p>
        </w:tc>
      </w:tr>
      <w:tr w14:paraId="37FF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5" w:type="dxa"/>
            <w:vMerge w:val="continue"/>
            <w:vAlign w:val="center"/>
          </w:tcPr>
          <w:p w14:paraId="1E1952EC">
            <w:pPr>
              <w:keepNext w:val="0"/>
              <w:keepLines w:val="0"/>
              <w:pageBreakBefore w:val="0"/>
              <w:widowControl/>
              <w:kinsoku/>
              <w:wordWrap w:val="0"/>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p>
        </w:tc>
        <w:tc>
          <w:tcPr>
            <w:tcW w:w="545" w:type="dxa"/>
            <w:vAlign w:val="center"/>
          </w:tcPr>
          <w:p w14:paraId="337AC2E4">
            <w:pPr>
              <w:keepNext w:val="0"/>
              <w:keepLines w:val="0"/>
              <w:pageBreakBefore w:val="0"/>
              <w:kinsoku/>
              <w:wordWrap w:val="0"/>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w:t>
            </w:r>
          </w:p>
          <w:p w14:paraId="26622012">
            <w:pPr>
              <w:rPr>
                <w:rFonts w:hint="eastAsia" w:ascii="Times New Roman" w:hAnsi="Times New Roman" w:eastAsia="宋体" w:cs="Times New Roman"/>
                <w:color w:val="auto"/>
                <w:kern w:val="2"/>
                <w:sz w:val="21"/>
                <w:szCs w:val="24"/>
                <w:highlight w:val="none"/>
                <w:lang w:val="en-US" w:eastAsia="zh-CN" w:bidi="ar-SA"/>
              </w:rPr>
            </w:pPr>
          </w:p>
          <w:p w14:paraId="77CBA01E">
            <w:pPr>
              <w:ind w:firstLine="252"/>
              <w:jc w:val="left"/>
              <w:rPr>
                <w:rFonts w:hint="default"/>
                <w:color w:val="auto"/>
                <w:highlight w:val="none"/>
                <w:lang w:val="en-US" w:eastAsia="zh-CN"/>
              </w:rPr>
            </w:pPr>
            <w:r>
              <w:rPr>
                <w:rFonts w:hint="eastAsia"/>
                <w:color w:val="auto"/>
                <w:highlight w:val="none"/>
                <w:lang w:val="en-US" w:eastAsia="zh-CN"/>
              </w:rPr>
              <w:t>1</w:t>
            </w:r>
          </w:p>
        </w:tc>
        <w:tc>
          <w:tcPr>
            <w:tcW w:w="1121" w:type="dxa"/>
            <w:vAlign w:val="center"/>
          </w:tcPr>
          <w:p w14:paraId="66DAF1FA">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校园数字基座及AI智能服务</w:t>
            </w:r>
          </w:p>
        </w:tc>
        <w:tc>
          <w:tcPr>
            <w:tcW w:w="570" w:type="dxa"/>
            <w:vAlign w:val="center"/>
          </w:tcPr>
          <w:p w14:paraId="4EBD15A8">
            <w:pPr>
              <w:pStyle w:val="3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w:t>
            </w:r>
          </w:p>
        </w:tc>
        <w:tc>
          <w:tcPr>
            <w:tcW w:w="585" w:type="dxa"/>
            <w:vAlign w:val="center"/>
          </w:tcPr>
          <w:p w14:paraId="36A257F9">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3697" w:type="dxa"/>
            <w:vAlign w:val="center"/>
          </w:tcPr>
          <w:p w14:paraId="37D0F26F">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color w:val="auto"/>
                <w:kern w:val="0"/>
                <w:sz w:val="24"/>
                <w:szCs w:val="24"/>
                <w:highlight w:val="none"/>
                <w:lang w:val="en-US" w:eastAsia="zh-CN"/>
              </w:rPr>
              <w:t>一、</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校园数字基座</w:t>
            </w:r>
          </w:p>
          <w:p w14:paraId="68FF07DB">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（一）统一门户</w:t>
            </w:r>
          </w:p>
          <w:p w14:paraId="1229FC36">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1、需支持多端登录，包括PC-Web端、APP、企业微信、钉钉、微信小程序；</w:t>
            </w:r>
          </w:p>
          <w:p w14:paraId="637EA95B">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2、需提供个人空间，需支持暂时待办通知、公告通知、我的日程、课程表、热门资源、常用应用、我的学校等内容聚合展示，支持个性化工作台定制；</w:t>
            </w:r>
          </w:p>
          <w:p w14:paraId="0F4846B7">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3、需提供多业务系统或服务统一入口登录（如自治区教育厅统建应用系统、教育局接入的存量应用系统）；</w:t>
            </w:r>
          </w:p>
          <w:p w14:paraId="62B14A30">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（二）组织中心</w:t>
            </w:r>
          </w:p>
          <w:p w14:paraId="25A7D193">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1、支持学校进行组织树管理包括创建组织、维护组织信息；</w:t>
            </w:r>
          </w:p>
          <w:p w14:paraId="41934C2A">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2、支持校区班级管理，创建校区，维护校区名称，设置该校区下的学段，以及各学段的年级数量；</w:t>
            </w:r>
          </w:p>
          <w:p w14:paraId="0553505B">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3、支持教育人员管理，包括组织内部成员管理，提供组织花名册、实名认证、虚拟组管理、内部成员敏感信息加密显示等功能，支持为成员分配在组织中担任的职务，且职务支持自定义排序；</w:t>
            </w:r>
          </w:p>
          <w:p w14:paraId="02A5CA5F">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4、支持学生管理，提供学生花名册、学生实名认证、学生账号密码管理、学生敏感信息加密、显示等功能；</w:t>
            </w:r>
          </w:p>
          <w:p w14:paraId="0C3A9339">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5、支持管理业务条线，支持学校创建角色并对用户角色设定和角色权限管理，用于管理学校组织和人员，应用可通过接口获取角色、成员列表，为特定角色提供相应的操作权限；</w:t>
            </w:r>
          </w:p>
          <w:p w14:paraId="76F7AD3A">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6、提供教育通讯录，提供内部通讯录和和家校通讯录，实现内部人员和学生家长联系方式的快速查找；</w:t>
            </w:r>
          </w:p>
          <w:p w14:paraId="4F324EAE">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7、供管理员工具，提供管理员数字指标看板，展示下级学校数量、激活学校数量、合计班级数、平均班额、班额对应数量、用户数、教师数、学生数、家长数等各项指标；</w:t>
            </w:r>
          </w:p>
          <w:p w14:paraId="772AA923">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8、提供权限管理功能，支持设置不同的管理员赋予不同的管理权限协同对组织进行管理。</w:t>
            </w:r>
          </w:p>
          <w:p w14:paraId="59D24526">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（三）应用中心</w:t>
            </w:r>
          </w:p>
          <w:p w14:paraId="2AB0E898">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1、支持应用分类、支持调整应用分类顺序、支持批量修改应用；</w:t>
            </w:r>
          </w:p>
          <w:p w14:paraId="4E0E223D">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2、支持应用搜索功能；</w:t>
            </w:r>
          </w:p>
          <w:p w14:paraId="549B3BC8">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3、支持管理员可在待安装的应用市场上选择应用，并进行安装；</w:t>
            </w:r>
          </w:p>
          <w:p w14:paraId="0AAC4F78">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4、支持管理员对不需要的应用进行卸载，且后台保留了应用使用的相关记录数据，应用再次安装后，应用环境无变化，在应用侧不做删除的情况下，自动继承上次安装的历史数据；</w:t>
            </w:r>
          </w:p>
          <w:p w14:paraId="71AB9CC0">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5、提供1TB数据存储空间，支持根据实际需要购买增值包进行扩容。</w:t>
            </w:r>
          </w:p>
          <w:p w14:paraId="6A3CB701">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6、快收中心</w:t>
            </w:r>
          </w:p>
          <w:p w14:paraId="08445462">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1）提供数据快速收集中心，用于问卷调查、数据上报、审批、评选等业务场景，提供通用模版方便机构修改；</w:t>
            </w:r>
          </w:p>
          <w:p w14:paraId="256D1C75">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2）支持对数据收集模版自定义配置，按机构/部门/用户范围下发单表收集，表单支持免登陆/匿名/实名等功能；</w:t>
            </w:r>
          </w:p>
          <w:p w14:paraId="40A6F182">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3）支持全程监控填报进度，填报流程可设审批、评价等流程节点，收集完数据自动汇总统计报表，生成数据可视化图表。</w:t>
            </w:r>
          </w:p>
          <w:p w14:paraId="77EC5BA1">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7、开放平台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提供平台开发者入驻、APP应用、OpenAPI开放接口等，为学校的第三方生态服务商提供开放接口，应用接入能力，解决存量、新建应用的统一接入和管理。</w:t>
            </w:r>
          </w:p>
          <w:p w14:paraId="2A86DB4C">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（四）消息中心</w:t>
            </w:r>
          </w:p>
          <w:p w14:paraId="018A1C99">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1、支持多种通讯渠道（短信、系统消息、邮件、APP消息等），可管理和发送各种类型的消息；</w:t>
            </w:r>
          </w:p>
          <w:p w14:paraId="17C20C95">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2、支持消息的集中管理、跨渠道发送和统一监控，提高沟通效率和一致性；</w:t>
            </w:r>
          </w:p>
          <w:p w14:paraId="29FBC4B0">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3、支持消息手写签名回执、一键已阅、自动记录已阅状态；</w:t>
            </w:r>
          </w:p>
          <w:p w14:paraId="5ABC0DD4">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4、支持消息已读情况实时记录，自动统计未读人数及名单。</w:t>
            </w:r>
          </w:p>
          <w:p w14:paraId="422538A0">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5、消息中心提供短信通知服务，支持学校内部信息的快速传递。</w:t>
            </w:r>
          </w:p>
          <w:p w14:paraId="2CF3224D">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1）提供每年20000条的短信通知服务。</w:t>
            </w:r>
          </w:p>
          <w:p w14:paraId="5D18EDCD">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lang w:val="en-US" w:eastAsia="zh-CN" w:bidi="ar"/>
                <w:woUserID w:val="5"/>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2）支持根据实际需求购买增值包扩容</w:t>
            </w:r>
            <w:r>
              <w:rPr>
                <w:rFonts w:hint="eastAsia" w:asciiTheme="minorEastAsia" w:hAnsiTheme="minorEastAsia" w:eastAsiaTheme="minorEastAsia" w:cstheme="minorEastAsia"/>
                <w:i w:val="0"/>
                <w:iCs w:val="0"/>
                <w:color w:val="auto"/>
                <w:kern w:val="0"/>
                <w:sz w:val="24"/>
                <w:szCs w:val="24"/>
                <w:highlight w:val="none"/>
                <w:lang w:val="en-US" w:eastAsia="zh-CN" w:bidi="ar"/>
                <w:woUserID w:val="5"/>
              </w:rPr>
              <w:t>，且价格不高于市场价。</w:t>
            </w:r>
          </w:p>
          <w:p w14:paraId="09A6184F">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3）支持通知公告、文件流转、消息提醒等功能。</w:t>
            </w:r>
          </w:p>
          <w:p w14:paraId="04453AE5">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（五）低代码平台</w:t>
            </w:r>
          </w:p>
          <w:p w14:paraId="5C46008D">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1、提供低代码、零代码应用快速搭建服务平台，支持用户通过可视化拖拽和配置的方式，根据业务流程需求，无需代码或仅需少量代码就能快速完成应用的搭建；</w:t>
            </w:r>
          </w:p>
          <w:p w14:paraId="75FB86A5">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2、支持提供业务流程、业务表单、报表展示、展示页面、逻辑编排以及数据统计分析等功能；</w:t>
            </w:r>
          </w:p>
          <w:p w14:paraId="71C66F0C">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3、支持应用发布、上架应用中心。</w:t>
            </w:r>
          </w:p>
          <w:p w14:paraId="1311E668">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（六）数据中心</w:t>
            </w:r>
          </w:p>
          <w:p w14:paraId="72CC54C2">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提供校本级数据资产管理门户，学校可以便捷地管理和维护本单位的数据资产目录，确保数据的标准化、资产化和服务化。</w:t>
            </w:r>
          </w:p>
          <w:p w14:paraId="1E2193A3">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1、数据资产管理：</w:t>
            </w:r>
          </w:p>
          <w:p w14:paraId="2ED1420F">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1）校本级数据资产管理门户：提供集中化的数据管理界面，方便学校各部门管理和查询数据资产；</w:t>
            </w:r>
          </w:p>
          <w:p w14:paraId="3991DFCA">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2）支持数据资产目录的创建、更新和维护，确保数据的完整性和准确性；</w:t>
            </w:r>
          </w:p>
          <w:p w14:paraId="0E0ECBE3">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3）教育基本库、主题库、专题库：</w:t>
            </w:r>
          </w:p>
          <w:p w14:paraId="12024313">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教育基本库：涵盖学校基础数据，如教职工信息、学生信息、课程信息等。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主题库：围绕特定主题（如师资力量、学生发展、教学成果等）构建的数据集合。</w:t>
            </w:r>
          </w:p>
          <w:p w14:paraId="1636597D">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专题库：针对特定项目或研究方向（如学科竞赛、科研成果等）的数据集合。</w:t>
            </w:r>
          </w:p>
          <w:p w14:paraId="58E977B0">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4）数据标准化、资产化、服务化：支持通过数据治理，保证数据的规范化和一致性，提升数据的可用性和价值。</w:t>
            </w:r>
          </w:p>
          <w:p w14:paraId="3F536F3C">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2、数据看板：可通过可视化图表展示业务应用产生的数据，帮助学校快速了解师资力量、学生动态、教学效果等关键信息。</w:t>
            </w:r>
          </w:p>
          <w:p w14:paraId="12B9783B">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1)师资力量分析</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展示教师数量、职称分布、教学成果等数据。</w:t>
            </w:r>
          </w:p>
          <w:p w14:paraId="4345CACE">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2)学生动态分析</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监测学生出勤率、成绩分布、行为表现等。</w:t>
            </w:r>
          </w:p>
          <w:p w14:paraId="71AC492E">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3)听评课分析</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提供教师课堂教学质量的统计分析。</w:t>
            </w:r>
          </w:p>
          <w:p w14:paraId="6030F3D7">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4)比赛获奖分析</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展示学生在各类比赛中的获奖情况，分析学校在不同领域的优势。</w:t>
            </w:r>
          </w:p>
          <w:p w14:paraId="0AA1D0E3">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3、提供跨校区、跨层级、跨部门的数据流通和治理能力。</w:t>
            </w:r>
          </w:p>
          <w:p w14:paraId="2DD54D9D">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4、标准数据驾驶舱：提供数据资源的集中管理和共享服务。</w:t>
            </w:r>
          </w:p>
          <w:p w14:paraId="534C3DDE">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1)提供数据资源的浏览、检索和申请。</w:t>
            </w:r>
          </w:p>
          <w:p w14:paraId="5F13446F">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2)支持数据资源的分类管理。</w:t>
            </w:r>
          </w:p>
          <w:p w14:paraId="33043FCF">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5、提供BI工具：</w:t>
            </w:r>
          </w:p>
          <w:p w14:paraId="59E85439">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1)可视化分析：通过数据可视化驾驶舱（柱状图、热力图、仪表盘等）直观呈现数据，输出多维度分析结果，支持学校概况、师生画像等多维度分析，降低理解门槛。</w:t>
            </w:r>
          </w:p>
          <w:p w14:paraId="7584D91C">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2)自助式分析：非技术人员可通过拖拽操作生成报表，提供丰富的数据分析模型和可视化组件。</w:t>
            </w:r>
          </w:p>
          <w:p w14:paraId="5FEEA4E1">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（七）资源中心</w:t>
            </w:r>
          </w:p>
          <w:p w14:paraId="77304CED">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学校数据和应用资源的共享平台，提供数据资源的集中管理和共享服务。</w:t>
            </w:r>
          </w:p>
          <w:p w14:paraId="636A94C8">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①提供数据资源的浏览、检索和申请。</w:t>
            </w:r>
          </w:p>
          <w:p w14:paraId="5B2CC9E9">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②支持数据资源的分类管理。</w:t>
            </w:r>
          </w:p>
          <w:p w14:paraId="683A44B0">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二、AI智能服务</w:t>
            </w:r>
          </w:p>
          <w:p w14:paraId="4367BCEB">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（一）智能服务性能要求</w:t>
            </w:r>
          </w:p>
          <w:p w14:paraId="24B60E13">
            <w:pPr>
              <w:keepNext w:val="0"/>
              <w:keepLines w:val="0"/>
              <w:pageBreakBefore w:val="0"/>
              <w:widowControl/>
              <w:suppressLineNumbers w:val="0"/>
              <w:kinsoku/>
              <w:wordWrap/>
              <w:overflowPunct/>
              <w:topLinePunct w:val="0"/>
              <w:autoSpaceDE/>
              <w:autoSpaceDN/>
              <w:bidi w:val="0"/>
              <w:adjustRightInd/>
              <w:snapToGrid/>
              <w:spacing w:line="360" w:lineRule="auto"/>
              <w:ind w:leftChars="0" w:firstLine="480" w:firstLineChars="200"/>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1、配套一体机性能：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1）DCU：不低于HG DCU K100_AI -E4x16 64GB 双宽 GPU卡*1</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2）CPU：3.0G 8C*2</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3）内存：DDR4 3200MHz 128G内存</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4）硬盘：960G 2.5 SATA 6Gb R SSD*2 ，16TB 3.5吋7.2K 6Gb SATA硬盘*4 ，4GB SAS 8口RAID卡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5）网口：四口1G RJ45网卡*1</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6）电源：1200W塔式单电源*1</w:t>
            </w:r>
          </w:p>
          <w:p w14:paraId="4FBD6DD7">
            <w:pPr>
              <w:keepNext w:val="0"/>
              <w:keepLines w:val="0"/>
              <w:pageBreakBefore w:val="0"/>
              <w:widowControl/>
              <w:suppressLineNumbers w:val="0"/>
              <w:kinsoku/>
              <w:wordWrap/>
              <w:overflowPunct/>
              <w:topLinePunct w:val="0"/>
              <w:autoSpaceDE/>
              <w:autoSpaceDN/>
              <w:bidi w:val="0"/>
              <w:adjustRightInd/>
              <w:snapToGrid/>
              <w:spacing w:line="360" w:lineRule="auto"/>
              <w:ind w:leftChars="0" w:firstLine="480" w:firstLineChars="200"/>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2、内置大模型：</w:t>
            </w:r>
          </w:p>
          <w:p w14:paraId="03A5E96B">
            <w:pPr>
              <w:keepNext w:val="0"/>
              <w:keepLines w:val="0"/>
              <w:pageBreakBefore w:val="0"/>
              <w:widowControl/>
              <w:suppressLineNumbers w:val="0"/>
              <w:kinsoku/>
              <w:wordWrap/>
              <w:overflowPunct/>
              <w:topLinePunct w:val="0"/>
              <w:autoSpaceDE/>
              <w:autoSpaceDN/>
              <w:bidi w:val="0"/>
              <w:adjustRightInd/>
              <w:snapToGrid/>
              <w:spacing w:line="360" w:lineRule="auto"/>
              <w:ind w:leftChars="0" w:firstLine="480" w:firstLineChars="200"/>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woUserID w:val="5"/>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woUserID w:val="5"/>
              </w:rPr>
              <w:t>1</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r>
              <w:rPr>
                <w:rFonts w:hint="eastAsia" w:asciiTheme="minorEastAsia" w:hAnsiTheme="minorEastAsia" w:eastAsiaTheme="minorEastAsia" w:cstheme="minorEastAsia"/>
                <w:i w:val="0"/>
                <w:iCs w:val="0"/>
                <w:color w:val="auto"/>
                <w:kern w:val="0"/>
                <w:sz w:val="24"/>
                <w:szCs w:val="24"/>
                <w:highlight w:val="none"/>
                <w:u w:val="none"/>
                <w:lang w:val="en-US" w:eastAsia="zh-CN" w:bidi="ar"/>
                <w:woUserID w:val="5"/>
              </w:rPr>
              <w:t>本地部署DeepSeek-32B大模型；</w:t>
            </w:r>
          </w:p>
          <w:p w14:paraId="74B12A9B">
            <w:pPr>
              <w:keepNext w:val="0"/>
              <w:keepLines w:val="0"/>
              <w:pageBreakBefore w:val="0"/>
              <w:widowControl/>
              <w:suppressLineNumbers w:val="0"/>
              <w:kinsoku/>
              <w:wordWrap/>
              <w:overflowPunct/>
              <w:topLinePunct w:val="0"/>
              <w:autoSpaceDE/>
              <w:autoSpaceDN/>
              <w:bidi w:val="0"/>
              <w:adjustRightInd/>
              <w:snapToGrid/>
              <w:spacing w:line="360" w:lineRule="auto"/>
              <w:ind w:leftChars="0" w:firstLine="480" w:firstLineChars="200"/>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woUserID w:val="5"/>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woUserID w:val="5"/>
              </w:rPr>
              <w:t>2</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r>
              <w:rPr>
                <w:rFonts w:hint="eastAsia" w:asciiTheme="minorEastAsia" w:hAnsiTheme="minorEastAsia" w:eastAsiaTheme="minorEastAsia" w:cstheme="minorEastAsia"/>
                <w:i w:val="0"/>
                <w:iCs w:val="0"/>
                <w:color w:val="auto"/>
                <w:kern w:val="0"/>
                <w:sz w:val="24"/>
                <w:szCs w:val="24"/>
                <w:highlight w:val="none"/>
                <w:u w:val="none"/>
                <w:lang w:val="en-US" w:eastAsia="zh-CN" w:bidi="ar"/>
                <w:woUserID w:val="5"/>
              </w:rPr>
              <w:t>提供不少于1亿大模型 Token，支持超出部分根据调用的模型 Token 进行计量计费，Token 单价不高于该调用模型官方网站标注售价。</w:t>
            </w:r>
          </w:p>
          <w:p w14:paraId="4A681936">
            <w:pPr>
              <w:keepNext w:val="0"/>
              <w:keepLines w:val="0"/>
              <w:pageBreakBefore w:val="0"/>
              <w:widowControl/>
              <w:suppressLineNumbers w:val="0"/>
              <w:kinsoku/>
              <w:wordWrap/>
              <w:overflowPunct/>
              <w:topLinePunct w:val="0"/>
              <w:autoSpaceDE/>
              <w:autoSpaceDN/>
              <w:bidi w:val="0"/>
              <w:adjustRightInd/>
              <w:snapToGrid/>
              <w:spacing w:line="360" w:lineRule="auto"/>
              <w:ind w:leftChars="0" w:firstLine="480" w:firstLineChars="200"/>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woUserID w:val="5"/>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woUserID w:val="5"/>
              </w:rPr>
              <w:t>1亿Token可使用的模型包括但不限于：</w:t>
            </w:r>
          </w:p>
          <w:p w14:paraId="74775086">
            <w:pPr>
              <w:keepNext w:val="0"/>
              <w:keepLines w:val="0"/>
              <w:pageBreakBefore w:val="0"/>
              <w:widowControl/>
              <w:suppressLineNumbers w:val="0"/>
              <w:kinsoku/>
              <w:wordWrap/>
              <w:overflowPunct/>
              <w:topLinePunct w:val="0"/>
              <w:autoSpaceDE/>
              <w:autoSpaceDN/>
              <w:bidi w:val="0"/>
              <w:adjustRightInd/>
              <w:snapToGrid/>
              <w:spacing w:line="360" w:lineRule="auto"/>
              <w:ind w:leftChars="0" w:firstLine="480" w:firstLineChars="200"/>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woUserID w:val="5"/>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woUserID w:val="5"/>
              </w:rPr>
              <w:t>①Doubao-1.5-pro-32k</w:t>
            </w:r>
          </w:p>
          <w:p w14:paraId="39E5E537">
            <w:pPr>
              <w:keepNext w:val="0"/>
              <w:keepLines w:val="0"/>
              <w:pageBreakBefore w:val="0"/>
              <w:widowControl/>
              <w:suppressLineNumbers w:val="0"/>
              <w:kinsoku/>
              <w:wordWrap/>
              <w:overflowPunct/>
              <w:topLinePunct w:val="0"/>
              <w:autoSpaceDE/>
              <w:autoSpaceDN/>
              <w:bidi w:val="0"/>
              <w:adjustRightInd/>
              <w:snapToGrid/>
              <w:spacing w:line="360" w:lineRule="auto"/>
              <w:ind w:leftChars="0" w:firstLine="480" w:firstLineChars="200"/>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woUserID w:val="5"/>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woUserID w:val="5"/>
              </w:rPr>
              <w:t>②Doubao-lite-4k</w:t>
            </w:r>
          </w:p>
          <w:p w14:paraId="4354631F">
            <w:pPr>
              <w:keepNext w:val="0"/>
              <w:keepLines w:val="0"/>
              <w:pageBreakBefore w:val="0"/>
              <w:widowControl/>
              <w:suppressLineNumbers w:val="0"/>
              <w:kinsoku/>
              <w:wordWrap/>
              <w:overflowPunct/>
              <w:topLinePunct w:val="0"/>
              <w:autoSpaceDE/>
              <w:autoSpaceDN/>
              <w:bidi w:val="0"/>
              <w:adjustRightInd/>
              <w:snapToGrid/>
              <w:spacing w:line="360" w:lineRule="auto"/>
              <w:ind w:leftChars="0" w:firstLine="480" w:firstLineChars="200"/>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woUserID w:val="5"/>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woUserID w:val="5"/>
              </w:rPr>
              <w:t>③DeepSeek-R1</w:t>
            </w:r>
          </w:p>
          <w:p w14:paraId="5B46B155">
            <w:pPr>
              <w:keepNext w:val="0"/>
              <w:keepLines w:val="0"/>
              <w:pageBreakBefore w:val="0"/>
              <w:widowControl/>
              <w:suppressLineNumbers w:val="0"/>
              <w:kinsoku/>
              <w:wordWrap/>
              <w:overflowPunct/>
              <w:topLinePunct w:val="0"/>
              <w:autoSpaceDE/>
              <w:autoSpaceDN/>
              <w:bidi w:val="0"/>
              <w:adjustRightInd/>
              <w:snapToGrid/>
              <w:spacing w:line="360" w:lineRule="auto"/>
              <w:ind w:leftChars="0" w:firstLine="480" w:firstLineChars="200"/>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woUserID w:val="5"/>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woUserID w:val="5"/>
              </w:rPr>
              <w:t>④DeepSeek-V3</w:t>
            </w:r>
          </w:p>
          <w:p w14:paraId="7E3EBFCE">
            <w:pPr>
              <w:keepNext w:val="0"/>
              <w:keepLines w:val="0"/>
              <w:pageBreakBefore w:val="0"/>
              <w:widowControl/>
              <w:suppressLineNumbers w:val="0"/>
              <w:kinsoku/>
              <w:wordWrap/>
              <w:overflowPunct/>
              <w:topLinePunct w:val="0"/>
              <w:autoSpaceDE/>
              <w:autoSpaceDN/>
              <w:bidi w:val="0"/>
              <w:adjustRightInd/>
              <w:snapToGrid/>
              <w:spacing w:line="360" w:lineRule="auto"/>
              <w:ind w:leftChars="0" w:firstLine="480" w:firstLineChars="200"/>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woUserID w:val="5"/>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woUserID w:val="5"/>
              </w:rPr>
              <w:t>向量模型：</w:t>
            </w:r>
          </w:p>
          <w:p w14:paraId="59EF533C">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woUserID w:val="5"/>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woUserID w:val="5"/>
              </w:rPr>
              <w:t>①Doubao-embedding。</w:t>
            </w:r>
          </w:p>
          <w:p w14:paraId="000AB1AD">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woUserID w:val="5"/>
              </w:rPr>
              <w:t>（二）</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AI智能体创作平台</w:t>
            </w:r>
          </w:p>
          <w:p w14:paraId="182B36C4">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1、应用构建：</w:t>
            </w:r>
          </w:p>
          <w:p w14:paraId="0DA648CF">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1）基于应用模板创建应用功能，平台预置与智能运维场景相关应用模板，支持通过平台提供的应用模板开始以快速创建智能运维应用。</w:t>
            </w:r>
          </w:p>
          <w:p w14:paraId="292645B0">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2）创建空白应用功能，支持用户根据业务需求自定义应用，创建一个新应用。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基于DSL 文件导入应用功能，支持用户通过DSL 文件导入应用，导入后将直接加载原应用的所有配置信息。</w:t>
            </w:r>
          </w:p>
          <w:p w14:paraId="7E5816A5">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2、应用编排</w:t>
            </w:r>
          </w:p>
          <w:p w14:paraId="7AB3F4BC">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1）提示词开发功能，支持UI 界面可视化设计提示词，用于对 AI 的回复做出一系列指令和约束，并进行实时调试观察。</w:t>
            </w:r>
          </w:p>
          <w:p w14:paraId="517DEA49">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2）变量编辑功能，支持将变量以表单形式让用户在对话前填写，用户填写的表单内容将自动替换提示词中的变量。</w:t>
            </w:r>
          </w:p>
          <w:p w14:paraId="6DD5BA34">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3）上下文管理功能，支持文本Embedding处理，使用私有化数据作为上下文自动完成文本预处理。支持将知识库可以作为外部知识提供给大语言模型用于精确回复用户问题。</w:t>
            </w:r>
          </w:p>
          <w:p w14:paraId="6683FA59">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4）模型管理功能，支持广泛的模型库，包括：企业专属大模型、以及市面上的开源大模型。满足各种场景下的需求，自由体验、无缝切换，实现业务层和模型层解耦。</w:t>
            </w:r>
          </w:p>
          <w:p w14:paraId="201EAAF0">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5）模型参数设置功能，支持通过设置模型参数以获得不同的提示结果，包括Temperature、Top_p、Max Length、Stop Sequences、Frequency Penalty、Presence Penalty、Max Tokens等参数设置。</w:t>
            </w:r>
          </w:p>
          <w:p w14:paraId="55D686A0">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6）多个模型调试功能，支持选择不同的模型或单一模型配置不同参数进行调试与预览。</w:t>
            </w:r>
          </w:p>
          <w:p w14:paraId="31D0EF90">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7）推理模式设置功能，支持 Function calling（函数调用）和 ReAct 两种推理模式，用户可以通过任务推理、步骤拆解、调用工具完成复杂的任务。</w:t>
            </w:r>
          </w:p>
          <w:p w14:paraId="402FD4F6">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3、应用工具箱</w:t>
            </w:r>
          </w:p>
          <w:p w14:paraId="3647A987">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1）对话开场白功能，支持在对话型应用中，让 AI主动说第一段话可以拉近与用户间的距离。</w:t>
            </w:r>
          </w:p>
          <w:p w14:paraId="5E12E53E">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2）下一步问题建议功能，支持设置下一步问题建议让用户更好的对话，提升用户使用体验。</w:t>
            </w:r>
          </w:p>
          <w:p w14:paraId="7CFEC2C6">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3）文字转语音功能，支持将文本转换成语音。</w:t>
            </w:r>
          </w:p>
          <w:p w14:paraId="1632A7D2">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4）语音转文字功能，支持将语音转换成文字。</w:t>
            </w:r>
          </w:p>
          <w:p w14:paraId="2D07BB2E">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5）引用和归属功能，支持显示源文档和生成内容的归属部分。</w:t>
            </w:r>
          </w:p>
          <w:p w14:paraId="57581B95">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6）内容审查功能，终端用户在与 AI 应用交互的过程中，往往在内容安全性，用户体验，法律法规等方面有较为苛刻的要求，支持调用审查 API或者维护敏感词库来使模型更安全地输出，来为终端用户创造一个更好的交互环境。</w:t>
            </w:r>
          </w:p>
          <w:p w14:paraId="7AAE2649">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7）标注回复功能，支持标注用户的回复，以便在用户重复提问时快速响应。</w:t>
            </w:r>
          </w:p>
          <w:p w14:paraId="682FFA36">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4、工作流开发</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工作流可视化开发功能，支持低代码、开箱即用的画布式开发形式并结合内置插件，实现工作流的灵活开发。</w:t>
            </w:r>
          </w:p>
          <w:p w14:paraId="7EDD3252">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5、工作流编排</w:t>
            </w:r>
          </w:p>
          <w:p w14:paraId="353A642D">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1）开始节点管理功能，支持在开始节点中自定义启动工作流的输入变量。</w:t>
            </w:r>
          </w:p>
          <w:p w14:paraId="4BD86A33">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2）结束节点配置功能，支持定义工作流程结束的最终输出内容。每一个工作流在完整执行后都需要至少一个结束节点，用于输出完整执行的最终结果。</w:t>
            </w:r>
          </w:p>
          <w:p w14:paraId="364A98AD">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直接回复节点配置功能，支持在文本编辑器中自由定义回复格式，包括自定义一段固定的文本内容、使用前置步骤中的输出变量作为回复内容、或者将自定义文本与变量组合后回复，随时加入节点将内容流式输出至对话回复，支持所见即所得配置模式并支持图文混排。</w:t>
            </w:r>
          </w:p>
          <w:p w14:paraId="2FB97F42">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4）LLM节点配置功能，支持利用大语言模型的对话/生成/分类/处理等能力，根据给定的提示词处理广泛的任务类型，并能够在工作流的不同环节使用。</w:t>
            </w:r>
          </w:p>
          <w:p w14:paraId="4D0EEF16">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5）知识检索节点配置功能，支持从知识库中检索与用户问题相关的文本内容，可作为下游 LLM 节点的上下文来使用。</w:t>
            </w:r>
          </w:p>
          <w:p w14:paraId="3FFE3393">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6）问题分类节点配置功能，支持通过定义分类描述，使用问题分类器根据用户输入推理与之相匹配的分类并输出分类结果。</w:t>
            </w:r>
          </w:p>
          <w:p w14:paraId="45CF3B3E">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7）条件分支节点配置功能，支持根据 if/else 条件将工作流拆分成两个分支，条件类型包括包含、不包含、开始是、结束是、是、不是、为空、不为空，涉及复杂的条件判断时，支持设置多重条件判断，在条件之间设置 AND 或者 OR，即在条件之间取交集或者并集。</w:t>
            </w:r>
          </w:p>
          <w:p w14:paraId="07906858">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8）代码执行节点配置功能，该节点极大地增强了开发人员的灵活性，支持开发人员在工作流程中嵌入自定义的 Python 或 Javascript 脚本，并以预设节点无法达到的方式操作变量，通过配置选项，可以指明所需的输入和输出变量，并撰写相应的执行代码。</w:t>
            </w:r>
          </w:p>
          <w:p w14:paraId="644550D2">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9）模板转换节点配置功能，支持在工作流内实现轻量、灵活的数据转换，适用于文本处理、JSON 转换，将多个数据源的信息汇总成一个特定格式，满足后续步骤的需求。</w:t>
            </w:r>
          </w:p>
          <w:p w14:paraId="193FED1C">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10）变量聚合节点配置功能，支持将多路分支的变量聚合为一个变量，以实现下游节点统一配置。可以将诸如问题分类或条件分支等多路输出聚合为单路，供流程下游的节点使用和操作，简化数据流的管理。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http请求节点配置功能，支持通过 http 协议发送服务器请求，适用于获取外部数据、webhook、生成图片、下载文件等情景，能够向指定的网络地址发送定制化的 HTTP 请求，实现与各种外部服务的互联互通。</w:t>
            </w:r>
          </w:p>
          <w:p w14:paraId="649C52F7">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11）预览与调试功能，支持可视化预览并调试配置好的工作流。</w:t>
            </w:r>
          </w:p>
          <w:p w14:paraId="4D5E6448">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12）单步调试功能，支持节点的单步调试，在单步调试中可以重复测试当前节点的执行是否符合预期。单步测试运行后可以查看运行状态、输入/输出、元数据信息。</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对话/运行日志，支持在详情中查看运行总览信息、输入/输出 、元数据信息、完整运行过程各节点的输入/输出、Token 消耗、运行时长等信息。</w:t>
            </w:r>
          </w:p>
          <w:p w14:paraId="7B0D14D7">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13）检查清单功能，支持在进入调试运行之前，在检查清单内检查是否有未完成配置或者未连线的节点。</w:t>
            </w:r>
          </w:p>
          <w:p w14:paraId="4681C368">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14）运行历史功能，支持查看当前工作流历史调试的运行结果和日志信息。</w:t>
            </w:r>
          </w:p>
          <w:p w14:paraId="2B2319A7">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6、思维树构建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思维树构建功能，对于需要探索或预判战略的复杂任务来说，传统或简单的提示词不能满足业务需求。支持思维树构建，将工作流发布为组件，支持应用创建时重复使用。</w:t>
            </w:r>
            <w:r>
              <w:rPr>
                <w:rFonts w:hint="eastAsia" w:asciiTheme="minorEastAsia" w:hAnsiTheme="minorEastAsia" w:eastAsiaTheme="minorEastAsia" w:cstheme="minorEastAsia"/>
                <w:i w:val="0"/>
                <w:iCs w:val="0"/>
                <w:color w:val="auto"/>
                <w:kern w:val="0"/>
                <w:sz w:val="24"/>
                <w:szCs w:val="24"/>
                <w:highlight w:val="none"/>
                <w:u w:val="none"/>
                <w:lang w:val="en-US" w:eastAsia="zh" w:bidi="ar"/>
                <w:woUserID w:val="2"/>
              </w:rPr>
              <w:t>L</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LM 能够自己对严谨推理过程的中间思维进行评估， 将生成及评估思维的能力与搜索算法相结合，在系统性探索思维的时候可以向前验证和回溯。</w:t>
            </w:r>
          </w:p>
          <w:p w14:paraId="6D1408B7">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7、知识库</w:t>
            </w:r>
          </w:p>
          <w:p w14:paraId="169B61D4">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1）创建知识库功能，支持简单易用的用户界面来方便应用构建者管理个人或者团队的知识库，并能够快速集成至 AI 应用中</w:t>
            </w:r>
          </w:p>
          <w:p w14:paraId="69CD417D">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2）知识上传功能，支持上传 TXT, MARKDOWN, PDF, HTML, XLSX, XLS, DOCX, CSV等类型文件。</w:t>
            </w:r>
          </w:p>
          <w:p w14:paraId="30C64591">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3）知识分段功能，支持整段文本分段、检查分段质量、添加并编辑文本分段，将与用户问题关联度最高的几个段落召回，即分段 TopK 召回模式。在用户问题与文本分段进行语义匹配时，合适的分段大小将有助于匹配关联性最高的文本内容，减少信息噪音。</w:t>
            </w:r>
          </w:p>
          <w:p w14:paraId="171124FE">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4）知识清洗功能，支持多种清洗方法，可以帮助用户在将输出发送到下游应用程序之前对其进行清理。</w:t>
            </w:r>
          </w:p>
          <w:p w14:paraId="061ED321">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5）索引模式管理功能，支持高质量模式，调用 OpenAl 的嵌入接口进行处理，以在用户查询时提供更高的准确度。支持经济模式，使用离线的向量引擎、关键词索引等方式，降低了准确度但无需额外花费。</w:t>
            </w:r>
          </w:p>
          <w:p w14:paraId="0E9DD542">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检索设置功能，支持向量检索，通过生成查询嵌入并查询与其向量表示最相似的文本分段。支持全文检索，索引文档中的所有词汇，从而允许用户查询任意词汇，并返回包含这些词汇的文本片段。支持混合检索，同时执行全文检索和向量检索，并附加重排序步骤，从两类查询结果中选择匹配用户问题的最佳结果，需配置 Rerank 模型 API。</w:t>
            </w:r>
          </w:p>
          <w:p w14:paraId="3AB2F46F">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7）知识库API管理功能，支持提供整套标准API，开发者通过 API 调用对知识库内的文档、进行增删改查等日常管理维护操作。</w:t>
            </w:r>
          </w:p>
          <w:p w14:paraId="7D26F279">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8）召回模式管理功能，支持N 选 1 召回，根据用户意图和知识库描述，由 LLM 自主判断选择最匹配的单个知识库来查询相关文本。支持多路召回，根据用户意图同时匹配所有知识库，从多路知识库查询相关文本片段，经过重排序步骤，从多路查询结果中选择匹配用户问题的最佳结果，需配置 Rerank 模型 API。</w:t>
            </w:r>
          </w:p>
          <w:p w14:paraId="5662CEB5">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9）召回测试功能，支持调试不同检索方式及参数配置下的召回效果，通过源文本输入框输入常见的用户问题，在召回段落查看召回结果。</w:t>
            </w:r>
          </w:p>
          <w:p w14:paraId="60968DA1">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10）预置工具功能，支持内置插件工具，如代码解释器、图表生成、Iframe嵌套网页等插件，可轻松扩展应用能力。</w:t>
            </w:r>
          </w:p>
          <w:p w14:paraId="5066BEF6">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11）自定义工具注册功能，支持根据个性化需求及业务场景，上传自定义工具API，实现工具集成。</w:t>
            </w:r>
          </w:p>
        </w:tc>
        <w:tc>
          <w:tcPr>
            <w:tcW w:w="1632" w:type="dxa"/>
            <w:vAlign w:val="center"/>
          </w:tcPr>
          <w:p w14:paraId="273E6C84">
            <w:pPr>
              <w:keepNext w:val="0"/>
              <w:keepLines w:val="0"/>
              <w:pageBreakBefore w:val="0"/>
              <w:kinsoku/>
              <w:overflowPunct/>
              <w:topLinePunct w:val="0"/>
              <w:autoSpaceDE/>
              <w:autoSpaceDN/>
              <w:bidi w:val="0"/>
              <w:spacing w:line="360" w:lineRule="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250000.00</w:t>
            </w:r>
          </w:p>
        </w:tc>
        <w:tc>
          <w:tcPr>
            <w:tcW w:w="1426" w:type="dxa"/>
            <w:vAlign w:val="center"/>
          </w:tcPr>
          <w:p w14:paraId="2F3A061F">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rPr>
              <w:t>软件和信息技术服务业</w:t>
            </w:r>
          </w:p>
        </w:tc>
      </w:tr>
      <w:tr w14:paraId="501BE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5" w:type="dxa"/>
            <w:vMerge w:val="continue"/>
            <w:vAlign w:val="center"/>
          </w:tcPr>
          <w:p w14:paraId="52022E4A">
            <w:pPr>
              <w:keepNext w:val="0"/>
              <w:keepLines w:val="0"/>
              <w:pageBreakBefore w:val="0"/>
              <w:widowControl/>
              <w:kinsoku/>
              <w:wordWrap w:val="0"/>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p>
        </w:tc>
        <w:tc>
          <w:tcPr>
            <w:tcW w:w="545" w:type="dxa"/>
            <w:vAlign w:val="center"/>
          </w:tcPr>
          <w:p w14:paraId="3901F65C">
            <w:pPr>
              <w:keepNext w:val="0"/>
              <w:keepLines w:val="0"/>
              <w:pageBreakBefore w:val="0"/>
              <w:kinsoku/>
              <w:wordWrap w:val="0"/>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w:t>
            </w:r>
          </w:p>
          <w:p w14:paraId="00681ED5">
            <w:pPr>
              <w:ind w:firstLine="223"/>
              <w:jc w:val="left"/>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2</w:t>
            </w:r>
          </w:p>
        </w:tc>
        <w:tc>
          <w:tcPr>
            <w:tcW w:w="1121" w:type="dxa"/>
            <w:vAlign w:val="center"/>
          </w:tcPr>
          <w:p w14:paraId="601154C8">
            <w:pPr>
              <w:keepNext w:val="0"/>
              <w:keepLines w:val="0"/>
              <w:pageBreakBefore w:val="0"/>
              <w:kinsoku/>
              <w:wordWrap/>
              <w:overflowPunct/>
              <w:topLinePunct w:val="0"/>
              <w:autoSpaceDE/>
              <w:autoSpaceDN/>
              <w:bidi w:val="0"/>
              <w:adjustRightInd/>
              <w:snapToGrid/>
              <w:spacing w:line="360" w:lineRule="auto"/>
              <w:ind w:leftChars="0" w:firstLine="482"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网络阅卷平台</w:t>
            </w:r>
          </w:p>
        </w:tc>
        <w:tc>
          <w:tcPr>
            <w:tcW w:w="570" w:type="dxa"/>
            <w:vAlign w:val="center"/>
          </w:tcPr>
          <w:p w14:paraId="0864D520">
            <w:pPr>
              <w:pStyle w:val="3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套</w:t>
            </w:r>
          </w:p>
        </w:tc>
        <w:tc>
          <w:tcPr>
            <w:tcW w:w="585" w:type="dxa"/>
            <w:vAlign w:val="center"/>
          </w:tcPr>
          <w:p w14:paraId="1468BEB2">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3697" w:type="dxa"/>
            <w:vAlign w:val="center"/>
          </w:tcPr>
          <w:p w14:paraId="1AE8485A">
            <w:pPr>
              <w:keepNext w:val="0"/>
              <w:keepLines w:val="0"/>
              <w:pageBreakBefore w:val="0"/>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rPr>
              <w:t>一、</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网络阅卷平台</w:t>
            </w:r>
          </w:p>
          <w:p w14:paraId="327F8565">
            <w:pPr>
              <w:keepNext w:val="0"/>
              <w:keepLines w:val="0"/>
              <w:pageBreakBefore w:val="0"/>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（一）学生信息管理</w:t>
            </w:r>
          </w:p>
          <w:p w14:paraId="229AB7AE">
            <w:pPr>
              <w:keepNext w:val="0"/>
              <w:keepLines w:val="0"/>
              <w:pageBreakBefore w:val="0"/>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对学生信息进行录入和管理。支持Excel 模板批量导入， 支持可分学校、分年级导入，支持人工校验和修改。学生信息包括姓名、学号、学籍号、入学年、学部以及家长信息。</w:t>
            </w:r>
          </w:p>
          <w:p w14:paraId="43D65A77">
            <w:pPr>
              <w:keepNext w:val="0"/>
              <w:keepLines w:val="0"/>
              <w:pageBreakBefore w:val="0"/>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●（二）教师信息管理</w:t>
            </w:r>
          </w:p>
          <w:p w14:paraId="7F5BD63A">
            <w:pPr>
              <w:keepNext w:val="0"/>
              <w:keepLines w:val="0"/>
              <w:pageBreakBefore w:val="0"/>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对教师信息进行录入和管理。支持Excel 模板批量导入， 支持人工校验和修改。教师信息包括姓名、角色、年级、所教班级、所教学科、联系方式等信息。</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（要求提供教师数据管理系统相关软件著作权证书扫描件，并加盖投标人公章）。</w:t>
            </w:r>
          </w:p>
          <w:p w14:paraId="33E2FF80">
            <w:pPr>
              <w:keepNext w:val="0"/>
              <w:keepLines w:val="0"/>
              <w:pageBreakBefore w:val="0"/>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二、组织考试</w:t>
            </w:r>
          </w:p>
          <w:p w14:paraId="06A38B62">
            <w:pPr>
              <w:keepNext w:val="0"/>
              <w:keepLines w:val="0"/>
              <w:pageBreakBefore w:val="0"/>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（一）创建考试</w:t>
            </w:r>
          </w:p>
          <w:p w14:paraId="0A3A7D61">
            <w:pPr>
              <w:keepNext w:val="0"/>
              <w:keepLines w:val="0"/>
              <w:pageBreakBefore w:val="0"/>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考试管理员通过创建考试发起考试活动。系统支持至少四种考试组织模式，包括：</w:t>
            </w:r>
          </w:p>
          <w:p w14:paraId="77922041">
            <w:pPr>
              <w:keepNext w:val="0"/>
              <w:keepLines w:val="0"/>
              <w:pageBreakBefore w:val="0"/>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1）联考模式：实现以教研室组织或多个学校模式的联 考方式；</w:t>
            </w:r>
          </w:p>
          <w:p w14:paraId="1B4B9C63">
            <w:pPr>
              <w:keepNext w:val="0"/>
              <w:keepLines w:val="0"/>
              <w:pageBreakBefore w:val="0"/>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2）期考模式：实现以学校为单位组织的期中（终）考，全校统一编制试场和组织阅卷教师；</w:t>
            </w:r>
          </w:p>
          <w:p w14:paraId="2F51C4AF">
            <w:pPr>
              <w:keepNext w:val="0"/>
              <w:keepLines w:val="0"/>
              <w:pageBreakBefore w:val="0"/>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3）月考/周考模式：实现年级范围内组织的月考/周考模式；</w:t>
            </w:r>
          </w:p>
          <w:p w14:paraId="6887E4FE">
            <w:pPr>
              <w:keepNext w:val="0"/>
              <w:keepLines w:val="0"/>
              <w:pageBreakBefore w:val="0"/>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4）教师模式：即在权限范围内的教师可自行组织考试， 系统权限开放给所有老师，老师可自行组织考试，完成整改阅卷流程。</w:t>
            </w:r>
          </w:p>
          <w:p w14:paraId="7618DCB2">
            <w:pPr>
              <w:keepNext w:val="0"/>
              <w:keepLines w:val="0"/>
              <w:pageBreakBefore w:val="0"/>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（二）角色分配与管理</w:t>
            </w:r>
          </w:p>
          <w:p w14:paraId="68CB4957">
            <w:pPr>
              <w:keepNext w:val="0"/>
              <w:keepLines w:val="0"/>
              <w:pageBreakBefore w:val="0"/>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考试管理员创建考试之后，可以对创建的考试进行管理员，考试扫描员、各学科负责老师、阅卷教师的权限设置与调整，同一个用户可支持多角色的权限控制。</w:t>
            </w:r>
          </w:p>
          <w:p w14:paraId="76C6FC96">
            <w:pPr>
              <w:keepNext w:val="0"/>
              <w:keepLines w:val="0"/>
              <w:pageBreakBefore w:val="0"/>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（三）制作答题卡</w:t>
            </w:r>
          </w:p>
          <w:p w14:paraId="0F38BA78">
            <w:pPr>
              <w:keepNext w:val="0"/>
              <w:keepLines w:val="0"/>
              <w:pageBreakBefore w:val="0"/>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可答题卡制作模块实现 WEB 在线答题卡制作。系统支持常用条形码、填涂考号的学生信息自动识别；支持黑色、红色颜色的答题卡，也支持不同厚度和长度的答题卡，同时支持题卡合一和题卡分离的应用模式。</w:t>
            </w:r>
          </w:p>
          <w:p w14:paraId="3C25110C">
            <w:pPr>
              <w:keepNext w:val="0"/>
              <w:keepLines w:val="0"/>
              <w:pageBreakBefore w:val="0"/>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三、网络阅卷</w:t>
            </w:r>
          </w:p>
          <w:p w14:paraId="780A2E34">
            <w:pPr>
              <w:keepNext w:val="0"/>
              <w:keepLines w:val="0"/>
              <w:pageBreakBefore w:val="0"/>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（一）答题卡扫描（扫描员）</w:t>
            </w:r>
          </w:p>
          <w:p w14:paraId="5146D7FA">
            <w:pPr>
              <w:keepNext w:val="0"/>
              <w:keepLines w:val="0"/>
              <w:pageBreakBefore w:val="0"/>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线下考试完成后，由管理员或者扫描员将所有答题卡进行扫描和上传，扫描员可将扫描图像扫描完成即可，扫描中即同时上传至服务器，系统内支持跨网段的试卷数据直接存储。软件可支持：</w:t>
            </w:r>
          </w:p>
          <w:p w14:paraId="2757DE68">
            <w:pPr>
              <w:keepNext w:val="0"/>
              <w:keepLines w:val="0"/>
              <w:pageBreakBefore w:val="0"/>
              <w:numPr>
                <w:ilvl w:val="0"/>
                <w:numId w:val="2"/>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支持识别 OCR/BarCode（条码）识别模式；</w:t>
            </w:r>
          </w:p>
          <w:p w14:paraId="7E644666">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2）支持市面主流品牌扫描仪</w:t>
            </w:r>
            <w:r>
              <w:rPr>
                <w:rFonts w:hint="eastAsia" w:asciiTheme="minorEastAsia" w:hAnsiTheme="minorEastAsia" w:eastAsiaTheme="minorEastAsia" w:cstheme="minorEastAsia"/>
                <w:i w:val="0"/>
                <w:iCs w:val="0"/>
                <w:color w:val="auto"/>
                <w:kern w:val="0"/>
                <w:sz w:val="24"/>
                <w:szCs w:val="24"/>
                <w:highlight w:val="none"/>
                <w:u w:val="none"/>
                <w:lang w:val="en-US" w:eastAsia="zh-CN" w:bidi="ar"/>
                <w:woUserID w:val="5"/>
              </w:rPr>
              <w:t>（如爱普生、佳能等）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p w14:paraId="619DB54C">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3）支持单面、双面以及单页、多页扫描；</w:t>
            </w:r>
          </w:p>
          <w:p w14:paraId="4B7C9609">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4）混合扫描、左右颠倒扫描可顺利通过；</w:t>
            </w:r>
          </w:p>
          <w:p w14:paraId="1A925784">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5）自动纠斜、纠偏、去黑边、图像旋转等图像处理功能；</w:t>
            </w:r>
          </w:p>
          <w:p w14:paraId="17568AE7">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6）可对扫描量、扫描情况进行监控；</w:t>
            </w:r>
          </w:p>
          <w:p w14:paraId="20A2D0BA">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7）支持边扫描时，出现异常试卷边处理；</w:t>
            </w:r>
          </w:p>
          <w:p w14:paraId="275CAA37">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8）支持边阅边扫功能；</w:t>
            </w:r>
          </w:p>
          <w:p w14:paraId="2B8DCD7D">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9）在答卷扫描过程中同步完成考生考号及客观题涂点识别自动判分，无需进行二次操作，支持人工校验，支持单选、多选客观题自动评卷；</w:t>
            </w:r>
          </w:p>
          <w:p w14:paraId="62B72D3A">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10）支持 A3、A4、B3、B4 及多种规则常见的答卷尺寸扫描识别；</w:t>
            </w:r>
          </w:p>
          <w:p w14:paraId="42F4577F">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11）对异常试卷的处理，当出现试卷页码漏印、试卷印刷有倾斜、客观题涂点印刷不完整、试卷有小幅褶皱等情况时，扫描识别可正常进行；</w:t>
            </w:r>
          </w:p>
          <w:p w14:paraId="35B621B9">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12）支持对考生答卷的批注、对勾，错，半对、输入文字、标记、浏览、擦除、扩展题块小范围等功能；</w:t>
            </w:r>
          </w:p>
          <w:p w14:paraId="6F86E3EA">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13）图像存储：答卷通过扫描设备生成图像文件（文件形式可为：切分图、整图、数据库文件）；</w:t>
            </w:r>
          </w:p>
          <w:p w14:paraId="29284F2E">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14）所生成的文件和数据库可以直接使用网上评卷系统进行评阅；</w:t>
            </w:r>
          </w:p>
          <w:p w14:paraId="3E9A763A">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15）图像加密，在阅卷过程中阅卷教师看不到考生信息， 增加保密性和公平性；</w:t>
            </w:r>
          </w:p>
          <w:p w14:paraId="321C0F92">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16）扫描过程同步完成对客观题自动判分，出成绩；</w:t>
            </w:r>
          </w:p>
          <w:p w14:paraId="3D372A0F">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17）可按考场、班级、学校单位进行扫描，准确核对扫描数量，确保准确；</w:t>
            </w:r>
          </w:p>
          <w:p w14:paraId="1F9B1712">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18）扫描的同时可完成数据正确性和一致性的检查；</w:t>
            </w:r>
          </w:p>
          <w:p w14:paraId="65732557">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19）缺考及异常处理可同时进行，保证答卷扫描的准确性；</w:t>
            </w:r>
          </w:p>
          <w:p w14:paraId="25A55D9F">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20）扫描后的图像可快速、安全、稳定地传至指定的介质上，传输过程无人干预，遇到错误可提供相关报警信息；</w:t>
            </w:r>
          </w:p>
          <w:p w14:paraId="760E3AC3">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21）答题卡扫描后的图像进行数据电子化永久保存，保存管理更安全、方便。</w:t>
            </w:r>
          </w:p>
          <w:p w14:paraId="376DC7D3">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（二）阅卷管理（考试管理员）</w:t>
            </w:r>
          </w:p>
          <w:p w14:paraId="1BAF5C7B">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1、</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设置试卷包含的客观题、主观题的标准分和给分点。主观题能设置每大题的满分和各得分点的分值，以及分配学科阅卷老师，以及产生仲裁的误差分值，主观题支持单评，多评，双评；客观题支持多选和设置匹配原则。</w:t>
            </w:r>
          </w:p>
          <w:p w14:paraId="310FC633">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设置试卷包含的客观题、主观题的标准分和给分点。主观题能设置每大题的满分和各得分点的分值，以及分配学科阅卷老师，以及产生仲裁的误差分值，主观题支持单评，多评，双评；客观题支持多选和设置匹配原则。</w:t>
            </w:r>
          </w:p>
          <w:p w14:paraId="1A88599B">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3、根据阅卷的要求，从空白答题卡中框选出每个阅卷题块的范围，框选范围为老师阅卷时查看的内容。</w:t>
            </w:r>
          </w:p>
          <w:p w14:paraId="3AEFCA85">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4、分别设置客观题与主观题答案。</w:t>
            </w:r>
          </w:p>
          <w:p w14:paraId="05F0F015">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5、可将本次阅卷教师从基础平台中导入，同时根据评卷的要求进行设置单评，双评，多评，以及分配方式支持效率优先、平均分配和定量分配等。</w:t>
            </w:r>
          </w:p>
          <w:p w14:paraId="0487F518">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6、学校管理员或学科负责人可以统一发布阅卷指令，可设置立刻阅卷和设置某个阅卷时间，阅卷开始后可及时掌握各阅卷组和所有阅卷教师的进度和动态信息。</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学校管理员或学科负责人可及时把握动态每一道大题的阅卷进度和仲裁量。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在阅卷过程中，学科负责人可对阅卷教师进行调度，如有些组已经完成任务，可以抽调阅卷教师到其他题块评阅。</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在阅卷过程中，可以查看到每个老师的阅卷情况，包括平均分，平均用时，标准分，所阅卷的所有试卷，同时发现疑问时，可以打回重阅。</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可针对某个学生试卷进行抽查阅卷的老师，便于学生质疑成绩时查看学生试卷评阅的老师和分数。</w:t>
            </w:r>
          </w:p>
          <w:p w14:paraId="3AEC77AD">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7、学科负责人可以参与任一组的试卷仲裁工作，支持对任意科目、任意题目，按任意比例进行单评、双评或多评设置，并具有一致性检查功能；</w:t>
            </w:r>
          </w:p>
          <w:p w14:paraId="306E6707">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8、学科负责人可查阅考生的答题卡全卷。</w:t>
            </w:r>
          </w:p>
          <w:p w14:paraId="7E90139D">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1）有统一的成绩参数设定界面，能设置相应的参数导出相关的成绩报表。</w:t>
            </w:r>
          </w:p>
          <w:p w14:paraId="16208FDD">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2）所有参考学生单科及总分（包含单科）的成绩册。可进行学校、年级、班级、学科参数设置，导出所有学生的单科成绩，单科与总分合并成绩 excel 表。</w:t>
            </w:r>
          </w:p>
          <w:p w14:paraId="62A570C7">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3）全校学生单科及总分（包含单科）的成绩。可进行学校、年级、班级、学科参数设置，导出全校所有学生的单科成绩，单科与总分合并成绩册 excel 表。</w:t>
            </w:r>
          </w:p>
          <w:p w14:paraId="4F507967">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4）学生成绩统计：可进行各学科满分，优秀分，及格分的设置，导出总分的优秀率、及格率、标准率和各学科优秀率、及格率、标准差，并可导出 excel 表。</w:t>
            </w:r>
          </w:p>
          <w:p w14:paraId="04C69969">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5）可按比例划档并进行统计，统计比例即可按高分至低分段，也可按低分至高分等。</w:t>
            </w:r>
          </w:p>
          <w:p w14:paraId="07A63422">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●（三）教师阅卷</w:t>
            </w:r>
          </w:p>
          <w:p w14:paraId="0D065EA9">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lang w:val="en-US" w:eastAsia="zh-CN" w:bidi="ar"/>
              </w:rPr>
              <w:t>1）</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可按得分点输入分数</w:t>
            </w:r>
          </w:p>
          <w:p w14:paraId="0CF20ED3">
            <w:pPr>
              <w:keepNext w:val="0"/>
              <w:keepLines w:val="0"/>
              <w:pageBreakBefore w:val="0"/>
              <w:numPr>
                <w:ilvl w:val="0"/>
                <w:numId w:val="0"/>
              </w:numPr>
              <w:kinsoku/>
              <w:overflowPunct/>
              <w:topLinePunct w:val="0"/>
              <w:autoSpaceDE/>
              <w:autoSpaceDN/>
              <w:bidi w:val="0"/>
              <w:spacing w:line="360" w:lineRule="auto"/>
              <w:ind w:left="0"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lang w:val="en-US" w:eastAsia="zh-CN" w:bidi="ar"/>
              </w:rPr>
              <w:t>2）</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可设置单份阅卷自动提交；</w:t>
            </w:r>
          </w:p>
          <w:p w14:paraId="584C17E8">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3）教师可查阅已评阅的前 N 份的试卷；</w:t>
            </w:r>
          </w:p>
          <w:p w14:paraId="693EBE6E">
            <w:pPr>
              <w:keepNext w:val="0"/>
              <w:keepLines w:val="0"/>
              <w:pageBreakBefore w:val="0"/>
              <w:numPr>
                <w:ilvl w:val="0"/>
                <w:numId w:val="0"/>
              </w:numPr>
              <w:kinsoku/>
              <w:overflowPunct/>
              <w:topLinePunct w:val="0"/>
              <w:autoSpaceDE/>
              <w:autoSpaceDN/>
              <w:bidi w:val="0"/>
              <w:spacing w:line="360" w:lineRule="auto"/>
              <w:ind w:left="0"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4）赋分可以直接输入成绩，也可以通过鼠标赋分。</w:t>
            </w:r>
          </w:p>
          <w:p w14:paraId="1DD6FD34">
            <w:pPr>
              <w:keepNext w:val="0"/>
              <w:keepLines w:val="0"/>
              <w:pageBreakBefore w:val="0"/>
              <w:numPr>
                <w:ilvl w:val="0"/>
                <w:numId w:val="0"/>
              </w:numPr>
              <w:kinsoku/>
              <w:overflowPunct/>
              <w:topLinePunct w:val="0"/>
              <w:autoSpaceDE/>
              <w:autoSpaceDN/>
              <w:bidi w:val="0"/>
              <w:spacing w:line="360" w:lineRule="auto"/>
              <w:ind w:left="0"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5）阅卷过程中如果出现图片模糊、错误、歪斜等情况， 可以标记为“疑难卷”交由学科负责人来处理。</w:t>
            </w:r>
          </w:p>
          <w:p w14:paraId="013218A5">
            <w:pPr>
              <w:keepNext w:val="0"/>
              <w:keepLines w:val="0"/>
              <w:pageBreakBefore w:val="0"/>
              <w:numPr>
                <w:ilvl w:val="0"/>
                <w:numId w:val="0"/>
              </w:numPr>
              <w:kinsoku/>
              <w:overflowPunct/>
              <w:topLinePunct w:val="0"/>
              <w:autoSpaceDE/>
              <w:autoSpaceDN/>
              <w:bidi w:val="0"/>
              <w:spacing w:line="360" w:lineRule="auto"/>
              <w:ind w:left="0"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6）对于答题优秀的试卷，可以标记为“优秀答案”， 方便学生查看。</w:t>
            </w:r>
          </w:p>
          <w:p w14:paraId="3331500B">
            <w:pPr>
              <w:keepNext w:val="0"/>
              <w:keepLines w:val="0"/>
              <w:pageBreakBefore w:val="0"/>
              <w:numPr>
                <w:ilvl w:val="0"/>
                <w:numId w:val="0"/>
              </w:numPr>
              <w:kinsoku/>
              <w:overflowPunct/>
              <w:topLinePunct w:val="0"/>
              <w:autoSpaceDE/>
              <w:autoSpaceDN/>
              <w:bidi w:val="0"/>
              <w:spacing w:line="360" w:lineRule="auto"/>
              <w:ind w:left="0"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7）可以查看试题的原卷和试题的标准答案。</w:t>
            </w:r>
          </w:p>
          <w:p w14:paraId="75C97855">
            <w:pPr>
              <w:keepNext w:val="0"/>
              <w:keepLines w:val="0"/>
              <w:pageBreakBefore w:val="0"/>
              <w:numPr>
                <w:ilvl w:val="0"/>
                <w:numId w:val="0"/>
              </w:numPr>
              <w:kinsoku/>
              <w:overflowPunct/>
              <w:topLinePunct w:val="0"/>
              <w:autoSpaceDE/>
              <w:autoSpaceDN/>
              <w:bidi w:val="0"/>
              <w:spacing w:line="360" w:lineRule="auto"/>
              <w:ind w:left="0"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（要求提供互联网云阅卷系统相关软件著作权证书扫描件，并加盖投标人公章）</w:t>
            </w:r>
          </w:p>
          <w:p w14:paraId="096DF171">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（四）AI作文质检</w:t>
            </w:r>
          </w:p>
          <w:p w14:paraId="4B5B5F10">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1、使用智能体对英语、语文作文进行批改；</w:t>
            </w:r>
          </w:p>
          <w:p w14:paraId="75A921F8">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2、对比分析AI作文批改结果与人工批改结果的分数差异，导出分数差距较大的作文数据。</w:t>
            </w:r>
          </w:p>
          <w:p w14:paraId="5C4D7EC8">
            <w:pPr>
              <w:pStyle w:val="2"/>
              <w:rPr>
                <w:rFonts w:hint="eastAsia"/>
                <w:color w:val="auto"/>
                <w:highlight w:val="none"/>
                <w:lang w:val="en-US" w:eastAsia="zh-CN"/>
              </w:rPr>
            </w:pPr>
            <w:r>
              <w:rPr>
                <w:rFonts w:hint="eastAsia"/>
                <w:color w:val="auto"/>
                <w:highlight w:val="none"/>
                <w:lang w:val="en-US" w:eastAsia="zh-CN"/>
              </w:rPr>
              <w:t>（五）AI 全学科批阅​</w:t>
            </w:r>
          </w:p>
          <w:p w14:paraId="1177FEBA">
            <w:pPr>
              <w:pStyle w:val="2"/>
              <w:rPr>
                <w:rFonts w:hint="eastAsia"/>
                <w:color w:val="auto"/>
                <w:highlight w:val="none"/>
                <w:lang w:val="en-US" w:eastAsia="zh-CN"/>
              </w:rPr>
            </w:pPr>
            <w:r>
              <w:rPr>
                <w:rFonts w:hint="eastAsia"/>
                <w:color w:val="auto"/>
                <w:highlight w:val="none"/>
                <w:lang w:val="en-US" w:eastAsia="zh-CN"/>
              </w:rPr>
              <w:t>1.需支持依据学生作答情况，按题块对全量学生试卷进行自动化批改。</w:t>
            </w:r>
          </w:p>
          <w:p w14:paraId="5C0818F6">
            <w:pPr>
              <w:pStyle w:val="2"/>
              <w:rPr>
                <w:rFonts w:hint="eastAsia"/>
                <w:color w:val="auto"/>
                <w:highlight w:val="none"/>
                <w:lang w:val="en-US" w:eastAsia="zh-CN"/>
              </w:rPr>
            </w:pPr>
            <w:r>
              <w:rPr>
                <w:rFonts w:hint="eastAsia"/>
                <w:color w:val="auto"/>
                <w:highlight w:val="none"/>
                <w:lang w:val="en-US" w:eastAsia="zh-CN"/>
              </w:rPr>
              <w:t>2.批改完成后，需自动生成每位学生各题目得分、详细评分原因及 AI 批改可信度标识。</w:t>
            </w:r>
          </w:p>
        </w:tc>
        <w:tc>
          <w:tcPr>
            <w:tcW w:w="1632" w:type="dxa"/>
            <w:vAlign w:val="center"/>
          </w:tcPr>
          <w:p w14:paraId="17642FB4">
            <w:pPr>
              <w:keepNext w:val="0"/>
              <w:keepLines w:val="0"/>
              <w:pageBreakBefore w:val="0"/>
              <w:kinsoku/>
              <w:overflowPunct/>
              <w:topLinePunct w:val="0"/>
              <w:autoSpaceDE/>
              <w:autoSpaceDN/>
              <w:bidi w:val="0"/>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250000.00</w:t>
            </w:r>
          </w:p>
        </w:tc>
        <w:tc>
          <w:tcPr>
            <w:tcW w:w="1426" w:type="dxa"/>
            <w:vAlign w:val="center"/>
          </w:tcPr>
          <w:p w14:paraId="0BEFA561">
            <w:pPr>
              <w:keepNext w:val="0"/>
              <w:keepLines w:val="0"/>
              <w:pageBreakBefore w:val="0"/>
              <w:kinsoku/>
              <w:wordWrap/>
              <w:overflowPunct/>
              <w:topLinePunct w:val="0"/>
              <w:autoSpaceDE/>
              <w:autoSpaceDN/>
              <w:bidi w:val="0"/>
              <w:adjustRightInd/>
              <w:snapToGrid/>
              <w:spacing w:line="360" w:lineRule="auto"/>
              <w:ind w:leftChars="0" w:firstLine="482"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rPr>
              <w:t>软件和信息技术服务业</w:t>
            </w:r>
          </w:p>
        </w:tc>
      </w:tr>
      <w:tr w14:paraId="3ACA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5" w:type="dxa"/>
            <w:vMerge w:val="continue"/>
            <w:vAlign w:val="center"/>
          </w:tcPr>
          <w:p w14:paraId="46743A05">
            <w:pPr>
              <w:keepNext w:val="0"/>
              <w:keepLines w:val="0"/>
              <w:pageBreakBefore w:val="0"/>
              <w:widowControl/>
              <w:kinsoku/>
              <w:wordWrap w:val="0"/>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p>
        </w:tc>
        <w:tc>
          <w:tcPr>
            <w:tcW w:w="545" w:type="dxa"/>
            <w:vAlign w:val="center"/>
          </w:tcPr>
          <w:p w14:paraId="123E1CC6">
            <w:pPr>
              <w:keepNext w:val="0"/>
              <w:keepLines w:val="0"/>
              <w:pageBreakBefore w:val="0"/>
              <w:kinsoku/>
              <w:wordWrap w:val="0"/>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3</w:t>
            </w:r>
          </w:p>
          <w:p w14:paraId="3D961DAE">
            <w:pPr>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3</w:t>
            </w:r>
          </w:p>
        </w:tc>
        <w:tc>
          <w:tcPr>
            <w:tcW w:w="1121" w:type="dxa"/>
            <w:vAlign w:val="center"/>
          </w:tcPr>
          <w:p w14:paraId="69486EEE">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大模型学业智能监测平台</w:t>
            </w:r>
          </w:p>
        </w:tc>
        <w:tc>
          <w:tcPr>
            <w:tcW w:w="570" w:type="dxa"/>
            <w:vAlign w:val="center"/>
          </w:tcPr>
          <w:p w14:paraId="49B813A0">
            <w:pPr>
              <w:pStyle w:val="3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套</w:t>
            </w:r>
          </w:p>
        </w:tc>
        <w:tc>
          <w:tcPr>
            <w:tcW w:w="585" w:type="dxa"/>
            <w:vAlign w:val="center"/>
          </w:tcPr>
          <w:p w14:paraId="6C5DEC95">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3697" w:type="dxa"/>
            <w:vAlign w:val="center"/>
          </w:tcPr>
          <w:p w14:paraId="133A4EFB">
            <w:pPr>
              <w:keepNext w:val="0"/>
              <w:keepLines w:val="0"/>
              <w:pageBreakBefore w:val="0"/>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color w:val="auto"/>
                <w:kern w:val="0"/>
                <w:sz w:val="24"/>
                <w:szCs w:val="24"/>
                <w:highlight w:val="none"/>
                <w:lang w:val="en-US" w:eastAsia="zh-CN"/>
              </w:rPr>
              <w:t>一、</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考试报告</w:t>
            </w:r>
          </w:p>
          <w:p w14:paraId="1BEA2A11">
            <w:pPr>
              <w:keepNext w:val="0"/>
              <w:keepLines w:val="0"/>
              <w:pageBreakBefore w:val="0"/>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（一）区域领导</w:t>
            </w:r>
          </w:p>
          <w:p w14:paraId="3778CDB2">
            <w:pPr>
              <w:keepNext w:val="0"/>
              <w:keepLines w:val="0"/>
              <w:pageBreakBefore w:val="0"/>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通过区域考试报告，区域领导能够依据平台所收集并挖掘的考试数据，进行精确的教学成效与学生需求分析，从而为区域教育教学的决策提供有力支持。在此报告中，区域领导可以全面获取区域学生整体概况、分年级的详细分析以及年级学科的深入分析。</w:t>
            </w:r>
          </w:p>
          <w:p w14:paraId="4B8644B5">
            <w:pPr>
              <w:keepNext w:val="0"/>
              <w:keepLines w:val="0"/>
              <w:pageBreakBefore w:val="0"/>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（二）学校领导</w:t>
            </w:r>
          </w:p>
          <w:p w14:paraId="4E07977C">
            <w:pPr>
              <w:keepNext w:val="0"/>
              <w:keepLines w:val="0"/>
              <w:pageBreakBefore w:val="0"/>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通过学校考试报告，学校领导可以了解考情校间差异、校内差异，系统提供的详细分析可以帮助学校领导制定针对性的教学改进措施，提升教学质量。此外，通过对学生的成绩分析，校领导可以对教师的教学质量进行客观评估，为教师培训和发展提供依据。</w:t>
            </w:r>
          </w:p>
          <w:p w14:paraId="247E20C5">
            <w:pPr>
              <w:keepNext w:val="0"/>
              <w:keepLines w:val="0"/>
              <w:pageBreakBefore w:val="0"/>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（三）科任教师</w:t>
            </w:r>
          </w:p>
          <w:p w14:paraId="37804339">
            <w:pPr>
              <w:keepNext w:val="0"/>
              <w:keepLines w:val="0"/>
              <w:pageBreakBefore w:val="0"/>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通过单科考试报告，科任教师可以快速了解班级情况，包括知识点掌握程度、每个学生的成绩、错误类型等。针对学生的共性问题，帮助教师调整教学内容和方法，重点加强学生普遍薄弱的知识点，针对学生的个性问题，帮助教师制定个性化教学计划，提升教学效果。此外，系统会持续进行学生发展跟踪，通过多次考试的跟踪与分析，跟踪学生的成长和进步，及时发现并干预学习困难的学生。</w:t>
            </w:r>
          </w:p>
          <w:p w14:paraId="2D1DE124">
            <w:pPr>
              <w:keepNext w:val="0"/>
              <w:keepLines w:val="0"/>
              <w:pageBreakBefore w:val="0"/>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（四）学生家长</w:t>
            </w:r>
          </w:p>
          <w:p w14:paraId="08A70923">
            <w:pPr>
              <w:keepNext w:val="0"/>
              <w:keepLines w:val="0"/>
              <w:pageBreakBefore w:val="0"/>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通过学生考试报告，学生可以清晰了解自身的当前水平，并合理评估个人学业发展层次。此外，平台还支持学生学习题目的解题思路及考核重点，同时提供个性化的错题练习，便于学生查阅并快速掌握学习要点，从而有效提升学业水平。</w:t>
            </w:r>
          </w:p>
          <w:p w14:paraId="0B5CD0CA">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lang w:val="en-US" w:eastAsia="zh-CN" w:bidi="ar"/>
              </w:rPr>
              <w:t>二、</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考试报表</w:t>
            </w:r>
          </w:p>
          <w:p w14:paraId="7AFE1895">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（一）学校分析报表</w:t>
            </w:r>
          </w:p>
          <w:p w14:paraId="0282AC47">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（1）报表基础信息： </w:t>
            </w:r>
          </w:p>
          <w:p w14:paraId="33A23C25">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1、报表考试名称／报表名称；</w:t>
            </w:r>
          </w:p>
          <w:p w14:paraId="51B59FC5">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2、报表导读；</w:t>
            </w:r>
          </w:p>
          <w:p w14:paraId="4BFF9738">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（2）总分分布：</w:t>
            </w:r>
          </w:p>
          <w:p w14:paraId="5C583890">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1、总分分布数据；</w:t>
            </w:r>
          </w:p>
          <w:p w14:paraId="47C18AE3">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2、总分分布图；</w:t>
            </w:r>
          </w:p>
          <w:p w14:paraId="4E3279EF">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（3）分档上线：</w:t>
            </w:r>
          </w:p>
          <w:p w14:paraId="2DA26176">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1、分档线设置；</w:t>
            </w:r>
          </w:p>
          <w:p w14:paraId="4C901111">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2、总分分档学生人数分布；</w:t>
            </w:r>
          </w:p>
          <w:p w14:paraId="2AA93465">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3、学科分档学生人数分布；</w:t>
            </w:r>
          </w:p>
          <w:p w14:paraId="58BBB0F4">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4、学科上线率贡献指数；</w:t>
            </w:r>
          </w:p>
          <w:p w14:paraId="7E6CC8B2">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（4）班级考试基本表现：</w:t>
            </w:r>
          </w:p>
          <w:p w14:paraId="63BF656E">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1、班级总分分布；</w:t>
            </w:r>
          </w:p>
          <w:p w14:paraId="26ECB92A">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2、班级学科平均分水平；</w:t>
            </w:r>
          </w:p>
          <w:p w14:paraId="6B6FE829">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3、班级学科得分率贡献指数；</w:t>
            </w:r>
          </w:p>
          <w:p w14:paraId="0BF3F76B">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（5）学科考试表现：</w:t>
            </w:r>
          </w:p>
          <w:p w14:paraId="6570F735">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1、学科分析指标，包括最高分、最低分、平均分、标准差、差异系数（标准差与平均分之比）和难度等指标；</w:t>
            </w:r>
          </w:p>
          <w:p w14:paraId="364238A2">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2、学科的班级平均分得分率差异；</w:t>
            </w:r>
          </w:p>
          <w:p w14:paraId="292A0600">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3、各学科成绩分布的等级结构比例；</w:t>
            </w:r>
          </w:p>
          <w:p w14:paraId="5FDAB9CB">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（6）年级分数排行榜：</w:t>
            </w:r>
          </w:p>
          <w:p w14:paraId="7F6C00F7">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1、年级前10名；</w:t>
            </w:r>
          </w:p>
          <w:p w14:paraId="2C3D097D">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2、年级后10名；</w:t>
            </w:r>
          </w:p>
          <w:p w14:paraId="0756825B">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（7）优秀学生人数：</w:t>
            </w:r>
          </w:p>
          <w:p w14:paraId="01643016">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1、按名次统计；</w:t>
            </w:r>
          </w:p>
          <w:p w14:paraId="31200581">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2、按比例统计；</w:t>
            </w:r>
          </w:p>
          <w:p w14:paraId="4E4A80C7">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（8）待提高学生人数：</w:t>
            </w:r>
          </w:p>
          <w:p w14:paraId="412C9D3E">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1、按名次统计；</w:t>
            </w:r>
          </w:p>
          <w:p w14:paraId="7F4DF870">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2、按比例统计；</w:t>
            </w:r>
          </w:p>
          <w:p w14:paraId="7810437B">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●（二）学科分析报表</w:t>
            </w:r>
          </w:p>
          <w:p w14:paraId="567E510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考试基础信息说明：</w:t>
            </w:r>
          </w:p>
          <w:p w14:paraId="453F2C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lang w:val="en-US" w:eastAsia="zh-CN" w:bidi="ar"/>
              </w:rPr>
              <w:t>1、</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考试信息；</w:t>
            </w:r>
          </w:p>
          <w:p w14:paraId="3D54EC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（2）考试基本情况：</w:t>
            </w:r>
          </w:p>
          <w:p w14:paraId="742095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1、试卷基础信息；</w:t>
            </w:r>
          </w:p>
          <w:p w14:paraId="09EDFB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2、学科总分分布；</w:t>
            </w:r>
          </w:p>
          <w:p w14:paraId="6BAC0F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3、学科考试常用分析指标；</w:t>
            </w:r>
          </w:p>
          <w:p w14:paraId="5948D6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（3）分档上线情况：</w:t>
            </w:r>
          </w:p>
          <w:p w14:paraId="7410F6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1、一档人数学科学生人数分布，学科贡献表现；</w:t>
            </w:r>
          </w:p>
          <w:p w14:paraId="30A322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2、二档人数学科学生人数分布，学科贡献表现；</w:t>
            </w:r>
          </w:p>
          <w:p w14:paraId="761203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3、三档人数学科学生人数分布，学科贡献表现；</w:t>
            </w:r>
          </w:p>
          <w:p w14:paraId="2E4693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4、学科各班级的分档上线的人数分布；</w:t>
            </w:r>
          </w:p>
          <w:p w14:paraId="3DCB29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（4）学科教学质量分析：</w:t>
            </w:r>
          </w:p>
          <w:p w14:paraId="29CEDE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1、全校及各班级的学科平均成绩/学科得分率贡献指数；</w:t>
            </w:r>
          </w:p>
          <w:p w14:paraId="21BACF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2、全体学生的成绩分布情况；</w:t>
            </w:r>
          </w:p>
          <w:p w14:paraId="459E0B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3、学科成绩分组人数分布；</w:t>
            </w:r>
          </w:p>
          <w:p w14:paraId="369669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4、班级学科试题表现的差异情况；</w:t>
            </w:r>
          </w:p>
          <w:p w14:paraId="3DB2E5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5、难度聚类试题组；</w:t>
            </w:r>
          </w:p>
          <w:p w14:paraId="7A73ED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（5）试卷的整体测试表现：</w:t>
            </w:r>
          </w:p>
          <w:p w14:paraId="42FE73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1、试卷难度及区分度的整体表现；</w:t>
            </w:r>
          </w:p>
          <w:p w14:paraId="3E5064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2、试卷难度区分度分布；</w:t>
            </w:r>
          </w:p>
          <w:p w14:paraId="67CBF0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（6）学生重点信息：</w:t>
            </w:r>
          </w:p>
          <w:p w14:paraId="2D1262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1、本学科总分，全年级前10名；</w:t>
            </w:r>
          </w:p>
          <w:p w14:paraId="3307FF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2、本学科总分，全年级前20%学生分布；</w:t>
            </w:r>
          </w:p>
          <w:p w14:paraId="74ECCD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3、本学科总分，全年级后20%学生分布；</w:t>
            </w:r>
          </w:p>
          <w:p w14:paraId="793D7D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4、本学科短板学生分布；</w:t>
            </w:r>
          </w:p>
          <w:p w14:paraId="1E90AD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（要求提供学业成绩表格化分析系统相关软件著作权证书扫描件，并加盖投标人公章）</w:t>
            </w:r>
          </w:p>
          <w:p w14:paraId="4F5EB7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（三）班级分析报表</w:t>
            </w:r>
          </w:p>
          <w:p w14:paraId="6036E4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（1）报表切换：</w:t>
            </w:r>
          </w:p>
          <w:p w14:paraId="6EDE93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1、班级间对比／某一个班对的比切换条；</w:t>
            </w:r>
          </w:p>
          <w:p w14:paraId="3CFEDD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（2）报表基础信息：</w:t>
            </w:r>
          </w:p>
          <w:p w14:paraId="0F9FC4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1、报表考试名称／报表名称；</w:t>
            </w:r>
          </w:p>
          <w:p w14:paraId="03A89E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2、报表导读；</w:t>
            </w:r>
          </w:p>
          <w:p w14:paraId="06B5F1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（3）总分分布：</w:t>
            </w:r>
          </w:p>
          <w:p w14:paraId="5F88F3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1、总分分布；</w:t>
            </w:r>
          </w:p>
          <w:p w14:paraId="5CA3FC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（4）分档上线：</w:t>
            </w:r>
          </w:p>
          <w:p w14:paraId="2F76AC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1、分档线设置，最多可设置5档；</w:t>
            </w:r>
          </w:p>
          <w:p w14:paraId="52BAA2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2、总分分档学生人数分布；</w:t>
            </w:r>
          </w:p>
          <w:p w14:paraId="069842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3、学科分档学生人数分布；</w:t>
            </w:r>
          </w:p>
          <w:p w14:paraId="1DFB9C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（5）学科考试表现：</w:t>
            </w:r>
          </w:p>
          <w:p w14:paraId="28730D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1、学科分析常用指数，包括试卷满分、总分最高分、总分最低分、总分平均分、总分得分率、标准差、差异系数、实考人数；</w:t>
            </w:r>
          </w:p>
          <w:p w14:paraId="049118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2、学科得分率贡献指数，通过此项可分析学科对班级综合水平的贡献大小；</w:t>
            </w:r>
          </w:p>
          <w:p w14:paraId="49C568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3、学生学科水平的分布。将成绩等分为10组（第一组成绩最高，第十组成绩最低），高分段学生密度越大，表现有优势，低分段学生密度越大，则需要注意帮助这部分学生；</w:t>
            </w:r>
          </w:p>
          <w:p w14:paraId="1C8E7E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4、学科成绩等级的人数分布比例。将班级整体及各学科成绩，系统默认分为ABCD四个等级，来观察不同成绩等级下的学生人数分布；</w:t>
            </w:r>
          </w:p>
          <w:p w14:paraId="73C659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（6）学科考试内在表现：</w:t>
            </w:r>
          </w:p>
          <w:p w14:paraId="04F7F8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1、学科试题表现；</w:t>
            </w:r>
          </w:p>
          <w:p w14:paraId="6680E7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2、试题难度题组表现；</w:t>
            </w:r>
          </w:p>
          <w:p w14:paraId="387254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3、班级后五名；</w:t>
            </w:r>
          </w:p>
          <w:p w14:paraId="565E38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三、学生个性化错题集</w:t>
            </w:r>
          </w:p>
          <w:p w14:paraId="53CF5E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woUserID w:val="5"/>
              </w:rPr>
              <w:t>●</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（一）错题集</w:t>
            </w:r>
          </w:p>
          <w:p w14:paraId="1D2AA1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woUserID w:val="5"/>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平台通过深度整合与分析学生在历次考试中的学习数据，为学生量身打造个性化的错题集。支持便捷的下载与打印功能。针对每道错题，平台提供错因分析，帮助学生深入理解错误根源，避免重复犯错。同时，结合题目所考察的知识点和难度水平，平台需明确标注出试题的考核水平，让学生对自己的学习进度有清晰的认知。</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woUserID w:val="5"/>
              </w:rPr>
              <w:t>（要求提供</w:t>
            </w:r>
            <w:r>
              <w:rPr>
                <w:rFonts w:hint="eastAsia" w:asciiTheme="minorEastAsia" w:hAnsiTheme="minorEastAsia" w:eastAsiaTheme="minorEastAsia" w:cstheme="minorEastAsia"/>
                <w:b/>
                <w:bCs/>
                <w:i w:val="0"/>
                <w:iCs w:val="0"/>
                <w:color w:val="auto"/>
                <w:kern w:val="0"/>
                <w:sz w:val="24"/>
                <w:szCs w:val="24"/>
                <w:highlight w:val="none"/>
                <w:u w:val="none"/>
                <w:lang w:val="en-US" w:eastAsia="zh" w:bidi="ar"/>
                <w:woUserID w:val="5"/>
              </w:rPr>
              <w:t>基于多模态大模型的个性化学习助手</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woUserID w:val="5"/>
              </w:rPr>
              <w:t>相关软件著作权证书扫描件</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，并加盖投标人公章）</w:t>
            </w:r>
          </w:p>
          <w:p w14:paraId="433375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woUserID w:val="5"/>
              </w:rPr>
              <w:t>四、</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学生增值评价</w:t>
            </w:r>
          </w:p>
          <w:p w14:paraId="0C85A4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（一）</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增值模型构建</w:t>
            </w:r>
          </w:p>
          <w:p w14:paraId="634A96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通过量化学生在一段时间内的学习增值构建增值评价模型，构建过程包括明确评价目标、选择模型类型、数据收集与处理、模型构建与计算、结果分析与应用等关键步骤，通过科学的统计方法评估学生在一段时间内的成长情况；基于增值评价模型，计算学校增值评价，班级增值评价，学生增值评价。通过科学的增值模型，可以有效推动教育评价从“唯分数”向“重增值”转变，助力教育质量提升和个性化教学。</w:t>
            </w:r>
          </w:p>
          <w:p w14:paraId="721E76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（二）数据分析</w:t>
            </w:r>
          </w:p>
          <w:p w14:paraId="04DEEC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1.数据收集与整理：(1).收集学生的上学期和本学期的分数段、分数段内人数、段内排名等数据。(2).确保数据的准确性，对缺失或异常数据进行处理。</w:t>
            </w:r>
          </w:p>
          <w:p w14:paraId="61D97C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 计算增值分,增值分表示学生在分数段内的进步情况，正值表示进步，负值表示退步。</w:t>
            </w:r>
          </w:p>
          <w:p w14:paraId="349423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 计算增值系数,增值系数反映学生在分数段内的相对进步情况，范围在0到1之间，值越大表示进步越显著。</w:t>
            </w:r>
          </w:p>
          <w:p w14:paraId="6C40B7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 分数分组：(1)根据分数段将学生分为不同的组别，如高分组、中分组、低分组。(2)分组可以更直观地观察不同水平学生群体的增值情况。</w:t>
            </w:r>
          </w:p>
          <w:p w14:paraId="022738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 分析增值情况：(1)对不同分数分组的学生进行增值分析，观察各组别的增值分和增值系数。(2)通过比较不同组别的增值情况，可以发现哪些学生群体进步显著，哪些需要重点关注。</w:t>
            </w:r>
          </w:p>
          <w:p w14:paraId="612285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 进一步分析, 结合其他数据（如学习行为数据、课堂表现等）进行综合分析，探索增值背后的原因。</w:t>
            </w:r>
          </w:p>
        </w:tc>
        <w:tc>
          <w:tcPr>
            <w:tcW w:w="1632" w:type="dxa"/>
            <w:vAlign w:val="center"/>
          </w:tcPr>
          <w:p w14:paraId="1ADA733A">
            <w:pPr>
              <w:keepNext w:val="0"/>
              <w:keepLines w:val="0"/>
              <w:pageBreakBefore w:val="0"/>
              <w:kinsoku/>
              <w:overflowPunct/>
              <w:topLinePunct w:val="0"/>
              <w:autoSpaceDE/>
              <w:autoSpaceDN/>
              <w:bidi w:val="0"/>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250000.00</w:t>
            </w:r>
          </w:p>
        </w:tc>
        <w:tc>
          <w:tcPr>
            <w:tcW w:w="1426" w:type="dxa"/>
            <w:vAlign w:val="center"/>
          </w:tcPr>
          <w:p w14:paraId="4E50F3A7">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rPr>
              <w:t>软件和信息技术服务业</w:t>
            </w:r>
          </w:p>
        </w:tc>
      </w:tr>
      <w:tr w14:paraId="5A1E1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9" w:hRule="atLeast"/>
          <w:jc w:val="center"/>
        </w:trPr>
        <w:tc>
          <w:tcPr>
            <w:tcW w:w="545" w:type="dxa"/>
            <w:vMerge w:val="continue"/>
            <w:vAlign w:val="center"/>
          </w:tcPr>
          <w:p w14:paraId="45CF160D">
            <w:pPr>
              <w:keepNext w:val="0"/>
              <w:keepLines w:val="0"/>
              <w:pageBreakBefore w:val="0"/>
              <w:widowControl/>
              <w:kinsoku/>
              <w:wordWrap w:val="0"/>
              <w:overflowPunct/>
              <w:topLinePunct w:val="0"/>
              <w:autoSpaceDE/>
              <w:autoSpaceDN/>
              <w:bidi w:val="0"/>
              <w:adjustRightInd/>
              <w:snapToGrid/>
              <w:spacing w:line="360" w:lineRule="auto"/>
              <w:ind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p>
        </w:tc>
        <w:tc>
          <w:tcPr>
            <w:tcW w:w="545" w:type="dxa"/>
            <w:vAlign w:val="center"/>
          </w:tcPr>
          <w:p w14:paraId="13AE8AB8">
            <w:pPr>
              <w:keepNext w:val="0"/>
              <w:keepLines w:val="0"/>
              <w:pageBreakBefore w:val="0"/>
              <w:kinsoku/>
              <w:wordWrap w:val="0"/>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4</w:t>
            </w:r>
          </w:p>
          <w:p w14:paraId="592A9418">
            <w:pPr>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4</w:t>
            </w:r>
          </w:p>
        </w:tc>
        <w:tc>
          <w:tcPr>
            <w:tcW w:w="1121" w:type="dxa"/>
            <w:vAlign w:val="center"/>
          </w:tcPr>
          <w:p w14:paraId="3C8A0E11">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AI数字课堂系统</w:t>
            </w:r>
          </w:p>
        </w:tc>
        <w:tc>
          <w:tcPr>
            <w:tcW w:w="570" w:type="dxa"/>
            <w:vAlign w:val="center"/>
          </w:tcPr>
          <w:p w14:paraId="7A802B4E">
            <w:pPr>
              <w:pStyle w:val="3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套</w:t>
            </w:r>
          </w:p>
        </w:tc>
        <w:tc>
          <w:tcPr>
            <w:tcW w:w="585" w:type="dxa"/>
            <w:vAlign w:val="center"/>
          </w:tcPr>
          <w:p w14:paraId="2370BD23">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3697" w:type="dxa"/>
            <w:vAlign w:val="center"/>
          </w:tcPr>
          <w:p w14:paraId="47FC8085">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color w:val="auto"/>
                <w:kern w:val="0"/>
                <w:sz w:val="24"/>
                <w:szCs w:val="24"/>
                <w:highlight w:val="none"/>
                <w:lang w:val="en-US" w:eastAsia="zh-CN"/>
              </w:rPr>
              <w:t>一、</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AI数字课堂</w:t>
            </w:r>
          </w:p>
          <w:p w14:paraId="0EBB895F">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●1、资源管理</w:t>
            </w:r>
          </w:p>
          <w:p w14:paraId="1AED6F24">
            <w:pPr>
              <w:keepNext w:val="0"/>
              <w:keepLines w:val="0"/>
              <w:pageBreakBefore w:val="0"/>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资源管理：提供校本库、平台库、个人库；支持用户管理平台内个人空间内的个人资源支持机构用户管理平台内个人上传到学校共享空间的校本资源；支持平台用户管理平台内个人上传到平台共享空间的平台资源。</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（要求提供学科资源系统相关软件著作权证书扫描件，并加盖投标人公章）</w:t>
            </w:r>
          </w:p>
          <w:p w14:paraId="37BBA857">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2、备课管理</w:t>
            </w:r>
          </w:p>
          <w:p w14:paraId="1F60712D">
            <w:pPr>
              <w:keepNext w:val="0"/>
              <w:keepLines w:val="0"/>
              <w:pageBreakBefore w:val="0"/>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支持备课包自动按照【教材+书册目录】命名，用户可以自行修改名称；支持设置阶段，阶段包含的备课资源、课堂练习、答题卡、AI作文、听写默写等。</w:t>
            </w:r>
          </w:p>
          <w:p w14:paraId="30AB5F18">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●3、免登录收作业</w:t>
            </w:r>
          </w:p>
          <w:p w14:paraId="747B835A">
            <w:pPr>
              <w:keepNext w:val="0"/>
              <w:keepLines w:val="0"/>
              <w:pageBreakBefore w:val="0"/>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免登录收作业：支持非登录模式下，直接调取采集设备进入作业采集模式，支持选择年级班级学科及学科下数据，确定收集的作业后，在作业采集模式中，支持用户收集全班数据及选中对应用户进行内容收集。</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（要求提供作业系统相关软件著作权证书扫描件，并加盖投标人公章）</w:t>
            </w:r>
          </w:p>
          <w:p w14:paraId="08FDA0A1">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4、登录上课</w:t>
            </w:r>
          </w:p>
          <w:p w14:paraId="33D84B1D">
            <w:pPr>
              <w:keepNext w:val="0"/>
              <w:keepLines w:val="0"/>
              <w:pageBreakBefore w:val="0"/>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登录时支持选择年级、班级、学科进行上课；</w:t>
            </w:r>
          </w:p>
          <w:p w14:paraId="5E865F52">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●5、桌面巡堂</w:t>
            </w:r>
          </w:p>
          <w:p w14:paraId="2982CC47">
            <w:pPr>
              <w:keepNext w:val="0"/>
              <w:keepLines w:val="0"/>
              <w:pageBreakBefore w:val="0"/>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支持同时查看所有学生的桌面实时画面。</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（要求提供软件功能截图，并加盖投标人公章））</w:t>
            </w:r>
          </w:p>
          <w:p w14:paraId="7E1C6E3D">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6、练习采集与查看</w:t>
            </w:r>
          </w:p>
          <w:p w14:paraId="082C7F0F">
            <w:pPr>
              <w:keepNext w:val="0"/>
              <w:keepLines w:val="0"/>
              <w:pageBreakBefore w:val="0"/>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支持通过学生桌面数据采集终端收集学生桌面练习，支持用户选全部收集、指定学生收集；支持用户查看收集到的学生练习，支持练习对比查看；</w:t>
            </w:r>
          </w:p>
          <w:p w14:paraId="2B6A745D">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7、学生桌面直播</w:t>
            </w:r>
          </w:p>
          <w:p w14:paraId="5CF610FA">
            <w:pPr>
              <w:keepNext w:val="0"/>
              <w:keepLines w:val="0"/>
              <w:pageBreakBefore w:val="0"/>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支持学生桌面直播，用户可选择某个学生桌面进行直播，展示学生做答过程；</w:t>
            </w:r>
          </w:p>
          <w:p w14:paraId="42D414FD">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8、手势提交</w:t>
            </w:r>
          </w:p>
          <w:p w14:paraId="5A7789A7">
            <w:pPr>
              <w:keepNext w:val="0"/>
              <w:keepLines w:val="0"/>
              <w:pageBreakBefore w:val="0"/>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支持识别学生桌面手势动作，支持学生使用手势提交桌面练习，支持学生利用手势完成题目做答、投票等。</w:t>
            </w:r>
          </w:p>
          <w:p w14:paraId="16A9DE6A">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●9、随机互动</w:t>
            </w:r>
          </w:p>
          <w:p w14:paraId="70E3C9D3">
            <w:pPr>
              <w:keepNext w:val="0"/>
              <w:keepLines w:val="0"/>
              <w:pageBreakBefore w:val="0"/>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支持随机点名功能，支持用户随机抽选学生作业进行查看、讲评。</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（要求提供课中互动教学系统相关软件著作权证书扫描件，并加盖投标人公章）</w:t>
            </w:r>
          </w:p>
          <w:p w14:paraId="12222E74">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10、英语听写批改</w:t>
            </w:r>
          </w:p>
          <w:p w14:paraId="7517C8D0">
            <w:pPr>
              <w:keepNext w:val="0"/>
              <w:keepLines w:val="0"/>
              <w:pageBreakBefore w:val="0"/>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通过学生桌面数据采集终端无感知采集学生纸质英语听写练习册，并自动进行听写内容比较，进行统一处理及统计后生成统计报告。</w:t>
            </w:r>
          </w:p>
          <w:p w14:paraId="45EF972E">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11、答题卡练习与批改</w:t>
            </w:r>
          </w:p>
          <w:p w14:paraId="5D2CA3F1">
            <w:pPr>
              <w:keepNext w:val="0"/>
              <w:keepLines w:val="0"/>
              <w:pageBreakBefore w:val="0"/>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支持答题卡练习与自动批改功能，对答题卡练习进行电子化处理后识别题目序号与手写做答内容，自动批改学生做答并生成练习报告。</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（要求提供教学质量诊改系统相关软件著作权证书扫描件，并加盖投标人公章）</w:t>
            </w:r>
          </w:p>
          <w:p w14:paraId="5C629819">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12、作文练习与批改</w:t>
            </w:r>
          </w:p>
          <w:p w14:paraId="61CB1355">
            <w:pPr>
              <w:keepNext w:val="0"/>
              <w:keepLines w:val="0"/>
              <w:pageBreakBefore w:val="0"/>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支持作文练习与自动批改功能，对作文练习进行电子化处理后根据作文要求与得分点进行智能批改，并在好词好句、错别字、语法错误等多个维度上输出批改得分与评语。</w:t>
            </w:r>
          </w:p>
          <w:p w14:paraId="37D6FA8D">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13、教辅练习与批改</w:t>
            </w:r>
          </w:p>
          <w:p w14:paraId="1352BEE1">
            <w:pPr>
              <w:keepNext w:val="0"/>
              <w:keepLines w:val="0"/>
              <w:pageBreakBefore w:val="0"/>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提供全学科的教辅录入功能，支持教辅练习与自动批改功能，对教辅练习进行电子化处理并识别教辅题目信息与手写做答内容，自动批改学生做答并生成练习报告；</w:t>
            </w:r>
          </w:p>
          <w:p w14:paraId="14A2991B">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14、听写默写练习与批改</w:t>
            </w:r>
          </w:p>
          <w:p w14:paraId="00FDD50D">
            <w:pPr>
              <w:keepNext w:val="0"/>
              <w:keepLines w:val="0"/>
              <w:pageBreakBefore w:val="0"/>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支持听写默写练习与自动批改功能，对听写默写练习进行电子化处理后识别做答序号与做答内容，自动批改学生做答并生成练习报告；</w:t>
            </w:r>
          </w:p>
          <w:p w14:paraId="3C43BCA2">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15、四则运算练习与批改</w:t>
            </w:r>
          </w:p>
          <w:p w14:paraId="0695D877">
            <w:pPr>
              <w:keepNext w:val="0"/>
              <w:keepLines w:val="0"/>
              <w:pageBreakBefore w:val="0"/>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支持数学四则运算练习与自动批改功能，对四则运算练习就行电子化处理后识别四则运算公式与做答结果，自动批改学生做答并生成练习报告。</w:t>
            </w:r>
          </w:p>
          <w:p w14:paraId="7091E6BC">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16、组卷练习与批改</w:t>
            </w:r>
          </w:p>
          <w:p w14:paraId="10EF18E9">
            <w:pPr>
              <w:keepNext w:val="0"/>
              <w:keepLines w:val="0"/>
              <w:pageBreakBefore w:val="0"/>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支持组卷练习与自动批改功能，对试卷练习进行电子化处理并识别题目信息与手写做答内容，自动批改学生做答并生成练习报告。</w:t>
            </w:r>
          </w:p>
          <w:p w14:paraId="6B9C11F0">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●17、大模型批改与批改依据</w:t>
            </w:r>
          </w:p>
          <w:p w14:paraId="069080B6">
            <w:pPr>
              <w:keepNext w:val="0"/>
              <w:keepLines w:val="0"/>
              <w:pageBreakBefore w:val="0"/>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支持做答多样性批改并输出批改依据，用户可点击批改留痕图片查看相关批改依据内容。</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（要求提供基于大语言模型的智能批改相关软件著作权证书扫描件，并加盖投标人公章）</w:t>
            </w:r>
          </w:p>
          <w:p w14:paraId="473C08E9">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lang w:val="en-US" w:eastAsia="zh-CN" w:bidi="ar"/>
              </w:rPr>
              <w:t>18、</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问卷收集</w:t>
            </w:r>
          </w:p>
          <w:p w14:paraId="423BD3F1">
            <w:pPr>
              <w:keepNext w:val="0"/>
              <w:keepLines w:val="0"/>
              <w:pageBreakBefore w:val="0"/>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支持问卷收集与统计功能，对问卷答卷进行电子化处理并按表格模式逐个单元格统计，生成统计数据并支持数据导出。</w:t>
            </w:r>
          </w:p>
          <w:p w14:paraId="5F78D831">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19、收作业</w:t>
            </w:r>
          </w:p>
          <w:p w14:paraId="33DFA763">
            <w:pPr>
              <w:keepNext w:val="0"/>
              <w:keepLines w:val="0"/>
              <w:pageBreakBefore w:val="0"/>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支持根据当前上课学科获得作业练习，选择练习后进行作业内容收集。</w:t>
            </w:r>
          </w:p>
          <w:p w14:paraId="2A9B9268">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20、座位表智能更新</w:t>
            </w:r>
          </w:p>
          <w:p w14:paraId="34866B4F">
            <w:pPr>
              <w:keepNext w:val="0"/>
              <w:keepLines w:val="0"/>
              <w:pageBreakBefore w:val="0"/>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通过AI数字课堂系统更新座位表，支持学号识别、二维码识别两种方式；</w:t>
            </w:r>
          </w:p>
          <w:p w14:paraId="24B8752B">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●21、花名册</w:t>
            </w:r>
          </w:p>
          <w:p w14:paraId="1CAA37BF">
            <w:pPr>
              <w:keepNext w:val="0"/>
              <w:keepLines w:val="0"/>
              <w:pageBreakBefore w:val="0"/>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持学生评价、小组评价功能，支持通过点击单个/多个学生进行快捷评价，在小组评价的模式中，支持一键全选整组学生进行统一评价；支持查看本次课堂的点评记录，并支持对评价进行回退；支持查看未分配到座位表的学生列表，并支持对未分配的学生进行课堂行为打分。</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（要求提供课堂在线自动评价相关软件著作权证书扫描件，并加盖投标人公章）</w:t>
            </w:r>
          </w:p>
          <w:p w14:paraId="7139A7F5">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22、计时器</w:t>
            </w:r>
          </w:p>
          <w:p w14:paraId="1554D43A">
            <w:pPr>
              <w:keepNext w:val="0"/>
              <w:keepLines w:val="0"/>
              <w:pageBreakBefore w:val="0"/>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持正计时、倒计时功能；倒计时模式下，支持预设时间快速开始倒计时，同时支持自由设定倒计时时间开始倒计时；在计时器模式下，开始计时后，均支持切换为迷你模式、重置计时、暂停计时、继续计时功能；</w:t>
            </w:r>
          </w:p>
          <w:p w14:paraId="71BAD706">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lang w:val="en-US" w:eastAsia="zh-CN" w:bidi="ar"/>
              </w:rPr>
              <w:t>23、</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画笔工具</w:t>
            </w:r>
          </w:p>
          <w:p w14:paraId="588B9CD7">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支持用户在图片上书写、涂画功能，并且保证画笔痕迹不受图片缩放影响，支持进行多种手势操作包括双指放大缩小移动、大面积内容擦除。</w:t>
            </w:r>
          </w:p>
          <w:p w14:paraId="0968E6E8">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24、课堂报告</w:t>
            </w:r>
          </w:p>
          <w:p w14:paraId="3055B725">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支持查看当前登录教师的学校下的所有课堂报告，并支持查看课堂原始图片数据。</w:t>
            </w:r>
          </w:p>
          <w:p w14:paraId="6F70C5BE">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25、学情报告</w:t>
            </w:r>
          </w:p>
          <w:p w14:paraId="3B56C5CC">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支持查看周、月、学期学生个人学情报告，包括但不限于学习概览、学习详情、课堂表现、教师评语、学习建议等内容。</w:t>
            </w:r>
          </w:p>
          <w:p w14:paraId="7BF63AD5">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26、知识点图谱</w:t>
            </w:r>
          </w:p>
          <w:p w14:paraId="203D6682">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支持查看学生个人知识图谱、班级知识图谱、年级知识图谱，知识图谱内明确显示知识点之间的相互关联关系，知识点的掌握程度，整体对所有知识点的掌握总概括。</w:t>
            </w:r>
          </w:p>
          <w:p w14:paraId="6B4B2856">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●27、人机智能对话</w:t>
            </w:r>
          </w:p>
          <w:p w14:paraId="7E90DA8F">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支持教师通过AI问答助手获取包括但不限于学生学情、备课教案、学习指导、教学资源等内容，系统根据老师提问与实际学生数据，形成对应的回答</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（要求提供软件功能截图，并加盖投标人公章）</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p w14:paraId="5289B0EB">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28、在线更新</w:t>
            </w:r>
          </w:p>
          <w:p w14:paraId="669500E7">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支持用户打开软件时，自动检测软件版本，在软件不是最新版本时，自动弹出相关更新页面，引导用户进行在线更新。</w:t>
            </w:r>
          </w:p>
          <w:p w14:paraId="1A04D670">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29、错题集</w:t>
            </w:r>
          </w:p>
          <w:p w14:paraId="1C2121F2">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持查看班主任查看全班各个学科学生错题集，支持科任老师查看任教班级学生学科错题集，支持学生查看个人各学科错题集，错题卡片支持显示错题图片、知识点、知识点当前掌握情况，并支持查看错题的答案与解析。</w:t>
            </w:r>
          </w:p>
          <w:p w14:paraId="777C0430">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二、学生桌面数据采集终端</w:t>
            </w:r>
          </w:p>
          <w:p w14:paraId="47D0327B">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1、安装特性</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ab/>
            </w:r>
          </w:p>
          <w:p w14:paraId="21B973E2">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吊顶安装,支持1.8-2.05m距离桌面安装高度（1.95m以下距离桌面高度，允许有采集速度性能损失），2m桌面距离高度时需要达到4x4m桌面有效覆盖范围；</w:t>
            </w:r>
          </w:p>
          <w:p w14:paraId="482F5617">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镜头特性</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ab/>
            </w:r>
          </w:p>
          <w:p w14:paraId="5EE0B3C7">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双目摄像头，包括全景摄像头和云台特写镜头。全景镜头水平和垂直FOV 99.8°或以上，云台特写镜头20倍光学变倍或以上，云台转动角度x方向正负46°或以上，y方向正负46.7°或以上;xy方向运动速度76°或以上；</w:t>
            </w:r>
          </w:p>
          <w:p w14:paraId="12F17840">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3、供电特性</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ab/>
            </w:r>
          </w:p>
          <w:p w14:paraId="52064B03">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支持DC12V以及POE 802.3at供电；</w:t>
            </w:r>
          </w:p>
          <w:p w14:paraId="44C78201">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 xml:space="preserve">    4、图像特性</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ab/>
            </w:r>
          </w:p>
          <w:p w14:paraId="1F2069D5">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全景镜头分辨率不低于600万有效像素，特写镜头分辨率不低于800万有效像素，无明显畸变.特写镜头支持手动和自动对焦，自动对焦时间&lt;1s，支持图片抓拍。具备白平衡、背光补偿、HDR、数字降噪、抗闪烁、图像冻结、图像翻转等功能，信噪比≥55dB，最低照度≥0.5Lux；</w:t>
            </w:r>
          </w:p>
          <w:p w14:paraId="0FF4F005">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5、视频特性</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ab/>
            </w:r>
          </w:p>
          <w:p w14:paraId="76620C06">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支持网络双摄出视频，支持独立配置的双码流，支持H.264、H.265、MJPEG高清视频编码协议，支持rtsp协议以及随机鉴权机制。支持动态调整分辨率、fps、码率；</w:t>
            </w:r>
          </w:p>
          <w:p w14:paraId="166D974D">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6、音频特性</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ab/>
            </w:r>
          </w:p>
          <w:p w14:paraId="45F50E63">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通过3.5mm音频输入接口采集音频，支持网络音频编码，支持AAC、G.711a编码协议，支持数字降噪及音量设置。支持动态调整码率。支持音频接口输出或网络输出；</w:t>
            </w:r>
          </w:p>
          <w:p w14:paraId="4A87B0F1">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7、网络协议</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ab/>
            </w:r>
          </w:p>
          <w:p w14:paraId="7EA82304">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支持TCP/IP传输协议，支持HTTP,RTSP,DHCP,DNS,组播等应用协议，RTSP需支持随机鉴权机制；</w:t>
            </w:r>
          </w:p>
          <w:p w14:paraId="38B86EBA">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8、接口特性</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ab/>
            </w:r>
          </w:p>
          <w:p w14:paraId="15CFB6FF">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供电接口、10/100/1000Mbps自适应网络接口、3.5mm音频输入接口、3.5mm音频输出接口、HDMI媒体输出接口；</w:t>
            </w:r>
          </w:p>
          <w:p w14:paraId="31B39B30">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9、升级特性</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ab/>
            </w:r>
          </w:p>
          <w:p w14:paraId="4E0A17F1">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支持网络升级、降级；</w:t>
            </w:r>
          </w:p>
          <w:p w14:paraId="2D349B2F">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10、其他特性</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ab/>
            </w:r>
          </w:p>
          <w:p w14:paraId="00D5FA54">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restart重启按钮、气泡式水平仪、运行状态灯。</w:t>
            </w:r>
          </w:p>
          <w:p w14:paraId="756A6679">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三、学生桌面数据采集软件</w:t>
            </w:r>
          </w:p>
          <w:p w14:paraId="743A5297">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●1、桌面识别</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ab/>
            </w:r>
          </w:p>
          <w:p w14:paraId="6C0C6903">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全自动识别画面中的所有书桌桌面，提取桌面目标特征点信息，并支持在画面中标记出对应桌面；</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（要求提供学生桌面数据采集相关软件著作权证书扫描件，并加盖投标人公章）</w:t>
            </w: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 xml:space="preserve"> </w:t>
            </w:r>
          </w:p>
          <w:p w14:paraId="3F2814C1">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●2、作业识别</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ab/>
            </w:r>
          </w:p>
          <w:p w14:paraId="1ACF14A5">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全自动识别画面中的所有作业文档，提取作业目标特征点信息，并支持在画面中标记出对应作业文档。</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（要求提供手写作业视频分析相关软件著作权证书扫描件，并加盖投标人公章）</w:t>
            </w:r>
          </w:p>
          <w:p w14:paraId="45F1E65D">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 xml:space="preserve">    3、作业收集</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ab/>
            </w:r>
          </w:p>
          <w:p w14:paraId="38C5E24F">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一键采集作业文档并保持为jpg图片，并支持控制连续抓拍图片数量；</w:t>
            </w:r>
          </w:p>
          <w:p w14:paraId="6A9D30B8">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●4、手势识别</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ab/>
            </w:r>
          </w:p>
          <w:p w14:paraId="317E6FCB">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全自动识别画面中的所有手势形状，提取手势目标特征点信息，并支持在画面中标记出对应手势；</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（要求提供软件功能截图，并加盖投标人公章）</w:t>
            </w:r>
          </w:p>
          <w:p w14:paraId="4C8062FA">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 xml:space="preserve">    5、手势答题</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ab/>
            </w:r>
          </w:p>
          <w:p w14:paraId="10FA0664">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判断题、选择题支持识别学生手势作答，如判题题，识别学生放置在桌面左侧为对，右侧为错；选择题，识别学生的手放置在桌面左上角为A，右上角为B，左下角为C，右下角为D；</w:t>
            </w:r>
          </w:p>
          <w:p w14:paraId="33006C54">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6、最优路径</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ab/>
            </w:r>
          </w:p>
          <w:p w14:paraId="429F2DE3">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具备多目标遍历最优路径算法，在多目标作业收集场景下任务完成时间最短；</w:t>
            </w:r>
          </w:p>
          <w:p w14:paraId="79B85872">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7、桌面直播</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ab/>
            </w:r>
          </w:p>
          <w:p w14:paraId="518C16F2">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通过学生桌面数据采集终端的直播功能，在采集模式下，支持用户选中学生进行直播，直播的模式下，可以查看每个学生桌面当前情况；</w:t>
            </w:r>
          </w:p>
          <w:p w14:paraId="010490E9">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8、自动对焦</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ab/>
            </w:r>
          </w:p>
          <w:p w14:paraId="6A0BC954">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支持全智能自动对焦，保证画面随着云台转动的清晰度；</w:t>
            </w:r>
          </w:p>
          <w:p w14:paraId="33A3B479">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9、自动升级</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ab/>
            </w:r>
          </w:p>
          <w:p w14:paraId="51737085">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支持版本检测，获取最新版本并进行自动升级替换服务。</w:t>
            </w:r>
          </w:p>
          <w:p w14:paraId="68998FF4">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四、AI边缘节点（1台）</w:t>
            </w:r>
          </w:p>
          <w:p w14:paraId="70CE4BD9">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1.散热：被动散热；</w:t>
            </w:r>
          </w:p>
          <w:p w14:paraId="1B249339">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2.典型功耗：TDP≤35W；</w:t>
            </w:r>
          </w:p>
          <w:p w14:paraId="18F3320A">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3.工作温度：-20℃~+60℃；</w:t>
            </w:r>
          </w:p>
          <w:p w14:paraId="74C45961">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4.接口：10/100/1000M自适应网口*2或以上，USB3.0*2，HDMI2.0*1，RS232*1,RS485*1,TF卡槽烧录系统；</w:t>
            </w:r>
          </w:p>
          <w:p w14:paraId="1F9FE5CE">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5.支持16路或以上H.264&amp;H.265的1080P@30fps视频解码；支持10路或以上H.264&amp;H.265的1080P@30fps视频编码；支持</w:t>
            </w:r>
            <w:r>
              <w:rPr>
                <w:rFonts w:hint="eastAsia" w:asciiTheme="minorEastAsia" w:hAnsiTheme="minorEastAsia" w:eastAsiaTheme="minorEastAsia" w:cstheme="minorEastAsia"/>
                <w:i w:val="0"/>
                <w:iCs w:val="0"/>
                <w:color w:val="auto"/>
                <w:kern w:val="0"/>
                <w:sz w:val="24"/>
                <w:szCs w:val="24"/>
                <w:highlight w:val="none"/>
                <w:u w:val="none"/>
                <w:lang w:val="en-US" w:eastAsia="zh" w:bidi="ar"/>
                <w:woUserID w:val="5"/>
              </w:rPr>
              <w:t>1080P 200张/秒或以上</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图片编解码，最大分辨率8192x8192。</w:t>
            </w:r>
          </w:p>
          <w:p w14:paraId="58935DFF">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五、AI边缘管理系统</w:t>
            </w:r>
          </w:p>
          <w:p w14:paraId="4FA9EA99">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●1、系统状态</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ab/>
            </w:r>
          </w:p>
          <w:p w14:paraId="1CB3BC9E">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系统状态：支持查看AI边缘节点当前硬件相关状态，用可视化方式直观呈现硬件相关状态</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（要求提供软件功能截图，并加盖投标人公章）</w:t>
            </w: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w:t>
            </w:r>
          </w:p>
          <w:p w14:paraId="307A64C9">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2、数据统计</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ab/>
            </w:r>
          </w:p>
          <w:p w14:paraId="12D0A965">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支持查看通过AI边缘节点通过AI算法所采集到图片资源与录制的直播资源，支持在线查看与打包下载；</w:t>
            </w:r>
          </w:p>
          <w:p w14:paraId="1C9BFA60">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3、资源仓库</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ab/>
            </w:r>
          </w:p>
          <w:p w14:paraId="0F4D640B">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通过AI边缘服务软件查看设备采集的图片资源、视频资源功能，可以查看某堂课每个学生的作业内容；</w:t>
            </w:r>
          </w:p>
          <w:p w14:paraId="28DF1CC6">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●4、设备管理</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ab/>
            </w:r>
          </w:p>
          <w:p w14:paraId="77418EED">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支持查看AI边缘节点所管控的所有类型设备，支持在线对设备进行开关机控制，支持用户添加或删除设备；</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（要求提供边缘智控相关软件著作权证书扫描件，并加盖投标人公章）</w:t>
            </w:r>
          </w:p>
          <w:p w14:paraId="37134C0A">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5、设备布局</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ab/>
            </w:r>
          </w:p>
          <w:p w14:paraId="035F8D15">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支持用户通过AI边缘节点对场地设备布局进行设定，调整行列布局与对应布局下设备信息；</w:t>
            </w:r>
          </w:p>
          <w:p w14:paraId="1792C666">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6、软件列表</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ab/>
            </w:r>
          </w:p>
          <w:p w14:paraId="0BAD09DA">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支持用户查看与管理当前AI边缘节点下不同设备的使用软件的对应版本，并且可通过对应软件查看软件对应已经升级的历史版本；</w:t>
            </w:r>
          </w:p>
          <w:p w14:paraId="1B7BAD26">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7、固件列表</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ab/>
            </w:r>
          </w:p>
          <w:p w14:paraId="6C986FA6">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支持用户查看与管理当前AI边缘节点下不同设备的使用固件的对应版本，并且可通过对应固件查看固件对应已经升级的历史版本；</w:t>
            </w:r>
          </w:p>
          <w:p w14:paraId="558D88EA">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8、固件推送与升级</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ab/>
            </w:r>
          </w:p>
          <w:p w14:paraId="627AEF1E">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支持用户查看与管理当前AI边缘节点的固件升级队列，接收升级包推送并根据版本号进行自动更新升级；</w:t>
            </w:r>
          </w:p>
          <w:p w14:paraId="313C2B2E">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●9、算法列表</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ab/>
            </w:r>
          </w:p>
          <w:p w14:paraId="5482FE79">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支持用户查看与管理当前AI边缘节点的算法列表内容，并且上传对应算法后，自动开始算法升级</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（要求提供边缘视频分析服务相关软件著作权证书扫描件，并加盖投标人公章）</w:t>
            </w: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w:t>
            </w:r>
          </w:p>
          <w:p w14:paraId="3C4CB398">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10、算法推送与升级</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ab/>
            </w:r>
          </w:p>
          <w:p w14:paraId="42B04712">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支持用户查看与管理当前AI边缘节点的算法升级队列，接收升级包推送并根据版本号进行自动更新升级；</w:t>
            </w:r>
          </w:p>
          <w:p w14:paraId="3920DFA3">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11、巡堂</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ab/>
            </w:r>
          </w:p>
          <w:p w14:paraId="0EEE82B2">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支持查看AI边缘节点所部署的教室实时视频画面，掌握教室内实时信息；</w:t>
            </w:r>
          </w:p>
          <w:p w14:paraId="2BC3366B">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12、作业识别</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ab/>
            </w:r>
          </w:p>
          <w:p w14:paraId="2A2ED8A0">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具备作业文档目标识别算法，支持自动检测与识别图像中的作业目标；</w:t>
            </w:r>
          </w:p>
          <w:p w14:paraId="796E287E">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●13、图像矫正</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ab/>
            </w:r>
          </w:p>
          <w:p w14:paraId="350F6689">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具备图像矫正算法，支持将图像从原始的畸变状态改变为符合几何规则的正常形式，提高图像的可视化效果</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（要求提供软件功能截图，并加盖投标人公章）</w:t>
            </w: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w:t>
            </w:r>
          </w:p>
          <w:p w14:paraId="5E794C69">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14、直播矫正</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ab/>
            </w:r>
          </w:p>
          <w:p w14:paraId="21D7674E">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具备视频矫正算法，支持讲视频从原始的畸变状态改变为符合几何规则的正常形式，提高图像的可视化效果；</w:t>
            </w:r>
          </w:p>
          <w:p w14:paraId="14A637D1">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15、云日志</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ab/>
            </w:r>
          </w:p>
          <w:p w14:paraId="4DA073F7">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支持云端查看设备运行日志，并允许用户下载详细日子文件；</w:t>
            </w:r>
          </w:p>
          <w:p w14:paraId="70DC2EA2">
            <w:pPr>
              <w:keepNext w:val="0"/>
              <w:keepLines w:val="0"/>
              <w:pageBreakBefore w:val="0"/>
              <w:numPr>
                <w:ilvl w:val="0"/>
                <w:numId w:val="0"/>
              </w:numPr>
              <w:kinsoku/>
              <w:overflowPunct/>
              <w:topLinePunct w:val="0"/>
              <w:autoSpaceDE/>
              <w:autoSpaceDN/>
              <w:bidi w:val="0"/>
              <w:spacing w:line="360" w:lineRule="auto"/>
              <w:ind w:leftChars="0" w:firstLine="482" w:firstLineChars="200"/>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16、云配置</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ab/>
            </w:r>
          </w:p>
          <w:p w14:paraId="48DF2444">
            <w:pPr>
              <w:keepNext w:val="0"/>
              <w:keepLines w:val="0"/>
              <w:pageBreakBefore w:val="0"/>
              <w:numPr>
                <w:ilvl w:val="0"/>
                <w:numId w:val="0"/>
              </w:numPr>
              <w:kinsoku/>
              <w:overflowPunct/>
              <w:topLinePunct w:val="0"/>
              <w:autoSpaceDE/>
              <w:autoSpaceDN/>
              <w:bidi w:val="0"/>
              <w:spacing w:line="360" w:lineRule="auto"/>
              <w:ind w:leftChars="0" w:firstLine="480" w:firstLineChars="200"/>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支持云端查看设备配置详情，并允许用户编辑并同步配置信息。</w:t>
            </w:r>
          </w:p>
        </w:tc>
        <w:tc>
          <w:tcPr>
            <w:tcW w:w="1632" w:type="dxa"/>
            <w:vAlign w:val="center"/>
          </w:tcPr>
          <w:p w14:paraId="356AC97E">
            <w:pPr>
              <w:keepNext w:val="0"/>
              <w:keepLines w:val="0"/>
              <w:pageBreakBefore w:val="0"/>
              <w:kinsoku/>
              <w:overflowPunct/>
              <w:topLinePunct w:val="0"/>
              <w:autoSpaceDE/>
              <w:autoSpaceDN/>
              <w:bidi w:val="0"/>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250000.00</w:t>
            </w:r>
          </w:p>
        </w:tc>
        <w:tc>
          <w:tcPr>
            <w:tcW w:w="1426" w:type="dxa"/>
            <w:vAlign w:val="center"/>
          </w:tcPr>
          <w:p w14:paraId="7C3E5D3C">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rPr>
              <w:t>软件和信息技术服务业</w:t>
            </w:r>
          </w:p>
        </w:tc>
      </w:tr>
      <w:tr w14:paraId="1565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5" w:type="dxa"/>
            <w:vAlign w:val="center"/>
          </w:tcPr>
          <w:p w14:paraId="5A01E4CA">
            <w:pPr>
              <w:keepNext w:val="0"/>
              <w:keepLines w:val="0"/>
              <w:pageBreakBefore w:val="0"/>
              <w:widowControl w:val="0"/>
              <w:kinsoku/>
              <w:wordWrap/>
              <w:overflowPunct/>
              <w:topLinePunct w:val="0"/>
              <w:autoSpaceDE/>
              <w:autoSpaceDN/>
              <w:bidi w:val="0"/>
              <w:adjustRightInd w:val="0"/>
              <w:snapToGrid w:val="0"/>
              <w:spacing w:line="360" w:lineRule="auto"/>
              <w:ind w:leftChars="0" w:firstLine="0" w:firstLineChars="0"/>
              <w:jc w:val="both"/>
              <w:textAlignment w:val="auto"/>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b/>
                <w:color w:val="auto"/>
                <w:sz w:val="24"/>
                <w:szCs w:val="24"/>
                <w:highlight w:val="none"/>
                <w:u w:val="none"/>
              </w:rPr>
              <w:t>商务条款</w:t>
            </w:r>
          </w:p>
        </w:tc>
        <w:tc>
          <w:tcPr>
            <w:tcW w:w="9576" w:type="dxa"/>
            <w:gridSpan w:val="7"/>
            <w:vAlign w:val="top"/>
          </w:tcPr>
          <w:p w14:paraId="524FB610">
            <w:pPr>
              <w:keepNext w:val="0"/>
              <w:keepLines w:val="0"/>
              <w:pageBreakBefore w:val="0"/>
              <w:widowControl w:val="0"/>
              <w:kinsoku/>
              <w:wordWrap w:val="0"/>
              <w:overflowPunct/>
              <w:topLinePunct w:val="0"/>
              <w:autoSpaceDE/>
              <w:autoSpaceDN/>
              <w:bidi w:val="0"/>
              <w:adjustRightInd/>
              <w:snapToGrid/>
              <w:spacing w:line="360" w:lineRule="auto"/>
              <w:ind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▲一、合同签订期：自中标通知书发出之日起</w:t>
            </w:r>
            <w:r>
              <w:rPr>
                <w:rFonts w:hint="eastAsia" w:asciiTheme="minorEastAsia" w:hAnsiTheme="minorEastAsia" w:eastAsiaTheme="minorEastAsia" w:cstheme="minorEastAsia"/>
                <w:color w:val="auto"/>
                <w:sz w:val="24"/>
                <w:szCs w:val="24"/>
                <w:highlight w:val="none"/>
                <w:lang w:val="en-US" w:eastAsia="zh-CN"/>
              </w:rPr>
              <w:t>25个自然</w:t>
            </w:r>
            <w:r>
              <w:rPr>
                <w:rFonts w:hint="eastAsia" w:asciiTheme="minorEastAsia" w:hAnsiTheme="minorEastAsia" w:eastAsiaTheme="minorEastAsia" w:cstheme="minorEastAsia"/>
                <w:color w:val="auto"/>
                <w:sz w:val="24"/>
                <w:szCs w:val="24"/>
                <w:highlight w:val="none"/>
              </w:rPr>
              <w:t>日内。</w:t>
            </w:r>
          </w:p>
          <w:p w14:paraId="5CB50DF5">
            <w:pPr>
              <w:keepNext w:val="0"/>
              <w:keepLines w:val="0"/>
              <w:pageBreakBefore w:val="0"/>
              <w:widowControl/>
              <w:tabs>
                <w:tab w:val="left" w:pos="2101"/>
              </w:tabs>
              <w:kinsoku/>
              <w:overflowPunct/>
              <w:topLinePunct w:val="0"/>
              <w:autoSpaceDE/>
              <w:autoSpaceDN/>
              <w:bidi w:val="0"/>
              <w:adjustRightInd/>
              <w:snapToGrid/>
              <w:spacing w:line="360" w:lineRule="auto"/>
              <w:ind w:leftChars="0" w:firstLine="0" w:firstLineChars="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二、交付时间及地点</w:t>
            </w:r>
          </w:p>
          <w:p w14:paraId="3F0411DC">
            <w:pPr>
              <w:pStyle w:val="25"/>
              <w:keepNext w:val="0"/>
              <w:keepLines w:val="0"/>
              <w:pageBreakBefore w:val="0"/>
              <w:kinsoku/>
              <w:overflowPunct/>
              <w:topLinePunct w:val="0"/>
              <w:autoSpaceDE/>
              <w:autoSpaceDN/>
              <w:bidi w:val="0"/>
              <w:adjustRightInd/>
              <w:snapToGrid/>
              <w:spacing w:before="0" w:after="0" w:line="360" w:lineRule="auto"/>
              <w:ind w:leftChars="0" w:firstLine="0" w:firstLineChars="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1.交付时间：自合同签订之日起</w:t>
            </w:r>
            <w:r>
              <w:rPr>
                <w:rStyle w:val="36"/>
                <w:rFonts w:hint="eastAsia" w:asciiTheme="minorEastAsia" w:hAnsiTheme="minorEastAsia" w:eastAsiaTheme="minorEastAsia" w:cstheme="minorEastAsia"/>
                <w:color w:val="auto"/>
                <w:sz w:val="24"/>
                <w:szCs w:val="24"/>
                <w:highlight w:val="none"/>
                <w:lang w:val="en-US" w:eastAsia="zh-CN" w:bidi="ar"/>
              </w:rPr>
              <w:t>3个月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内竣工验收合格并交付使用。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2.交付地点：南宁市，采购单位指定的地点。</w:t>
            </w:r>
          </w:p>
          <w:p w14:paraId="4E279614">
            <w:pPr>
              <w:pStyle w:val="9"/>
              <w:keepNext w:val="0"/>
              <w:keepLines w:val="0"/>
              <w:pageBreakBefore w:val="0"/>
              <w:kinsoku/>
              <w:overflowPunct/>
              <w:topLinePunct w:val="0"/>
              <w:autoSpaceDE/>
              <w:autoSpaceDN/>
              <w:bidi w:val="0"/>
              <w:adjustRightInd/>
              <w:snapToGrid/>
              <w:spacing w:after="0" w:line="360" w:lineRule="auto"/>
              <w:ind w:leftChars="0" w:firstLine="0" w:firstLineChars="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质保期</w:t>
            </w:r>
          </w:p>
          <w:p w14:paraId="09987F37">
            <w:pPr>
              <w:keepNext w:val="0"/>
              <w:keepLines w:val="0"/>
              <w:pageBreakBefore w:val="0"/>
              <w:numPr>
                <w:ilvl w:val="0"/>
                <w:numId w:val="4"/>
              </w:numPr>
              <w:tabs>
                <w:tab w:val="clear" w:pos="312"/>
              </w:tabs>
              <w:kinsoku/>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按国家有关产品“三包”规定执行“三包”；</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2.本项目质保期为项目整体验收合格之日起2年，国家有关产品“三包”规定的质保期与本条款规定的质保期不一致时，以质保期时间长的为准；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3.质保期内，中标供应商将负责处理并解决故障，并更换有故障的硬件设备零、部件及更换有质量问题的硬件设备，升级和更新软件、修复安全漏洞，由此产生的一切费用由中标供应商负责。</w:t>
            </w:r>
          </w:p>
          <w:p w14:paraId="28D4A628">
            <w:pPr>
              <w:keepNext w:val="0"/>
              <w:keepLines w:val="0"/>
              <w:pageBreakBefore w:val="0"/>
              <w:numPr>
                <w:ilvl w:val="0"/>
                <w:numId w:val="0"/>
              </w:numPr>
              <w:kinsoku/>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4.质保期后，中标供应商需提供有偿售后服务，每年续保费用15万元/年。</w:t>
            </w:r>
          </w:p>
          <w:p w14:paraId="3182330E">
            <w:pPr>
              <w:pStyle w:val="25"/>
              <w:keepNext w:val="0"/>
              <w:keepLines w:val="0"/>
              <w:pageBreakBefore w:val="0"/>
              <w:kinsoku/>
              <w:overflowPunct/>
              <w:topLinePunct w:val="0"/>
              <w:autoSpaceDE/>
              <w:autoSpaceDN/>
              <w:bidi w:val="0"/>
              <w:adjustRightInd/>
              <w:snapToGrid/>
              <w:spacing w:before="0" w:after="0" w:line="360" w:lineRule="auto"/>
              <w:ind w:leftChars="0" w:firstLine="0" w:firstLineChars="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四、售后技术服务要求</w:t>
            </w:r>
          </w:p>
          <w:p w14:paraId="367E7FE3">
            <w:pPr>
              <w:pStyle w:val="9"/>
              <w:keepNext w:val="0"/>
              <w:keepLines w:val="0"/>
              <w:pageBreakBefore w:val="0"/>
              <w:kinsoku/>
              <w:overflowPunct/>
              <w:topLinePunct w:val="0"/>
              <w:autoSpaceDE/>
              <w:autoSpaceDN/>
              <w:bidi w:val="0"/>
              <w:adjustRightInd/>
              <w:snapToGrid/>
              <w:spacing w:after="0" w:line="360" w:lineRule="auto"/>
              <w:ind w:leftChars="0" w:firstLine="0" w:firstLineChars="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1.提供送货上门、安装、调试，实施过程中涉及的辅材和调试设备由中标供应商提供；</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2.中标供应商须在投标文件中承诺对本项目设备提供终身服务，保修期外的服务费用由采购人和中标供应商另行商议；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3.招标文件中没有专门提及，但属整套设备正常运行所必需的软硬件设备，中标供应商仍将提供，以保证货物的完整性；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4.签订合同后，要求必须提供 7×24 小时的响应服务，中标供应商对采购人的服务通知，中标供应商指派专业人员来处理故障，紧急故障处理：必须在 2 小时之内赴现场处理，不需要更换备件的条件下应在 12 小时内解除故障，需要更换备件时应在 24 小时内提供原厂备件并解除故障，若不能在时限内解决，按合同违约处理，采购人有权委托第三人实施，由此产生的费用由中标供应商承担，造成损失的，采购人有权追究其赔偿责任；</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5.中标供应商不按规定提供维保服务的，将按中标供应商合同违约处理；造成损失的，采购人有权追究其赔偿责任；</w:t>
            </w:r>
          </w:p>
          <w:p w14:paraId="43B92245">
            <w:pPr>
              <w:keepNext w:val="0"/>
              <w:keepLines w:val="0"/>
              <w:pageBreakBefore w:val="0"/>
              <w:kinsoku/>
              <w:overflowPunct/>
              <w:topLinePunct w:val="0"/>
              <w:autoSpaceDE/>
              <w:autoSpaceDN/>
              <w:bidi w:val="0"/>
              <w:adjustRightInd/>
              <w:snapToGrid/>
              <w:spacing w:line="360" w:lineRule="auto"/>
              <w:ind w:leftChars="0" w:firstLine="0" w:firstLineChars="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五、付款方式</w:t>
            </w:r>
          </w:p>
          <w:p w14:paraId="2750C007">
            <w:pPr>
              <w:pStyle w:val="25"/>
              <w:keepNext w:val="0"/>
              <w:keepLines w:val="0"/>
              <w:pageBreakBefore w:val="0"/>
              <w:kinsoku/>
              <w:overflowPunct/>
              <w:topLinePunct w:val="0"/>
              <w:autoSpaceDE/>
              <w:autoSpaceDN/>
              <w:bidi w:val="0"/>
              <w:adjustRightInd/>
              <w:snapToGrid/>
              <w:spacing w:before="0" w:after="0" w:line="360" w:lineRule="auto"/>
              <w:ind w:leftChars="0" w:firstLine="0" w:firstLineChars="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1.校园数字基座及AI智能服务、AI数字课堂系统实施完成验收合格后，采购人在中标供应商提出付款申请后10个工作日内向中标供应商支付相应的货物款，累计支付总金额不超过50%的合同款；</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2.所有服务/货物通过采购人验收通过后，采购人在中标供应商提出付款申请后10个工作日内向中标供应商支付相应的款项，累计支付总金额至100%的合同款；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3.采购人付款前，中标供应商应向采购人提供与支付金额相符的有效发票，且收款方、出具发票方、合同乙方均必须与中标供应商单位名称一致。</w:t>
            </w:r>
          </w:p>
          <w:p w14:paraId="6CA60683">
            <w:pPr>
              <w:keepNext w:val="0"/>
              <w:keepLines w:val="0"/>
              <w:pageBreakBefore w:val="0"/>
              <w:widowControl w:val="0"/>
              <w:kinsoku/>
              <w:wordWrap w:val="0"/>
              <w:overflowPunct/>
              <w:topLinePunct w:val="0"/>
              <w:autoSpaceDE/>
              <w:autoSpaceDN/>
              <w:bidi w:val="0"/>
              <w:adjustRightInd/>
              <w:snapToGrid/>
              <w:spacing w:line="360" w:lineRule="auto"/>
              <w:ind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六、</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其他要求：</w:t>
            </w:r>
          </w:p>
          <w:p w14:paraId="26788EB9">
            <w:pPr>
              <w:keepNext w:val="0"/>
              <w:keepLines w:val="0"/>
              <w:pageBreakBefore w:val="0"/>
              <w:widowControl w:val="0"/>
              <w:kinsoku/>
              <w:wordWrap w:val="0"/>
              <w:overflowPunct/>
              <w:topLinePunct w:val="0"/>
              <w:autoSpaceDE/>
              <w:autoSpaceDN/>
              <w:bidi w:val="0"/>
              <w:adjustRightInd/>
              <w:snapToGrid/>
              <w:spacing w:line="360" w:lineRule="auto"/>
              <w:ind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1.报价必须含以下部分，包括：</w:t>
            </w:r>
          </w:p>
          <w:p w14:paraId="4BC74DC1">
            <w:pPr>
              <w:keepNext w:val="0"/>
              <w:keepLines w:val="0"/>
              <w:pageBreakBefore w:val="0"/>
              <w:widowControl w:val="0"/>
              <w:kinsoku/>
              <w:wordWrap w:val="0"/>
              <w:overflowPunct/>
              <w:topLinePunct w:val="0"/>
              <w:autoSpaceDE/>
              <w:autoSpaceDN/>
              <w:bidi w:val="0"/>
              <w:adjustRightInd/>
              <w:snapToGrid/>
              <w:spacing w:line="360" w:lineRule="auto"/>
              <w:ind w:leftChars="0" w:firstLine="0" w:firstLineChars="0"/>
              <w:textAlignment w:val="auto"/>
              <w:rPr>
                <w:rFonts w:hint="default" w:eastAsiaTheme="minorEastAsia"/>
                <w:color w:val="auto"/>
                <w:highlight w:val="none"/>
                <w:lang w:val="en-US" w:eastAsia="zh-CN"/>
              </w:rPr>
            </w:pPr>
            <w:r>
              <w:rPr>
                <w:rFonts w:hint="eastAsia" w:asciiTheme="minorEastAsia" w:hAnsiTheme="minorEastAsia" w:eastAsiaTheme="minorEastAsia" w:cstheme="minorEastAsia"/>
                <w:color w:val="auto"/>
                <w:sz w:val="24"/>
                <w:szCs w:val="24"/>
                <w:highlight w:val="none"/>
              </w:rPr>
              <w:t>（1）服务的价格</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含配套设备的费用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，包括但不限于全部人工费、服务费、管理费、利润、调试、验收、培训、聘请专家等各种费用以及售后服务及其它所有成本费用的总和；</w:t>
            </w:r>
          </w:p>
          <w:p w14:paraId="5F9C5215">
            <w:pPr>
              <w:keepNext w:val="0"/>
              <w:keepLines w:val="0"/>
              <w:pageBreakBefore w:val="0"/>
              <w:widowControl w:val="0"/>
              <w:kinsoku/>
              <w:wordWrap w:val="0"/>
              <w:overflowPunct/>
              <w:topLinePunct w:val="0"/>
              <w:autoSpaceDE/>
              <w:autoSpaceDN/>
              <w:bidi w:val="0"/>
              <w:adjustRightInd/>
              <w:snapToGrid/>
              <w:spacing w:line="360" w:lineRule="auto"/>
              <w:ind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（2）必要的保险费用和各项税金；</w:t>
            </w:r>
          </w:p>
          <w:p w14:paraId="3563135E">
            <w:pPr>
              <w:keepNext w:val="0"/>
              <w:keepLines w:val="0"/>
              <w:pageBreakBefore w:val="0"/>
              <w:widowControl w:val="0"/>
              <w:kinsoku/>
              <w:wordWrap w:val="0"/>
              <w:overflowPunct/>
              <w:topLinePunct w:val="0"/>
              <w:autoSpaceDE/>
              <w:autoSpaceDN/>
              <w:bidi w:val="0"/>
              <w:adjustRightInd/>
              <w:snapToGrid/>
              <w:spacing w:line="360" w:lineRule="auto"/>
              <w:ind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（3）投标人应对本项目的所有内容范围及服务进行报价；采购人不再支付任何费用。</w:t>
            </w:r>
          </w:p>
          <w:p w14:paraId="77DC3044">
            <w:pPr>
              <w:pStyle w:val="25"/>
              <w:keepNext w:val="0"/>
              <w:keepLines w:val="0"/>
              <w:pageBreakBefore w:val="0"/>
              <w:kinsoku/>
              <w:overflowPunct/>
              <w:topLinePunct w:val="0"/>
              <w:autoSpaceDE/>
              <w:autoSpaceDN/>
              <w:bidi w:val="0"/>
              <w:adjustRightInd/>
              <w:snapToGrid/>
              <w:spacing w:before="0" w:after="0" w:line="360" w:lineRule="auto"/>
              <w:ind w:leftChars="0" w:firstLine="0" w:firstLineChars="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安装辅材：包含设备挂墙多媒体箱、安装支架、设备连接线的设备安装辅材及布线施工。</w:t>
            </w:r>
          </w:p>
          <w:p w14:paraId="4DD5A369">
            <w:pPr>
              <w:keepNext w:val="0"/>
              <w:keepLines w:val="0"/>
              <w:pageBreakBefore w:val="0"/>
              <w:widowControl w:val="0"/>
              <w:kinsoku/>
              <w:wordWrap w:val="0"/>
              <w:overflowPunct/>
              <w:topLinePunct w:val="0"/>
              <w:autoSpaceDE/>
              <w:autoSpaceDN/>
              <w:bidi w:val="0"/>
              <w:adjustRightInd/>
              <w:snapToGrid/>
              <w:spacing w:line="360" w:lineRule="auto"/>
              <w:ind w:leftChars="0" w:firstLine="0" w:firstLineChars="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3.违约责任</w:t>
            </w:r>
            <w:r>
              <w:rPr>
                <w:rFonts w:hint="eastAsia" w:asciiTheme="minorEastAsia" w:hAnsiTheme="minorEastAsia" w:eastAsiaTheme="minorEastAsia" w:cstheme="minorEastAsia"/>
                <w:color w:val="auto"/>
                <w:sz w:val="24"/>
                <w:szCs w:val="24"/>
                <w:highlight w:val="none"/>
                <w:lang w:eastAsia="zh-CN"/>
              </w:rPr>
              <w:t>：</w:t>
            </w:r>
          </w:p>
          <w:p w14:paraId="69BDB3FE">
            <w:pPr>
              <w:keepNext w:val="0"/>
              <w:keepLines w:val="0"/>
              <w:pageBreakBefore w:val="0"/>
              <w:widowControl w:val="0"/>
              <w:kinsoku/>
              <w:wordWrap w:val="0"/>
              <w:overflowPunct/>
              <w:topLinePunct w:val="0"/>
              <w:autoSpaceDE/>
              <w:autoSpaceDN/>
              <w:bidi w:val="0"/>
              <w:adjustRightInd/>
              <w:snapToGrid/>
              <w:spacing w:line="360" w:lineRule="auto"/>
              <w:ind w:leftChars="0" w:firstLine="0" w:firstLineChars="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中标供应商在项目实施要求的服务期内因自身原因不能按时完成项目的，每逾期1天采购人对中标供应商处罚合同总金额的1‰作为违约金；逾期超过10天，否则采购人有权上报相关监督部门，因此给采购人造成的经济损失由中标供应商自行承担。由于不可抗力原因导致的项目延期，不在违约处罚范围内。</w:t>
            </w:r>
          </w:p>
          <w:p w14:paraId="63776055">
            <w:pPr>
              <w:keepNext w:val="0"/>
              <w:keepLines w:val="0"/>
              <w:pageBreakBefore w:val="0"/>
              <w:widowControl w:val="0"/>
              <w:kinsoku/>
              <w:wordWrap w:val="0"/>
              <w:overflowPunct/>
              <w:topLinePunct w:val="0"/>
              <w:autoSpaceDE/>
              <w:autoSpaceDN/>
              <w:bidi w:val="0"/>
              <w:adjustRightInd/>
              <w:snapToGrid/>
              <w:spacing w:line="360" w:lineRule="auto"/>
              <w:ind w:leftChars="0" w:firstLine="0" w:firstLineChars="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）中标供应商在项目实施期间的服务成果未达到采购人要求的，采购人对中标供应商处罚合同总金额的2‰作为违约金，因此给采购人造成的经济损失由中标供应商自行承担。</w:t>
            </w:r>
          </w:p>
          <w:p w14:paraId="07058621">
            <w:pPr>
              <w:keepNext w:val="0"/>
              <w:keepLines w:val="0"/>
              <w:pageBreakBefore w:val="0"/>
              <w:widowControl w:val="0"/>
              <w:kinsoku/>
              <w:wordWrap w:val="0"/>
              <w:overflowPunct/>
              <w:topLinePunct w:val="0"/>
              <w:autoSpaceDE/>
              <w:autoSpaceDN/>
              <w:bidi w:val="0"/>
              <w:adjustRightInd/>
              <w:snapToGrid/>
              <w:spacing w:line="360" w:lineRule="auto"/>
              <w:ind w:leftChars="0" w:firstLine="0" w:firstLineChars="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）违约责任产生的赔偿不意味违约方整个合同责任的解除，未经采购人同意，中标供应商不得以任何理由推迟、降低、减少有关合同条款履行的承诺。</w:t>
            </w:r>
          </w:p>
          <w:p w14:paraId="510AAF9E">
            <w:pPr>
              <w:keepNext w:val="0"/>
              <w:keepLines w:val="0"/>
              <w:pageBreakBefore w:val="0"/>
              <w:widowControl w:val="0"/>
              <w:kinsoku/>
              <w:wordWrap w:val="0"/>
              <w:overflowPunct/>
              <w:topLinePunct w:val="0"/>
              <w:autoSpaceDE/>
              <w:autoSpaceDN/>
              <w:bidi w:val="0"/>
              <w:adjustRightInd/>
              <w:snapToGrid/>
              <w:spacing w:line="360" w:lineRule="auto"/>
              <w:ind w:leftChars="0" w:firstLine="0" w:firstLineChars="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如中标供应商出现违约时，采购人应以书面方式告知中标供应商应承担的违约责任；中标供应商须在收到通知后须立即整改，由此产生的一切损失由中标供应商须承担相应责任，且须向采购人支付合同总金额的2‰作为违约金。</w:t>
            </w:r>
          </w:p>
          <w:p w14:paraId="4F3A417E">
            <w:pPr>
              <w:keepNext w:val="0"/>
              <w:keepLines w:val="0"/>
              <w:pageBreakBefore w:val="0"/>
              <w:widowControl w:val="0"/>
              <w:kinsoku/>
              <w:wordWrap w:val="0"/>
              <w:overflowPunct/>
              <w:topLinePunct w:val="0"/>
              <w:autoSpaceDE/>
              <w:autoSpaceDN/>
              <w:bidi w:val="0"/>
              <w:adjustRightInd/>
              <w:snapToGrid/>
              <w:spacing w:line="360" w:lineRule="auto"/>
              <w:ind w:leftChars="0" w:firstLine="0" w:firstLineChars="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）中标供应商的其它违约行为，采购人对中标供应商处罚合同总金额的2‰作为违约金，并赔偿采购人相应的经济损失。</w:t>
            </w:r>
          </w:p>
          <w:p w14:paraId="5E6EF31A">
            <w:pPr>
              <w:keepNext w:val="0"/>
              <w:keepLines w:val="0"/>
              <w:pageBreakBefore w:val="0"/>
              <w:widowControl w:val="0"/>
              <w:kinsoku/>
              <w:wordWrap w:val="0"/>
              <w:overflowPunct/>
              <w:topLinePunct w:val="0"/>
              <w:autoSpaceDE/>
              <w:autoSpaceDN/>
              <w:bidi w:val="0"/>
              <w:adjustRightInd/>
              <w:snapToGrid/>
              <w:spacing w:line="360" w:lineRule="auto"/>
              <w:ind w:leftChars="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4.知识产权：</w:t>
            </w:r>
          </w:p>
          <w:p w14:paraId="73AB56C4">
            <w:pPr>
              <w:keepNext w:val="0"/>
              <w:keepLines w:val="0"/>
              <w:pageBreakBefore w:val="0"/>
              <w:widowControl w:val="0"/>
              <w:kinsoku/>
              <w:wordWrap w:val="0"/>
              <w:overflowPunct/>
              <w:topLinePunct w:val="0"/>
              <w:autoSpaceDE/>
              <w:autoSpaceDN/>
              <w:bidi w:val="0"/>
              <w:adjustRightInd/>
              <w:snapToGrid/>
              <w:spacing w:line="360" w:lineRule="auto"/>
              <w:ind w:leftChars="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（1）本项目所有权、使用权归采购人所有。</w:t>
            </w:r>
          </w:p>
          <w:p w14:paraId="450E3DCB">
            <w:pPr>
              <w:pStyle w:val="9"/>
              <w:keepNext w:val="0"/>
              <w:keepLines w:val="0"/>
              <w:pageBreakBefore w:val="0"/>
              <w:kinsoku/>
              <w:overflowPunct/>
              <w:topLinePunct w:val="0"/>
              <w:autoSpaceDE/>
              <w:autoSpaceDN/>
              <w:bidi w:val="0"/>
              <w:adjustRightInd/>
              <w:snapToGrid/>
              <w:spacing w:after="0" w:line="360" w:lineRule="auto"/>
              <w:ind w:leftChars="0" w:firstLine="0" w:firstLineChars="0"/>
              <w:textAlignment w:val="auto"/>
              <w:rPr>
                <w:color w:val="auto"/>
                <w:highlight w:val="none"/>
              </w:rPr>
            </w:pPr>
            <w:r>
              <w:rPr>
                <w:rFonts w:hint="eastAsia" w:asciiTheme="minorEastAsia" w:hAnsiTheme="minorEastAsia" w:eastAsiaTheme="minorEastAsia" w:cstheme="minorEastAsia"/>
                <w:color w:val="auto"/>
                <w:sz w:val="24"/>
                <w:szCs w:val="24"/>
                <w:highlight w:val="none"/>
                <w:lang w:val="en-US" w:eastAsia="zh-CN"/>
              </w:rPr>
              <w:t>（2）供应商须保证采购人在使用该项目成果内容时免受第三方在知识产权方面的起诉。如果第三方提出侵权指控，供应商应承担由此而引起的一切法律责任和费用。</w:t>
            </w:r>
          </w:p>
          <w:p w14:paraId="32B8020D">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color w:val="auto"/>
                <w:highlight w:val="none"/>
                <w:lang w:val="en-US" w:eastAsia="zh-CN"/>
              </w:rPr>
              <w:t>5、</w:t>
            </w:r>
            <w:r>
              <w:rPr>
                <w:rFonts w:hint="eastAsia" w:ascii="宋体" w:hAnsi="宋体" w:eastAsia="宋体" w:cs="宋体"/>
                <w:color w:val="auto"/>
                <w:sz w:val="24"/>
                <w:szCs w:val="24"/>
                <w:highlight w:val="none"/>
              </w:rPr>
              <w:t>验收要求</w:t>
            </w:r>
            <w:r>
              <w:rPr>
                <w:rFonts w:hint="eastAsia" w:ascii="宋体" w:hAnsi="宋体" w:eastAsia="宋体" w:cs="宋体"/>
                <w:color w:val="auto"/>
                <w:sz w:val="24"/>
                <w:szCs w:val="24"/>
                <w:highlight w:val="none"/>
                <w:lang w:eastAsia="zh-CN"/>
              </w:rPr>
              <w:t>：</w:t>
            </w:r>
          </w:p>
          <w:p w14:paraId="04B68B60">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验收依据招标文件、投标文件以及国家和行业验收规范要求及合同中的相关条款。</w:t>
            </w:r>
          </w:p>
          <w:p w14:paraId="65487669">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中标供应商提交的项目成果，由双方对照采购需求（包含建设目标、技术指标）进行验收。</w:t>
            </w:r>
          </w:p>
          <w:p w14:paraId="683831C7">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由采购</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对照</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文件的技术要求全面核对检验，中标供应商须无条件配合采购人对服务成果进行验收，如发现不符合</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文件的技术需求及要求或提供虚假承诺的，按相关规定做违约处理，中标供应商承担所有责任和费用，采购人保留进一步追究责任的权利。</w:t>
            </w:r>
          </w:p>
          <w:p w14:paraId="0FBD1096">
            <w:pPr>
              <w:rPr>
                <w:rFonts w:hint="eastAsia" w:eastAsia="宋体"/>
                <w:color w:val="auto"/>
                <w:highlight w:val="none"/>
                <w:lang w:val="en-US" w:eastAsia="zh-CN"/>
              </w:rPr>
            </w:pPr>
          </w:p>
        </w:tc>
      </w:tr>
      <w:tr w14:paraId="287E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45" w:type="dxa"/>
            <w:vAlign w:val="center"/>
          </w:tcPr>
          <w:p w14:paraId="5E2BCE47">
            <w:pPr>
              <w:keepNext w:val="0"/>
              <w:keepLines w:val="0"/>
              <w:pageBreakBefore w:val="0"/>
              <w:kinsoku/>
              <w:wordWrap w:val="0"/>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其他说明</w:t>
            </w:r>
          </w:p>
        </w:tc>
        <w:tc>
          <w:tcPr>
            <w:tcW w:w="9576" w:type="dxa"/>
            <w:gridSpan w:val="7"/>
          </w:tcPr>
          <w:p w14:paraId="468FAB01">
            <w:pPr>
              <w:keepNext w:val="0"/>
              <w:keepLines w:val="0"/>
              <w:pageBreakBefore w:val="0"/>
              <w:kinsoku/>
              <w:wordWrap w:val="0"/>
              <w:overflowPunct/>
              <w:topLinePunct w:val="0"/>
              <w:autoSpaceDE/>
              <w:autoSpaceDN/>
              <w:bidi w:val="0"/>
              <w:adjustRightInd/>
              <w:snapToGrid/>
              <w:spacing w:line="360" w:lineRule="auto"/>
              <w:ind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1、本项目采购标的的需执行的国家相关标准、行业标准、地方标准或其他强制性标准、规范等要求：</w:t>
            </w:r>
            <w:r>
              <w:rPr>
                <w:rFonts w:hint="eastAsia" w:asciiTheme="minorEastAsia" w:hAnsiTheme="minorEastAsia" w:eastAsiaTheme="minorEastAsia" w:cstheme="minorEastAsia"/>
                <w:color w:val="auto"/>
                <w:sz w:val="24"/>
                <w:szCs w:val="24"/>
                <w:highlight w:val="none"/>
                <w:u w:val="single"/>
              </w:rPr>
              <w:t>按国家相关标准、中标供应商承诺进行验收。</w:t>
            </w:r>
          </w:p>
          <w:p w14:paraId="512F50E1">
            <w:pPr>
              <w:keepNext w:val="0"/>
              <w:keepLines w:val="0"/>
              <w:pageBreakBefore w:val="0"/>
              <w:kinsoku/>
              <w:overflowPunct/>
              <w:topLinePunct w:val="0"/>
              <w:autoSpaceDE/>
              <w:autoSpaceDN/>
              <w:bidi w:val="0"/>
              <w:adjustRightInd/>
              <w:snapToGrid/>
              <w:spacing w:line="360" w:lineRule="auto"/>
              <w:ind w:leftChars="0" w:firstLine="0" w:firstLineChars="0"/>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2、合同延续年限、条件和方式：</w:t>
            </w:r>
            <w:r>
              <w:rPr>
                <w:rFonts w:hint="eastAsia" w:asciiTheme="minorEastAsia" w:hAnsiTheme="minorEastAsia" w:eastAsiaTheme="minorEastAsia" w:cstheme="minorEastAsia"/>
                <w:color w:val="auto"/>
                <w:sz w:val="24"/>
                <w:szCs w:val="24"/>
                <w:highlight w:val="none"/>
                <w:u w:val="single"/>
              </w:rPr>
              <w:t>本项目合同到期后不续签。</w:t>
            </w:r>
          </w:p>
        </w:tc>
      </w:tr>
      <w:bookmarkEnd w:id="7"/>
    </w:tbl>
    <w:p w14:paraId="3343B815">
      <w:pPr>
        <w:pageBreakBefore w:val="0"/>
        <w:wordWrap w:val="0"/>
        <w:overflowPunct/>
        <w:topLinePunct w:val="0"/>
        <w:bidi w:val="0"/>
        <w:spacing w:line="360" w:lineRule="auto"/>
        <w:outlineLvl w:val="9"/>
        <w:rPr>
          <w:rFonts w:ascii="宋体" w:hAnsi="宋体" w:cs="宋体"/>
          <w:color w:val="auto"/>
          <w:sz w:val="32"/>
          <w:szCs w:val="32"/>
          <w:highlight w:val="none"/>
        </w:rPr>
      </w:pPr>
      <w:r>
        <w:rPr>
          <w:color w:val="auto"/>
          <w:highlight w:val="none"/>
        </w:rPr>
        <w:br w:type="page"/>
      </w:r>
      <w:r>
        <w:rPr>
          <w:rFonts w:hint="eastAsia" w:ascii="宋体" w:hAnsi="宋体" w:cs="宋体"/>
          <w:color w:val="auto"/>
          <w:sz w:val="32"/>
          <w:szCs w:val="32"/>
          <w:highlight w:val="none"/>
        </w:rPr>
        <w:t>附件：1</w:t>
      </w:r>
    </w:p>
    <w:p w14:paraId="5659189F">
      <w:pPr>
        <w:pageBreakBefore w:val="0"/>
        <w:wordWrap w:val="0"/>
        <w:overflowPunct/>
        <w:topLinePunct w:val="0"/>
        <w:bidi w:val="0"/>
        <w:spacing w:line="360" w:lineRule="auto"/>
        <w:rPr>
          <w:rFonts w:ascii="宋体" w:hAnsi="宋体" w:cs="宋体"/>
          <w:color w:val="auto"/>
          <w:sz w:val="17"/>
          <w:szCs w:val="17"/>
          <w:highlight w:val="none"/>
        </w:rPr>
      </w:pPr>
    </w:p>
    <w:p w14:paraId="50A2AA9D">
      <w:pPr>
        <w:pageBreakBefore w:val="0"/>
        <w:wordWrap w:val="0"/>
        <w:overflowPunct/>
        <w:topLinePunct w:val="0"/>
        <w:bidi w:val="0"/>
        <w:spacing w:line="360" w:lineRule="auto"/>
        <w:ind w:left="1871"/>
        <w:rPr>
          <w:rFonts w:ascii="宋体" w:hAnsi="宋体" w:cs="宋体"/>
          <w:color w:val="auto"/>
          <w:sz w:val="40"/>
          <w:szCs w:val="40"/>
          <w:highlight w:val="none"/>
        </w:rPr>
      </w:pPr>
      <w:r>
        <w:rPr>
          <w:rFonts w:hint="eastAsia" w:ascii="宋体" w:hAnsi="宋体" w:cs="宋体"/>
          <w:color w:val="auto"/>
          <w:sz w:val="40"/>
          <w:szCs w:val="40"/>
          <w:highlight w:val="none"/>
        </w:rPr>
        <w:t>节能产品政府采购品目清单</w:t>
      </w:r>
    </w:p>
    <w:tbl>
      <w:tblPr>
        <w:tblStyle w:val="19"/>
        <w:tblW w:w="9220" w:type="dxa"/>
        <w:tblInd w:w="93" w:type="dxa"/>
        <w:tblLayout w:type="fixed"/>
        <w:tblCellMar>
          <w:top w:w="0" w:type="dxa"/>
          <w:left w:w="108" w:type="dxa"/>
          <w:bottom w:w="0" w:type="dxa"/>
          <w:right w:w="108" w:type="dxa"/>
        </w:tblCellMar>
      </w:tblPr>
      <w:tblGrid>
        <w:gridCol w:w="660"/>
        <w:gridCol w:w="1080"/>
        <w:gridCol w:w="1320"/>
        <w:gridCol w:w="1620"/>
        <w:gridCol w:w="4540"/>
      </w:tblGrid>
      <w:tr w14:paraId="1E0ADE67">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14:paraId="73E99A80">
            <w:pPr>
              <w:pageBreakBefore w:val="0"/>
              <w:widowControl/>
              <w:wordWrap w:val="0"/>
              <w:overflowPunct/>
              <w:topLinePunct w:val="0"/>
              <w:bidi w:val="0"/>
              <w:spacing w:line="360" w:lineRule="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59C38661">
            <w:pPr>
              <w:pageBreakBefore w:val="0"/>
              <w:widowControl/>
              <w:wordWrap w:val="0"/>
              <w:overflowPunct/>
              <w:topLinePunct w:val="0"/>
              <w:bidi w:val="0"/>
              <w:spacing w:line="360" w:lineRule="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vAlign w:val="center"/>
          </w:tcPr>
          <w:p w14:paraId="778CD9A6">
            <w:pPr>
              <w:pageBreakBefore w:val="0"/>
              <w:widowControl/>
              <w:wordWrap w:val="0"/>
              <w:overflowPunct/>
              <w:topLinePunct w:val="0"/>
              <w:bidi w:val="0"/>
              <w:spacing w:line="360" w:lineRule="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09C42023">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25BB16CF">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vAlign w:val="center"/>
          </w:tcPr>
          <w:p w14:paraId="6425D61A">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vAlign w:val="center"/>
          </w:tcPr>
          <w:p w14:paraId="0B3689CE">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vAlign w:val="center"/>
          </w:tcPr>
          <w:p w14:paraId="309BA82D">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C4E3979">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4F89DBBF">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57CCD3C">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2D1C3A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03F50581">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vAlign w:val="center"/>
          </w:tcPr>
          <w:p w14:paraId="68E8682D">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8C770B5">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5C69A680">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575FB37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3D0CB7E">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7074413F">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vAlign w:val="center"/>
          </w:tcPr>
          <w:p w14:paraId="2A6B8C12">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9FE503B">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66D4CBDC">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3BDC0031">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vAlign w:val="center"/>
          </w:tcPr>
          <w:p w14:paraId="455D26E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2BAB885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vAlign w:val="center"/>
          </w:tcPr>
          <w:p w14:paraId="415723C2">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vAlign w:val="center"/>
          </w:tcPr>
          <w:p w14:paraId="36FBE100">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1483A1C3">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EA18899">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73D8517">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4A9B0994">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3FE14FCA">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vAlign w:val="center"/>
          </w:tcPr>
          <w:p w14:paraId="761940F2">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4E30E081">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8A1EABA">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91CB36E">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080297A1">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1B8F54D5">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vAlign w:val="center"/>
          </w:tcPr>
          <w:p w14:paraId="3F92BFFB">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205EC841">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020501E">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7417659">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443B9E9F">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vAlign w:val="center"/>
          </w:tcPr>
          <w:p w14:paraId="21D29C04">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vAlign w:val="center"/>
          </w:tcPr>
          <w:p w14:paraId="5197E47F">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7623E4E5">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789214A6">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24F12F5">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3FBAB09E">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vAlign w:val="center"/>
          </w:tcPr>
          <w:p w14:paraId="754E3D4B">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vAlign w:val="center"/>
          </w:tcPr>
          <w:p w14:paraId="477FCCB6">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70F531DE">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9C9170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080" w:type="dxa"/>
            <w:tcBorders>
              <w:top w:val="nil"/>
              <w:left w:val="nil"/>
              <w:bottom w:val="single" w:color="000000" w:sz="8" w:space="0"/>
              <w:right w:val="single" w:color="000000" w:sz="8" w:space="0"/>
            </w:tcBorders>
            <w:vAlign w:val="center"/>
          </w:tcPr>
          <w:p w14:paraId="3DD0094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320" w:type="dxa"/>
            <w:tcBorders>
              <w:top w:val="nil"/>
              <w:left w:val="nil"/>
              <w:bottom w:val="single" w:color="000000" w:sz="8" w:space="0"/>
              <w:right w:val="single" w:color="000000" w:sz="8" w:space="0"/>
            </w:tcBorders>
            <w:vAlign w:val="center"/>
          </w:tcPr>
          <w:p w14:paraId="545D5342">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420E0E54">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7452AC6">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291A46DA">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286D6E5">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080" w:type="dxa"/>
            <w:tcBorders>
              <w:top w:val="nil"/>
              <w:left w:val="nil"/>
              <w:bottom w:val="single" w:color="000000" w:sz="8" w:space="0"/>
              <w:right w:val="single" w:color="000000" w:sz="8" w:space="0"/>
            </w:tcBorders>
            <w:vAlign w:val="center"/>
          </w:tcPr>
          <w:p w14:paraId="1210EB32">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320" w:type="dxa"/>
            <w:tcBorders>
              <w:top w:val="nil"/>
              <w:left w:val="nil"/>
              <w:bottom w:val="single" w:color="000000" w:sz="8" w:space="0"/>
              <w:right w:val="single" w:color="000000" w:sz="8" w:space="0"/>
            </w:tcBorders>
            <w:vAlign w:val="center"/>
          </w:tcPr>
          <w:p w14:paraId="26B175AF">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34797126">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7D47346">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2549FEB0">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08CDBC3">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80" w:type="dxa"/>
            <w:tcBorders>
              <w:top w:val="nil"/>
              <w:left w:val="nil"/>
              <w:bottom w:val="single" w:color="000000" w:sz="8" w:space="0"/>
              <w:right w:val="single" w:color="000000" w:sz="8" w:space="0"/>
            </w:tcBorders>
            <w:vAlign w:val="center"/>
          </w:tcPr>
          <w:p w14:paraId="7102D464">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320" w:type="dxa"/>
            <w:tcBorders>
              <w:top w:val="nil"/>
              <w:left w:val="nil"/>
              <w:bottom w:val="single" w:color="000000" w:sz="8" w:space="0"/>
              <w:right w:val="single" w:color="000000" w:sz="8" w:space="0"/>
            </w:tcBorders>
            <w:vAlign w:val="center"/>
          </w:tcPr>
          <w:p w14:paraId="5A4F989E">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vAlign w:val="center"/>
          </w:tcPr>
          <w:p w14:paraId="4F5D0BB9">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9A12FB4">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195CFBC1">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14:paraId="21009D9A">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vAlign w:val="center"/>
          </w:tcPr>
          <w:p w14:paraId="037197B1">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3FACBA82">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vAlign w:val="center"/>
          </w:tcPr>
          <w:p w14:paraId="7C564B69">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540" w:type="dxa"/>
            <w:tcBorders>
              <w:top w:val="nil"/>
              <w:left w:val="nil"/>
              <w:bottom w:val="single" w:color="000000" w:sz="8" w:space="0"/>
              <w:right w:val="single" w:color="000000" w:sz="8" w:space="0"/>
            </w:tcBorders>
            <w:vAlign w:val="center"/>
          </w:tcPr>
          <w:p w14:paraId="0CB9111A">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1231265F">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B24CEDD">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26E0360">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638D0148">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4F02289F">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vAlign w:val="center"/>
          </w:tcPr>
          <w:p w14:paraId="1758446A">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4256CB98">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0378E6C">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09E32460">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70FA7ADB">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0F5524B9">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vAlign w:val="center"/>
          </w:tcPr>
          <w:p w14:paraId="760F2799">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6D6C73DD">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0A119B30">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9A62C10">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2BFCF0D2">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vAlign w:val="center"/>
          </w:tcPr>
          <w:p w14:paraId="04F69B92">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vAlign w:val="center"/>
          </w:tcPr>
          <w:p w14:paraId="46CCED5F">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4933652F">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45FADFD5">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9DD3714">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20B1FF09">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02291DAA">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vAlign w:val="center"/>
          </w:tcPr>
          <w:p w14:paraId="1AB5085D">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11C060F9">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2217018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626583D">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4E2A894">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vAlign w:val="center"/>
          </w:tcPr>
          <w:p w14:paraId="5F5C3AE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540" w:type="dxa"/>
            <w:tcBorders>
              <w:top w:val="nil"/>
              <w:left w:val="nil"/>
              <w:bottom w:val="single" w:color="000000" w:sz="8" w:space="0"/>
              <w:right w:val="single" w:color="000000" w:sz="8" w:space="0"/>
            </w:tcBorders>
            <w:vAlign w:val="center"/>
          </w:tcPr>
          <w:p w14:paraId="2FF33C21">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1DA4D3EF">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4B124B5A">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65ECA49">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5EA42D51">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vAlign w:val="center"/>
          </w:tcPr>
          <w:p w14:paraId="65E338DF">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540" w:type="dxa"/>
            <w:tcBorders>
              <w:top w:val="nil"/>
              <w:left w:val="nil"/>
              <w:bottom w:val="single" w:color="000000" w:sz="8" w:space="0"/>
              <w:right w:val="single" w:color="000000" w:sz="8" w:space="0"/>
            </w:tcBorders>
            <w:vAlign w:val="center"/>
          </w:tcPr>
          <w:p w14:paraId="0F6DC660">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6D091C6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6D86388">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080" w:type="dxa"/>
            <w:tcBorders>
              <w:top w:val="nil"/>
              <w:left w:val="nil"/>
              <w:bottom w:val="single" w:color="000000" w:sz="8" w:space="0"/>
              <w:right w:val="single" w:color="000000" w:sz="8" w:space="0"/>
            </w:tcBorders>
            <w:vAlign w:val="center"/>
          </w:tcPr>
          <w:p w14:paraId="52C928E2">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320" w:type="dxa"/>
            <w:tcBorders>
              <w:top w:val="nil"/>
              <w:left w:val="nil"/>
              <w:bottom w:val="single" w:color="000000" w:sz="8" w:space="0"/>
              <w:right w:val="single" w:color="000000" w:sz="8" w:space="0"/>
            </w:tcBorders>
            <w:vAlign w:val="center"/>
          </w:tcPr>
          <w:p w14:paraId="2B49775A">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077B1D2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C0FAE8A">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128806CE">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FAF1E9F">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080" w:type="dxa"/>
            <w:tcBorders>
              <w:top w:val="nil"/>
              <w:left w:val="nil"/>
              <w:bottom w:val="single" w:color="000000" w:sz="8" w:space="0"/>
              <w:right w:val="single" w:color="000000" w:sz="8" w:space="0"/>
            </w:tcBorders>
            <w:vAlign w:val="center"/>
          </w:tcPr>
          <w:p w14:paraId="5EE20073">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320" w:type="dxa"/>
            <w:tcBorders>
              <w:top w:val="nil"/>
              <w:left w:val="nil"/>
              <w:bottom w:val="single" w:color="000000" w:sz="8" w:space="0"/>
              <w:right w:val="single" w:color="000000" w:sz="8" w:space="0"/>
            </w:tcBorders>
            <w:vAlign w:val="center"/>
          </w:tcPr>
          <w:p w14:paraId="4B8B9FAA">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20" w:type="dxa"/>
            <w:tcBorders>
              <w:top w:val="nil"/>
              <w:left w:val="nil"/>
              <w:bottom w:val="single" w:color="000000" w:sz="8" w:space="0"/>
              <w:right w:val="single" w:color="000000" w:sz="8" w:space="0"/>
            </w:tcBorders>
            <w:vAlign w:val="center"/>
          </w:tcPr>
          <w:p w14:paraId="11CCA50D">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5BF3635">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4AC74485">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2F9A73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080" w:type="dxa"/>
            <w:tcBorders>
              <w:top w:val="nil"/>
              <w:left w:val="nil"/>
              <w:bottom w:val="single" w:color="000000" w:sz="8" w:space="0"/>
              <w:right w:val="single" w:color="000000" w:sz="8" w:space="0"/>
            </w:tcBorders>
            <w:vAlign w:val="center"/>
          </w:tcPr>
          <w:p w14:paraId="2CE551B8">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320" w:type="dxa"/>
            <w:tcBorders>
              <w:top w:val="nil"/>
              <w:left w:val="nil"/>
              <w:bottom w:val="single" w:color="000000" w:sz="8" w:space="0"/>
              <w:right w:val="single" w:color="000000" w:sz="8" w:space="0"/>
            </w:tcBorders>
            <w:vAlign w:val="center"/>
          </w:tcPr>
          <w:p w14:paraId="252F944F">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vAlign w:val="center"/>
          </w:tcPr>
          <w:p w14:paraId="1CC2CBB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F4FFC1A">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580EB80D">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0DF5E547">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vAlign w:val="center"/>
          </w:tcPr>
          <w:p w14:paraId="4BCFCE29">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320" w:type="dxa"/>
            <w:tcBorders>
              <w:top w:val="nil"/>
              <w:left w:val="nil"/>
              <w:bottom w:val="single" w:color="000000" w:sz="8" w:space="0"/>
              <w:right w:val="single" w:color="000000" w:sz="8" w:space="0"/>
            </w:tcBorders>
            <w:vAlign w:val="center"/>
          </w:tcPr>
          <w:p w14:paraId="5B8EBC83">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vAlign w:val="center"/>
          </w:tcPr>
          <w:p w14:paraId="620C5996">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57BCCCB">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31D856C0">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21BC8B2F">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FB4DE0D">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3555A5EF">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vAlign w:val="center"/>
          </w:tcPr>
          <w:p w14:paraId="51967319">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vAlign w:val="center"/>
          </w:tcPr>
          <w:p w14:paraId="753881AE">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2C5165B1">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02AF1DBA">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272A130">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067EAF1F">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2E5BB51B">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vAlign w:val="center"/>
          </w:tcPr>
          <w:p w14:paraId="66E817BC">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2875F379">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2902B226">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01248D1D">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67291D85">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2B48875A">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vAlign w:val="center"/>
          </w:tcPr>
          <w:p w14:paraId="22F2386F">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641D5568">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C46A23B">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E21919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7A6D0ED1">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vAlign w:val="center"/>
          </w:tcPr>
          <w:p w14:paraId="5EEF4299">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8CD0AF2">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20D6DB3D">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B3C73E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5B7CF04">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4127DC62">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vAlign w:val="center"/>
          </w:tcPr>
          <w:p w14:paraId="5942F718">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540" w:type="dxa"/>
            <w:tcBorders>
              <w:top w:val="nil"/>
              <w:left w:val="nil"/>
              <w:bottom w:val="single" w:color="000000" w:sz="8" w:space="0"/>
              <w:right w:val="single" w:color="000000" w:sz="8" w:space="0"/>
            </w:tcBorders>
            <w:vAlign w:val="center"/>
          </w:tcPr>
          <w:p w14:paraId="649BD6BC">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61E70E72">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4CEA82E">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67B5C76">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7149071E">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5E04E94F">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540" w:type="dxa"/>
            <w:tcBorders>
              <w:top w:val="nil"/>
              <w:left w:val="nil"/>
              <w:bottom w:val="single" w:color="000000" w:sz="8" w:space="0"/>
              <w:right w:val="single" w:color="000000" w:sz="8" w:space="0"/>
            </w:tcBorders>
            <w:vAlign w:val="center"/>
          </w:tcPr>
          <w:p w14:paraId="04A147FB">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788FF05F">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0592CD6">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6E79501">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4DFB3D72">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31126E2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540" w:type="dxa"/>
            <w:tcBorders>
              <w:top w:val="nil"/>
              <w:left w:val="nil"/>
              <w:bottom w:val="single" w:color="000000" w:sz="8" w:space="0"/>
              <w:right w:val="single" w:color="000000" w:sz="8" w:space="0"/>
            </w:tcBorders>
            <w:vAlign w:val="center"/>
          </w:tcPr>
          <w:p w14:paraId="6A7D9FE7">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53F979B6">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B3C2B46">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BABC607">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6AB54B41">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6916F3FA">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vAlign w:val="center"/>
          </w:tcPr>
          <w:p w14:paraId="7F33D7C5">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23B509E1">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15030F8A">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080" w:type="dxa"/>
            <w:vMerge w:val="restart"/>
            <w:tcBorders>
              <w:top w:val="nil"/>
              <w:left w:val="single" w:color="000000" w:sz="8" w:space="0"/>
              <w:bottom w:val="single" w:color="000000" w:sz="8" w:space="0"/>
              <w:right w:val="single" w:color="000000" w:sz="8" w:space="0"/>
            </w:tcBorders>
            <w:vAlign w:val="center"/>
          </w:tcPr>
          <w:p w14:paraId="07B8023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320" w:type="dxa"/>
            <w:tcBorders>
              <w:top w:val="nil"/>
              <w:left w:val="nil"/>
              <w:bottom w:val="single" w:color="000000" w:sz="8" w:space="0"/>
              <w:right w:val="single" w:color="000000" w:sz="8" w:space="0"/>
            </w:tcBorders>
            <w:vAlign w:val="center"/>
          </w:tcPr>
          <w:p w14:paraId="23483A7D">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20" w:type="dxa"/>
            <w:tcBorders>
              <w:top w:val="nil"/>
              <w:left w:val="nil"/>
              <w:bottom w:val="single" w:color="000000" w:sz="8" w:space="0"/>
              <w:right w:val="single" w:color="000000" w:sz="8" w:space="0"/>
            </w:tcBorders>
            <w:vAlign w:val="center"/>
          </w:tcPr>
          <w:p w14:paraId="7E548E5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5CFFB06">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3CB5BA04">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A5FF0E9">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36F4F5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BB13725">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20" w:type="dxa"/>
            <w:tcBorders>
              <w:top w:val="nil"/>
              <w:left w:val="nil"/>
              <w:bottom w:val="single" w:color="000000" w:sz="8" w:space="0"/>
              <w:right w:val="single" w:color="000000" w:sz="8" w:space="0"/>
            </w:tcBorders>
            <w:vAlign w:val="center"/>
          </w:tcPr>
          <w:p w14:paraId="0987AB1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1BBBEE9">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5EA91178">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DDA8111">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F2C9D59">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BA1514A">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20" w:type="dxa"/>
            <w:tcBorders>
              <w:top w:val="nil"/>
              <w:left w:val="nil"/>
              <w:bottom w:val="single" w:color="000000" w:sz="8" w:space="0"/>
              <w:right w:val="single" w:color="000000" w:sz="8" w:space="0"/>
            </w:tcBorders>
            <w:vAlign w:val="center"/>
          </w:tcPr>
          <w:p w14:paraId="19239BAD">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6858F1C">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4957413D">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503545EA">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FCE2066">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3C7687C9">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20" w:type="dxa"/>
            <w:tcBorders>
              <w:top w:val="nil"/>
              <w:left w:val="nil"/>
              <w:bottom w:val="single" w:color="000000" w:sz="8" w:space="0"/>
              <w:right w:val="single" w:color="000000" w:sz="8" w:space="0"/>
            </w:tcBorders>
            <w:vAlign w:val="center"/>
          </w:tcPr>
          <w:p w14:paraId="06061241">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E3F5248">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048DC9D8">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14:paraId="71B1AB2B">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080" w:type="dxa"/>
            <w:tcBorders>
              <w:top w:val="nil"/>
              <w:left w:val="nil"/>
              <w:bottom w:val="single" w:color="000000" w:sz="8" w:space="0"/>
              <w:right w:val="single" w:color="000000" w:sz="8" w:space="0"/>
            </w:tcBorders>
            <w:vAlign w:val="center"/>
          </w:tcPr>
          <w:p w14:paraId="6F683C5F">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320" w:type="dxa"/>
            <w:tcBorders>
              <w:top w:val="nil"/>
              <w:left w:val="nil"/>
              <w:bottom w:val="single" w:color="000000" w:sz="8" w:space="0"/>
              <w:right w:val="single" w:color="000000" w:sz="8" w:space="0"/>
            </w:tcBorders>
            <w:vAlign w:val="center"/>
          </w:tcPr>
          <w:p w14:paraId="36FB4CB3">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20" w:type="dxa"/>
            <w:tcBorders>
              <w:top w:val="nil"/>
              <w:left w:val="nil"/>
              <w:bottom w:val="single" w:color="000000" w:sz="8" w:space="0"/>
              <w:right w:val="single" w:color="000000" w:sz="8" w:space="0"/>
            </w:tcBorders>
            <w:vAlign w:val="center"/>
          </w:tcPr>
          <w:p w14:paraId="262BC306">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2000C04">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3F61EC3D">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14:paraId="322EFDB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080" w:type="dxa"/>
            <w:tcBorders>
              <w:top w:val="nil"/>
              <w:left w:val="nil"/>
              <w:bottom w:val="single" w:color="000000" w:sz="8" w:space="0"/>
              <w:right w:val="single" w:color="000000" w:sz="8" w:space="0"/>
            </w:tcBorders>
            <w:vAlign w:val="center"/>
          </w:tcPr>
          <w:p w14:paraId="7A189CEE">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320" w:type="dxa"/>
            <w:tcBorders>
              <w:top w:val="nil"/>
              <w:left w:val="nil"/>
              <w:bottom w:val="single" w:color="000000" w:sz="8" w:space="0"/>
              <w:right w:val="single" w:color="000000" w:sz="8" w:space="0"/>
            </w:tcBorders>
            <w:vAlign w:val="center"/>
          </w:tcPr>
          <w:p w14:paraId="1EAB402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20" w:type="dxa"/>
            <w:tcBorders>
              <w:top w:val="nil"/>
              <w:left w:val="nil"/>
              <w:bottom w:val="single" w:color="000000" w:sz="8" w:space="0"/>
              <w:right w:val="single" w:color="000000" w:sz="8" w:space="0"/>
            </w:tcBorders>
            <w:vAlign w:val="center"/>
          </w:tcPr>
          <w:p w14:paraId="3D8AFD28">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540" w:type="dxa"/>
            <w:tcBorders>
              <w:top w:val="nil"/>
              <w:left w:val="nil"/>
              <w:bottom w:val="single" w:color="000000" w:sz="8" w:space="0"/>
              <w:right w:val="single" w:color="000000" w:sz="8" w:space="0"/>
            </w:tcBorders>
            <w:vAlign w:val="center"/>
          </w:tcPr>
          <w:p w14:paraId="632A99E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7AA1703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2E61FA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080" w:type="dxa"/>
            <w:tcBorders>
              <w:top w:val="nil"/>
              <w:left w:val="nil"/>
              <w:bottom w:val="single" w:color="000000" w:sz="8" w:space="0"/>
              <w:right w:val="single" w:color="000000" w:sz="8" w:space="0"/>
            </w:tcBorders>
            <w:vAlign w:val="center"/>
          </w:tcPr>
          <w:p w14:paraId="561862D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320" w:type="dxa"/>
            <w:tcBorders>
              <w:top w:val="nil"/>
              <w:left w:val="nil"/>
              <w:bottom w:val="single" w:color="000000" w:sz="8" w:space="0"/>
              <w:right w:val="single" w:color="000000" w:sz="8" w:space="0"/>
            </w:tcBorders>
            <w:vAlign w:val="center"/>
          </w:tcPr>
          <w:p w14:paraId="1D0FE881">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20" w:type="dxa"/>
            <w:tcBorders>
              <w:top w:val="nil"/>
              <w:left w:val="nil"/>
              <w:bottom w:val="single" w:color="000000" w:sz="8" w:space="0"/>
              <w:right w:val="single" w:color="000000" w:sz="8" w:space="0"/>
            </w:tcBorders>
            <w:vAlign w:val="center"/>
          </w:tcPr>
          <w:p w14:paraId="03706C15">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1DDEEE0">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7FAFCAA3">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14:paraId="722587B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080" w:type="dxa"/>
            <w:vMerge w:val="restart"/>
            <w:tcBorders>
              <w:top w:val="nil"/>
              <w:left w:val="single" w:color="000000" w:sz="8" w:space="0"/>
              <w:bottom w:val="single" w:color="000000" w:sz="8" w:space="0"/>
              <w:right w:val="single" w:color="000000" w:sz="8" w:space="0"/>
            </w:tcBorders>
            <w:vAlign w:val="center"/>
          </w:tcPr>
          <w:p w14:paraId="787BD8FE">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320" w:type="dxa"/>
            <w:tcBorders>
              <w:top w:val="nil"/>
              <w:left w:val="nil"/>
              <w:bottom w:val="single" w:color="000000" w:sz="8" w:space="0"/>
              <w:right w:val="single" w:color="000000" w:sz="8" w:space="0"/>
            </w:tcBorders>
            <w:vAlign w:val="center"/>
          </w:tcPr>
          <w:p w14:paraId="42AFD51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20" w:type="dxa"/>
            <w:tcBorders>
              <w:top w:val="nil"/>
              <w:left w:val="nil"/>
              <w:bottom w:val="single" w:color="000000" w:sz="8" w:space="0"/>
              <w:right w:val="single" w:color="000000" w:sz="8" w:space="0"/>
            </w:tcBorders>
            <w:vAlign w:val="center"/>
          </w:tcPr>
          <w:p w14:paraId="6A87874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8A31D1B">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09A3264A">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CA39A8C">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2B0C8B5">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5F9A5A4E">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20" w:type="dxa"/>
            <w:tcBorders>
              <w:top w:val="nil"/>
              <w:left w:val="nil"/>
              <w:bottom w:val="single" w:color="000000" w:sz="8" w:space="0"/>
              <w:right w:val="single" w:color="000000" w:sz="8" w:space="0"/>
            </w:tcBorders>
            <w:vAlign w:val="center"/>
          </w:tcPr>
          <w:p w14:paraId="11CFCEE6">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F8FA26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65DC21E2">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99ED929">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AC40D0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0E5A06CF">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20" w:type="dxa"/>
            <w:tcBorders>
              <w:top w:val="nil"/>
              <w:left w:val="nil"/>
              <w:bottom w:val="single" w:color="000000" w:sz="8" w:space="0"/>
              <w:right w:val="single" w:color="000000" w:sz="8" w:space="0"/>
            </w:tcBorders>
            <w:vAlign w:val="center"/>
          </w:tcPr>
          <w:p w14:paraId="21BEB449">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03F59D5">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1177AA42">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21F345E">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080" w:type="dxa"/>
            <w:tcBorders>
              <w:top w:val="nil"/>
              <w:left w:val="nil"/>
              <w:bottom w:val="single" w:color="000000" w:sz="8" w:space="0"/>
              <w:right w:val="single" w:color="000000" w:sz="8" w:space="0"/>
            </w:tcBorders>
            <w:vAlign w:val="center"/>
          </w:tcPr>
          <w:p w14:paraId="4152AE0F">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320" w:type="dxa"/>
            <w:tcBorders>
              <w:top w:val="nil"/>
              <w:left w:val="nil"/>
              <w:bottom w:val="single" w:color="000000" w:sz="8" w:space="0"/>
              <w:right w:val="single" w:color="000000" w:sz="8" w:space="0"/>
            </w:tcBorders>
            <w:vAlign w:val="center"/>
          </w:tcPr>
          <w:p w14:paraId="31F0598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763CB89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BEC396E">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0F725ED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1F8E537">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080" w:type="dxa"/>
            <w:tcBorders>
              <w:top w:val="nil"/>
              <w:left w:val="nil"/>
              <w:bottom w:val="single" w:color="000000" w:sz="8" w:space="0"/>
              <w:right w:val="single" w:color="000000" w:sz="8" w:space="0"/>
            </w:tcBorders>
            <w:vAlign w:val="center"/>
          </w:tcPr>
          <w:p w14:paraId="47C5BFBA">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320" w:type="dxa"/>
            <w:tcBorders>
              <w:top w:val="nil"/>
              <w:left w:val="nil"/>
              <w:bottom w:val="single" w:color="000000" w:sz="8" w:space="0"/>
              <w:right w:val="single" w:color="000000" w:sz="8" w:space="0"/>
            </w:tcBorders>
            <w:vAlign w:val="center"/>
          </w:tcPr>
          <w:p w14:paraId="6B5C1EA9">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2D2E193E">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B0B4BF8">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5F43750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66A67CA">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080" w:type="dxa"/>
            <w:tcBorders>
              <w:top w:val="nil"/>
              <w:left w:val="nil"/>
              <w:bottom w:val="single" w:color="000000" w:sz="8" w:space="0"/>
              <w:right w:val="single" w:color="000000" w:sz="8" w:space="0"/>
            </w:tcBorders>
            <w:vAlign w:val="center"/>
          </w:tcPr>
          <w:p w14:paraId="09D2B309">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320" w:type="dxa"/>
            <w:tcBorders>
              <w:top w:val="nil"/>
              <w:left w:val="nil"/>
              <w:bottom w:val="single" w:color="000000" w:sz="8" w:space="0"/>
              <w:right w:val="single" w:color="000000" w:sz="8" w:space="0"/>
            </w:tcBorders>
            <w:vAlign w:val="center"/>
          </w:tcPr>
          <w:p w14:paraId="19DC855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563911A4">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DFDD822">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46E814D0">
      <w:pPr>
        <w:pStyle w:val="9"/>
        <w:pageBreakBefore w:val="0"/>
        <w:wordWrap w:val="0"/>
        <w:overflowPunct/>
        <w:topLinePunct w:val="0"/>
        <w:bidi w:val="0"/>
        <w:spacing w:after="0" w:line="360" w:lineRule="auto"/>
        <w:rPr>
          <w:rFonts w:ascii="宋体" w:hAnsi="宋体" w:cs="宋体"/>
          <w:color w:val="auto"/>
          <w:spacing w:val="-3"/>
          <w:szCs w:val="21"/>
          <w:highlight w:val="none"/>
        </w:rPr>
      </w:pPr>
    </w:p>
    <w:p w14:paraId="01D00208">
      <w:pPr>
        <w:pStyle w:val="9"/>
        <w:pageBreakBefore w:val="0"/>
        <w:wordWrap w:val="0"/>
        <w:overflowPunct/>
        <w:topLinePunct w:val="0"/>
        <w:bidi w:val="0"/>
        <w:spacing w:after="0" w:line="360" w:lineRule="auto"/>
        <w:rPr>
          <w:rFonts w:ascii="宋体" w:hAnsi="宋体" w:cs="宋体"/>
          <w:color w:val="auto"/>
          <w:szCs w:val="21"/>
          <w:highlight w:val="none"/>
        </w:rPr>
      </w:pPr>
      <w:r>
        <w:rPr>
          <w:rFonts w:hint="eastAsia" w:ascii="宋体" w:hAnsi="宋体" w:cs="宋体"/>
          <w:color w:val="auto"/>
          <w:spacing w:val="-3"/>
          <w:szCs w:val="21"/>
          <w:highlight w:val="none"/>
        </w:rPr>
        <w:t>注：1.节能产品认证应依据相关国家标准的最新版本，依据国家标准中二级能效（水效）</w:t>
      </w:r>
      <w:r>
        <w:rPr>
          <w:rFonts w:hint="eastAsia" w:ascii="宋体" w:hAnsi="宋体" w:cs="宋体"/>
          <w:color w:val="auto"/>
          <w:szCs w:val="21"/>
          <w:highlight w:val="none"/>
        </w:rPr>
        <w:t>指标。</w:t>
      </w:r>
    </w:p>
    <w:p w14:paraId="0C6FEEFB">
      <w:pPr>
        <w:pStyle w:val="9"/>
        <w:pageBreakBefore w:val="0"/>
        <w:wordWrap w:val="0"/>
        <w:overflowPunct/>
        <w:topLinePunct w:val="0"/>
        <w:bidi w:val="0"/>
        <w:spacing w:after="0" w:line="360" w:lineRule="auto"/>
        <w:rPr>
          <w:rFonts w:ascii="宋体" w:hAnsi="宋体" w:cs="宋体"/>
          <w:b/>
          <w:bCs/>
          <w:color w:val="auto"/>
          <w:szCs w:val="21"/>
          <w:highlight w:val="none"/>
        </w:rPr>
      </w:pPr>
      <w:r>
        <w:rPr>
          <w:rFonts w:hint="eastAsia" w:ascii="宋体" w:hAnsi="宋体" w:cs="宋体"/>
          <w:color w:val="auto"/>
          <w:szCs w:val="21"/>
          <w:highlight w:val="none"/>
        </w:rPr>
        <w:t xml:space="preserve">    2</w:t>
      </w:r>
      <w:r>
        <w:rPr>
          <w:rFonts w:hint="eastAsia" w:ascii="宋体" w:hAnsi="宋体" w:cs="宋体"/>
          <w:b/>
          <w:bCs/>
          <w:color w:val="auto"/>
          <w:szCs w:val="21"/>
          <w:highlight w:val="none"/>
        </w:rPr>
        <w:t>.以“★”标注的为政府强制采购产品。</w:t>
      </w:r>
    </w:p>
    <w:p w14:paraId="3F97CC8E">
      <w:pPr>
        <w:pStyle w:val="12"/>
        <w:pageBreakBefore w:val="0"/>
        <w:wordWrap w:val="0"/>
        <w:overflowPunct/>
        <w:topLinePunct w:val="0"/>
        <w:bidi w:val="0"/>
        <w:spacing w:line="360" w:lineRule="auto"/>
        <w:jc w:val="left"/>
        <w:rPr>
          <w:rFonts w:hint="eastAsia" w:hAnsi="宋体" w:cs="宋体"/>
          <w:color w:val="auto"/>
          <w:highlight w:val="none"/>
        </w:rPr>
        <w:sectPr>
          <w:headerReference r:id="rId5" w:type="default"/>
          <w:footerReference r:id="rId6" w:type="default"/>
          <w:pgSz w:w="11906" w:h="16838"/>
          <w:pgMar w:top="1440" w:right="1080" w:bottom="1440" w:left="1080" w:header="720" w:footer="720" w:gutter="0"/>
          <w:pgNumType w:fmt="decimal"/>
          <w:cols w:space="720" w:num="1"/>
          <w:docGrid w:type="lines" w:linePitch="331" w:charSpace="0"/>
        </w:sectPr>
      </w:pPr>
    </w:p>
    <w:p w14:paraId="7A6A21ED">
      <w:pPr>
        <w:pStyle w:val="12"/>
        <w:pageBreakBefore w:val="0"/>
        <w:wordWrap w:val="0"/>
        <w:overflowPunct/>
        <w:topLinePunct w:val="0"/>
        <w:bidi w:val="0"/>
        <w:spacing w:line="360" w:lineRule="auto"/>
        <w:jc w:val="left"/>
        <w:outlineLvl w:val="9"/>
        <w:rPr>
          <w:rFonts w:hAnsi="宋体" w:cs="宋体"/>
          <w:color w:val="auto"/>
          <w:sz w:val="32"/>
          <w:szCs w:val="32"/>
          <w:highlight w:val="none"/>
        </w:rPr>
      </w:pPr>
      <w:r>
        <w:rPr>
          <w:rFonts w:hint="eastAsia" w:hAnsi="宋体" w:cs="宋体"/>
          <w:color w:val="auto"/>
          <w:sz w:val="32"/>
          <w:szCs w:val="32"/>
          <w:highlight w:val="none"/>
        </w:rPr>
        <w:t>附件2：</w:t>
      </w:r>
    </w:p>
    <w:p w14:paraId="139E34A4">
      <w:pPr>
        <w:pageBreakBefore w:val="0"/>
        <w:wordWrap w:val="0"/>
        <w:overflowPunct/>
        <w:topLinePunct w:val="0"/>
        <w:bidi w:val="0"/>
        <w:spacing w:line="360" w:lineRule="auto"/>
        <w:ind w:left="1871"/>
        <w:rPr>
          <w:rFonts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19"/>
        <w:tblW w:w="9537" w:type="dxa"/>
        <w:tblInd w:w="250" w:type="dxa"/>
        <w:tblLayout w:type="fixed"/>
        <w:tblCellMar>
          <w:top w:w="0" w:type="dxa"/>
          <w:left w:w="108" w:type="dxa"/>
          <w:bottom w:w="0" w:type="dxa"/>
          <w:right w:w="108" w:type="dxa"/>
        </w:tblCellMar>
      </w:tblPr>
      <w:tblGrid>
        <w:gridCol w:w="2033"/>
        <w:gridCol w:w="1653"/>
        <w:gridCol w:w="1091"/>
        <w:gridCol w:w="1935"/>
        <w:gridCol w:w="1720"/>
        <w:gridCol w:w="1105"/>
      </w:tblGrid>
      <w:tr w14:paraId="68F6C8CD">
        <w:tblPrEx>
          <w:tblCellMar>
            <w:top w:w="0" w:type="dxa"/>
            <w:left w:w="108" w:type="dxa"/>
            <w:bottom w:w="0" w:type="dxa"/>
            <w:right w:w="108" w:type="dxa"/>
          </w:tblCellMar>
        </w:tblPrEx>
        <w:trPr>
          <w:trHeight w:val="285" w:hRule="atLeast"/>
        </w:trPr>
        <w:tc>
          <w:tcPr>
            <w:tcW w:w="2033" w:type="dxa"/>
            <w:tcBorders>
              <w:top w:val="single" w:color="auto" w:sz="4" w:space="0"/>
              <w:left w:val="single" w:color="auto" w:sz="4" w:space="0"/>
              <w:bottom w:val="single" w:color="auto" w:sz="4" w:space="0"/>
              <w:right w:val="single" w:color="auto" w:sz="4" w:space="0"/>
            </w:tcBorders>
            <w:vAlign w:val="center"/>
          </w:tcPr>
          <w:p w14:paraId="31656614">
            <w:pPr>
              <w:pageBreakBefore w:val="0"/>
              <w:widowControl/>
              <w:wordWrap w:val="0"/>
              <w:overflowPunct/>
              <w:topLinePunct w:val="0"/>
              <w:bidi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653" w:type="dxa"/>
            <w:tcBorders>
              <w:top w:val="single" w:color="auto" w:sz="4" w:space="0"/>
              <w:left w:val="nil"/>
              <w:bottom w:val="single" w:color="auto" w:sz="4" w:space="0"/>
              <w:right w:val="single" w:color="auto" w:sz="4" w:space="0"/>
            </w:tcBorders>
            <w:vAlign w:val="center"/>
          </w:tcPr>
          <w:p w14:paraId="73A7EED8">
            <w:pPr>
              <w:pageBreakBefore w:val="0"/>
              <w:widowControl/>
              <w:wordWrap w:val="0"/>
              <w:overflowPunct/>
              <w:topLinePunct w:val="0"/>
              <w:bidi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1091" w:type="dxa"/>
            <w:tcBorders>
              <w:top w:val="single" w:color="auto" w:sz="4" w:space="0"/>
              <w:left w:val="nil"/>
              <w:bottom w:val="single" w:color="auto" w:sz="4" w:space="0"/>
              <w:right w:val="single" w:color="auto" w:sz="4" w:space="0"/>
            </w:tcBorders>
            <w:vAlign w:val="center"/>
          </w:tcPr>
          <w:p w14:paraId="32BAF169">
            <w:pPr>
              <w:pageBreakBefore w:val="0"/>
              <w:widowControl/>
              <w:wordWrap w:val="0"/>
              <w:overflowPunct/>
              <w:topLinePunct w:val="0"/>
              <w:bidi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935" w:type="dxa"/>
            <w:tcBorders>
              <w:top w:val="single" w:color="auto" w:sz="4" w:space="0"/>
              <w:left w:val="nil"/>
              <w:bottom w:val="single" w:color="auto" w:sz="4" w:space="0"/>
              <w:right w:val="single" w:color="auto" w:sz="4" w:space="0"/>
            </w:tcBorders>
            <w:vAlign w:val="center"/>
          </w:tcPr>
          <w:p w14:paraId="1D05E6B9">
            <w:pPr>
              <w:pageBreakBefore w:val="0"/>
              <w:widowControl/>
              <w:wordWrap w:val="0"/>
              <w:overflowPunct/>
              <w:topLinePunct w:val="0"/>
              <w:bidi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20" w:type="dxa"/>
            <w:tcBorders>
              <w:top w:val="single" w:color="auto" w:sz="4" w:space="0"/>
              <w:left w:val="nil"/>
              <w:bottom w:val="single" w:color="auto" w:sz="4" w:space="0"/>
              <w:right w:val="single" w:color="auto" w:sz="4" w:space="0"/>
            </w:tcBorders>
            <w:vAlign w:val="center"/>
          </w:tcPr>
          <w:p w14:paraId="4110D00D">
            <w:pPr>
              <w:pageBreakBefore w:val="0"/>
              <w:widowControl/>
              <w:wordWrap w:val="0"/>
              <w:overflowPunct/>
              <w:topLinePunct w:val="0"/>
              <w:bidi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05" w:type="dxa"/>
            <w:tcBorders>
              <w:top w:val="single" w:color="auto" w:sz="4" w:space="0"/>
              <w:left w:val="nil"/>
              <w:bottom w:val="single" w:color="auto" w:sz="4" w:space="0"/>
              <w:right w:val="single" w:color="auto" w:sz="4" w:space="0"/>
            </w:tcBorders>
            <w:vAlign w:val="center"/>
          </w:tcPr>
          <w:p w14:paraId="7DF4FEB9">
            <w:pPr>
              <w:pageBreakBefore w:val="0"/>
              <w:widowControl/>
              <w:wordWrap w:val="0"/>
              <w:overflowPunct/>
              <w:topLinePunct w:val="0"/>
              <w:bidi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14E0A364">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6F8A314C">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653" w:type="dxa"/>
            <w:tcBorders>
              <w:top w:val="nil"/>
              <w:left w:val="nil"/>
              <w:bottom w:val="single" w:color="auto" w:sz="4" w:space="0"/>
              <w:right w:val="single" w:color="auto" w:sz="4" w:space="0"/>
            </w:tcBorders>
            <w:vAlign w:val="center"/>
          </w:tcPr>
          <w:p w14:paraId="6493719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068C1C8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22248D5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20" w:type="dxa"/>
            <w:tcBorders>
              <w:top w:val="nil"/>
              <w:left w:val="nil"/>
              <w:bottom w:val="single" w:color="auto" w:sz="4" w:space="0"/>
              <w:right w:val="single" w:color="auto" w:sz="4" w:space="0"/>
            </w:tcBorders>
            <w:vAlign w:val="center"/>
          </w:tcPr>
          <w:p w14:paraId="41B6D02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05" w:type="dxa"/>
            <w:tcBorders>
              <w:top w:val="nil"/>
              <w:left w:val="nil"/>
              <w:bottom w:val="single" w:color="auto" w:sz="4" w:space="0"/>
              <w:right w:val="single" w:color="auto" w:sz="4" w:space="0"/>
            </w:tcBorders>
            <w:vAlign w:val="center"/>
          </w:tcPr>
          <w:p w14:paraId="5D89422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1CCB2F50">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5DD4FD3">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653" w:type="dxa"/>
            <w:tcBorders>
              <w:top w:val="nil"/>
              <w:left w:val="nil"/>
              <w:bottom w:val="single" w:color="auto" w:sz="4" w:space="0"/>
              <w:right w:val="single" w:color="auto" w:sz="4" w:space="0"/>
            </w:tcBorders>
            <w:vAlign w:val="center"/>
          </w:tcPr>
          <w:p w14:paraId="25D9D35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6C12DFA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1DAD7EA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0EC01804">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0947100B">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669C19A">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58B35961">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58A3FE4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DBE4F5C">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3C867AE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720" w:type="dxa"/>
            <w:tcBorders>
              <w:top w:val="nil"/>
              <w:left w:val="nil"/>
              <w:bottom w:val="single" w:color="auto" w:sz="4" w:space="0"/>
              <w:right w:val="single" w:color="auto" w:sz="4" w:space="0"/>
            </w:tcBorders>
            <w:vAlign w:val="center"/>
          </w:tcPr>
          <w:p w14:paraId="4B64276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05" w:type="dxa"/>
            <w:tcBorders>
              <w:top w:val="nil"/>
              <w:left w:val="nil"/>
              <w:bottom w:val="single" w:color="auto" w:sz="4" w:space="0"/>
              <w:right w:val="single" w:color="auto" w:sz="4" w:space="0"/>
            </w:tcBorders>
            <w:vAlign w:val="center"/>
          </w:tcPr>
          <w:p w14:paraId="42CCC5E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E4C2EFF">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C222DD7">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653" w:type="dxa"/>
            <w:tcBorders>
              <w:top w:val="nil"/>
              <w:left w:val="nil"/>
              <w:bottom w:val="single" w:color="auto" w:sz="4" w:space="0"/>
              <w:right w:val="single" w:color="auto" w:sz="4" w:space="0"/>
            </w:tcBorders>
            <w:vAlign w:val="center"/>
          </w:tcPr>
          <w:p w14:paraId="71123F42">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8D0E5A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75703660">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720" w:type="dxa"/>
            <w:tcBorders>
              <w:top w:val="nil"/>
              <w:left w:val="nil"/>
              <w:bottom w:val="single" w:color="auto" w:sz="4" w:space="0"/>
              <w:right w:val="single" w:color="auto" w:sz="4" w:space="0"/>
            </w:tcBorders>
            <w:vAlign w:val="center"/>
          </w:tcPr>
          <w:p w14:paraId="78450A50">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05" w:type="dxa"/>
            <w:tcBorders>
              <w:top w:val="nil"/>
              <w:left w:val="nil"/>
              <w:bottom w:val="single" w:color="auto" w:sz="4" w:space="0"/>
              <w:right w:val="single" w:color="auto" w:sz="4" w:space="0"/>
            </w:tcBorders>
            <w:vAlign w:val="center"/>
          </w:tcPr>
          <w:p w14:paraId="0F85E85B">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288224EC">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CA96D58">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3580C5B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074E4C4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5A2FF46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720" w:type="dxa"/>
            <w:tcBorders>
              <w:top w:val="nil"/>
              <w:left w:val="nil"/>
              <w:bottom w:val="single" w:color="auto" w:sz="4" w:space="0"/>
              <w:right w:val="single" w:color="auto" w:sz="4" w:space="0"/>
            </w:tcBorders>
            <w:vAlign w:val="center"/>
          </w:tcPr>
          <w:p w14:paraId="0BB3B456">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05" w:type="dxa"/>
            <w:tcBorders>
              <w:top w:val="nil"/>
              <w:left w:val="nil"/>
              <w:bottom w:val="single" w:color="auto" w:sz="4" w:space="0"/>
              <w:right w:val="single" w:color="auto" w:sz="4" w:space="0"/>
            </w:tcBorders>
            <w:vAlign w:val="center"/>
          </w:tcPr>
          <w:p w14:paraId="1250FDC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0EBD26E1">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2277D92">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653" w:type="dxa"/>
            <w:tcBorders>
              <w:top w:val="nil"/>
              <w:left w:val="nil"/>
              <w:bottom w:val="single" w:color="auto" w:sz="4" w:space="0"/>
              <w:right w:val="single" w:color="auto" w:sz="4" w:space="0"/>
            </w:tcBorders>
            <w:vAlign w:val="center"/>
          </w:tcPr>
          <w:p w14:paraId="40C1073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58AA8EC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1CB8B36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20" w:type="dxa"/>
            <w:tcBorders>
              <w:top w:val="nil"/>
              <w:left w:val="nil"/>
              <w:bottom w:val="single" w:color="auto" w:sz="4" w:space="0"/>
              <w:right w:val="single" w:color="auto" w:sz="4" w:space="0"/>
            </w:tcBorders>
            <w:vAlign w:val="center"/>
          </w:tcPr>
          <w:p w14:paraId="1B84E982">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05" w:type="dxa"/>
            <w:tcBorders>
              <w:top w:val="nil"/>
              <w:left w:val="nil"/>
              <w:bottom w:val="single" w:color="auto" w:sz="4" w:space="0"/>
              <w:right w:val="single" w:color="auto" w:sz="4" w:space="0"/>
            </w:tcBorders>
            <w:vAlign w:val="center"/>
          </w:tcPr>
          <w:p w14:paraId="5D63D4A4">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4BFDE7E4">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86F21DD">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CCA5024">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7047629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7D9B0E8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720" w:type="dxa"/>
            <w:tcBorders>
              <w:top w:val="nil"/>
              <w:left w:val="nil"/>
              <w:bottom w:val="single" w:color="auto" w:sz="4" w:space="0"/>
              <w:right w:val="single" w:color="auto" w:sz="4" w:space="0"/>
            </w:tcBorders>
            <w:vAlign w:val="center"/>
          </w:tcPr>
          <w:p w14:paraId="7B9E8B0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05" w:type="dxa"/>
            <w:tcBorders>
              <w:top w:val="nil"/>
              <w:left w:val="nil"/>
              <w:bottom w:val="single" w:color="auto" w:sz="4" w:space="0"/>
              <w:right w:val="single" w:color="auto" w:sz="4" w:space="0"/>
            </w:tcBorders>
            <w:vAlign w:val="center"/>
          </w:tcPr>
          <w:p w14:paraId="66CE19BB">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4388216B">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F15376C">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653" w:type="dxa"/>
            <w:tcBorders>
              <w:top w:val="nil"/>
              <w:left w:val="nil"/>
              <w:bottom w:val="single" w:color="auto" w:sz="4" w:space="0"/>
              <w:right w:val="single" w:color="auto" w:sz="4" w:space="0"/>
            </w:tcBorders>
            <w:vAlign w:val="center"/>
          </w:tcPr>
          <w:p w14:paraId="26D7F000">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22B3D32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85577BC">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20" w:type="dxa"/>
            <w:tcBorders>
              <w:top w:val="nil"/>
              <w:left w:val="nil"/>
              <w:bottom w:val="single" w:color="auto" w:sz="4" w:space="0"/>
              <w:right w:val="single" w:color="auto" w:sz="4" w:space="0"/>
            </w:tcBorders>
            <w:vAlign w:val="center"/>
          </w:tcPr>
          <w:p w14:paraId="455FF0E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05" w:type="dxa"/>
            <w:tcBorders>
              <w:top w:val="nil"/>
              <w:left w:val="nil"/>
              <w:bottom w:val="single" w:color="auto" w:sz="4" w:space="0"/>
              <w:right w:val="single" w:color="auto" w:sz="4" w:space="0"/>
            </w:tcBorders>
            <w:vAlign w:val="center"/>
          </w:tcPr>
          <w:p w14:paraId="79CDF32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AD769EB">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3D8D7D9">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1F022B1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38330FC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6291B182">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20" w:type="dxa"/>
            <w:tcBorders>
              <w:top w:val="nil"/>
              <w:left w:val="nil"/>
              <w:bottom w:val="single" w:color="auto" w:sz="4" w:space="0"/>
              <w:right w:val="single" w:color="auto" w:sz="4" w:space="0"/>
            </w:tcBorders>
            <w:vAlign w:val="center"/>
          </w:tcPr>
          <w:p w14:paraId="5FB2FEF1">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05" w:type="dxa"/>
            <w:tcBorders>
              <w:top w:val="nil"/>
              <w:left w:val="nil"/>
              <w:bottom w:val="single" w:color="auto" w:sz="4" w:space="0"/>
              <w:right w:val="single" w:color="auto" w:sz="4" w:space="0"/>
            </w:tcBorders>
            <w:vAlign w:val="center"/>
          </w:tcPr>
          <w:p w14:paraId="023F1FBB">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D47EC88">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5BD68026">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653" w:type="dxa"/>
            <w:tcBorders>
              <w:top w:val="nil"/>
              <w:left w:val="nil"/>
              <w:bottom w:val="single" w:color="auto" w:sz="4" w:space="0"/>
              <w:right w:val="single" w:color="auto" w:sz="4" w:space="0"/>
            </w:tcBorders>
            <w:vAlign w:val="center"/>
          </w:tcPr>
          <w:p w14:paraId="041D9DD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6DED5B56">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7202064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2CCF383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6CAB66C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E31A1F1">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307E3BBB">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45A6C85C">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1E3E972C">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5B1B738C">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720" w:type="dxa"/>
            <w:tcBorders>
              <w:top w:val="nil"/>
              <w:left w:val="nil"/>
              <w:bottom w:val="single" w:color="auto" w:sz="4" w:space="0"/>
              <w:right w:val="single" w:color="auto" w:sz="4" w:space="0"/>
            </w:tcBorders>
            <w:vAlign w:val="center"/>
          </w:tcPr>
          <w:p w14:paraId="0DA608A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05" w:type="dxa"/>
            <w:tcBorders>
              <w:top w:val="nil"/>
              <w:left w:val="nil"/>
              <w:bottom w:val="single" w:color="auto" w:sz="4" w:space="0"/>
              <w:right w:val="single" w:color="auto" w:sz="4" w:space="0"/>
            </w:tcBorders>
            <w:vAlign w:val="center"/>
          </w:tcPr>
          <w:p w14:paraId="70C187E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30732272">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55C6ED9A">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653" w:type="dxa"/>
            <w:tcBorders>
              <w:top w:val="nil"/>
              <w:left w:val="nil"/>
              <w:bottom w:val="single" w:color="auto" w:sz="4" w:space="0"/>
              <w:right w:val="single" w:color="auto" w:sz="4" w:space="0"/>
            </w:tcBorders>
            <w:vAlign w:val="center"/>
          </w:tcPr>
          <w:p w14:paraId="289BE871">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565136A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76A1113A">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20" w:type="dxa"/>
            <w:tcBorders>
              <w:top w:val="nil"/>
              <w:left w:val="nil"/>
              <w:bottom w:val="single" w:color="auto" w:sz="4" w:space="0"/>
              <w:right w:val="single" w:color="auto" w:sz="4" w:space="0"/>
            </w:tcBorders>
            <w:vAlign w:val="center"/>
          </w:tcPr>
          <w:p w14:paraId="32542D6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05" w:type="dxa"/>
            <w:tcBorders>
              <w:top w:val="nil"/>
              <w:left w:val="nil"/>
              <w:bottom w:val="single" w:color="auto" w:sz="4" w:space="0"/>
              <w:right w:val="single" w:color="auto" w:sz="4" w:space="0"/>
            </w:tcBorders>
            <w:vAlign w:val="center"/>
          </w:tcPr>
          <w:p w14:paraId="39219C5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C477B0B">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29C0A92">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6DEEB84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AFE7BE6">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8DD669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720" w:type="dxa"/>
            <w:tcBorders>
              <w:top w:val="nil"/>
              <w:left w:val="nil"/>
              <w:bottom w:val="single" w:color="auto" w:sz="4" w:space="0"/>
              <w:right w:val="single" w:color="auto" w:sz="4" w:space="0"/>
            </w:tcBorders>
            <w:vAlign w:val="center"/>
          </w:tcPr>
          <w:p w14:paraId="188D633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05" w:type="dxa"/>
            <w:tcBorders>
              <w:top w:val="nil"/>
              <w:left w:val="nil"/>
              <w:bottom w:val="single" w:color="auto" w:sz="4" w:space="0"/>
              <w:right w:val="single" w:color="auto" w:sz="4" w:space="0"/>
            </w:tcBorders>
            <w:vAlign w:val="center"/>
          </w:tcPr>
          <w:p w14:paraId="35B8D46B">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0941DAB">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9B495E6">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653" w:type="dxa"/>
            <w:tcBorders>
              <w:top w:val="nil"/>
              <w:left w:val="nil"/>
              <w:bottom w:val="single" w:color="auto" w:sz="4" w:space="0"/>
              <w:right w:val="single" w:color="auto" w:sz="4" w:space="0"/>
            </w:tcBorders>
            <w:vAlign w:val="center"/>
          </w:tcPr>
          <w:p w14:paraId="765AE58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2580EB1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57DA103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3796B71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0FD228AB">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EA18E3C">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64C7660">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63319571">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A2DE4F0">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513C517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720" w:type="dxa"/>
            <w:tcBorders>
              <w:top w:val="nil"/>
              <w:left w:val="nil"/>
              <w:bottom w:val="single" w:color="auto" w:sz="4" w:space="0"/>
              <w:right w:val="single" w:color="auto" w:sz="4" w:space="0"/>
            </w:tcBorders>
            <w:vAlign w:val="center"/>
          </w:tcPr>
          <w:p w14:paraId="096CD74A">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2969C8D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49B74CF">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FFA3FDA">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653" w:type="dxa"/>
            <w:tcBorders>
              <w:top w:val="nil"/>
              <w:left w:val="nil"/>
              <w:bottom w:val="single" w:color="auto" w:sz="4" w:space="0"/>
              <w:right w:val="single" w:color="auto" w:sz="4" w:space="0"/>
            </w:tcBorders>
            <w:vAlign w:val="center"/>
          </w:tcPr>
          <w:p w14:paraId="238D410A">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79349876">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7FBB962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200D3B54">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5EA9923C">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319E02D">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3B1F61F8">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3DE8DD5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5C9437FA">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7FFDACF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20" w:type="dxa"/>
            <w:tcBorders>
              <w:top w:val="nil"/>
              <w:left w:val="nil"/>
              <w:bottom w:val="single" w:color="auto" w:sz="4" w:space="0"/>
              <w:right w:val="single" w:color="auto" w:sz="4" w:space="0"/>
            </w:tcBorders>
            <w:vAlign w:val="center"/>
          </w:tcPr>
          <w:p w14:paraId="6BB94C7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6E880F5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2038945">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053F4F77">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653" w:type="dxa"/>
            <w:tcBorders>
              <w:top w:val="nil"/>
              <w:left w:val="nil"/>
              <w:bottom w:val="single" w:color="auto" w:sz="4" w:space="0"/>
              <w:right w:val="single" w:color="auto" w:sz="4" w:space="0"/>
            </w:tcBorders>
            <w:vAlign w:val="center"/>
          </w:tcPr>
          <w:p w14:paraId="09ADE61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5EC9EE2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6CB8237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0C6E1F5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1AE0C55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1594251">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90E9B66">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126479AC">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374F62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272A7122">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20" w:type="dxa"/>
            <w:tcBorders>
              <w:top w:val="nil"/>
              <w:left w:val="nil"/>
              <w:bottom w:val="single" w:color="auto" w:sz="4" w:space="0"/>
              <w:right w:val="single" w:color="auto" w:sz="4" w:space="0"/>
            </w:tcBorders>
            <w:vAlign w:val="center"/>
          </w:tcPr>
          <w:p w14:paraId="6BE097D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3E028A1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5D5650B">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1D7168A9">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653" w:type="dxa"/>
            <w:tcBorders>
              <w:top w:val="nil"/>
              <w:left w:val="nil"/>
              <w:bottom w:val="single" w:color="auto" w:sz="4" w:space="0"/>
              <w:right w:val="single" w:color="auto" w:sz="4" w:space="0"/>
            </w:tcBorders>
            <w:vAlign w:val="center"/>
          </w:tcPr>
          <w:p w14:paraId="43D41FD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1FE60CC1">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A8C609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20" w:type="dxa"/>
            <w:tcBorders>
              <w:top w:val="nil"/>
              <w:left w:val="nil"/>
              <w:bottom w:val="single" w:color="auto" w:sz="4" w:space="0"/>
              <w:right w:val="single" w:color="auto" w:sz="4" w:space="0"/>
            </w:tcBorders>
            <w:vAlign w:val="center"/>
          </w:tcPr>
          <w:p w14:paraId="3707F34C">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4E4DF4C4">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F72790A">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5C01CD70">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3ECF102C">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3E9AFC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2E0D572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720" w:type="dxa"/>
            <w:tcBorders>
              <w:top w:val="nil"/>
              <w:left w:val="nil"/>
              <w:bottom w:val="single" w:color="auto" w:sz="4" w:space="0"/>
              <w:right w:val="single" w:color="auto" w:sz="4" w:space="0"/>
            </w:tcBorders>
            <w:vAlign w:val="center"/>
          </w:tcPr>
          <w:p w14:paraId="6CDDD5B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05" w:type="dxa"/>
            <w:tcBorders>
              <w:top w:val="nil"/>
              <w:left w:val="nil"/>
              <w:bottom w:val="single" w:color="auto" w:sz="4" w:space="0"/>
              <w:right w:val="single" w:color="auto" w:sz="4" w:space="0"/>
            </w:tcBorders>
            <w:vAlign w:val="center"/>
          </w:tcPr>
          <w:p w14:paraId="3A71563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6864F21">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612631B">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653" w:type="dxa"/>
            <w:tcBorders>
              <w:top w:val="nil"/>
              <w:left w:val="nil"/>
              <w:bottom w:val="single" w:color="auto" w:sz="4" w:space="0"/>
              <w:right w:val="single" w:color="auto" w:sz="4" w:space="0"/>
            </w:tcBorders>
            <w:vAlign w:val="center"/>
          </w:tcPr>
          <w:p w14:paraId="0BB722F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11CE49F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5EEC0AB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5EE92EE6">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48EDB424">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6E72BFB">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B54CA41">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0CC36BFA">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64996001">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6E5B72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720" w:type="dxa"/>
            <w:tcBorders>
              <w:top w:val="nil"/>
              <w:left w:val="nil"/>
              <w:bottom w:val="single" w:color="auto" w:sz="4" w:space="0"/>
              <w:right w:val="single" w:color="auto" w:sz="4" w:space="0"/>
            </w:tcBorders>
            <w:vAlign w:val="center"/>
          </w:tcPr>
          <w:p w14:paraId="0C2A48B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05" w:type="dxa"/>
            <w:tcBorders>
              <w:top w:val="nil"/>
              <w:left w:val="nil"/>
              <w:bottom w:val="single" w:color="auto" w:sz="4" w:space="0"/>
              <w:right w:val="single" w:color="auto" w:sz="4" w:space="0"/>
            </w:tcBorders>
            <w:vAlign w:val="center"/>
          </w:tcPr>
          <w:p w14:paraId="0A95347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07041348">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5FCCBD70">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653" w:type="dxa"/>
            <w:tcBorders>
              <w:top w:val="nil"/>
              <w:left w:val="nil"/>
              <w:bottom w:val="single" w:color="auto" w:sz="4" w:space="0"/>
              <w:right w:val="single" w:color="auto" w:sz="4" w:space="0"/>
            </w:tcBorders>
            <w:vAlign w:val="center"/>
          </w:tcPr>
          <w:p w14:paraId="139E0C80">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379E51A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51D48D9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720" w:type="dxa"/>
            <w:tcBorders>
              <w:top w:val="nil"/>
              <w:left w:val="nil"/>
              <w:bottom w:val="single" w:color="auto" w:sz="4" w:space="0"/>
              <w:right w:val="single" w:color="auto" w:sz="4" w:space="0"/>
            </w:tcBorders>
            <w:vAlign w:val="center"/>
          </w:tcPr>
          <w:p w14:paraId="075E444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05" w:type="dxa"/>
            <w:tcBorders>
              <w:top w:val="nil"/>
              <w:left w:val="nil"/>
              <w:bottom w:val="single" w:color="auto" w:sz="4" w:space="0"/>
              <w:right w:val="single" w:color="auto" w:sz="4" w:space="0"/>
            </w:tcBorders>
            <w:vAlign w:val="center"/>
          </w:tcPr>
          <w:p w14:paraId="6A97A73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56C8469D">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59B9593C">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5229B8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4E35A9EB">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0209A8C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720" w:type="dxa"/>
            <w:tcBorders>
              <w:top w:val="nil"/>
              <w:left w:val="nil"/>
              <w:bottom w:val="single" w:color="auto" w:sz="4" w:space="0"/>
              <w:right w:val="single" w:color="auto" w:sz="4" w:space="0"/>
            </w:tcBorders>
            <w:vAlign w:val="center"/>
          </w:tcPr>
          <w:p w14:paraId="7E4CCAD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05" w:type="dxa"/>
            <w:tcBorders>
              <w:top w:val="nil"/>
              <w:left w:val="nil"/>
              <w:bottom w:val="single" w:color="auto" w:sz="4" w:space="0"/>
              <w:right w:val="single" w:color="auto" w:sz="4" w:space="0"/>
            </w:tcBorders>
            <w:vAlign w:val="center"/>
          </w:tcPr>
          <w:p w14:paraId="611C2E20">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398C17B4">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80724E5">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653" w:type="dxa"/>
            <w:tcBorders>
              <w:top w:val="nil"/>
              <w:left w:val="nil"/>
              <w:bottom w:val="single" w:color="auto" w:sz="4" w:space="0"/>
              <w:right w:val="single" w:color="auto" w:sz="4" w:space="0"/>
            </w:tcBorders>
            <w:vAlign w:val="center"/>
          </w:tcPr>
          <w:p w14:paraId="3CE09632">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40AF0CA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5C0C4C10">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2AD357C2">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05" w:type="dxa"/>
            <w:tcBorders>
              <w:top w:val="nil"/>
              <w:left w:val="nil"/>
              <w:bottom w:val="single" w:color="auto" w:sz="4" w:space="0"/>
              <w:right w:val="single" w:color="auto" w:sz="4" w:space="0"/>
            </w:tcBorders>
            <w:vAlign w:val="center"/>
          </w:tcPr>
          <w:p w14:paraId="2A0393A6">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4C6C9898">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2F679B79">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34C1A6A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7756B1A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5BC23452">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720" w:type="dxa"/>
            <w:tcBorders>
              <w:top w:val="nil"/>
              <w:left w:val="nil"/>
              <w:bottom w:val="single" w:color="auto" w:sz="4" w:space="0"/>
              <w:right w:val="single" w:color="auto" w:sz="4" w:space="0"/>
            </w:tcBorders>
            <w:vAlign w:val="center"/>
          </w:tcPr>
          <w:p w14:paraId="56D535F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05" w:type="dxa"/>
            <w:tcBorders>
              <w:top w:val="nil"/>
              <w:left w:val="nil"/>
              <w:bottom w:val="single" w:color="auto" w:sz="4" w:space="0"/>
              <w:right w:val="single" w:color="auto" w:sz="4" w:space="0"/>
            </w:tcBorders>
            <w:vAlign w:val="center"/>
          </w:tcPr>
          <w:p w14:paraId="4170E390">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1DA2F154">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7B62752F">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653" w:type="dxa"/>
            <w:tcBorders>
              <w:top w:val="nil"/>
              <w:left w:val="nil"/>
              <w:bottom w:val="single" w:color="auto" w:sz="4" w:space="0"/>
              <w:right w:val="single" w:color="auto" w:sz="4" w:space="0"/>
            </w:tcBorders>
            <w:vAlign w:val="center"/>
          </w:tcPr>
          <w:p w14:paraId="673E6546">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15BD5162">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7ECDF51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281AA78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3D06EE2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667079F">
        <w:trPr>
          <w:trHeight w:val="90" w:hRule="atLeast"/>
        </w:trPr>
        <w:tc>
          <w:tcPr>
            <w:tcW w:w="2033" w:type="dxa"/>
            <w:vMerge w:val="continue"/>
            <w:tcBorders>
              <w:top w:val="nil"/>
              <w:left w:val="single" w:color="auto" w:sz="4" w:space="0"/>
              <w:bottom w:val="single" w:color="auto" w:sz="4" w:space="0"/>
              <w:right w:val="single" w:color="auto" w:sz="4" w:space="0"/>
            </w:tcBorders>
            <w:vAlign w:val="center"/>
          </w:tcPr>
          <w:p w14:paraId="40D26090">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4B8E4D6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44DD25C6">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06E80832">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720" w:type="dxa"/>
            <w:tcBorders>
              <w:top w:val="nil"/>
              <w:left w:val="nil"/>
              <w:bottom w:val="single" w:color="auto" w:sz="4" w:space="0"/>
              <w:right w:val="single" w:color="auto" w:sz="4" w:space="0"/>
            </w:tcBorders>
            <w:vAlign w:val="center"/>
          </w:tcPr>
          <w:p w14:paraId="29DA7B9C">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05" w:type="dxa"/>
            <w:tcBorders>
              <w:top w:val="nil"/>
              <w:left w:val="nil"/>
              <w:bottom w:val="single" w:color="auto" w:sz="4" w:space="0"/>
              <w:right w:val="single" w:color="auto" w:sz="4" w:space="0"/>
            </w:tcBorders>
            <w:vAlign w:val="center"/>
          </w:tcPr>
          <w:p w14:paraId="0DF38664">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31F7487">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52CDB6C9">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653" w:type="dxa"/>
            <w:tcBorders>
              <w:top w:val="nil"/>
              <w:left w:val="nil"/>
              <w:bottom w:val="single" w:color="auto" w:sz="4" w:space="0"/>
              <w:right w:val="single" w:color="auto" w:sz="4" w:space="0"/>
            </w:tcBorders>
            <w:vAlign w:val="center"/>
          </w:tcPr>
          <w:p w14:paraId="312BCF5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749FF136">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7F937D9B">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4A501B11">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52A136C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1F49E909">
      <w:pPr>
        <w:pageBreakBefore w:val="0"/>
        <w:overflowPunct/>
        <w:topLinePunct w:val="0"/>
        <w:bidi w:val="0"/>
        <w:spacing w:line="360" w:lineRule="auto"/>
        <w:rPr>
          <w:color w:val="auto"/>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200900D2">
      <w:pPr>
        <w:rPr>
          <w:rFonts w:hint="eastAsia" w:hAnsi="宋体" w:cs="宋体"/>
          <w:b/>
          <w:color w:val="auto"/>
          <w:sz w:val="36"/>
          <w:highlight w:val="none"/>
        </w:rPr>
      </w:pPr>
      <w:bookmarkStart w:id="8" w:name="_Toc29457"/>
      <w:bookmarkStart w:id="9" w:name="_Toc532545044"/>
      <w:r>
        <w:rPr>
          <w:rFonts w:hint="eastAsia" w:hAnsi="宋体" w:cs="宋体"/>
          <w:b/>
          <w:color w:val="auto"/>
          <w:sz w:val="36"/>
          <w:highlight w:val="none"/>
        </w:rPr>
        <w:br w:type="page"/>
      </w:r>
    </w:p>
    <w:p w14:paraId="0999D511">
      <w:pPr>
        <w:pStyle w:val="12"/>
        <w:pageBreakBefore w:val="0"/>
        <w:wordWrap w:val="0"/>
        <w:overflowPunct/>
        <w:topLinePunct w:val="0"/>
        <w:bidi w:val="0"/>
        <w:spacing w:line="360" w:lineRule="auto"/>
        <w:jc w:val="center"/>
        <w:outlineLvl w:val="0"/>
        <w:rPr>
          <w:rFonts w:hAnsi="宋体" w:cs="宋体"/>
          <w:b/>
          <w:color w:val="auto"/>
          <w:sz w:val="36"/>
          <w:szCs w:val="36"/>
          <w:highlight w:val="none"/>
        </w:rPr>
      </w:pPr>
      <w:r>
        <w:rPr>
          <w:rFonts w:hint="eastAsia" w:hAnsi="宋体" w:cs="宋体"/>
          <w:b/>
          <w:color w:val="auto"/>
          <w:sz w:val="36"/>
          <w:highlight w:val="none"/>
        </w:rPr>
        <w:t>第三章  投标人须知</w:t>
      </w:r>
      <w:bookmarkEnd w:id="8"/>
      <w:bookmarkEnd w:id="9"/>
    </w:p>
    <w:p w14:paraId="102C57C2">
      <w:pPr>
        <w:pStyle w:val="12"/>
        <w:pageBreakBefore w:val="0"/>
        <w:wordWrap w:val="0"/>
        <w:overflowPunct/>
        <w:topLinePunct w:val="0"/>
        <w:bidi w:val="0"/>
        <w:spacing w:line="360" w:lineRule="auto"/>
        <w:jc w:val="center"/>
        <w:outlineLvl w:val="1"/>
        <w:rPr>
          <w:rFonts w:hAnsi="宋体" w:cs="宋体"/>
          <w:b/>
          <w:color w:val="auto"/>
          <w:sz w:val="30"/>
          <w:szCs w:val="30"/>
          <w:highlight w:val="none"/>
        </w:rPr>
      </w:pPr>
      <w:bookmarkStart w:id="10" w:name="_Toc26080"/>
      <w:r>
        <w:rPr>
          <w:rFonts w:hint="eastAsia" w:hAnsi="宋体" w:cs="宋体"/>
          <w:b/>
          <w:color w:val="auto"/>
          <w:sz w:val="30"/>
          <w:szCs w:val="30"/>
          <w:highlight w:val="none"/>
        </w:rPr>
        <w:t>第一节 投标人须知前附表</w:t>
      </w:r>
      <w:bookmarkEnd w:id="10"/>
    </w:p>
    <w:tbl>
      <w:tblPr>
        <w:tblStyle w:val="19"/>
        <w:tblW w:w="102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4"/>
        <w:gridCol w:w="2447"/>
        <w:gridCol w:w="6999"/>
      </w:tblGrid>
      <w:tr w14:paraId="18787D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14:paraId="55D0E1D7">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条款号</w:t>
            </w:r>
          </w:p>
        </w:tc>
        <w:tc>
          <w:tcPr>
            <w:tcW w:w="2447" w:type="dxa"/>
            <w:tcBorders>
              <w:top w:val="single" w:color="auto" w:sz="4" w:space="0"/>
              <w:left w:val="single" w:color="auto" w:sz="4" w:space="0"/>
              <w:bottom w:val="single" w:color="auto" w:sz="4" w:space="0"/>
              <w:right w:val="single" w:color="auto" w:sz="4" w:space="0"/>
            </w:tcBorders>
            <w:vAlign w:val="center"/>
          </w:tcPr>
          <w:p w14:paraId="46D0563D">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项目内容</w:t>
            </w:r>
          </w:p>
        </w:tc>
        <w:tc>
          <w:tcPr>
            <w:tcW w:w="6999" w:type="dxa"/>
            <w:tcBorders>
              <w:top w:val="single" w:color="auto" w:sz="4" w:space="0"/>
              <w:left w:val="single" w:color="auto" w:sz="4" w:space="0"/>
              <w:bottom w:val="single" w:color="auto" w:sz="4" w:space="0"/>
              <w:right w:val="single" w:color="auto" w:sz="4" w:space="0"/>
            </w:tcBorders>
            <w:vAlign w:val="center"/>
          </w:tcPr>
          <w:p w14:paraId="4B6DE838">
            <w:pPr>
              <w:keepLines/>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编列内容</w:t>
            </w:r>
          </w:p>
        </w:tc>
      </w:tr>
      <w:tr w14:paraId="66319A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14:paraId="37A734E3">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6.1</w:t>
            </w:r>
          </w:p>
        </w:tc>
        <w:tc>
          <w:tcPr>
            <w:tcW w:w="2447" w:type="dxa"/>
            <w:tcBorders>
              <w:top w:val="single" w:color="auto" w:sz="4" w:space="0"/>
              <w:left w:val="single" w:color="auto" w:sz="4" w:space="0"/>
              <w:bottom w:val="single" w:color="auto" w:sz="4" w:space="0"/>
              <w:right w:val="single" w:color="auto" w:sz="4" w:space="0"/>
            </w:tcBorders>
            <w:vAlign w:val="center"/>
          </w:tcPr>
          <w:p w14:paraId="463F4CB0">
            <w:pPr>
              <w:keepLines/>
              <w:pageBreakBefore w:val="0"/>
              <w:wordWrap w:val="0"/>
              <w:overflowPunct/>
              <w:topLinePunct w:val="0"/>
              <w:bidi w:val="0"/>
              <w:spacing w:line="360" w:lineRule="auto"/>
              <w:rPr>
                <w:rFonts w:ascii="宋体" w:hAnsi="宋体" w:cs="宋体"/>
                <w:color w:val="auto"/>
                <w:sz w:val="24"/>
                <w:highlight w:val="none"/>
              </w:rPr>
            </w:pPr>
            <w:bookmarkStart w:id="11" w:name="_9.2"/>
            <w:bookmarkEnd w:id="11"/>
            <w:bookmarkStart w:id="12" w:name="_8.1"/>
            <w:bookmarkEnd w:id="12"/>
            <w:bookmarkStart w:id="13" w:name="_5"/>
            <w:bookmarkEnd w:id="13"/>
            <w:r>
              <w:rPr>
                <w:rFonts w:hint="eastAsia" w:ascii="宋体" w:hAnsi="宋体" w:cs="宋体"/>
                <w:color w:val="auto"/>
                <w:sz w:val="24"/>
                <w:highlight w:val="none"/>
              </w:rPr>
              <w:t>是否接受联合体投标</w:t>
            </w:r>
          </w:p>
        </w:tc>
        <w:tc>
          <w:tcPr>
            <w:tcW w:w="6999" w:type="dxa"/>
            <w:tcBorders>
              <w:top w:val="single" w:color="auto" w:sz="4" w:space="0"/>
              <w:left w:val="single" w:color="auto" w:sz="4" w:space="0"/>
              <w:bottom w:val="single" w:color="auto" w:sz="4" w:space="0"/>
              <w:right w:val="single" w:color="auto" w:sz="4" w:space="0"/>
            </w:tcBorders>
            <w:vAlign w:val="center"/>
          </w:tcPr>
          <w:p w14:paraId="1D9DC48C">
            <w:pPr>
              <w:pStyle w:val="8"/>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不</w:t>
            </w:r>
            <w:r>
              <w:rPr>
                <w:rFonts w:hint="eastAsia" w:ascii="宋体" w:hAnsi="宋体" w:cs="宋体"/>
                <w:color w:val="auto"/>
                <w:sz w:val="24"/>
                <w:highlight w:val="none"/>
              </w:rPr>
              <w:t>允许联合体投标</w:t>
            </w:r>
          </w:p>
        </w:tc>
      </w:tr>
      <w:tr w14:paraId="6E148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14:paraId="0FDCE1C7">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6.2</w:t>
            </w:r>
          </w:p>
        </w:tc>
        <w:tc>
          <w:tcPr>
            <w:tcW w:w="2447" w:type="dxa"/>
            <w:tcBorders>
              <w:top w:val="single" w:color="auto" w:sz="4" w:space="0"/>
              <w:left w:val="single" w:color="auto" w:sz="4" w:space="0"/>
              <w:bottom w:val="single" w:color="auto" w:sz="4" w:space="0"/>
              <w:right w:val="single" w:color="auto" w:sz="4" w:space="0"/>
            </w:tcBorders>
            <w:vAlign w:val="center"/>
          </w:tcPr>
          <w:p w14:paraId="5FDEE953">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联合体投标要求</w:t>
            </w:r>
          </w:p>
        </w:tc>
        <w:tc>
          <w:tcPr>
            <w:tcW w:w="6999" w:type="dxa"/>
            <w:tcBorders>
              <w:top w:val="single" w:color="auto" w:sz="4" w:space="0"/>
              <w:left w:val="single" w:color="auto" w:sz="4" w:space="0"/>
              <w:bottom w:val="single" w:color="auto" w:sz="4" w:space="0"/>
              <w:right w:val="single" w:color="auto" w:sz="4" w:space="0"/>
            </w:tcBorders>
            <w:vAlign w:val="center"/>
          </w:tcPr>
          <w:p w14:paraId="152E9E14">
            <w:pPr>
              <w:pStyle w:val="8"/>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无</w:t>
            </w:r>
          </w:p>
        </w:tc>
      </w:tr>
      <w:tr w14:paraId="7B2DE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14:paraId="6FCB10A9">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7.2</w:t>
            </w:r>
          </w:p>
        </w:tc>
        <w:tc>
          <w:tcPr>
            <w:tcW w:w="2447" w:type="dxa"/>
            <w:tcBorders>
              <w:top w:val="single" w:color="auto" w:sz="4" w:space="0"/>
              <w:left w:val="single" w:color="auto" w:sz="4" w:space="0"/>
              <w:bottom w:val="single" w:color="auto" w:sz="4" w:space="0"/>
              <w:right w:val="single" w:color="auto" w:sz="4" w:space="0"/>
            </w:tcBorders>
            <w:vAlign w:val="center"/>
          </w:tcPr>
          <w:p w14:paraId="02D86E6A">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是否允许转包/分包</w:t>
            </w:r>
          </w:p>
        </w:tc>
        <w:tc>
          <w:tcPr>
            <w:tcW w:w="6999" w:type="dxa"/>
            <w:tcBorders>
              <w:top w:val="single" w:color="auto" w:sz="4" w:space="0"/>
              <w:left w:val="single" w:color="auto" w:sz="4" w:space="0"/>
              <w:bottom w:val="single" w:color="auto" w:sz="4" w:space="0"/>
              <w:right w:val="single" w:color="auto" w:sz="4" w:space="0"/>
            </w:tcBorders>
            <w:vAlign w:val="center"/>
          </w:tcPr>
          <w:p w14:paraId="6387186A">
            <w:pPr>
              <w:pStyle w:val="8"/>
              <w:keepLines/>
              <w:pageBreakBefore w:val="0"/>
              <w:wordWrap w:val="0"/>
              <w:overflowPunct/>
              <w:topLinePunct w:val="0"/>
              <w:bidi w:val="0"/>
              <w:spacing w:line="360" w:lineRule="auto"/>
              <w:rPr>
                <w:rFonts w:ascii="宋体" w:hAnsi="宋体" w:cs="宋体"/>
                <w:color w:val="auto"/>
                <w:sz w:val="24"/>
                <w:highlight w:val="none"/>
              </w:rPr>
            </w:pPr>
            <w:bookmarkStart w:id="14" w:name="PO_3000001866_PM044"/>
            <w:r>
              <w:rPr>
                <w:rFonts w:hint="eastAsia" w:ascii="宋体" w:hAnsi="宋体" w:cs="宋体"/>
                <w:color w:val="auto"/>
                <w:sz w:val="24"/>
                <w:highlight w:val="none"/>
              </w:rPr>
              <w:t>☑不允许分包</w:t>
            </w:r>
            <w:bookmarkEnd w:id="14"/>
          </w:p>
          <w:p w14:paraId="1263BFB0">
            <w:pPr>
              <w:pStyle w:val="8"/>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□转包/分包内容：</w:t>
            </w:r>
            <w:r>
              <w:rPr>
                <w:rFonts w:hint="eastAsia" w:ascii="宋体" w:hAnsi="宋体" w:cs="宋体"/>
                <w:color w:val="auto"/>
                <w:sz w:val="24"/>
                <w:highlight w:val="none"/>
                <w:u w:val="single"/>
              </w:rPr>
              <w:t xml:space="preserve">                                     。</w:t>
            </w:r>
          </w:p>
          <w:p w14:paraId="3D245919">
            <w:pPr>
              <w:pStyle w:val="8"/>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□转包/分包金额或者比例：</w:t>
            </w:r>
            <w:r>
              <w:rPr>
                <w:rFonts w:hint="eastAsia" w:ascii="宋体" w:hAnsi="宋体" w:cs="宋体"/>
                <w:color w:val="auto"/>
                <w:sz w:val="24"/>
                <w:highlight w:val="none"/>
                <w:u w:val="single"/>
              </w:rPr>
              <w:t xml:space="preserve">                                     。</w:t>
            </w:r>
          </w:p>
        </w:tc>
      </w:tr>
      <w:tr w14:paraId="75DE6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14:paraId="79FCC60D">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11.4</w:t>
            </w:r>
          </w:p>
        </w:tc>
        <w:tc>
          <w:tcPr>
            <w:tcW w:w="2447" w:type="dxa"/>
            <w:tcBorders>
              <w:top w:val="single" w:color="auto" w:sz="4" w:space="0"/>
              <w:left w:val="single" w:color="auto" w:sz="4" w:space="0"/>
              <w:bottom w:val="single" w:color="auto" w:sz="4" w:space="0"/>
              <w:right w:val="single" w:color="auto" w:sz="4" w:space="0"/>
            </w:tcBorders>
            <w:vAlign w:val="center"/>
          </w:tcPr>
          <w:p w14:paraId="189DAC0B">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媒体发布渠道</w:t>
            </w:r>
          </w:p>
        </w:tc>
        <w:tc>
          <w:tcPr>
            <w:tcW w:w="6999" w:type="dxa"/>
            <w:tcBorders>
              <w:top w:val="single" w:color="auto" w:sz="4" w:space="0"/>
              <w:left w:val="single" w:color="auto" w:sz="4" w:space="0"/>
              <w:bottom w:val="single" w:color="auto" w:sz="4" w:space="0"/>
              <w:right w:val="single" w:color="auto" w:sz="4" w:space="0"/>
            </w:tcBorders>
            <w:vAlign w:val="center"/>
          </w:tcPr>
          <w:p w14:paraId="17951F8F">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与本项目相关的政府采购业务澄清、更正及与之相关的事项将在采购公告中“六、其他补充事宜”中网上查询地址上发布</w:t>
            </w:r>
            <w:r>
              <w:rPr>
                <w:rFonts w:hint="eastAsia" w:ascii="宋体" w:hAnsi="宋体" w:cs="宋体"/>
                <w:color w:val="auto"/>
                <w:kern w:val="0"/>
                <w:sz w:val="24"/>
                <w:highlight w:val="none"/>
              </w:rPr>
              <w:t>。</w:t>
            </w:r>
          </w:p>
        </w:tc>
      </w:tr>
      <w:tr w14:paraId="6F3A09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14:paraId="42F7DB37">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11.6</w:t>
            </w:r>
          </w:p>
        </w:tc>
        <w:tc>
          <w:tcPr>
            <w:tcW w:w="2447" w:type="dxa"/>
            <w:tcBorders>
              <w:top w:val="single" w:color="auto" w:sz="4" w:space="0"/>
              <w:left w:val="single" w:color="auto" w:sz="4" w:space="0"/>
              <w:bottom w:val="single" w:color="auto" w:sz="4" w:space="0"/>
              <w:right w:val="single" w:color="auto" w:sz="4" w:space="0"/>
            </w:tcBorders>
            <w:vAlign w:val="center"/>
          </w:tcPr>
          <w:p w14:paraId="471DD458">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是否组织标前答疑会</w:t>
            </w:r>
          </w:p>
        </w:tc>
        <w:tc>
          <w:tcPr>
            <w:tcW w:w="6999" w:type="dxa"/>
            <w:tcBorders>
              <w:top w:val="single" w:color="auto" w:sz="4" w:space="0"/>
              <w:left w:val="single" w:color="auto" w:sz="4" w:space="0"/>
              <w:bottom w:val="single" w:color="auto" w:sz="4" w:space="0"/>
              <w:right w:val="single" w:color="auto" w:sz="4" w:space="0"/>
            </w:tcBorders>
            <w:vAlign w:val="center"/>
          </w:tcPr>
          <w:p w14:paraId="03A433FE">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☑不组织召开开标前答疑会</w:t>
            </w:r>
          </w:p>
          <w:p w14:paraId="0FAF56EF">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□组织召开开标前答疑会</w:t>
            </w:r>
          </w:p>
          <w:p w14:paraId="0ADADF74">
            <w:pPr>
              <w:keepLines/>
              <w:pageBreakBefore w:val="0"/>
              <w:wordWrap w:val="0"/>
              <w:overflowPunct/>
              <w:topLinePunct w:val="0"/>
              <w:bidi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会议开始时间：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分</w:t>
            </w:r>
            <w:r>
              <w:rPr>
                <w:rFonts w:hint="eastAsia" w:ascii="宋体" w:hAnsi="宋体" w:cs="宋体"/>
                <w:color w:val="auto"/>
                <w:sz w:val="24"/>
                <w:highlight w:val="none"/>
              </w:rPr>
              <w:t>，逾期后果自负。会议地点：</w:t>
            </w:r>
            <w:r>
              <w:rPr>
                <w:rFonts w:hint="eastAsia" w:ascii="宋体" w:hAnsi="宋体" w:cs="宋体"/>
                <w:color w:val="auto"/>
                <w:sz w:val="24"/>
                <w:highlight w:val="none"/>
                <w:u w:val="single"/>
              </w:rPr>
              <w:t xml:space="preserve">      </w:t>
            </w:r>
          </w:p>
        </w:tc>
      </w:tr>
      <w:tr w14:paraId="6295B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4" w:type="dxa"/>
            <w:tcBorders>
              <w:top w:val="nil"/>
              <w:left w:val="single" w:color="auto" w:sz="4" w:space="0"/>
              <w:bottom w:val="nil"/>
              <w:right w:val="single" w:color="auto" w:sz="4" w:space="0"/>
            </w:tcBorders>
            <w:vAlign w:val="center"/>
          </w:tcPr>
          <w:p w14:paraId="5FA902F4">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13.1</w:t>
            </w:r>
          </w:p>
        </w:tc>
        <w:tc>
          <w:tcPr>
            <w:tcW w:w="2447" w:type="dxa"/>
            <w:tcBorders>
              <w:top w:val="single" w:color="auto" w:sz="4" w:space="0"/>
              <w:left w:val="single" w:color="auto" w:sz="4" w:space="0"/>
              <w:bottom w:val="single" w:color="auto" w:sz="4" w:space="0"/>
              <w:right w:val="single" w:color="auto" w:sz="4" w:space="0"/>
            </w:tcBorders>
            <w:vAlign w:val="center"/>
          </w:tcPr>
          <w:p w14:paraId="600FD8B0">
            <w:pPr>
              <w:keepLines/>
              <w:pageBreakBefore w:val="0"/>
              <w:wordWrap w:val="0"/>
              <w:overflowPunct/>
              <w:topLinePunct w:val="0"/>
              <w:bidi w:val="0"/>
              <w:snapToGrid w:val="0"/>
              <w:spacing w:line="360" w:lineRule="auto"/>
              <w:jc w:val="left"/>
              <w:rPr>
                <w:rFonts w:ascii="宋体" w:hAnsi="宋体" w:cs="宋体"/>
                <w:color w:val="auto"/>
                <w:sz w:val="24"/>
                <w:highlight w:val="none"/>
              </w:rPr>
            </w:pPr>
            <w:bookmarkStart w:id="15" w:name="_13.2"/>
            <w:bookmarkEnd w:id="15"/>
            <w:r>
              <w:rPr>
                <w:rFonts w:hint="eastAsia" w:ascii="宋体" w:hAnsi="宋体" w:cs="宋体"/>
                <w:color w:val="auto"/>
                <w:sz w:val="24"/>
                <w:highlight w:val="none"/>
              </w:rPr>
              <w:t>资格证明文件组成</w:t>
            </w:r>
          </w:p>
        </w:tc>
        <w:tc>
          <w:tcPr>
            <w:tcW w:w="6999" w:type="dxa"/>
            <w:tcBorders>
              <w:top w:val="single" w:color="auto" w:sz="4" w:space="0"/>
              <w:left w:val="single" w:color="auto" w:sz="4" w:space="0"/>
              <w:bottom w:val="single" w:color="auto" w:sz="4" w:space="0"/>
              <w:right w:val="single" w:color="auto" w:sz="4" w:space="0"/>
            </w:tcBorders>
            <w:vAlign w:val="center"/>
          </w:tcPr>
          <w:p w14:paraId="3DE2B34D">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1、投标人为法人或者其他组织的，提供营业执照等证明文件（如营业执照或者事业单位法人证书或者</w:t>
            </w:r>
            <w:r>
              <w:rPr>
                <w:rStyle w:val="27"/>
                <w:rFonts w:hint="eastAsia"/>
                <w:color w:val="auto"/>
                <w:sz w:val="24"/>
                <w:szCs w:val="24"/>
                <w:highlight w:val="none"/>
              </w:rPr>
              <w:t>执业许可证</w:t>
            </w:r>
            <w:r>
              <w:rPr>
                <w:rFonts w:hint="eastAsia" w:ascii="宋体" w:hAnsi="宋体" w:cs="宋体"/>
                <w:color w:val="auto"/>
                <w:sz w:val="24"/>
                <w:highlight w:val="none"/>
              </w:rPr>
              <w:t>等），投标人为自然人的，提供身份证复印件。（</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42FF72C8">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2、投标人依法缴纳税收的相关材料[</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rPr>
              <w:t>月至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]任意</w:t>
            </w:r>
            <w:r>
              <w:rPr>
                <w:rFonts w:hint="eastAsia" w:ascii="宋体" w:hAnsi="宋体" w:cs="宋体"/>
                <w:color w:val="auto"/>
                <w:sz w:val="24"/>
                <w:highlight w:val="none"/>
              </w:rPr>
              <w:t>连续</w:t>
            </w:r>
            <w:r>
              <w:rPr>
                <w:rFonts w:hint="eastAsia" w:ascii="宋体" w:hAnsi="宋体" w:cs="宋体"/>
                <w:color w:val="auto"/>
                <w:sz w:val="24"/>
                <w:highlight w:val="none"/>
                <w:u w:val="single"/>
              </w:rPr>
              <w:t xml:space="preserve"> 三 </w:t>
            </w:r>
            <w:r>
              <w:rPr>
                <w:rFonts w:hint="eastAsia" w:ascii="宋体" w:hAnsi="宋体" w:cs="宋体"/>
                <w:color w:val="auto"/>
                <w:sz w:val="24"/>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35B897A7">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3、投标人依法缴纳社会保障资金的相关材料[</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rPr>
              <w:t>月至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]任意</w:t>
            </w:r>
            <w:r>
              <w:rPr>
                <w:rFonts w:hint="eastAsia" w:ascii="宋体" w:hAnsi="宋体" w:cs="宋体"/>
                <w:color w:val="auto"/>
                <w:sz w:val="24"/>
                <w:highlight w:val="none"/>
              </w:rPr>
              <w:t>连续</w:t>
            </w:r>
            <w:r>
              <w:rPr>
                <w:rFonts w:hint="eastAsia" w:ascii="宋体" w:hAnsi="宋体" w:cs="宋体"/>
                <w:color w:val="auto"/>
                <w:sz w:val="24"/>
                <w:highlight w:val="none"/>
                <w:u w:val="single"/>
              </w:rPr>
              <w:t xml:space="preserve"> 三 </w:t>
            </w:r>
            <w:r>
              <w:rPr>
                <w:rFonts w:hint="eastAsia" w:ascii="宋体" w:hAnsi="宋体" w:cs="宋体"/>
                <w:color w:val="auto"/>
                <w:sz w:val="24"/>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547F0D16">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4、投标人财务状况报告：[</w:t>
            </w:r>
            <w:r>
              <w:rPr>
                <w:rFonts w:hint="eastAsia" w:ascii="宋体" w:hAnsi="宋体" w:cs="宋体"/>
                <w:color w:val="auto"/>
                <w:sz w:val="24"/>
                <w:highlight w:val="none"/>
                <w:u w:val="single"/>
                <w:lang w:val="en-US" w:eastAsia="zh-CN"/>
              </w:rPr>
              <w:t>2024</w:t>
            </w:r>
            <w:r>
              <w:rPr>
                <w:rFonts w:hint="eastAsia" w:ascii="宋体" w:hAnsi="宋体" w:cs="宋体"/>
                <w:color w:val="auto"/>
                <w:sz w:val="24"/>
                <w:highlight w:val="none"/>
                <w:lang w:val="en-US" w:eastAsia="zh-CN"/>
              </w:rPr>
              <w:t>年</w:t>
            </w:r>
            <w:r>
              <w:rPr>
                <w:rFonts w:hint="eastAsia" w:ascii="宋体" w:hAnsi="宋体" w:cs="宋体"/>
                <w:color w:val="auto"/>
                <w:sz w:val="24"/>
                <w:highlight w:val="none"/>
              </w:rPr>
              <w:t>]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3EE79281">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5、投标人直接控股股东信息</w:t>
            </w:r>
            <w:r>
              <w:rPr>
                <w:rFonts w:hint="eastAsia" w:ascii="宋体" w:hAnsi="宋体" w:cs="宋体"/>
                <w:color w:val="auto"/>
                <w:sz w:val="24"/>
                <w:highlight w:val="none"/>
                <w:lang w:val="en-US" w:eastAsia="zh-CN"/>
              </w:rPr>
              <w:t>表</w:t>
            </w:r>
            <w:r>
              <w:rPr>
                <w:rFonts w:hint="eastAsia" w:ascii="宋体" w:hAnsi="宋体" w:cs="宋体"/>
                <w:color w:val="auto"/>
                <w:sz w:val="24"/>
                <w:highlight w:val="none"/>
              </w:rPr>
              <w:t>、管理关系信息表。（</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20748063">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6、投标资格声明</w:t>
            </w:r>
            <w:r>
              <w:rPr>
                <w:rFonts w:hint="eastAsia" w:ascii="宋体" w:hAnsi="宋体" w:cs="宋体"/>
                <w:color w:val="auto"/>
                <w:sz w:val="24"/>
                <w:highlight w:val="none"/>
                <w:lang w:val="en-US" w:eastAsia="zh-CN"/>
              </w:rPr>
              <w:t>函</w:t>
            </w:r>
            <w:r>
              <w:rPr>
                <w:rFonts w:hint="eastAsia" w:ascii="宋体" w:hAnsi="宋体" w:cs="宋体"/>
                <w:color w:val="auto"/>
                <w:sz w:val="24"/>
                <w:highlight w:val="none"/>
              </w:rPr>
              <w:t>。（</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1596AA76">
            <w:pPr>
              <w:keepLines/>
              <w:pageBreakBefore w:val="0"/>
              <w:tabs>
                <w:tab w:val="left" w:pos="459"/>
              </w:tabs>
              <w:wordWrap w:val="0"/>
              <w:overflowPunct/>
              <w:topLinePunct w:val="0"/>
              <w:bidi w:val="0"/>
              <w:snapToGrid w:val="0"/>
              <w:spacing w:line="360" w:lineRule="auto"/>
              <w:jc w:val="left"/>
              <w:rPr>
                <w:rFonts w:hint="eastAsia" w:ascii="宋体" w:hAnsi="宋体" w:cs="宋体"/>
                <w:b/>
                <w:bCs/>
                <w:color w:val="auto"/>
                <w:sz w:val="24"/>
                <w:highlight w:val="none"/>
                <w:lang w:val="en-US" w:eastAsia="zh-CN"/>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、中小企业声明函。</w:t>
            </w:r>
            <w:r>
              <w:rPr>
                <w:rFonts w:hint="eastAsia" w:ascii="宋体" w:hAnsi="宋体" w:eastAsia="宋体" w:cs="宋体"/>
                <w:b/>
                <w:bCs/>
                <w:color w:val="auto"/>
                <w:sz w:val="24"/>
                <w:highlight w:val="none"/>
              </w:rPr>
              <w:t>（</w:t>
            </w:r>
            <w:r>
              <w:rPr>
                <w:rFonts w:hint="eastAsia" w:ascii="宋体" w:hAnsi="宋体" w:cs="宋体"/>
                <w:b/>
                <w:color w:val="auto"/>
                <w:sz w:val="24"/>
                <w:highlight w:val="none"/>
              </w:rPr>
              <w:t>必须提供，否则作无效投标处理</w:t>
            </w:r>
            <w:r>
              <w:rPr>
                <w:rFonts w:hint="eastAsia" w:ascii="宋体" w:hAnsi="宋体" w:eastAsia="宋体" w:cs="宋体"/>
                <w:b/>
                <w:bCs/>
                <w:color w:val="auto"/>
                <w:sz w:val="24"/>
                <w:highlight w:val="none"/>
              </w:rPr>
              <w:t>）</w:t>
            </w:r>
          </w:p>
          <w:p w14:paraId="6E553A34">
            <w:pPr>
              <w:keepLines/>
              <w:pageBreakBefore w:val="0"/>
              <w:wordWrap w:val="0"/>
              <w:overflowPunct/>
              <w:topLinePunct w:val="0"/>
              <w:bidi w:val="0"/>
              <w:snapToGrid w:val="0"/>
              <w:spacing w:line="360" w:lineRule="auto"/>
              <w:jc w:val="left"/>
              <w:rPr>
                <w:rFonts w:ascii="宋体" w:hAnsi="宋体" w:cs="宋体"/>
                <w:b/>
                <w:bCs/>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联合体协议书。</w:t>
            </w:r>
            <w:r>
              <w:rPr>
                <w:rFonts w:hint="eastAsia" w:ascii="宋体" w:hAnsi="宋体" w:cs="宋体"/>
                <w:b/>
                <w:bCs/>
                <w:color w:val="auto"/>
                <w:sz w:val="24"/>
                <w:highlight w:val="none"/>
              </w:rPr>
              <w:t>（以联合体形式投标的，提供联合体协议；本项目不接受联合体投标或者投标人不以联合体形式投标的，则不需要提供）</w:t>
            </w:r>
          </w:p>
          <w:p w14:paraId="4B765C12">
            <w:pPr>
              <w:keepLines/>
              <w:pageBreakBefore w:val="0"/>
              <w:wordWrap w:val="0"/>
              <w:overflowPunct/>
              <w:topLinePunct w:val="0"/>
              <w:bidi w:val="0"/>
              <w:snapToGrid w:val="0"/>
              <w:spacing w:line="360" w:lineRule="auto"/>
              <w:jc w:val="left"/>
              <w:rPr>
                <w:rFonts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、除招标文件规定必须提供以外，投标人认为需要提供的其他证明材料。</w:t>
            </w:r>
          </w:p>
          <w:p w14:paraId="00D07177">
            <w:pPr>
              <w:keepLines/>
              <w:pageBreakBefore w:val="0"/>
              <w:wordWrap w:val="0"/>
              <w:overflowPunct/>
              <w:topLinePunct w:val="0"/>
              <w:bidi w:val="0"/>
              <w:snapToGrid w:val="0"/>
              <w:spacing w:line="360" w:lineRule="auto"/>
              <w:jc w:val="left"/>
              <w:rPr>
                <w:rFonts w:ascii="宋体" w:hAnsi="宋体" w:cs="宋体"/>
                <w:b/>
                <w:color w:val="auto"/>
                <w:sz w:val="24"/>
                <w:highlight w:val="none"/>
              </w:rPr>
            </w:pPr>
            <w:r>
              <w:rPr>
                <w:rFonts w:hint="eastAsia" w:ascii="宋体" w:hAnsi="宋体" w:cs="宋体"/>
                <w:b/>
                <w:bCs/>
                <w:color w:val="auto"/>
                <w:sz w:val="24"/>
                <w:highlight w:val="none"/>
              </w:rPr>
              <w:t>注：1.</w:t>
            </w:r>
            <w:r>
              <w:rPr>
                <w:rFonts w:hint="eastAsia" w:ascii="宋体" w:hAnsi="宋体" w:cs="宋体"/>
                <w:color w:val="auto"/>
                <w:sz w:val="24"/>
                <w:highlight w:val="none"/>
              </w:rPr>
              <w:t xml:space="preserve"> </w:t>
            </w:r>
            <w:r>
              <w:rPr>
                <w:rFonts w:hint="eastAsia" w:ascii="宋体" w:hAnsi="宋体" w:cs="宋体"/>
                <w:b/>
                <w:bCs/>
                <w:color w:val="auto"/>
                <w:sz w:val="24"/>
                <w:highlight w:val="none"/>
              </w:rPr>
              <w:t>以上标明“必须提供”的材料</w:t>
            </w:r>
            <w:r>
              <w:rPr>
                <w:rFonts w:hint="eastAsia" w:ascii="宋体" w:hAnsi="宋体" w:cs="宋体"/>
                <w:b/>
                <w:color w:val="auto"/>
                <w:sz w:val="24"/>
                <w:highlight w:val="none"/>
              </w:rPr>
              <w:t>属于复印件的扫描件的</w:t>
            </w:r>
            <w:r>
              <w:rPr>
                <w:rFonts w:hint="eastAsia" w:ascii="宋体" w:hAnsi="宋体" w:cs="宋体"/>
                <w:b/>
                <w:bCs/>
                <w:color w:val="auto"/>
                <w:sz w:val="24"/>
                <w:highlight w:val="none"/>
              </w:rPr>
              <w:t>，必须加盖投标人电子公章，否则</w:t>
            </w:r>
            <w:r>
              <w:rPr>
                <w:rFonts w:hint="eastAsia" w:ascii="宋体" w:hAnsi="宋体" w:cs="宋体"/>
                <w:b/>
                <w:color w:val="auto"/>
                <w:sz w:val="24"/>
                <w:highlight w:val="none"/>
              </w:rPr>
              <w:t>作无效投标处理。</w:t>
            </w:r>
          </w:p>
          <w:p w14:paraId="67F8C899">
            <w:pPr>
              <w:keepLines/>
              <w:pageBreakBefore w:val="0"/>
              <w:wordWrap w:val="0"/>
              <w:overflowPunct/>
              <w:topLinePunct w:val="0"/>
              <w:bidi w:val="0"/>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color w:val="auto"/>
                <w:sz w:val="24"/>
                <w:highlight w:val="none"/>
              </w:rPr>
              <w:t>2</w:t>
            </w:r>
            <w:r>
              <w:rPr>
                <w:rFonts w:hint="eastAsia" w:ascii="宋体" w:hAnsi="宋体" w:cs="宋体"/>
                <w:b/>
                <w:bCs/>
                <w:color w:val="auto"/>
                <w:sz w:val="24"/>
                <w:highlight w:val="none"/>
              </w:rPr>
              <w:t>.联合体投标时，第1-5项资格证明文件联合体各方均必须分别提供，联合体各方分别盖章，否则投标文件按无效投标处理。</w:t>
            </w:r>
          </w:p>
        </w:tc>
      </w:tr>
      <w:tr w14:paraId="4FA08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4" w:type="dxa"/>
            <w:tcBorders>
              <w:top w:val="nil"/>
              <w:left w:val="single" w:color="auto" w:sz="4" w:space="0"/>
              <w:bottom w:val="nil"/>
              <w:right w:val="single" w:color="auto" w:sz="4" w:space="0"/>
            </w:tcBorders>
            <w:vAlign w:val="center"/>
          </w:tcPr>
          <w:p w14:paraId="1D5CCED4">
            <w:pPr>
              <w:keepLines/>
              <w:pageBreakBefore w:val="0"/>
              <w:wordWrap w:val="0"/>
              <w:overflowPunct/>
              <w:topLinePunct w:val="0"/>
              <w:bidi w:val="0"/>
              <w:spacing w:line="360" w:lineRule="auto"/>
              <w:rPr>
                <w:rFonts w:ascii="宋体" w:hAnsi="宋体" w:cs="宋体"/>
                <w:color w:val="auto"/>
                <w:sz w:val="24"/>
                <w:highlight w:val="none"/>
              </w:rPr>
            </w:pPr>
          </w:p>
        </w:tc>
        <w:tc>
          <w:tcPr>
            <w:tcW w:w="2447" w:type="dxa"/>
            <w:tcBorders>
              <w:top w:val="single" w:color="auto" w:sz="4" w:space="0"/>
              <w:left w:val="single" w:color="auto" w:sz="4" w:space="0"/>
              <w:bottom w:val="single" w:color="auto" w:sz="4" w:space="0"/>
              <w:right w:val="single" w:color="auto" w:sz="4" w:space="0"/>
            </w:tcBorders>
            <w:vAlign w:val="center"/>
          </w:tcPr>
          <w:p w14:paraId="654F5B36">
            <w:pPr>
              <w:keepLines/>
              <w:pageBreakBefore w:val="0"/>
              <w:wordWrap w:val="0"/>
              <w:overflowPunct/>
              <w:topLinePunct w:val="0"/>
              <w:bidi w:val="0"/>
              <w:snapToGrid w:val="0"/>
              <w:spacing w:line="360" w:lineRule="auto"/>
              <w:jc w:val="left"/>
              <w:rPr>
                <w:rFonts w:ascii="宋体" w:hAnsi="宋体" w:cs="宋体"/>
                <w:color w:val="auto"/>
                <w:sz w:val="24"/>
                <w:highlight w:val="none"/>
              </w:rPr>
            </w:pPr>
            <w:bookmarkStart w:id="16" w:name="_13.3"/>
            <w:bookmarkEnd w:id="16"/>
            <w:r>
              <w:rPr>
                <w:rFonts w:hint="eastAsia" w:ascii="宋体" w:hAnsi="宋体" w:cs="宋体"/>
                <w:color w:val="auto"/>
                <w:sz w:val="24"/>
                <w:highlight w:val="none"/>
              </w:rPr>
              <w:t>商务文件组成</w:t>
            </w:r>
          </w:p>
          <w:p w14:paraId="4CE60C88">
            <w:pPr>
              <w:keepLines/>
              <w:pageBreakBefore w:val="0"/>
              <w:wordWrap w:val="0"/>
              <w:overflowPunct/>
              <w:topLinePunct w:val="0"/>
              <w:bidi w:val="0"/>
              <w:spacing w:line="360" w:lineRule="auto"/>
              <w:rPr>
                <w:rFonts w:ascii="宋体" w:hAnsi="宋体" w:cs="宋体"/>
                <w:color w:val="auto"/>
                <w:sz w:val="24"/>
                <w:highlight w:val="none"/>
              </w:rPr>
            </w:pPr>
          </w:p>
        </w:tc>
        <w:tc>
          <w:tcPr>
            <w:tcW w:w="6999" w:type="dxa"/>
            <w:tcBorders>
              <w:top w:val="single" w:color="auto" w:sz="4" w:space="0"/>
              <w:left w:val="single" w:color="auto" w:sz="4" w:space="0"/>
              <w:bottom w:val="single" w:color="auto" w:sz="4" w:space="0"/>
              <w:right w:val="single" w:color="auto" w:sz="4" w:space="0"/>
            </w:tcBorders>
            <w:vAlign w:val="center"/>
          </w:tcPr>
          <w:p w14:paraId="2D7C7805">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1、无串通投标行为的承诺函；（</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099A0262">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2、法定代表人身份证明及法定代表人有效身份证正反面复印件；（</w:t>
            </w:r>
            <w:r>
              <w:rPr>
                <w:rFonts w:hint="eastAsia" w:ascii="宋体" w:hAnsi="宋体" w:cs="宋体"/>
                <w:b/>
                <w:bCs/>
                <w:color w:val="auto"/>
                <w:sz w:val="24"/>
                <w:highlight w:val="none"/>
              </w:rPr>
              <w:t>除自然人投标外</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03FBC5BF">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3、法定代表人授权委托书及委托代理人有效身份证正反面复印件；（</w:t>
            </w:r>
            <w:r>
              <w:rPr>
                <w:rFonts w:hint="eastAsia" w:ascii="宋体" w:hAnsi="宋体" w:cs="宋体"/>
                <w:b/>
                <w:color w:val="auto"/>
                <w:sz w:val="24"/>
                <w:highlight w:val="none"/>
              </w:rPr>
              <w:t>委托时必须提供，否则作无效投标处理</w:t>
            </w:r>
            <w:r>
              <w:rPr>
                <w:rFonts w:hint="eastAsia" w:ascii="宋体" w:hAnsi="宋体" w:cs="宋体"/>
                <w:color w:val="auto"/>
                <w:sz w:val="24"/>
                <w:highlight w:val="none"/>
              </w:rPr>
              <w:t>）</w:t>
            </w:r>
          </w:p>
          <w:p w14:paraId="528ADA75">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4、商务条款偏离表；（</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700EC59B">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5、投标人情况介绍；</w:t>
            </w:r>
          </w:p>
          <w:p w14:paraId="15D58079">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6、除采购文件规定必须提供以外，投标人认为需要提供的其他证明材料。（投标人根据“第二章 采购需求”及“第四章 评标方法及评标标准”提供有关证明材料）。</w:t>
            </w:r>
          </w:p>
          <w:p w14:paraId="06D28DCD">
            <w:pPr>
              <w:keepLines/>
              <w:pageBreakBefore w:val="0"/>
              <w:wordWrap w:val="0"/>
              <w:overflowPunct/>
              <w:topLinePunct w:val="0"/>
              <w:bidi w:val="0"/>
              <w:snapToGri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注： 1.法定代表人授权委托书必须由法定代表人及委托代理人签字，并加盖投标人公章，否则作无效投标处理。</w:t>
            </w:r>
          </w:p>
          <w:p w14:paraId="0B4207E1">
            <w:pPr>
              <w:keepLines/>
              <w:pageBreakBefore w:val="0"/>
              <w:wordWrap w:val="0"/>
              <w:overflowPunct/>
              <w:topLinePunct w:val="0"/>
              <w:bidi w:val="0"/>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bCs/>
                <w:color w:val="auto"/>
                <w:sz w:val="24"/>
                <w:highlight w:val="none"/>
              </w:rPr>
              <w:t>2.</w:t>
            </w:r>
            <w:r>
              <w:rPr>
                <w:rFonts w:hint="eastAsia" w:ascii="宋体" w:hAnsi="宋体" w:cs="宋体"/>
                <w:color w:val="auto"/>
                <w:sz w:val="24"/>
                <w:highlight w:val="none"/>
              </w:rPr>
              <w:t xml:space="preserve"> </w:t>
            </w:r>
            <w:r>
              <w:rPr>
                <w:rFonts w:hint="eastAsia" w:ascii="宋体" w:hAnsi="宋体" w:cs="宋体"/>
                <w:b/>
                <w:bCs/>
                <w:color w:val="auto"/>
                <w:sz w:val="24"/>
                <w:highlight w:val="none"/>
              </w:rPr>
              <w:t>以上标明“必须提供”的材料</w:t>
            </w:r>
            <w:r>
              <w:rPr>
                <w:rFonts w:hint="eastAsia" w:ascii="宋体" w:hAnsi="宋体" w:cs="宋体"/>
                <w:b/>
                <w:color w:val="auto"/>
                <w:sz w:val="24"/>
                <w:highlight w:val="none"/>
              </w:rPr>
              <w:t>属于复印件的扫描件的</w:t>
            </w:r>
            <w:r>
              <w:rPr>
                <w:rFonts w:hint="eastAsia" w:ascii="宋体" w:hAnsi="宋体" w:cs="宋体"/>
                <w:b/>
                <w:bCs/>
                <w:color w:val="auto"/>
                <w:sz w:val="24"/>
                <w:highlight w:val="none"/>
              </w:rPr>
              <w:t>，必须加盖投标人电子公章，否则</w:t>
            </w:r>
            <w:r>
              <w:rPr>
                <w:rFonts w:hint="eastAsia" w:ascii="宋体" w:hAnsi="宋体" w:cs="宋体"/>
                <w:b/>
                <w:color w:val="auto"/>
                <w:sz w:val="24"/>
                <w:highlight w:val="none"/>
              </w:rPr>
              <w:t>作无效投标处理</w:t>
            </w:r>
            <w:r>
              <w:rPr>
                <w:rFonts w:hint="eastAsia" w:ascii="宋体" w:hAnsi="宋体" w:cs="宋体"/>
                <w:b/>
                <w:bCs/>
                <w:color w:val="auto"/>
                <w:sz w:val="24"/>
                <w:highlight w:val="none"/>
              </w:rPr>
              <w:t>。</w:t>
            </w:r>
          </w:p>
        </w:tc>
      </w:tr>
      <w:tr w14:paraId="228ED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4" w:type="dxa"/>
            <w:vMerge w:val="restart"/>
            <w:tcBorders>
              <w:top w:val="nil"/>
              <w:left w:val="single" w:color="auto" w:sz="4" w:space="0"/>
              <w:bottom w:val="single" w:color="auto" w:sz="4" w:space="0"/>
              <w:right w:val="single" w:color="auto" w:sz="4" w:space="0"/>
            </w:tcBorders>
            <w:vAlign w:val="center"/>
          </w:tcPr>
          <w:p w14:paraId="5B8165DA">
            <w:pPr>
              <w:keepLines/>
              <w:pageBreakBefore w:val="0"/>
              <w:wordWrap w:val="0"/>
              <w:overflowPunct/>
              <w:topLinePunct w:val="0"/>
              <w:bidi w:val="0"/>
              <w:spacing w:line="360" w:lineRule="auto"/>
              <w:rPr>
                <w:rFonts w:ascii="宋体" w:hAnsi="宋体" w:cs="宋体"/>
                <w:color w:val="auto"/>
                <w:sz w:val="24"/>
                <w:highlight w:val="none"/>
              </w:rPr>
            </w:pPr>
          </w:p>
        </w:tc>
        <w:tc>
          <w:tcPr>
            <w:tcW w:w="2447" w:type="dxa"/>
            <w:tcBorders>
              <w:top w:val="single" w:color="auto" w:sz="4" w:space="0"/>
              <w:left w:val="single" w:color="auto" w:sz="4" w:space="0"/>
              <w:bottom w:val="single" w:color="auto" w:sz="4" w:space="0"/>
              <w:right w:val="single" w:color="auto" w:sz="4" w:space="0"/>
            </w:tcBorders>
            <w:vAlign w:val="center"/>
          </w:tcPr>
          <w:p w14:paraId="0A4B9C87">
            <w:pPr>
              <w:keepLines/>
              <w:pageBreakBefore w:val="0"/>
              <w:wordWrap w:val="0"/>
              <w:overflowPunct/>
              <w:topLinePunct w:val="0"/>
              <w:bidi w:val="0"/>
              <w:snapToGrid w:val="0"/>
              <w:spacing w:line="360" w:lineRule="auto"/>
              <w:jc w:val="left"/>
              <w:rPr>
                <w:rFonts w:ascii="宋体" w:hAnsi="宋体" w:cs="宋体"/>
                <w:color w:val="auto"/>
                <w:sz w:val="24"/>
                <w:highlight w:val="none"/>
              </w:rPr>
            </w:pPr>
            <w:bookmarkStart w:id="17" w:name="_13.4"/>
            <w:bookmarkEnd w:id="17"/>
            <w:r>
              <w:rPr>
                <w:rFonts w:hint="eastAsia" w:ascii="宋体" w:hAnsi="宋体" w:cs="宋体"/>
                <w:color w:val="auto"/>
                <w:sz w:val="24"/>
                <w:highlight w:val="none"/>
              </w:rPr>
              <w:t>技术文件组成</w:t>
            </w:r>
          </w:p>
          <w:p w14:paraId="4527F52F">
            <w:pPr>
              <w:keepLines/>
              <w:pageBreakBefore w:val="0"/>
              <w:wordWrap w:val="0"/>
              <w:overflowPunct/>
              <w:topLinePunct w:val="0"/>
              <w:bidi w:val="0"/>
              <w:spacing w:line="360" w:lineRule="auto"/>
              <w:rPr>
                <w:rFonts w:ascii="宋体" w:hAnsi="宋体" w:cs="宋体"/>
                <w:color w:val="auto"/>
                <w:sz w:val="24"/>
                <w:highlight w:val="none"/>
              </w:rPr>
            </w:pPr>
          </w:p>
        </w:tc>
        <w:tc>
          <w:tcPr>
            <w:tcW w:w="6999" w:type="dxa"/>
            <w:tcBorders>
              <w:top w:val="single" w:color="auto" w:sz="4" w:space="0"/>
              <w:left w:val="single" w:color="auto" w:sz="4" w:space="0"/>
              <w:bottom w:val="single" w:color="auto" w:sz="4" w:space="0"/>
              <w:right w:val="single" w:color="auto" w:sz="4" w:space="0"/>
            </w:tcBorders>
            <w:vAlign w:val="center"/>
          </w:tcPr>
          <w:p w14:paraId="4146096C">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1、服务需求、技术需求偏离表；（</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4F1AB7AF">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2、组织服务方案；（</w:t>
            </w:r>
            <w:r>
              <w:rPr>
                <w:rFonts w:hint="eastAsia" w:ascii="宋体" w:hAnsi="宋体" w:cs="宋体"/>
                <w:b/>
                <w:color w:val="auto"/>
                <w:sz w:val="24"/>
                <w:highlight w:val="none"/>
              </w:rPr>
              <w:t>如有请提供</w:t>
            </w:r>
            <w:r>
              <w:rPr>
                <w:rFonts w:hint="eastAsia" w:ascii="宋体" w:hAnsi="宋体" w:cs="宋体"/>
                <w:color w:val="auto"/>
                <w:sz w:val="24"/>
                <w:highlight w:val="none"/>
              </w:rPr>
              <w:t>）</w:t>
            </w:r>
          </w:p>
          <w:p w14:paraId="76DF8E4D">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3、售后服务方案；（</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794DF7E9">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4、项目实施人员一览表；（</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7F74B44F">
            <w:pPr>
              <w:keepLines/>
              <w:pageBreakBefore w:val="0"/>
              <w:wordWrap w:val="0"/>
              <w:overflowPunct/>
              <w:topLinePunct w:val="0"/>
              <w:bidi w:val="0"/>
              <w:snapToGrid w:val="0"/>
              <w:spacing w:line="360" w:lineRule="auto"/>
              <w:jc w:val="left"/>
              <w:rPr>
                <w:rFonts w:ascii="宋体" w:hAnsi="宋体" w:cs="宋体"/>
                <w:b/>
                <w:bCs/>
                <w:color w:val="auto"/>
                <w:sz w:val="24"/>
                <w:highlight w:val="none"/>
              </w:rPr>
            </w:pPr>
            <w:r>
              <w:rPr>
                <w:rFonts w:hint="eastAsia" w:ascii="宋体" w:hAnsi="宋体" w:cs="宋体"/>
                <w:color w:val="auto"/>
                <w:sz w:val="24"/>
                <w:highlight w:val="none"/>
              </w:rPr>
              <w:t>5、投标人对本项目的合理化建议和改进措施；</w:t>
            </w:r>
            <w:r>
              <w:rPr>
                <w:rFonts w:hint="eastAsia" w:ascii="宋体" w:hAnsi="宋体" w:cs="宋体"/>
                <w:b/>
                <w:bCs/>
                <w:color w:val="auto"/>
                <w:sz w:val="24"/>
                <w:highlight w:val="none"/>
              </w:rPr>
              <w:t>（如有请提供）</w:t>
            </w:r>
          </w:p>
          <w:p w14:paraId="69C58AEB">
            <w:pPr>
              <w:keepLines/>
              <w:pageBreakBefore w:val="0"/>
              <w:wordWrap w:val="0"/>
              <w:overflowPunct/>
              <w:topLinePunct w:val="0"/>
              <w:bidi w:val="0"/>
              <w:snapToGrid w:val="0"/>
              <w:spacing w:line="360" w:lineRule="auto"/>
              <w:jc w:val="left"/>
              <w:rPr>
                <w:rFonts w:ascii="宋体" w:hAnsi="宋体" w:cs="宋体"/>
                <w:bCs/>
                <w:color w:val="auto"/>
                <w:sz w:val="24"/>
                <w:highlight w:val="none"/>
              </w:rPr>
            </w:pPr>
            <w:r>
              <w:rPr>
                <w:rFonts w:hint="eastAsia" w:ascii="宋体" w:hAnsi="宋体" w:cs="宋体"/>
                <w:color w:val="auto"/>
                <w:sz w:val="24"/>
                <w:highlight w:val="none"/>
              </w:rPr>
              <w:t>6、除招标文件规定必须提供以外，投标人需要说明的其他文件和说明。</w:t>
            </w:r>
          </w:p>
          <w:p w14:paraId="5CE759F6">
            <w:pPr>
              <w:keepLines/>
              <w:pageBreakBefore w:val="0"/>
              <w:wordWrap w:val="0"/>
              <w:overflowPunct/>
              <w:topLinePunct w:val="0"/>
              <w:bidi w:val="0"/>
              <w:snapToGri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注：以上标明“必须提供”的材料</w:t>
            </w:r>
            <w:r>
              <w:rPr>
                <w:rFonts w:hint="eastAsia" w:ascii="宋体" w:hAnsi="宋体" w:cs="宋体"/>
                <w:b/>
                <w:color w:val="auto"/>
                <w:sz w:val="24"/>
                <w:highlight w:val="none"/>
              </w:rPr>
              <w:t>属于复印件的扫描件的</w:t>
            </w:r>
            <w:r>
              <w:rPr>
                <w:rFonts w:hint="eastAsia" w:ascii="宋体" w:hAnsi="宋体" w:cs="宋体"/>
                <w:b/>
                <w:bCs/>
                <w:color w:val="auto"/>
                <w:sz w:val="24"/>
                <w:highlight w:val="none"/>
              </w:rPr>
              <w:t>，必须加盖投标人电子公章，否则</w:t>
            </w:r>
            <w:r>
              <w:rPr>
                <w:rFonts w:hint="eastAsia" w:ascii="宋体" w:hAnsi="宋体" w:cs="宋体"/>
                <w:b/>
                <w:color w:val="auto"/>
                <w:sz w:val="24"/>
                <w:highlight w:val="none"/>
              </w:rPr>
              <w:t>作无效投标处理</w:t>
            </w:r>
            <w:r>
              <w:rPr>
                <w:rFonts w:hint="eastAsia" w:ascii="宋体" w:hAnsi="宋体" w:cs="宋体"/>
                <w:b/>
                <w:bCs/>
                <w:color w:val="auto"/>
                <w:sz w:val="24"/>
                <w:highlight w:val="none"/>
              </w:rPr>
              <w:t>。</w:t>
            </w:r>
          </w:p>
        </w:tc>
      </w:tr>
      <w:tr w14:paraId="6614D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4" w:type="dxa"/>
            <w:vMerge w:val="continue"/>
            <w:tcBorders>
              <w:top w:val="nil"/>
              <w:left w:val="single" w:color="auto" w:sz="4" w:space="0"/>
              <w:bottom w:val="single" w:color="auto" w:sz="4" w:space="0"/>
              <w:right w:val="single" w:color="auto" w:sz="4" w:space="0"/>
            </w:tcBorders>
            <w:vAlign w:val="center"/>
          </w:tcPr>
          <w:p w14:paraId="60144635">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447" w:type="dxa"/>
            <w:tcBorders>
              <w:top w:val="single" w:color="auto" w:sz="4" w:space="0"/>
              <w:left w:val="single" w:color="auto" w:sz="4" w:space="0"/>
              <w:bottom w:val="single" w:color="auto" w:sz="4" w:space="0"/>
              <w:right w:val="single" w:color="auto" w:sz="4" w:space="0"/>
            </w:tcBorders>
            <w:vAlign w:val="center"/>
          </w:tcPr>
          <w:p w14:paraId="45E9F72E">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报价文件组成</w:t>
            </w:r>
          </w:p>
        </w:tc>
        <w:tc>
          <w:tcPr>
            <w:tcW w:w="6999" w:type="dxa"/>
            <w:tcBorders>
              <w:top w:val="single" w:color="auto" w:sz="4" w:space="0"/>
              <w:left w:val="single" w:color="auto" w:sz="4" w:space="0"/>
              <w:bottom w:val="single" w:color="auto" w:sz="4" w:space="0"/>
              <w:right w:val="single" w:color="auto" w:sz="4" w:space="0"/>
            </w:tcBorders>
            <w:vAlign w:val="center"/>
          </w:tcPr>
          <w:p w14:paraId="7EA99514">
            <w:pPr>
              <w:keepLines/>
              <w:pageBreakBefore w:val="0"/>
              <w:tabs>
                <w:tab w:val="left" w:pos="459"/>
              </w:tabs>
              <w:wordWrap w:val="0"/>
              <w:overflowPunct/>
              <w:topLinePunct w:val="0"/>
              <w:bidi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1、投标函；（</w:t>
            </w:r>
            <w:r>
              <w:rPr>
                <w:rFonts w:hint="eastAsia" w:ascii="宋体" w:hAnsi="宋体" w:eastAsia="宋体" w:cs="宋体"/>
                <w:b/>
                <w:color w:val="auto"/>
                <w:sz w:val="24"/>
                <w:highlight w:val="none"/>
              </w:rPr>
              <w:t>必须提供，否则作无效投标处理</w:t>
            </w:r>
            <w:r>
              <w:rPr>
                <w:rFonts w:hint="eastAsia" w:ascii="宋体" w:hAnsi="宋体" w:eastAsia="宋体" w:cs="宋体"/>
                <w:color w:val="auto"/>
                <w:sz w:val="24"/>
                <w:highlight w:val="none"/>
              </w:rPr>
              <w:t>）</w:t>
            </w:r>
          </w:p>
          <w:p w14:paraId="5137A857">
            <w:pPr>
              <w:keepLines/>
              <w:pageBreakBefore w:val="0"/>
              <w:tabs>
                <w:tab w:val="left" w:pos="459"/>
              </w:tabs>
              <w:wordWrap w:val="0"/>
              <w:overflowPunct/>
              <w:topLinePunct w:val="0"/>
              <w:bidi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2、开标一览表；（</w:t>
            </w:r>
            <w:r>
              <w:rPr>
                <w:rFonts w:hint="eastAsia" w:ascii="宋体" w:hAnsi="宋体" w:eastAsia="宋体" w:cs="宋体"/>
                <w:b/>
                <w:color w:val="auto"/>
                <w:sz w:val="24"/>
                <w:highlight w:val="none"/>
              </w:rPr>
              <w:t>必须提供，否则作无效投标处理</w:t>
            </w:r>
            <w:r>
              <w:rPr>
                <w:rFonts w:hint="eastAsia" w:ascii="宋体" w:hAnsi="宋体" w:eastAsia="宋体" w:cs="宋体"/>
                <w:color w:val="auto"/>
                <w:sz w:val="24"/>
                <w:highlight w:val="none"/>
              </w:rPr>
              <w:t>）</w:t>
            </w:r>
          </w:p>
          <w:p w14:paraId="60649582">
            <w:pPr>
              <w:keepLines/>
              <w:pageBreakBefore w:val="0"/>
              <w:tabs>
                <w:tab w:val="left" w:pos="459"/>
              </w:tabs>
              <w:wordWrap w:val="0"/>
              <w:overflowPunct/>
              <w:topLinePunct w:val="0"/>
              <w:bidi w:val="0"/>
              <w:snapToGrid w:val="0"/>
              <w:spacing w:line="360" w:lineRule="auto"/>
              <w:jc w:val="left"/>
              <w:rPr>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、投标人针对报价需要说明的其他文</w:t>
            </w:r>
            <w:r>
              <w:rPr>
                <w:rFonts w:hint="eastAsia"/>
                <w:color w:val="auto"/>
                <w:sz w:val="24"/>
                <w:highlight w:val="none"/>
              </w:rPr>
              <w:t>件和说明明。</w:t>
            </w:r>
          </w:p>
        </w:tc>
      </w:tr>
      <w:tr w14:paraId="70D02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14:paraId="4C528D76">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2447" w:type="dxa"/>
            <w:tcBorders>
              <w:top w:val="single" w:color="auto" w:sz="4" w:space="0"/>
              <w:left w:val="single" w:color="auto" w:sz="4" w:space="0"/>
              <w:bottom w:val="single" w:color="auto" w:sz="4" w:space="0"/>
              <w:right w:val="single" w:color="auto" w:sz="4" w:space="0"/>
            </w:tcBorders>
            <w:vAlign w:val="center"/>
          </w:tcPr>
          <w:p w14:paraId="04E2F7DC">
            <w:pPr>
              <w:keepLines/>
              <w:pageBreakBefore w:val="0"/>
              <w:wordWrap w:val="0"/>
              <w:overflowPunct/>
              <w:topLinePunct w:val="0"/>
              <w:bidi w:val="0"/>
              <w:spacing w:line="360" w:lineRule="auto"/>
              <w:rPr>
                <w:rFonts w:ascii="宋体" w:hAnsi="宋体" w:cs="宋体"/>
                <w:color w:val="auto"/>
                <w:sz w:val="24"/>
                <w:highlight w:val="none"/>
              </w:rPr>
            </w:pPr>
            <w:bookmarkStart w:id="18" w:name="_16.2"/>
            <w:bookmarkEnd w:id="18"/>
            <w:r>
              <w:rPr>
                <w:rFonts w:hint="eastAsia" w:ascii="宋体" w:hAnsi="宋体" w:cs="宋体"/>
                <w:color w:val="auto"/>
                <w:sz w:val="24"/>
                <w:highlight w:val="none"/>
              </w:rPr>
              <w:t>投标报价要求</w:t>
            </w:r>
          </w:p>
        </w:tc>
        <w:tc>
          <w:tcPr>
            <w:tcW w:w="6999" w:type="dxa"/>
            <w:tcBorders>
              <w:top w:val="single" w:color="auto" w:sz="4" w:space="0"/>
              <w:left w:val="single" w:color="auto" w:sz="4" w:space="0"/>
              <w:bottom w:val="single" w:color="auto" w:sz="4" w:space="0"/>
              <w:right w:val="single" w:color="auto" w:sz="4" w:space="0"/>
            </w:tcBorders>
            <w:vAlign w:val="center"/>
          </w:tcPr>
          <w:p w14:paraId="6B1B0306">
            <w:pPr>
              <w:keepLines/>
              <w:pageBreakBefore w:val="0"/>
              <w:wordWrap w:val="0"/>
              <w:overflowPunct/>
              <w:topLinePunct w:val="0"/>
              <w:bidi w:val="0"/>
              <w:snapToGrid w:val="0"/>
              <w:spacing w:line="360" w:lineRule="auto"/>
              <w:rPr>
                <w:rFonts w:ascii="宋体" w:hAnsi="宋体" w:cs="宋体"/>
                <w:b/>
                <w:color w:val="auto"/>
                <w:sz w:val="24"/>
                <w:highlight w:val="none"/>
              </w:rPr>
            </w:pPr>
            <w:r>
              <w:rPr>
                <w:rFonts w:hint="eastAsia" w:ascii="宋体" w:hAnsi="宋体" w:cs="宋体"/>
                <w:color w:val="auto"/>
                <w:sz w:val="24"/>
                <w:highlight w:val="none"/>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14:paraId="61E68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14:paraId="1789E9C5">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2447" w:type="dxa"/>
            <w:tcBorders>
              <w:top w:val="single" w:color="auto" w:sz="4" w:space="0"/>
              <w:left w:val="single" w:color="auto" w:sz="4" w:space="0"/>
              <w:bottom w:val="single" w:color="auto" w:sz="4" w:space="0"/>
              <w:right w:val="single" w:color="auto" w:sz="4" w:space="0"/>
            </w:tcBorders>
            <w:vAlign w:val="center"/>
          </w:tcPr>
          <w:p w14:paraId="36CAEE5D">
            <w:pPr>
              <w:keepLines/>
              <w:pageBreakBefore w:val="0"/>
              <w:wordWrap w:val="0"/>
              <w:overflowPunct/>
              <w:topLinePunct w:val="0"/>
              <w:bidi w:val="0"/>
              <w:spacing w:line="360" w:lineRule="auto"/>
              <w:rPr>
                <w:rFonts w:ascii="宋体" w:hAnsi="宋体" w:cs="宋体"/>
                <w:color w:val="auto"/>
                <w:sz w:val="24"/>
                <w:highlight w:val="none"/>
              </w:rPr>
            </w:pPr>
            <w:bookmarkStart w:id="19" w:name="_17.1"/>
            <w:bookmarkEnd w:id="19"/>
            <w:r>
              <w:rPr>
                <w:rFonts w:hint="eastAsia" w:ascii="宋体" w:hAnsi="宋体" w:cs="宋体"/>
                <w:color w:val="auto"/>
                <w:sz w:val="24"/>
                <w:highlight w:val="none"/>
              </w:rPr>
              <w:t>投标有效期</w:t>
            </w:r>
          </w:p>
        </w:tc>
        <w:tc>
          <w:tcPr>
            <w:tcW w:w="6999" w:type="dxa"/>
            <w:tcBorders>
              <w:top w:val="single" w:color="auto" w:sz="4" w:space="0"/>
              <w:left w:val="single" w:color="auto" w:sz="4" w:space="0"/>
              <w:bottom w:val="single" w:color="auto" w:sz="4" w:space="0"/>
              <w:right w:val="single" w:color="auto" w:sz="4" w:space="0"/>
            </w:tcBorders>
            <w:vAlign w:val="center"/>
          </w:tcPr>
          <w:p w14:paraId="63C2921C">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自投标截止之日起</w:t>
            </w:r>
            <w:r>
              <w:rPr>
                <w:rFonts w:hint="eastAsia" w:ascii="宋体" w:hAnsi="宋体" w:cs="宋体"/>
                <w:color w:val="auto"/>
                <w:sz w:val="24"/>
                <w:highlight w:val="none"/>
                <w:u w:val="single"/>
              </w:rPr>
              <w:t xml:space="preserve"> </w:t>
            </w:r>
            <w:bookmarkStart w:id="20" w:name="PO_3000001866_PM046"/>
            <w:r>
              <w:rPr>
                <w:rFonts w:hint="eastAsia" w:ascii="宋体" w:hAnsi="宋体" w:cs="宋体"/>
                <w:color w:val="auto"/>
                <w:sz w:val="24"/>
                <w:highlight w:val="none"/>
                <w:u w:val="single"/>
              </w:rPr>
              <w:t>60日历天</w:t>
            </w:r>
            <w:bookmarkEnd w:id="20"/>
            <w:r>
              <w:rPr>
                <w:rFonts w:hint="eastAsia" w:ascii="宋体" w:hAnsi="宋体" w:cs="宋体"/>
                <w:color w:val="auto"/>
                <w:sz w:val="24"/>
                <w:highlight w:val="none"/>
              </w:rPr>
              <w:t>。</w:t>
            </w:r>
          </w:p>
        </w:tc>
      </w:tr>
      <w:tr w14:paraId="67F3F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14:paraId="4DB423DF">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18</w:t>
            </w:r>
          </w:p>
        </w:tc>
        <w:tc>
          <w:tcPr>
            <w:tcW w:w="2447" w:type="dxa"/>
            <w:tcBorders>
              <w:top w:val="single" w:color="auto" w:sz="4" w:space="0"/>
              <w:left w:val="single" w:color="auto" w:sz="4" w:space="0"/>
              <w:bottom w:val="single" w:color="auto" w:sz="4" w:space="0"/>
              <w:right w:val="single" w:color="auto" w:sz="4" w:space="0"/>
            </w:tcBorders>
            <w:vAlign w:val="center"/>
          </w:tcPr>
          <w:p w14:paraId="2FBE710E">
            <w:pPr>
              <w:keepLines/>
              <w:pageBreakBefore w:val="0"/>
              <w:wordWrap w:val="0"/>
              <w:overflowPunct/>
              <w:topLinePunct w:val="0"/>
              <w:bidi w:val="0"/>
              <w:spacing w:line="360" w:lineRule="auto"/>
              <w:rPr>
                <w:rFonts w:ascii="宋体" w:hAnsi="宋体" w:cs="宋体"/>
                <w:color w:val="auto"/>
                <w:sz w:val="24"/>
                <w:highlight w:val="none"/>
              </w:rPr>
            </w:pPr>
            <w:bookmarkStart w:id="21" w:name="_18"/>
            <w:bookmarkEnd w:id="21"/>
            <w:r>
              <w:rPr>
                <w:rFonts w:hint="eastAsia" w:ascii="宋体" w:hAnsi="宋体" w:cs="宋体"/>
                <w:color w:val="auto"/>
                <w:sz w:val="24"/>
                <w:highlight w:val="none"/>
              </w:rPr>
              <w:t>投标保证金金额</w:t>
            </w:r>
          </w:p>
        </w:tc>
        <w:tc>
          <w:tcPr>
            <w:tcW w:w="6999" w:type="dxa"/>
            <w:tcBorders>
              <w:top w:val="single" w:color="auto" w:sz="4" w:space="0"/>
              <w:left w:val="single" w:color="auto" w:sz="4" w:space="0"/>
              <w:bottom w:val="single" w:color="auto" w:sz="4" w:space="0"/>
              <w:right w:val="single" w:color="auto" w:sz="4" w:space="0"/>
            </w:tcBorders>
            <w:vAlign w:val="center"/>
          </w:tcPr>
          <w:p w14:paraId="72148657">
            <w:pPr>
              <w:keepLines/>
              <w:pageBreakBefore w:val="0"/>
              <w:wordWrap w:val="0"/>
              <w:overflowPunct/>
              <w:topLinePunct w:val="0"/>
              <w:autoSpaceDE w:val="0"/>
              <w:autoSpaceDN w:val="0"/>
              <w:bidi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本项目不收取投标保证金。</w:t>
            </w:r>
          </w:p>
        </w:tc>
      </w:tr>
      <w:tr w14:paraId="3168C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14:paraId="74DD7A2B">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2447" w:type="dxa"/>
            <w:tcBorders>
              <w:top w:val="single" w:color="auto" w:sz="4" w:space="0"/>
              <w:left w:val="single" w:color="auto" w:sz="4" w:space="0"/>
              <w:bottom w:val="single" w:color="auto" w:sz="4" w:space="0"/>
              <w:right w:val="single" w:color="auto" w:sz="4" w:space="0"/>
            </w:tcBorders>
            <w:vAlign w:val="center"/>
          </w:tcPr>
          <w:p w14:paraId="27564867">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投标文件编制要求</w:t>
            </w:r>
          </w:p>
        </w:tc>
        <w:tc>
          <w:tcPr>
            <w:tcW w:w="6999" w:type="dxa"/>
            <w:tcBorders>
              <w:top w:val="single" w:color="auto" w:sz="4" w:space="0"/>
              <w:left w:val="single" w:color="auto" w:sz="4" w:space="0"/>
              <w:bottom w:val="single" w:color="auto" w:sz="4" w:space="0"/>
              <w:right w:val="single" w:color="auto" w:sz="4" w:space="0"/>
            </w:tcBorders>
            <w:vAlign w:val="center"/>
          </w:tcPr>
          <w:p w14:paraId="4FFCB865">
            <w:pPr>
              <w:keepLines/>
              <w:pageBreakBefore w:val="0"/>
              <w:wordWrap w:val="0"/>
              <w:overflowPunct/>
              <w:topLinePunct w:val="0"/>
              <w:bidi w:val="0"/>
              <w:spacing w:line="360" w:lineRule="auto"/>
              <w:rPr>
                <w:rFonts w:ascii="宋体" w:hAnsi="宋体" w:cs="宋体"/>
                <w:b/>
                <w:color w:val="auto"/>
                <w:sz w:val="24"/>
                <w:highlight w:val="none"/>
                <w:u w:val="single"/>
              </w:rPr>
            </w:pPr>
            <w:r>
              <w:rPr>
                <w:rFonts w:hint="eastAsia" w:ascii="宋体" w:hAnsi="宋体" w:cs="宋体"/>
                <w:color w:val="auto"/>
                <w:sz w:val="24"/>
                <w:highlight w:val="none"/>
              </w:rPr>
              <w:t>投标文件应按报价文件、资格证明文件、商务文件、技术文件分别编制，报价文件、资格证明文件商务文件</w:t>
            </w:r>
            <w:r>
              <w:rPr>
                <w:rFonts w:hint="eastAsia" w:ascii="宋体" w:hAnsi="宋体" w:cs="宋体"/>
                <w:color w:val="auto"/>
                <w:sz w:val="24"/>
                <w:highlight w:val="none"/>
                <w:lang w:eastAsia="zh-CN"/>
              </w:rPr>
              <w:t>、</w:t>
            </w:r>
            <w:r>
              <w:rPr>
                <w:rFonts w:hint="eastAsia" w:ascii="宋体" w:hAnsi="宋体" w:cs="宋体"/>
                <w:color w:val="auto"/>
                <w:sz w:val="24"/>
                <w:highlight w:val="none"/>
              </w:rPr>
              <w:t>技术文件分别生产电子文件。</w:t>
            </w:r>
            <w:r>
              <w:rPr>
                <w:rFonts w:hint="eastAsia" w:ascii="宋体" w:hAnsi="宋体" w:cs="宋体"/>
                <w:b/>
                <w:color w:val="auto"/>
                <w:sz w:val="24"/>
                <w:highlight w:val="none"/>
                <w:u w:val="single"/>
              </w:rPr>
              <w:t>电子版投标文件制作方式见招标公告附件。</w:t>
            </w:r>
          </w:p>
        </w:tc>
      </w:tr>
      <w:tr w14:paraId="166B8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14:paraId="7D54F28C">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20</w:t>
            </w:r>
          </w:p>
        </w:tc>
        <w:tc>
          <w:tcPr>
            <w:tcW w:w="2447" w:type="dxa"/>
            <w:tcBorders>
              <w:top w:val="single" w:color="auto" w:sz="4" w:space="0"/>
              <w:left w:val="single" w:color="auto" w:sz="4" w:space="0"/>
              <w:bottom w:val="single" w:color="auto" w:sz="4" w:space="0"/>
              <w:right w:val="single" w:color="auto" w:sz="4" w:space="0"/>
            </w:tcBorders>
            <w:vAlign w:val="center"/>
          </w:tcPr>
          <w:p w14:paraId="203ACAA3">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备份投标文件</w:t>
            </w:r>
          </w:p>
        </w:tc>
        <w:tc>
          <w:tcPr>
            <w:tcW w:w="6999" w:type="dxa"/>
            <w:tcBorders>
              <w:top w:val="single" w:color="auto" w:sz="4" w:space="0"/>
              <w:left w:val="single" w:color="auto" w:sz="4" w:space="0"/>
              <w:bottom w:val="single" w:color="auto" w:sz="4" w:space="0"/>
              <w:right w:val="single" w:color="auto" w:sz="4" w:space="0"/>
            </w:tcBorders>
            <w:vAlign w:val="center"/>
          </w:tcPr>
          <w:p w14:paraId="3367DEAA">
            <w:pPr>
              <w:keepLines/>
              <w:pageBreakBefore w:val="0"/>
              <w:wordWrap w:val="0"/>
              <w:overflowPunct/>
              <w:topLinePunct w:val="0"/>
              <w:autoSpaceDE w:val="0"/>
              <w:autoSpaceDN w:val="0"/>
              <w:bidi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本项目不接受备份投标文件。</w:t>
            </w:r>
          </w:p>
        </w:tc>
      </w:tr>
      <w:tr w14:paraId="35C90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94" w:type="dxa"/>
            <w:vMerge w:val="restart"/>
            <w:tcBorders>
              <w:top w:val="single" w:color="auto" w:sz="4" w:space="0"/>
              <w:left w:val="single" w:color="auto" w:sz="4" w:space="0"/>
              <w:bottom w:val="nil"/>
              <w:right w:val="single" w:color="auto" w:sz="4" w:space="0"/>
            </w:tcBorders>
            <w:vAlign w:val="center"/>
          </w:tcPr>
          <w:p w14:paraId="6EACB5F9">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21.1</w:t>
            </w:r>
          </w:p>
        </w:tc>
        <w:tc>
          <w:tcPr>
            <w:tcW w:w="2447" w:type="dxa"/>
            <w:tcBorders>
              <w:top w:val="single" w:color="auto" w:sz="4" w:space="0"/>
              <w:left w:val="single" w:color="auto" w:sz="4" w:space="0"/>
              <w:bottom w:val="single" w:color="auto" w:sz="4" w:space="0"/>
              <w:right w:val="single" w:color="auto" w:sz="4" w:space="0"/>
            </w:tcBorders>
            <w:vAlign w:val="center"/>
          </w:tcPr>
          <w:p w14:paraId="3AA63E8C">
            <w:pPr>
              <w:keepLines/>
              <w:pageBreakBefore w:val="0"/>
              <w:wordWrap w:val="0"/>
              <w:overflowPunct/>
              <w:topLinePunct w:val="0"/>
              <w:bidi w:val="0"/>
              <w:spacing w:line="360" w:lineRule="auto"/>
              <w:rPr>
                <w:rFonts w:ascii="宋体" w:hAnsi="宋体" w:cs="宋体"/>
                <w:color w:val="auto"/>
                <w:sz w:val="24"/>
                <w:highlight w:val="none"/>
              </w:rPr>
            </w:pPr>
            <w:bookmarkStart w:id="22" w:name="_21.1"/>
            <w:bookmarkEnd w:id="22"/>
            <w:r>
              <w:rPr>
                <w:rFonts w:hint="eastAsia" w:ascii="宋体" w:hAnsi="宋体" w:cs="宋体"/>
                <w:color w:val="auto"/>
                <w:sz w:val="24"/>
                <w:highlight w:val="none"/>
              </w:rPr>
              <w:t>投标截止时间</w:t>
            </w:r>
          </w:p>
        </w:tc>
        <w:tc>
          <w:tcPr>
            <w:tcW w:w="6999" w:type="dxa"/>
            <w:tcBorders>
              <w:top w:val="single" w:color="auto" w:sz="4" w:space="0"/>
              <w:left w:val="single" w:color="auto" w:sz="4" w:space="0"/>
              <w:bottom w:val="single" w:color="auto" w:sz="4" w:space="0"/>
              <w:right w:val="single" w:color="auto" w:sz="4" w:space="0"/>
            </w:tcBorders>
            <w:vAlign w:val="center"/>
          </w:tcPr>
          <w:p w14:paraId="3733A871">
            <w:pPr>
              <w:keepLines/>
              <w:pageBreakBefore w:val="0"/>
              <w:wordWrap w:val="0"/>
              <w:overflowPunct/>
              <w:topLinePunct w:val="0"/>
              <w:bidi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详见招标公告</w:t>
            </w:r>
          </w:p>
        </w:tc>
      </w:tr>
      <w:tr w14:paraId="1C81E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94" w:type="dxa"/>
            <w:vMerge w:val="continue"/>
            <w:tcBorders>
              <w:top w:val="single" w:color="auto" w:sz="4" w:space="0"/>
              <w:left w:val="single" w:color="auto" w:sz="4" w:space="0"/>
              <w:bottom w:val="nil"/>
              <w:right w:val="single" w:color="auto" w:sz="4" w:space="0"/>
            </w:tcBorders>
            <w:vAlign w:val="center"/>
          </w:tcPr>
          <w:p w14:paraId="19C179D1">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447" w:type="dxa"/>
            <w:tcBorders>
              <w:top w:val="single" w:color="auto" w:sz="4" w:space="0"/>
              <w:left w:val="single" w:color="auto" w:sz="4" w:space="0"/>
              <w:bottom w:val="single" w:color="auto" w:sz="4" w:space="0"/>
              <w:right w:val="single" w:color="auto" w:sz="4" w:space="0"/>
            </w:tcBorders>
            <w:vAlign w:val="center"/>
          </w:tcPr>
          <w:p w14:paraId="7BFA1BD1">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投标文件提交起止时间</w:t>
            </w:r>
          </w:p>
        </w:tc>
        <w:tc>
          <w:tcPr>
            <w:tcW w:w="6999" w:type="dxa"/>
            <w:tcBorders>
              <w:top w:val="single" w:color="auto" w:sz="4" w:space="0"/>
              <w:left w:val="single" w:color="auto" w:sz="4" w:space="0"/>
              <w:bottom w:val="single" w:color="auto" w:sz="4" w:space="0"/>
              <w:right w:val="single" w:color="auto" w:sz="4" w:space="0"/>
            </w:tcBorders>
            <w:vAlign w:val="center"/>
          </w:tcPr>
          <w:p w14:paraId="2FDC2E75">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详见招标公告</w:t>
            </w:r>
          </w:p>
        </w:tc>
      </w:tr>
      <w:tr w14:paraId="6F753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94" w:type="dxa"/>
            <w:vMerge w:val="continue"/>
            <w:tcBorders>
              <w:top w:val="single" w:color="auto" w:sz="4" w:space="0"/>
              <w:left w:val="single" w:color="auto" w:sz="4" w:space="0"/>
              <w:bottom w:val="nil"/>
              <w:right w:val="single" w:color="auto" w:sz="4" w:space="0"/>
            </w:tcBorders>
            <w:vAlign w:val="center"/>
          </w:tcPr>
          <w:p w14:paraId="7A4AB2D0">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447" w:type="dxa"/>
            <w:tcBorders>
              <w:top w:val="single" w:color="auto" w:sz="4" w:space="0"/>
              <w:left w:val="single" w:color="auto" w:sz="4" w:space="0"/>
              <w:bottom w:val="single" w:color="auto" w:sz="4" w:space="0"/>
              <w:right w:val="single" w:color="auto" w:sz="4" w:space="0"/>
            </w:tcBorders>
            <w:vAlign w:val="center"/>
          </w:tcPr>
          <w:p w14:paraId="216B246A">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投标地点</w:t>
            </w:r>
          </w:p>
        </w:tc>
        <w:tc>
          <w:tcPr>
            <w:tcW w:w="6999" w:type="dxa"/>
            <w:tcBorders>
              <w:top w:val="single" w:color="auto" w:sz="4" w:space="0"/>
              <w:left w:val="single" w:color="auto" w:sz="4" w:space="0"/>
              <w:bottom w:val="single" w:color="auto" w:sz="4" w:space="0"/>
              <w:right w:val="single" w:color="auto" w:sz="4" w:space="0"/>
            </w:tcBorders>
            <w:vAlign w:val="center"/>
          </w:tcPr>
          <w:p w14:paraId="53E77332">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详见招标公告</w:t>
            </w:r>
          </w:p>
        </w:tc>
      </w:tr>
      <w:tr w14:paraId="3EF73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94" w:type="dxa"/>
            <w:vMerge w:val="continue"/>
            <w:tcBorders>
              <w:top w:val="single" w:color="auto" w:sz="4" w:space="0"/>
              <w:left w:val="single" w:color="auto" w:sz="4" w:space="0"/>
              <w:bottom w:val="nil"/>
              <w:right w:val="single" w:color="auto" w:sz="4" w:space="0"/>
            </w:tcBorders>
            <w:vAlign w:val="center"/>
          </w:tcPr>
          <w:p w14:paraId="6573F488">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447" w:type="dxa"/>
            <w:tcBorders>
              <w:top w:val="single" w:color="auto" w:sz="4" w:space="0"/>
              <w:left w:val="single" w:color="auto" w:sz="4" w:space="0"/>
              <w:bottom w:val="single" w:color="auto" w:sz="4" w:space="0"/>
              <w:right w:val="single" w:color="auto" w:sz="4" w:space="0"/>
            </w:tcBorders>
            <w:vAlign w:val="center"/>
          </w:tcPr>
          <w:p w14:paraId="6BB7619E">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投标人递交投标样品截止时间及地点</w:t>
            </w:r>
          </w:p>
        </w:tc>
        <w:tc>
          <w:tcPr>
            <w:tcW w:w="6999" w:type="dxa"/>
            <w:tcBorders>
              <w:top w:val="single" w:color="auto" w:sz="4" w:space="0"/>
              <w:left w:val="single" w:color="auto" w:sz="4" w:space="0"/>
              <w:bottom w:val="single" w:color="auto" w:sz="4" w:space="0"/>
              <w:right w:val="single" w:color="auto" w:sz="4" w:space="0"/>
            </w:tcBorders>
            <w:vAlign w:val="center"/>
          </w:tcPr>
          <w:p w14:paraId="3C622906">
            <w:pPr>
              <w:keepLines/>
              <w:pageBreakBefore w:val="0"/>
              <w:wordWrap w:val="0"/>
              <w:overflowPunct/>
              <w:topLinePunct w:val="0"/>
              <w:bidi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时间：</w:t>
            </w:r>
            <w:r>
              <w:rPr>
                <w:rFonts w:hint="eastAsia" w:ascii="宋体" w:hAnsi="宋体" w:cs="宋体"/>
                <w:bCs/>
                <w:color w:val="auto"/>
                <w:sz w:val="24"/>
                <w:highlight w:val="none"/>
                <w:u w:val="single"/>
              </w:rPr>
              <w:t xml:space="preserve">    /年 /月 / 日 / 时  /分</w:t>
            </w:r>
            <w:r>
              <w:rPr>
                <w:rFonts w:hint="eastAsia" w:ascii="宋体" w:hAnsi="宋体" w:cs="宋体"/>
                <w:bCs/>
                <w:color w:val="auto"/>
                <w:sz w:val="24"/>
                <w:highlight w:val="none"/>
              </w:rPr>
              <w:t>（北京时间）</w:t>
            </w:r>
          </w:p>
          <w:p w14:paraId="78F4BFB4">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bCs/>
                <w:color w:val="auto"/>
                <w:sz w:val="24"/>
                <w:highlight w:val="none"/>
              </w:rPr>
              <w:t>地点：</w:t>
            </w:r>
            <w:r>
              <w:rPr>
                <w:rFonts w:hint="eastAsia" w:ascii="宋体" w:hAnsi="宋体" w:cs="宋体"/>
                <w:bCs/>
                <w:color w:val="auto"/>
                <w:sz w:val="24"/>
                <w:highlight w:val="none"/>
                <w:u w:val="single"/>
              </w:rPr>
              <w:t xml:space="preserve">        /                        </w:t>
            </w:r>
          </w:p>
        </w:tc>
      </w:tr>
      <w:tr w14:paraId="3E30D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14:paraId="5171EB13">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23</w:t>
            </w:r>
          </w:p>
        </w:tc>
        <w:tc>
          <w:tcPr>
            <w:tcW w:w="2447" w:type="dxa"/>
            <w:tcBorders>
              <w:top w:val="single" w:color="auto" w:sz="4" w:space="0"/>
              <w:left w:val="single" w:color="auto" w:sz="4" w:space="0"/>
              <w:bottom w:val="single" w:color="auto" w:sz="4" w:space="0"/>
              <w:right w:val="single" w:color="auto" w:sz="4" w:space="0"/>
            </w:tcBorders>
            <w:vAlign w:val="center"/>
          </w:tcPr>
          <w:p w14:paraId="1F12D613">
            <w:pPr>
              <w:keepLines/>
              <w:pageBreakBefore w:val="0"/>
              <w:wordWrap w:val="0"/>
              <w:overflowPunct/>
              <w:topLinePunct w:val="0"/>
              <w:bidi w:val="0"/>
              <w:spacing w:line="360" w:lineRule="auto"/>
              <w:rPr>
                <w:rFonts w:ascii="宋体" w:hAnsi="宋体" w:cs="宋体"/>
                <w:color w:val="auto"/>
                <w:sz w:val="24"/>
                <w:highlight w:val="none"/>
              </w:rPr>
            </w:pPr>
            <w:bookmarkStart w:id="23" w:name="_23"/>
            <w:bookmarkEnd w:id="23"/>
            <w:r>
              <w:rPr>
                <w:rFonts w:hint="eastAsia" w:ascii="宋体" w:hAnsi="宋体" w:cs="宋体"/>
                <w:color w:val="auto"/>
                <w:sz w:val="24"/>
                <w:highlight w:val="none"/>
              </w:rPr>
              <w:t>开标时间、地点</w:t>
            </w:r>
          </w:p>
        </w:tc>
        <w:tc>
          <w:tcPr>
            <w:tcW w:w="6999" w:type="dxa"/>
            <w:tcBorders>
              <w:top w:val="single" w:color="auto" w:sz="4" w:space="0"/>
              <w:left w:val="single" w:color="auto" w:sz="4" w:space="0"/>
              <w:bottom w:val="single" w:color="auto" w:sz="4" w:space="0"/>
              <w:right w:val="single" w:color="auto" w:sz="4" w:space="0"/>
            </w:tcBorders>
            <w:vAlign w:val="center"/>
          </w:tcPr>
          <w:p w14:paraId="12CBDD18">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详见招标公告 </w:t>
            </w:r>
          </w:p>
        </w:tc>
      </w:tr>
      <w:tr w14:paraId="50D7B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794" w:type="dxa"/>
            <w:vMerge w:val="restart"/>
            <w:tcBorders>
              <w:top w:val="single" w:color="auto" w:sz="4" w:space="0"/>
              <w:left w:val="single" w:color="auto" w:sz="4" w:space="0"/>
              <w:bottom w:val="single" w:color="auto" w:sz="4" w:space="0"/>
              <w:right w:val="single" w:color="auto" w:sz="4" w:space="0"/>
            </w:tcBorders>
            <w:vAlign w:val="center"/>
          </w:tcPr>
          <w:p w14:paraId="54DE1663">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25.3（2）</w:t>
            </w:r>
          </w:p>
        </w:tc>
        <w:tc>
          <w:tcPr>
            <w:tcW w:w="2447" w:type="dxa"/>
            <w:tcBorders>
              <w:top w:val="single" w:color="auto" w:sz="4" w:space="0"/>
              <w:left w:val="single" w:color="auto" w:sz="4" w:space="0"/>
              <w:bottom w:val="single" w:color="auto" w:sz="4" w:space="0"/>
              <w:right w:val="single" w:color="auto" w:sz="4" w:space="0"/>
            </w:tcBorders>
            <w:vAlign w:val="center"/>
          </w:tcPr>
          <w:p w14:paraId="1AC60F12">
            <w:pPr>
              <w:keepLines/>
              <w:pageBreakBefore w:val="0"/>
              <w:wordWrap w:val="0"/>
              <w:overflowPunct/>
              <w:topLinePunct w:val="0"/>
              <w:bidi w:val="0"/>
              <w:spacing w:line="360" w:lineRule="auto"/>
              <w:rPr>
                <w:rFonts w:ascii="宋体" w:hAnsi="宋体" w:cs="宋体"/>
                <w:color w:val="auto"/>
                <w:sz w:val="24"/>
                <w:highlight w:val="none"/>
              </w:rPr>
            </w:pPr>
            <w:bookmarkStart w:id="24" w:name="_25.3"/>
            <w:bookmarkEnd w:id="24"/>
            <w:r>
              <w:rPr>
                <w:rFonts w:hint="eastAsia" w:ascii="宋体" w:hAnsi="宋体" w:cs="宋体"/>
                <w:color w:val="auto"/>
                <w:sz w:val="24"/>
                <w:highlight w:val="none"/>
              </w:rPr>
              <w:t>投标人信用查询渠道</w:t>
            </w:r>
          </w:p>
        </w:tc>
        <w:tc>
          <w:tcPr>
            <w:tcW w:w="6999" w:type="dxa"/>
            <w:tcBorders>
              <w:top w:val="single" w:color="auto" w:sz="4" w:space="0"/>
              <w:left w:val="single" w:color="auto" w:sz="4" w:space="0"/>
              <w:bottom w:val="single" w:color="auto" w:sz="4" w:space="0"/>
              <w:right w:val="single" w:color="auto" w:sz="4" w:space="0"/>
            </w:tcBorders>
            <w:vAlign w:val="center"/>
          </w:tcPr>
          <w:p w14:paraId="3B961653">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采购人或者采购代理机构在资格审查结束前，对投标人进行信用查询。</w:t>
            </w:r>
          </w:p>
          <w:p w14:paraId="546D01EE">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查询渠道：“信用中国”网站(www.creditchina.gov.cn) 、中国政府采购网(www.ccgp.gov.cn)。</w:t>
            </w:r>
          </w:p>
        </w:tc>
      </w:tr>
      <w:tr w14:paraId="51371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794" w:type="dxa"/>
            <w:vMerge w:val="continue"/>
            <w:tcBorders>
              <w:top w:val="single" w:color="auto" w:sz="4" w:space="0"/>
              <w:left w:val="single" w:color="auto" w:sz="4" w:space="0"/>
              <w:bottom w:val="single" w:color="auto" w:sz="4" w:space="0"/>
              <w:right w:val="single" w:color="auto" w:sz="4" w:space="0"/>
            </w:tcBorders>
            <w:vAlign w:val="center"/>
          </w:tcPr>
          <w:p w14:paraId="7DF5D40C">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447" w:type="dxa"/>
            <w:tcBorders>
              <w:top w:val="single" w:color="auto" w:sz="4" w:space="0"/>
              <w:left w:val="single" w:color="auto" w:sz="4" w:space="0"/>
              <w:bottom w:val="single" w:color="auto" w:sz="4" w:space="0"/>
              <w:right w:val="single" w:color="auto" w:sz="4" w:space="0"/>
            </w:tcBorders>
            <w:vAlign w:val="center"/>
          </w:tcPr>
          <w:p w14:paraId="6AD3FC89">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信用查询截止时点</w:t>
            </w:r>
          </w:p>
        </w:tc>
        <w:tc>
          <w:tcPr>
            <w:tcW w:w="6999" w:type="dxa"/>
            <w:tcBorders>
              <w:top w:val="single" w:color="auto" w:sz="4" w:space="0"/>
              <w:left w:val="single" w:color="auto" w:sz="4" w:space="0"/>
              <w:bottom w:val="single" w:color="auto" w:sz="4" w:space="0"/>
              <w:right w:val="single" w:color="auto" w:sz="4" w:space="0"/>
            </w:tcBorders>
            <w:vAlign w:val="center"/>
          </w:tcPr>
          <w:p w14:paraId="688DCB5E">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资格审查结束前</w:t>
            </w:r>
          </w:p>
        </w:tc>
      </w:tr>
      <w:tr w14:paraId="561EB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794" w:type="dxa"/>
            <w:vMerge w:val="continue"/>
            <w:tcBorders>
              <w:top w:val="single" w:color="auto" w:sz="4" w:space="0"/>
              <w:left w:val="single" w:color="auto" w:sz="4" w:space="0"/>
              <w:bottom w:val="single" w:color="auto" w:sz="4" w:space="0"/>
              <w:right w:val="single" w:color="auto" w:sz="4" w:space="0"/>
            </w:tcBorders>
            <w:vAlign w:val="center"/>
          </w:tcPr>
          <w:p w14:paraId="7077FDD3">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447" w:type="dxa"/>
            <w:tcBorders>
              <w:top w:val="single" w:color="auto" w:sz="4" w:space="0"/>
              <w:left w:val="single" w:color="auto" w:sz="4" w:space="0"/>
              <w:bottom w:val="single" w:color="auto" w:sz="4" w:space="0"/>
              <w:right w:val="single" w:color="auto" w:sz="4" w:space="0"/>
            </w:tcBorders>
            <w:vAlign w:val="center"/>
          </w:tcPr>
          <w:p w14:paraId="33366E92">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查询记录和证据留存方式</w:t>
            </w:r>
          </w:p>
        </w:tc>
        <w:tc>
          <w:tcPr>
            <w:tcW w:w="6999" w:type="dxa"/>
            <w:tcBorders>
              <w:top w:val="single" w:color="auto" w:sz="4" w:space="0"/>
              <w:left w:val="single" w:color="auto" w:sz="4" w:space="0"/>
              <w:bottom w:val="single" w:color="auto" w:sz="4" w:space="0"/>
              <w:right w:val="single" w:color="auto" w:sz="4" w:space="0"/>
            </w:tcBorders>
            <w:vAlign w:val="center"/>
          </w:tcPr>
          <w:p w14:paraId="75A1DFBD">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在查询网站中直接截图查询记录，截图作为在广西政府采购云平台作为附件上传保存。</w:t>
            </w:r>
          </w:p>
        </w:tc>
      </w:tr>
      <w:tr w14:paraId="2CF8F0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94" w:type="dxa"/>
            <w:vMerge w:val="continue"/>
            <w:tcBorders>
              <w:top w:val="single" w:color="auto" w:sz="4" w:space="0"/>
              <w:left w:val="single" w:color="auto" w:sz="4" w:space="0"/>
              <w:bottom w:val="single" w:color="auto" w:sz="4" w:space="0"/>
              <w:right w:val="single" w:color="auto" w:sz="4" w:space="0"/>
            </w:tcBorders>
            <w:vAlign w:val="center"/>
          </w:tcPr>
          <w:p w14:paraId="7EE29D7A">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447" w:type="dxa"/>
            <w:tcBorders>
              <w:top w:val="single" w:color="auto" w:sz="4" w:space="0"/>
              <w:left w:val="single" w:color="auto" w:sz="4" w:space="0"/>
              <w:bottom w:val="single" w:color="auto" w:sz="4" w:space="0"/>
              <w:right w:val="single" w:color="auto" w:sz="4" w:space="0"/>
            </w:tcBorders>
            <w:vAlign w:val="center"/>
          </w:tcPr>
          <w:p w14:paraId="2C83C710">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信用信息使用规则</w:t>
            </w:r>
          </w:p>
        </w:tc>
        <w:tc>
          <w:tcPr>
            <w:tcW w:w="6999" w:type="dxa"/>
            <w:tcBorders>
              <w:top w:val="single" w:color="auto" w:sz="4" w:space="0"/>
              <w:left w:val="single" w:color="auto" w:sz="4" w:space="0"/>
              <w:bottom w:val="single" w:color="auto" w:sz="4" w:space="0"/>
              <w:right w:val="single" w:color="auto" w:sz="4" w:space="0"/>
            </w:tcBorders>
            <w:vAlign w:val="center"/>
          </w:tcPr>
          <w:p w14:paraId="1A783FCC">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对在“信用中国”网站(www.creditchina.gov.cn) 、中国政府采购网(www.ccgp.gov.cn)被列入失信被执行人、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32AC20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14:paraId="04DB265B">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29.1</w:t>
            </w:r>
          </w:p>
        </w:tc>
        <w:tc>
          <w:tcPr>
            <w:tcW w:w="2447" w:type="dxa"/>
            <w:tcBorders>
              <w:top w:val="single" w:color="auto" w:sz="4" w:space="0"/>
              <w:left w:val="single" w:color="auto" w:sz="4" w:space="0"/>
              <w:bottom w:val="single" w:color="auto" w:sz="4" w:space="0"/>
              <w:right w:val="single" w:color="auto" w:sz="4" w:space="0"/>
            </w:tcBorders>
            <w:vAlign w:val="center"/>
          </w:tcPr>
          <w:p w14:paraId="6E407E9B">
            <w:pPr>
              <w:keepLines/>
              <w:pageBreakBefore w:val="0"/>
              <w:wordWrap w:val="0"/>
              <w:overflowPunct/>
              <w:topLinePunct w:val="0"/>
              <w:bidi w:val="0"/>
              <w:spacing w:line="360" w:lineRule="auto"/>
              <w:rPr>
                <w:rFonts w:ascii="宋体" w:hAnsi="宋体" w:cs="宋体"/>
                <w:color w:val="auto"/>
                <w:sz w:val="24"/>
                <w:highlight w:val="none"/>
              </w:rPr>
            </w:pPr>
            <w:bookmarkStart w:id="25" w:name="_26"/>
            <w:bookmarkEnd w:id="25"/>
            <w:bookmarkStart w:id="26" w:name="_28.3"/>
            <w:bookmarkEnd w:id="26"/>
            <w:r>
              <w:rPr>
                <w:rFonts w:hint="eastAsia" w:ascii="宋体" w:hAnsi="宋体" w:cs="宋体"/>
                <w:color w:val="auto"/>
                <w:sz w:val="24"/>
                <w:highlight w:val="none"/>
              </w:rPr>
              <w:t>评标方法</w:t>
            </w:r>
          </w:p>
        </w:tc>
        <w:tc>
          <w:tcPr>
            <w:tcW w:w="6999" w:type="dxa"/>
            <w:tcBorders>
              <w:top w:val="single" w:color="auto" w:sz="4" w:space="0"/>
              <w:left w:val="single" w:color="auto" w:sz="4" w:space="0"/>
              <w:bottom w:val="single" w:color="auto" w:sz="4" w:space="0"/>
              <w:right w:val="single" w:color="auto" w:sz="4" w:space="0"/>
            </w:tcBorders>
            <w:vAlign w:val="center"/>
          </w:tcPr>
          <w:p w14:paraId="4BD8ED7A">
            <w:pPr>
              <w:keepLines/>
              <w:pageBreakBefore w:val="0"/>
              <w:wordWrap w:val="0"/>
              <w:overflowPunct/>
              <w:topLinePunct w:val="0"/>
              <w:autoSpaceDE w:val="0"/>
              <w:autoSpaceDN w:val="0"/>
              <w:bidi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☑综合评分法</w:t>
            </w:r>
          </w:p>
          <w:p w14:paraId="07BF6E5B">
            <w:pPr>
              <w:keepLines/>
              <w:pageBreakBefore w:val="0"/>
              <w:wordWrap w:val="0"/>
              <w:overflowPunct/>
              <w:topLinePunct w:val="0"/>
              <w:autoSpaceDE w:val="0"/>
              <w:autoSpaceDN w:val="0"/>
              <w:bidi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□最低评标价法</w:t>
            </w:r>
          </w:p>
        </w:tc>
      </w:tr>
      <w:tr w14:paraId="6E6D1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94" w:type="dxa"/>
            <w:tcBorders>
              <w:top w:val="single" w:color="auto" w:sz="4" w:space="0"/>
              <w:left w:val="single" w:color="auto" w:sz="4" w:space="0"/>
              <w:bottom w:val="nil"/>
              <w:right w:val="single" w:color="auto" w:sz="4" w:space="0"/>
            </w:tcBorders>
            <w:vAlign w:val="center"/>
          </w:tcPr>
          <w:p w14:paraId="0613EE03">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29.2</w:t>
            </w:r>
          </w:p>
        </w:tc>
        <w:tc>
          <w:tcPr>
            <w:tcW w:w="2447" w:type="dxa"/>
            <w:tcBorders>
              <w:top w:val="single" w:color="auto" w:sz="4" w:space="0"/>
              <w:left w:val="single" w:color="auto" w:sz="4" w:space="0"/>
              <w:bottom w:val="nil"/>
              <w:right w:val="single" w:color="auto" w:sz="4" w:space="0"/>
            </w:tcBorders>
            <w:vAlign w:val="center"/>
          </w:tcPr>
          <w:p w14:paraId="6EDEFC1E">
            <w:pPr>
              <w:keepLines/>
              <w:pageBreakBefore w:val="0"/>
              <w:wordWrap w:val="0"/>
              <w:overflowPunct/>
              <w:topLinePunct w:val="0"/>
              <w:bidi w:val="0"/>
              <w:spacing w:line="360" w:lineRule="auto"/>
              <w:rPr>
                <w:rFonts w:ascii="宋体" w:hAnsi="宋体" w:cs="宋体"/>
                <w:color w:val="auto"/>
                <w:sz w:val="24"/>
                <w:highlight w:val="none"/>
              </w:rPr>
            </w:pPr>
            <w:bookmarkStart w:id="27" w:name="_29.2.2（2）"/>
            <w:bookmarkEnd w:id="27"/>
            <w:r>
              <w:rPr>
                <w:rFonts w:hint="eastAsia" w:ascii="宋体" w:hAnsi="宋体" w:cs="宋体"/>
                <w:color w:val="auto"/>
                <w:sz w:val="24"/>
                <w:highlight w:val="none"/>
              </w:rPr>
              <w:t>允许负偏离项</w:t>
            </w:r>
          </w:p>
        </w:tc>
        <w:tc>
          <w:tcPr>
            <w:tcW w:w="6999" w:type="dxa"/>
            <w:tcBorders>
              <w:top w:val="single" w:color="auto" w:sz="4" w:space="0"/>
              <w:left w:val="single" w:color="auto" w:sz="4" w:space="0"/>
              <w:bottom w:val="nil"/>
              <w:right w:val="single" w:color="auto" w:sz="4" w:space="0"/>
            </w:tcBorders>
            <w:vAlign w:val="center"/>
          </w:tcPr>
          <w:p w14:paraId="414AC165">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商务条款评审中允许负偏离的条款数为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w:t>
            </w:r>
          </w:p>
          <w:p w14:paraId="2E1BD645">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技术需求评审中允许负偏离的条款数为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w:t>
            </w:r>
          </w:p>
        </w:tc>
      </w:tr>
      <w:tr w14:paraId="38C98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14:paraId="1FF2A07C">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30.1</w:t>
            </w:r>
          </w:p>
        </w:tc>
        <w:tc>
          <w:tcPr>
            <w:tcW w:w="2447" w:type="dxa"/>
            <w:tcBorders>
              <w:top w:val="single" w:color="auto" w:sz="4" w:space="0"/>
              <w:left w:val="single" w:color="auto" w:sz="4" w:space="0"/>
              <w:bottom w:val="single" w:color="auto" w:sz="4" w:space="0"/>
              <w:right w:val="single" w:color="auto" w:sz="4" w:space="0"/>
            </w:tcBorders>
            <w:vAlign w:val="center"/>
          </w:tcPr>
          <w:p w14:paraId="70EB4455">
            <w:pPr>
              <w:keepLines/>
              <w:pageBreakBefore w:val="0"/>
              <w:wordWrap w:val="0"/>
              <w:overflowPunct/>
              <w:topLinePunct w:val="0"/>
              <w:autoSpaceDE w:val="0"/>
              <w:autoSpaceDN w:val="0"/>
              <w:bidi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 xml:space="preserve">确定中标供应商时，出现中标候选人分数并列的情形，确定中标供应商方式 </w:t>
            </w:r>
          </w:p>
        </w:tc>
        <w:tc>
          <w:tcPr>
            <w:tcW w:w="6999" w:type="dxa"/>
            <w:tcBorders>
              <w:top w:val="single" w:color="auto" w:sz="4" w:space="0"/>
              <w:left w:val="single" w:color="auto" w:sz="4" w:space="0"/>
              <w:bottom w:val="single" w:color="auto" w:sz="4" w:space="0"/>
              <w:right w:val="single" w:color="auto" w:sz="4" w:space="0"/>
            </w:tcBorders>
            <w:vAlign w:val="center"/>
          </w:tcPr>
          <w:p w14:paraId="622AAACA">
            <w:pPr>
              <w:keepLines/>
              <w:pageBreakBefore w:val="0"/>
              <w:wordWrap w:val="0"/>
              <w:overflowPunct/>
              <w:topLinePunct w:val="0"/>
              <w:autoSpaceDE w:val="0"/>
              <w:autoSpaceDN w:val="0"/>
              <w:bidi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 xml:space="preserve">□采用最低评标价法的，投标文件满足招标文件全部实质性要求且投标报价最低的投标人为排名第一的中标候选人； </w:t>
            </w:r>
          </w:p>
          <w:p w14:paraId="12D109BA">
            <w:pPr>
              <w:keepLines/>
              <w:pageBreakBefore w:val="0"/>
              <w:wordWrap w:val="0"/>
              <w:overflowPunct/>
              <w:topLinePunct w:val="0"/>
              <w:autoSpaceDE w:val="0"/>
              <w:autoSpaceDN w:val="0"/>
              <w:bidi w:val="0"/>
              <w:snapToGrid w:val="0"/>
              <w:spacing w:line="360" w:lineRule="auto"/>
              <w:textAlignment w:val="bottom"/>
              <w:rPr>
                <w:rFonts w:ascii="宋体" w:hAnsi="宋体" w:cs="宋体"/>
                <w:b/>
                <w:color w:val="auto"/>
                <w:sz w:val="24"/>
                <w:highlight w:val="none"/>
              </w:rPr>
            </w:pPr>
            <w:r>
              <w:rPr>
                <w:rFonts w:hint="eastAsia" w:ascii="宋体" w:hAnsi="宋体" w:cs="宋体"/>
                <w:color w:val="auto"/>
                <w:sz w:val="24"/>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18273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4" w:type="dxa"/>
            <w:tcBorders>
              <w:top w:val="single" w:color="auto" w:sz="4" w:space="0"/>
              <w:left w:val="single" w:color="auto" w:sz="4" w:space="0"/>
              <w:bottom w:val="single" w:color="auto" w:sz="4" w:space="0"/>
              <w:right w:val="single" w:color="auto" w:sz="4" w:space="0"/>
            </w:tcBorders>
            <w:vAlign w:val="center"/>
          </w:tcPr>
          <w:p w14:paraId="7ACAF3DF">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35</w:t>
            </w:r>
          </w:p>
        </w:tc>
        <w:tc>
          <w:tcPr>
            <w:tcW w:w="2447" w:type="dxa"/>
            <w:tcBorders>
              <w:top w:val="single" w:color="auto" w:sz="4" w:space="0"/>
              <w:left w:val="single" w:color="auto" w:sz="4" w:space="0"/>
              <w:bottom w:val="single" w:color="auto" w:sz="4" w:space="0"/>
              <w:right w:val="single" w:color="auto" w:sz="4" w:space="0"/>
            </w:tcBorders>
            <w:vAlign w:val="center"/>
          </w:tcPr>
          <w:p w14:paraId="619A7980">
            <w:pPr>
              <w:keepLines/>
              <w:pageBreakBefore w:val="0"/>
              <w:wordWrap w:val="0"/>
              <w:overflowPunct/>
              <w:topLinePunct w:val="0"/>
              <w:bidi w:val="0"/>
              <w:spacing w:line="360" w:lineRule="auto"/>
              <w:rPr>
                <w:rFonts w:ascii="宋体" w:hAnsi="宋体" w:cs="宋体"/>
                <w:color w:val="auto"/>
                <w:sz w:val="24"/>
                <w:highlight w:val="none"/>
              </w:rPr>
            </w:pPr>
            <w:bookmarkStart w:id="28" w:name="_39.1"/>
            <w:bookmarkEnd w:id="28"/>
            <w:r>
              <w:rPr>
                <w:rFonts w:hint="eastAsia" w:ascii="宋体" w:hAnsi="宋体" w:cs="宋体"/>
                <w:color w:val="auto"/>
                <w:sz w:val="24"/>
                <w:highlight w:val="none"/>
              </w:rPr>
              <w:t>履约保证金金额</w:t>
            </w:r>
          </w:p>
        </w:tc>
        <w:tc>
          <w:tcPr>
            <w:tcW w:w="6999" w:type="dxa"/>
            <w:tcBorders>
              <w:top w:val="single" w:color="auto" w:sz="4" w:space="0"/>
              <w:left w:val="single" w:color="auto" w:sz="4" w:space="0"/>
              <w:bottom w:val="single" w:color="auto" w:sz="4" w:space="0"/>
              <w:right w:val="single" w:color="auto" w:sz="4" w:space="0"/>
            </w:tcBorders>
            <w:vAlign w:val="bottom"/>
          </w:tcPr>
          <w:p w14:paraId="66A8D7DB">
            <w:pPr>
              <w:keepLines/>
              <w:pageBreakBefore w:val="0"/>
              <w:wordWrap w:val="0"/>
              <w:overflowPunct/>
              <w:topLinePunct w:val="0"/>
              <w:autoSpaceDE w:val="0"/>
              <w:autoSpaceDN w:val="0"/>
              <w:bidi w:val="0"/>
              <w:snapToGrid w:val="0"/>
              <w:spacing w:line="360" w:lineRule="auto"/>
              <w:jc w:val="left"/>
              <w:textAlignment w:val="bottom"/>
              <w:rPr>
                <w:rFonts w:ascii="宋体" w:hAnsi="宋体" w:cs="宋体"/>
                <w:color w:val="auto"/>
                <w:sz w:val="24"/>
                <w:highlight w:val="none"/>
              </w:rPr>
            </w:pPr>
            <w:r>
              <w:rPr>
                <w:rFonts w:hint="eastAsia" w:ascii="宋体" w:hAnsi="宋体" w:cs="宋体"/>
                <w:color w:val="auto"/>
                <w:sz w:val="24"/>
                <w:highlight w:val="none"/>
              </w:rPr>
              <w:t>本项目不收取履约保证金。</w:t>
            </w:r>
          </w:p>
        </w:tc>
      </w:tr>
      <w:tr w14:paraId="670D5F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14:paraId="12AC719A">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36.1</w:t>
            </w:r>
          </w:p>
        </w:tc>
        <w:tc>
          <w:tcPr>
            <w:tcW w:w="2447" w:type="dxa"/>
            <w:tcBorders>
              <w:top w:val="single" w:color="auto" w:sz="4" w:space="0"/>
              <w:left w:val="single" w:color="auto" w:sz="4" w:space="0"/>
              <w:bottom w:val="single" w:color="auto" w:sz="4" w:space="0"/>
              <w:right w:val="single" w:color="auto" w:sz="4" w:space="0"/>
            </w:tcBorders>
            <w:vAlign w:val="center"/>
          </w:tcPr>
          <w:p w14:paraId="13EB2CE1">
            <w:pPr>
              <w:keepLines/>
              <w:pageBreakBefore w:val="0"/>
              <w:wordWrap w:val="0"/>
              <w:overflowPunct/>
              <w:topLinePunct w:val="0"/>
              <w:bidi w:val="0"/>
              <w:spacing w:line="360" w:lineRule="auto"/>
              <w:rPr>
                <w:rFonts w:ascii="宋体" w:hAnsi="宋体" w:cs="宋体"/>
                <w:color w:val="auto"/>
                <w:sz w:val="24"/>
                <w:highlight w:val="none"/>
              </w:rPr>
            </w:pPr>
            <w:bookmarkStart w:id="29" w:name="_40.1"/>
            <w:bookmarkEnd w:id="29"/>
            <w:r>
              <w:rPr>
                <w:rFonts w:hint="eastAsia" w:ascii="宋体" w:hAnsi="宋体" w:cs="宋体"/>
                <w:color w:val="auto"/>
                <w:sz w:val="24"/>
                <w:highlight w:val="none"/>
              </w:rPr>
              <w:t>签订电子合同携带的材料</w:t>
            </w:r>
          </w:p>
        </w:tc>
        <w:tc>
          <w:tcPr>
            <w:tcW w:w="6999" w:type="dxa"/>
            <w:tcBorders>
              <w:top w:val="single" w:color="auto" w:sz="4" w:space="0"/>
              <w:left w:val="single" w:color="auto" w:sz="4" w:space="0"/>
              <w:bottom w:val="single" w:color="auto" w:sz="4" w:space="0"/>
              <w:right w:val="single" w:color="auto" w:sz="4" w:space="0"/>
            </w:tcBorders>
            <w:vAlign w:val="center"/>
          </w:tcPr>
          <w:p w14:paraId="142B06AF">
            <w:pPr>
              <w:keepLines/>
              <w:pageBreakBefore w:val="0"/>
              <w:wordWrap w:val="0"/>
              <w:overflowPunct/>
              <w:topLinePunct w:val="0"/>
              <w:autoSpaceDE w:val="0"/>
              <w:autoSpaceDN w:val="0"/>
              <w:bidi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电子采购合同需要供应商通过有效CA证书进行电子签署</w:t>
            </w:r>
          </w:p>
        </w:tc>
      </w:tr>
      <w:tr w14:paraId="680B6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794" w:type="dxa"/>
            <w:vMerge w:val="restart"/>
            <w:tcBorders>
              <w:top w:val="single" w:color="auto" w:sz="4" w:space="0"/>
              <w:left w:val="single" w:color="auto" w:sz="4" w:space="0"/>
              <w:bottom w:val="single" w:color="auto" w:sz="4" w:space="0"/>
              <w:right w:val="single" w:color="auto" w:sz="4" w:space="0"/>
            </w:tcBorders>
            <w:vAlign w:val="center"/>
          </w:tcPr>
          <w:p w14:paraId="52552284">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38.2.1</w:t>
            </w:r>
          </w:p>
        </w:tc>
        <w:tc>
          <w:tcPr>
            <w:tcW w:w="2447" w:type="dxa"/>
            <w:tcBorders>
              <w:top w:val="single" w:color="auto" w:sz="4" w:space="0"/>
              <w:left w:val="single" w:color="auto" w:sz="4" w:space="0"/>
              <w:bottom w:val="single" w:color="auto" w:sz="4" w:space="0"/>
              <w:right w:val="single" w:color="auto" w:sz="4" w:space="0"/>
            </w:tcBorders>
            <w:vAlign w:val="center"/>
          </w:tcPr>
          <w:p w14:paraId="1A35C0A9">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接收质疑函方式</w:t>
            </w:r>
          </w:p>
        </w:tc>
        <w:tc>
          <w:tcPr>
            <w:tcW w:w="6999" w:type="dxa"/>
            <w:tcBorders>
              <w:top w:val="single" w:color="auto" w:sz="4" w:space="0"/>
              <w:left w:val="single" w:color="auto" w:sz="4" w:space="0"/>
              <w:bottom w:val="single" w:color="auto" w:sz="4" w:space="0"/>
              <w:right w:val="single" w:color="auto" w:sz="4" w:space="0"/>
            </w:tcBorders>
            <w:vAlign w:val="center"/>
          </w:tcPr>
          <w:p w14:paraId="4E77B845">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以书面形式</w:t>
            </w:r>
          </w:p>
        </w:tc>
      </w:tr>
      <w:tr w14:paraId="368C5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794" w:type="dxa"/>
            <w:vMerge w:val="continue"/>
            <w:tcBorders>
              <w:top w:val="single" w:color="auto" w:sz="4" w:space="0"/>
              <w:left w:val="single" w:color="auto" w:sz="4" w:space="0"/>
              <w:bottom w:val="single" w:color="auto" w:sz="4" w:space="0"/>
              <w:right w:val="single" w:color="auto" w:sz="4" w:space="0"/>
            </w:tcBorders>
            <w:vAlign w:val="center"/>
          </w:tcPr>
          <w:p w14:paraId="0A24EC32">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447" w:type="dxa"/>
            <w:tcBorders>
              <w:top w:val="single" w:color="auto" w:sz="4" w:space="0"/>
              <w:left w:val="single" w:color="auto" w:sz="4" w:space="0"/>
              <w:bottom w:val="single" w:color="auto" w:sz="4" w:space="0"/>
              <w:right w:val="single" w:color="auto" w:sz="4" w:space="0"/>
            </w:tcBorders>
            <w:vAlign w:val="center"/>
          </w:tcPr>
          <w:p w14:paraId="26386A08">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质疑联系部门及联系方式</w:t>
            </w:r>
          </w:p>
        </w:tc>
        <w:tc>
          <w:tcPr>
            <w:tcW w:w="6999" w:type="dxa"/>
            <w:tcBorders>
              <w:top w:val="single" w:color="auto" w:sz="4" w:space="0"/>
              <w:left w:val="single" w:color="auto" w:sz="4" w:space="0"/>
              <w:bottom w:val="single" w:color="auto" w:sz="4" w:space="0"/>
              <w:right w:val="single" w:color="auto" w:sz="4" w:space="0"/>
            </w:tcBorders>
            <w:vAlign w:val="center"/>
          </w:tcPr>
          <w:p w14:paraId="040BE14A">
            <w:pPr>
              <w:keepLines/>
              <w:pageBreakBefore w:val="0"/>
              <w:wordWrap w:val="0"/>
              <w:overflowPunct/>
              <w:topLinePunct w:val="0"/>
              <w:bidi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（1）</w:t>
            </w:r>
            <w:bookmarkStart w:id="30" w:name="PO_3000001866_PM031_3"/>
            <w:r>
              <w:rPr>
                <w:rFonts w:hint="eastAsia" w:ascii="宋体" w:hAnsi="宋体" w:cs="宋体"/>
                <w:color w:val="auto"/>
                <w:sz w:val="24"/>
                <w:highlight w:val="none"/>
                <w:u w:val="single"/>
              </w:rPr>
              <w:t>广西邕政采购代理有限公司</w:t>
            </w:r>
            <w:bookmarkEnd w:id="30"/>
            <w:r>
              <w:rPr>
                <w:rFonts w:hint="eastAsia" w:ascii="宋体" w:hAnsi="宋体" w:cs="宋体"/>
                <w:color w:val="auto"/>
                <w:sz w:val="24"/>
                <w:highlight w:val="none"/>
                <w:u w:val="single"/>
              </w:rPr>
              <w:t>；</w:t>
            </w:r>
          </w:p>
          <w:p w14:paraId="2D251A83">
            <w:pPr>
              <w:keepLines/>
              <w:pageBreakBefore w:val="0"/>
              <w:wordWrap w:val="0"/>
              <w:overflowPunct/>
              <w:topLinePunct w:val="0"/>
              <w:bidi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联系电话：0771-2225338，</w:t>
            </w:r>
          </w:p>
          <w:p w14:paraId="77ACE571">
            <w:pPr>
              <w:keepLines/>
              <w:pageBreakBefore w:val="0"/>
              <w:wordWrap w:val="0"/>
              <w:overflowPunct/>
              <w:topLinePunct w:val="0"/>
              <w:bidi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通讯地址：南宁市青秀区民族大道180号（</w:t>
            </w:r>
            <w:r>
              <w:rPr>
                <w:rFonts w:hint="eastAsia" w:ascii="宋体" w:hAnsi="宋体" w:cs="宋体"/>
                <w:color w:val="auto"/>
                <w:sz w:val="24"/>
                <w:highlight w:val="none"/>
                <w:u w:val="single"/>
                <w:lang w:eastAsia="zh-CN"/>
              </w:rPr>
              <w:t>威壮大厦</w:t>
            </w:r>
            <w:r>
              <w:rPr>
                <w:rFonts w:hint="eastAsia" w:ascii="宋体" w:hAnsi="宋体" w:cs="宋体"/>
                <w:color w:val="auto"/>
                <w:sz w:val="24"/>
                <w:highlight w:val="none"/>
                <w:u w:val="single"/>
              </w:rPr>
              <w:t xml:space="preserve">）22层2210～2217室 </w:t>
            </w:r>
          </w:p>
          <w:p w14:paraId="01737013">
            <w:pPr>
              <w:keepLines/>
              <w:pageBreakBefore w:val="0"/>
              <w:wordWrap w:val="0"/>
              <w:overflowPunct/>
              <w:topLinePunct w:val="0"/>
              <w:bidi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（2）</w:t>
            </w:r>
            <w:r>
              <w:rPr>
                <w:rFonts w:hint="eastAsia" w:ascii="宋体" w:hAnsi="宋体" w:cs="宋体"/>
                <w:color w:val="auto"/>
                <w:sz w:val="24"/>
                <w:highlight w:val="none"/>
                <w:u w:val="single"/>
                <w:lang w:eastAsia="zh-CN"/>
              </w:rPr>
              <w:t>南宁市第十四中学</w:t>
            </w:r>
            <w:r>
              <w:rPr>
                <w:rFonts w:hint="eastAsia" w:ascii="宋体" w:hAnsi="宋体" w:cs="宋体"/>
                <w:color w:val="auto"/>
                <w:sz w:val="24"/>
                <w:highlight w:val="none"/>
                <w:u w:val="single"/>
              </w:rPr>
              <w:t>；</w:t>
            </w:r>
          </w:p>
          <w:p w14:paraId="2702A376">
            <w:pPr>
              <w:keepLines/>
              <w:pageBreakBefore w:val="0"/>
              <w:wordWrap w:val="0"/>
              <w:overflowPunct/>
              <w:topLinePunct w:val="0"/>
              <w:bidi w:val="0"/>
              <w:snapToGrid w:val="0"/>
              <w:spacing w:line="360" w:lineRule="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u w:val="single"/>
              </w:rPr>
              <w:t>联系电话：</w:t>
            </w:r>
            <w:r>
              <w:rPr>
                <w:rFonts w:hint="eastAsia" w:ascii="宋体" w:hAnsi="宋体" w:cs="宋体"/>
                <w:color w:val="auto"/>
                <w:sz w:val="24"/>
                <w:highlight w:val="none"/>
                <w:u w:val="single"/>
                <w:lang w:eastAsia="zh-CN"/>
              </w:rPr>
              <w:t>0771-5707463</w:t>
            </w:r>
          </w:p>
          <w:p w14:paraId="19BF79FC">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通讯地址：</w:t>
            </w:r>
            <w:r>
              <w:rPr>
                <w:rFonts w:hint="eastAsia" w:ascii="宋体" w:hAnsi="宋体" w:cs="Arial"/>
                <w:bCs/>
                <w:color w:val="auto"/>
                <w:kern w:val="0"/>
                <w:sz w:val="24"/>
                <w:highlight w:val="none"/>
                <w:u w:val="single"/>
                <w:lang w:eastAsia="zh-CN"/>
              </w:rPr>
              <w:t>南宁市青秀区竹塘路17号</w:t>
            </w:r>
            <w:r>
              <w:rPr>
                <w:rFonts w:hint="eastAsia" w:ascii="宋体" w:hAnsi="宋体" w:cs="宋体"/>
                <w:color w:val="auto"/>
                <w:sz w:val="24"/>
                <w:highlight w:val="none"/>
              </w:rPr>
              <w:t xml:space="preserve"> </w:t>
            </w:r>
          </w:p>
        </w:tc>
      </w:tr>
      <w:tr w14:paraId="12E43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794" w:type="dxa"/>
            <w:vMerge w:val="continue"/>
            <w:tcBorders>
              <w:top w:val="single" w:color="auto" w:sz="4" w:space="0"/>
              <w:left w:val="single" w:color="auto" w:sz="4" w:space="0"/>
              <w:bottom w:val="single" w:color="auto" w:sz="4" w:space="0"/>
              <w:right w:val="single" w:color="auto" w:sz="4" w:space="0"/>
            </w:tcBorders>
            <w:vAlign w:val="center"/>
          </w:tcPr>
          <w:p w14:paraId="4E691F20">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447" w:type="dxa"/>
            <w:tcBorders>
              <w:top w:val="single" w:color="auto" w:sz="4" w:space="0"/>
              <w:left w:val="single" w:color="auto" w:sz="4" w:space="0"/>
              <w:bottom w:val="single" w:color="auto" w:sz="4" w:space="0"/>
              <w:right w:val="single" w:color="auto" w:sz="4" w:space="0"/>
            </w:tcBorders>
            <w:vAlign w:val="center"/>
          </w:tcPr>
          <w:p w14:paraId="22F8B44D">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现场提交质疑办理业务时间</w:t>
            </w:r>
          </w:p>
        </w:tc>
        <w:tc>
          <w:tcPr>
            <w:tcW w:w="6999" w:type="dxa"/>
            <w:tcBorders>
              <w:top w:val="single" w:color="auto" w:sz="4" w:space="0"/>
              <w:left w:val="single" w:color="auto" w:sz="4" w:space="0"/>
              <w:bottom w:val="single" w:color="auto" w:sz="4" w:space="0"/>
              <w:right w:val="single" w:color="auto" w:sz="4" w:space="0"/>
            </w:tcBorders>
            <w:vAlign w:val="center"/>
          </w:tcPr>
          <w:p w14:paraId="4AE64450">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质疑期内每个工作日</w:t>
            </w:r>
            <w:r>
              <w:rPr>
                <w:rFonts w:hint="eastAsia" w:ascii="宋体" w:hAnsi="宋体" w:cs="宋体"/>
                <w:color w:val="auto"/>
                <w:sz w:val="24"/>
                <w:highlight w:val="none"/>
                <w:u w:val="single"/>
              </w:rPr>
              <w:t xml:space="preserve"> 09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30 </w:t>
            </w:r>
            <w:r>
              <w:rPr>
                <w:rFonts w:hint="eastAsia" w:ascii="宋体" w:hAnsi="宋体" w:cs="宋体"/>
                <w:color w:val="auto"/>
                <w:sz w:val="24"/>
                <w:highlight w:val="none"/>
              </w:rPr>
              <w:t>分到</w:t>
            </w:r>
            <w:r>
              <w:rPr>
                <w:rFonts w:hint="eastAsia" w:ascii="宋体" w:hAnsi="宋体" w:cs="宋体"/>
                <w:color w:val="auto"/>
                <w:sz w:val="24"/>
                <w:highlight w:val="none"/>
                <w:u w:val="single"/>
              </w:rPr>
              <w:t xml:space="preserve"> 12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00 </w:t>
            </w:r>
            <w:r>
              <w:rPr>
                <w:rFonts w:hint="eastAsia" w:ascii="宋体" w:hAnsi="宋体" w:cs="宋体"/>
                <w:color w:val="auto"/>
                <w:sz w:val="24"/>
                <w:highlight w:val="none"/>
              </w:rPr>
              <w:t>分，</w:t>
            </w:r>
            <w:r>
              <w:rPr>
                <w:rFonts w:hint="eastAsia" w:ascii="宋体" w:hAnsi="宋体" w:cs="宋体"/>
                <w:color w:val="auto"/>
                <w:sz w:val="24"/>
                <w:highlight w:val="none"/>
                <w:u w:val="single"/>
              </w:rPr>
              <w:t xml:space="preserve"> 15</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00 </w:t>
            </w:r>
            <w:r>
              <w:rPr>
                <w:rFonts w:hint="eastAsia" w:ascii="宋体" w:hAnsi="宋体" w:cs="宋体"/>
                <w:color w:val="auto"/>
                <w:sz w:val="24"/>
                <w:highlight w:val="none"/>
              </w:rPr>
              <w:t>分到</w:t>
            </w:r>
            <w:r>
              <w:rPr>
                <w:rFonts w:hint="eastAsia" w:ascii="宋体" w:hAnsi="宋体" w:cs="宋体"/>
                <w:color w:val="auto"/>
                <w:sz w:val="24"/>
                <w:highlight w:val="none"/>
                <w:u w:val="single"/>
              </w:rPr>
              <w:t xml:space="preserve"> 18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00 </w:t>
            </w:r>
            <w:r>
              <w:rPr>
                <w:rFonts w:hint="eastAsia" w:ascii="宋体" w:hAnsi="宋体" w:cs="宋体"/>
                <w:color w:val="auto"/>
                <w:sz w:val="24"/>
                <w:highlight w:val="none"/>
              </w:rPr>
              <w:t>分</w:t>
            </w:r>
          </w:p>
        </w:tc>
      </w:tr>
      <w:tr w14:paraId="28E01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794" w:type="dxa"/>
            <w:tcBorders>
              <w:top w:val="nil"/>
              <w:left w:val="single" w:color="auto" w:sz="4" w:space="0"/>
              <w:bottom w:val="single" w:color="auto" w:sz="4" w:space="0"/>
              <w:right w:val="single" w:color="auto" w:sz="4" w:space="0"/>
            </w:tcBorders>
            <w:vAlign w:val="center"/>
          </w:tcPr>
          <w:p w14:paraId="47A9B448">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38.3.1</w:t>
            </w:r>
          </w:p>
        </w:tc>
        <w:tc>
          <w:tcPr>
            <w:tcW w:w="2447" w:type="dxa"/>
            <w:tcBorders>
              <w:top w:val="single" w:color="auto" w:sz="4" w:space="0"/>
              <w:left w:val="single" w:color="auto" w:sz="4" w:space="0"/>
              <w:bottom w:val="single" w:color="auto" w:sz="4" w:space="0"/>
              <w:right w:val="single" w:color="auto" w:sz="4" w:space="0"/>
            </w:tcBorders>
            <w:vAlign w:val="center"/>
          </w:tcPr>
          <w:p w14:paraId="5D9C9189">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投诉受理方式</w:t>
            </w:r>
          </w:p>
        </w:tc>
        <w:tc>
          <w:tcPr>
            <w:tcW w:w="6999" w:type="dxa"/>
            <w:tcBorders>
              <w:top w:val="single" w:color="auto" w:sz="4" w:space="0"/>
              <w:left w:val="single" w:color="auto" w:sz="4" w:space="0"/>
              <w:bottom w:val="single" w:color="auto" w:sz="4" w:space="0"/>
              <w:right w:val="single" w:color="auto" w:sz="4" w:space="0"/>
            </w:tcBorders>
            <w:vAlign w:val="center"/>
          </w:tcPr>
          <w:p w14:paraId="26424A35">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1、受理方式：纸质方式受理，投诉书正、副本（经过质疑的事项才可投诉）。</w:t>
            </w:r>
          </w:p>
          <w:p w14:paraId="70B26895">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2、邮寄地址：</w:t>
            </w:r>
          </w:p>
          <w:p w14:paraId="7DD6AB44">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名称：</w:t>
            </w:r>
            <w:bookmarkStart w:id="31" w:name="PO_3000001866_PM036"/>
            <w:r>
              <w:rPr>
                <w:rFonts w:hint="eastAsia" w:ascii="宋体" w:hAnsi="宋体" w:cs="宋体"/>
                <w:color w:val="auto"/>
                <w:sz w:val="24"/>
                <w:highlight w:val="none"/>
              </w:rPr>
              <w:t>南宁市财政局政府采购监督管理科</w:t>
            </w:r>
            <w:bookmarkEnd w:id="31"/>
          </w:p>
          <w:p w14:paraId="04CAC1B7">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bookmarkStart w:id="32" w:name="PO_3000001866_PM039"/>
            <w:r>
              <w:rPr>
                <w:rFonts w:hint="eastAsia" w:ascii="宋体" w:hAnsi="宋体" w:cs="宋体"/>
                <w:color w:val="auto"/>
                <w:sz w:val="24"/>
                <w:highlight w:val="none"/>
              </w:rPr>
              <w:t xml:space="preserve">南宁市东葛路129号   </w:t>
            </w:r>
            <w:bookmarkEnd w:id="32"/>
          </w:p>
          <w:p w14:paraId="5EC6D7A8">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bookmarkStart w:id="33" w:name="PO_3000001866_PM038_1"/>
            <w:r>
              <w:rPr>
                <w:rFonts w:hint="eastAsia" w:ascii="宋体" w:hAnsi="宋体" w:cs="宋体"/>
                <w:color w:val="auto"/>
                <w:sz w:val="24"/>
                <w:highlight w:val="none"/>
              </w:rPr>
              <w:t>0771-2189091</w:t>
            </w:r>
            <w:bookmarkEnd w:id="33"/>
          </w:p>
        </w:tc>
      </w:tr>
      <w:tr w14:paraId="2B4ED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794" w:type="dxa"/>
            <w:vMerge w:val="restart"/>
            <w:tcBorders>
              <w:top w:val="single" w:color="auto" w:sz="4" w:space="0"/>
              <w:left w:val="single" w:color="auto" w:sz="4" w:space="0"/>
              <w:bottom w:val="single" w:color="auto" w:sz="4" w:space="0"/>
              <w:right w:val="single" w:color="auto" w:sz="4" w:space="0"/>
            </w:tcBorders>
            <w:vAlign w:val="center"/>
          </w:tcPr>
          <w:p w14:paraId="4A4701A6">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40</w:t>
            </w:r>
          </w:p>
        </w:tc>
        <w:tc>
          <w:tcPr>
            <w:tcW w:w="2447" w:type="dxa"/>
            <w:tcBorders>
              <w:top w:val="single" w:color="auto" w:sz="4" w:space="0"/>
              <w:left w:val="single" w:color="auto" w:sz="4" w:space="0"/>
              <w:bottom w:val="single" w:color="auto" w:sz="4" w:space="0"/>
              <w:right w:val="single" w:color="auto" w:sz="4" w:space="0"/>
            </w:tcBorders>
            <w:vAlign w:val="center"/>
          </w:tcPr>
          <w:p w14:paraId="444897BD">
            <w:pPr>
              <w:keepLines/>
              <w:pageBreakBefore w:val="0"/>
              <w:wordWrap w:val="0"/>
              <w:overflowPunct/>
              <w:topLinePunct w:val="0"/>
              <w:bidi w:val="0"/>
              <w:spacing w:line="360" w:lineRule="auto"/>
              <w:rPr>
                <w:rFonts w:ascii="宋体" w:hAnsi="宋体" w:cs="宋体"/>
                <w:color w:val="auto"/>
                <w:sz w:val="24"/>
                <w:highlight w:val="none"/>
              </w:rPr>
            </w:pPr>
            <w:bookmarkStart w:id="34" w:name="_42"/>
            <w:bookmarkEnd w:id="34"/>
            <w:bookmarkStart w:id="35" w:name="_41"/>
            <w:bookmarkEnd w:id="35"/>
            <w:r>
              <w:rPr>
                <w:rFonts w:hint="eastAsia" w:ascii="宋体" w:hAnsi="宋体" w:cs="宋体"/>
                <w:color w:val="auto"/>
                <w:sz w:val="24"/>
                <w:highlight w:val="none"/>
              </w:rPr>
              <w:t>采购代理费支付方式</w:t>
            </w:r>
          </w:p>
        </w:tc>
        <w:tc>
          <w:tcPr>
            <w:tcW w:w="6999" w:type="dxa"/>
            <w:tcBorders>
              <w:top w:val="single" w:color="auto" w:sz="4" w:space="0"/>
              <w:left w:val="single" w:color="auto" w:sz="4" w:space="0"/>
              <w:bottom w:val="single" w:color="auto" w:sz="4" w:space="0"/>
              <w:right w:val="single" w:color="auto" w:sz="4" w:space="0"/>
            </w:tcBorders>
            <w:vAlign w:val="center"/>
          </w:tcPr>
          <w:p w14:paraId="3FFC16F0">
            <w:pPr>
              <w:pStyle w:val="12"/>
              <w:keepLines/>
              <w:pageBreakBefore w:val="0"/>
              <w:wordWrap w:val="0"/>
              <w:overflowPunct/>
              <w:topLinePunct w:val="0"/>
              <w:bidi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☑本项目代理服务费由</w:t>
            </w:r>
            <w:r>
              <w:rPr>
                <w:rFonts w:hint="eastAsia" w:hAnsi="宋体" w:cs="宋体"/>
                <w:color w:val="auto"/>
                <w:sz w:val="24"/>
                <w:szCs w:val="24"/>
                <w:highlight w:val="none"/>
                <w:u w:val="single"/>
              </w:rPr>
              <w:t>中标供应商</w:t>
            </w:r>
            <w:r>
              <w:rPr>
                <w:rFonts w:hint="eastAsia" w:hAnsi="宋体" w:cs="宋体"/>
                <w:color w:val="auto"/>
                <w:sz w:val="24"/>
                <w:szCs w:val="24"/>
                <w:highlight w:val="none"/>
              </w:rPr>
              <w:t>在领取中标通知书时，一次性向采购代理机构支付。</w:t>
            </w:r>
          </w:p>
          <w:p w14:paraId="4943527B">
            <w:pPr>
              <w:pStyle w:val="12"/>
              <w:keepLines/>
              <w:pageBreakBefore w:val="0"/>
              <w:wordWrap w:val="0"/>
              <w:overflowPunct/>
              <w:topLinePunct w:val="0"/>
              <w:bidi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□采购人支付。</w:t>
            </w:r>
          </w:p>
          <w:p w14:paraId="6DD64141">
            <w:pPr>
              <w:pStyle w:val="12"/>
              <w:keepLines/>
              <w:pageBreakBefore w:val="0"/>
              <w:wordWrap w:val="0"/>
              <w:overflowPunct/>
              <w:topLinePunct w:val="0"/>
              <w:bidi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□本项目不收取代理服务费。</w:t>
            </w:r>
          </w:p>
        </w:tc>
      </w:tr>
      <w:tr w14:paraId="57764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7" w:hRule="atLeast"/>
        </w:trPr>
        <w:tc>
          <w:tcPr>
            <w:tcW w:w="794" w:type="dxa"/>
            <w:vMerge w:val="continue"/>
            <w:tcBorders>
              <w:top w:val="single" w:color="auto" w:sz="4" w:space="0"/>
              <w:left w:val="single" w:color="auto" w:sz="4" w:space="0"/>
              <w:bottom w:val="single" w:color="auto" w:sz="4" w:space="0"/>
              <w:right w:val="single" w:color="auto" w:sz="4" w:space="0"/>
            </w:tcBorders>
            <w:vAlign w:val="center"/>
          </w:tcPr>
          <w:p w14:paraId="73A2A84C">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447" w:type="dxa"/>
            <w:tcBorders>
              <w:top w:val="single" w:color="auto" w:sz="4" w:space="0"/>
              <w:left w:val="single" w:color="auto" w:sz="4" w:space="0"/>
              <w:bottom w:val="single" w:color="auto" w:sz="4" w:space="0"/>
              <w:right w:val="single" w:color="auto" w:sz="4" w:space="0"/>
            </w:tcBorders>
            <w:vAlign w:val="center"/>
          </w:tcPr>
          <w:p w14:paraId="7D362089">
            <w:pPr>
              <w:keepLines/>
              <w:pageBreakBefore w:val="0"/>
              <w:wordWrap w:val="0"/>
              <w:overflowPunct/>
              <w:topLinePunct w:val="0"/>
              <w:bidi w:val="0"/>
              <w:spacing w:line="360" w:lineRule="auto"/>
              <w:rPr>
                <w:rFonts w:ascii="宋体" w:hAnsi="宋体" w:cs="宋体"/>
                <w:color w:val="auto"/>
                <w:sz w:val="24"/>
                <w:highlight w:val="none"/>
              </w:rPr>
            </w:pPr>
            <w:r>
              <w:rPr>
                <w:rFonts w:hint="eastAsia" w:asciiTheme="minorEastAsia" w:hAnsiTheme="minorEastAsia" w:eastAsiaTheme="minorEastAsia" w:cstheme="minorEastAsia"/>
                <w:color w:val="auto"/>
                <w:sz w:val="24"/>
                <w:highlight w:val="none"/>
              </w:rPr>
              <w:t>采购代理费收取标准</w:t>
            </w:r>
          </w:p>
        </w:tc>
        <w:tc>
          <w:tcPr>
            <w:tcW w:w="6999" w:type="dxa"/>
            <w:tcBorders>
              <w:top w:val="single" w:color="auto" w:sz="4" w:space="0"/>
              <w:left w:val="single" w:color="auto" w:sz="4" w:space="0"/>
              <w:bottom w:val="single" w:color="auto" w:sz="4" w:space="0"/>
              <w:right w:val="single" w:color="auto" w:sz="4" w:space="0"/>
            </w:tcBorders>
            <w:vAlign w:val="center"/>
          </w:tcPr>
          <w:p w14:paraId="3846561F">
            <w:pPr>
              <w:keepLines/>
              <w:pageBreakBefore w:val="0"/>
              <w:wordWrap w:val="0"/>
              <w:overflowPunct/>
              <w:topLinePunct w:val="0"/>
              <w:bidi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1. 是否收取采购代理费：</w:t>
            </w:r>
          </w:p>
          <w:p w14:paraId="01A79731">
            <w:pPr>
              <w:keepLines/>
              <w:pageBreakBefore w:val="0"/>
              <w:wordWrap w:val="0"/>
              <w:overflowPunct/>
              <w:topLinePunct w:val="0"/>
              <w:bidi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 是    □ 否</w:t>
            </w:r>
          </w:p>
          <w:p w14:paraId="5D24B00B">
            <w:pPr>
              <w:keepLines/>
              <w:pageBreakBefore w:val="0"/>
              <w:wordWrap w:val="0"/>
              <w:overflowPunct/>
              <w:topLinePunct w:val="0"/>
              <w:bidi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2.采购代理费支付方式：</w:t>
            </w:r>
          </w:p>
          <w:p w14:paraId="4185355F">
            <w:pPr>
              <w:keepLines/>
              <w:pageBreakBefore w:val="0"/>
              <w:wordWrap w:val="0"/>
              <w:overflowPunct/>
              <w:topLinePunct w:val="0"/>
              <w:bidi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 本项目代理服务费由</w:t>
            </w:r>
            <w:r>
              <w:rPr>
                <w:rFonts w:hint="eastAsia" w:asciiTheme="minorEastAsia" w:hAnsiTheme="minorEastAsia" w:eastAsiaTheme="minorEastAsia" w:cstheme="minorEastAsia"/>
                <w:color w:val="auto"/>
                <w:kern w:val="0"/>
                <w:sz w:val="24"/>
                <w:highlight w:val="none"/>
                <w:u w:val="single"/>
                <w:lang w:bidi="ar"/>
              </w:rPr>
              <w:t>中标供应商</w:t>
            </w:r>
            <w:r>
              <w:rPr>
                <w:rFonts w:hint="eastAsia" w:asciiTheme="minorEastAsia" w:hAnsiTheme="minorEastAsia" w:eastAsiaTheme="minorEastAsia" w:cstheme="minorEastAsia"/>
                <w:color w:val="auto"/>
                <w:kern w:val="0"/>
                <w:sz w:val="24"/>
                <w:highlight w:val="none"/>
                <w:lang w:bidi="ar"/>
              </w:rPr>
              <w:t>领取</w:t>
            </w:r>
            <w:r>
              <w:rPr>
                <w:rFonts w:hint="eastAsia" w:asciiTheme="minorEastAsia" w:hAnsiTheme="minorEastAsia" w:eastAsiaTheme="minorEastAsia" w:cstheme="minorEastAsia"/>
                <w:color w:val="auto"/>
                <w:kern w:val="0"/>
                <w:sz w:val="24"/>
                <w:highlight w:val="none"/>
                <w:lang w:val="en-US" w:eastAsia="zh-CN" w:bidi="ar"/>
              </w:rPr>
              <w:t>中标</w:t>
            </w:r>
            <w:r>
              <w:rPr>
                <w:rFonts w:hint="eastAsia" w:asciiTheme="minorEastAsia" w:hAnsiTheme="minorEastAsia" w:eastAsiaTheme="minorEastAsia" w:cstheme="minorEastAsia"/>
                <w:color w:val="auto"/>
                <w:kern w:val="0"/>
                <w:sz w:val="24"/>
                <w:highlight w:val="none"/>
                <w:lang w:bidi="ar"/>
              </w:rPr>
              <w:t>通知书</w:t>
            </w:r>
            <w:r>
              <w:rPr>
                <w:rFonts w:hint="eastAsia" w:asciiTheme="minorEastAsia" w:hAnsiTheme="minorEastAsia" w:eastAsiaTheme="minorEastAsia" w:cstheme="minorEastAsia"/>
                <w:color w:val="auto"/>
                <w:kern w:val="0"/>
                <w:sz w:val="24"/>
                <w:highlight w:val="none"/>
                <w:lang w:val="en-US" w:eastAsia="zh-CN" w:bidi="ar"/>
              </w:rPr>
              <w:t>时</w:t>
            </w:r>
            <w:r>
              <w:rPr>
                <w:rFonts w:hint="eastAsia" w:asciiTheme="minorEastAsia" w:hAnsiTheme="minorEastAsia" w:eastAsiaTheme="minorEastAsia" w:cstheme="minorEastAsia"/>
                <w:color w:val="auto"/>
                <w:kern w:val="0"/>
                <w:sz w:val="24"/>
                <w:highlight w:val="none"/>
                <w:lang w:bidi="ar"/>
              </w:rPr>
              <w:t>，一次性向采购代理机构支付。</w:t>
            </w:r>
          </w:p>
          <w:p w14:paraId="3FCDFE0B">
            <w:pPr>
              <w:keepLines/>
              <w:pageBreakBefore w:val="0"/>
              <w:wordWrap w:val="0"/>
              <w:overflowPunct/>
              <w:topLinePunct w:val="0"/>
              <w:bidi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□采购人支付。</w:t>
            </w:r>
          </w:p>
          <w:p w14:paraId="5A2F29E2">
            <w:pPr>
              <w:keepLines/>
              <w:pageBreakBefore w:val="0"/>
              <w:wordWrap w:val="0"/>
              <w:overflowPunct/>
              <w:topLinePunct w:val="0"/>
              <w:bidi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3.采购代理费收取标准：</w:t>
            </w:r>
          </w:p>
          <w:p w14:paraId="0195C25E">
            <w:pPr>
              <w:keepLines/>
              <w:pageBreakBefore w:val="0"/>
              <w:wordWrap w:val="0"/>
              <w:overflowPunct/>
              <w:topLinePunct w:val="0"/>
              <w:bidi w:val="0"/>
              <w:snapToGrid w:val="0"/>
              <w:spacing w:line="360" w:lineRule="auto"/>
              <w:rPr>
                <w:rFonts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eastAsia="zh-CN" w:bidi="ar"/>
              </w:rPr>
              <w:t>□</w:t>
            </w:r>
            <w:r>
              <w:rPr>
                <w:rFonts w:hint="eastAsia" w:asciiTheme="minorEastAsia" w:hAnsiTheme="minorEastAsia" w:eastAsiaTheme="minorEastAsia" w:cstheme="minorEastAsia"/>
                <w:color w:val="auto"/>
                <w:sz w:val="24"/>
                <w:highlight w:val="none"/>
                <w:lang w:bidi="ar"/>
              </w:rPr>
              <w:t>以分标（</w:t>
            </w:r>
            <w:r>
              <w:rPr>
                <w:rFonts w:hint="eastAsia" w:asciiTheme="minorEastAsia" w:hAnsiTheme="minorEastAsia" w:eastAsiaTheme="minorEastAsia" w:cstheme="minorEastAsia"/>
                <w:color w:val="auto"/>
                <w:sz w:val="24"/>
                <w:highlight w:val="none"/>
                <w:lang w:eastAsia="zh-CN" w:bidi="ar"/>
              </w:rPr>
              <w:t>□</w:t>
            </w:r>
            <w:r>
              <w:rPr>
                <w:rFonts w:hint="eastAsia" w:asciiTheme="minorEastAsia" w:hAnsiTheme="minorEastAsia" w:eastAsiaTheme="minorEastAsia" w:cstheme="minorEastAsia"/>
                <w:color w:val="auto"/>
                <w:sz w:val="24"/>
                <w:highlight w:val="none"/>
                <w:lang w:bidi="ar"/>
              </w:rPr>
              <w:t>中标（成交）金额/</w:t>
            </w:r>
            <w:r>
              <w:rPr>
                <w:rFonts w:hint="eastAsia" w:asciiTheme="minorEastAsia" w:hAnsiTheme="minorEastAsia" w:eastAsiaTheme="minorEastAsia" w:cstheme="minorEastAsia"/>
                <w:color w:val="auto"/>
                <w:sz w:val="24"/>
                <w:highlight w:val="none"/>
                <w:lang w:bidi="ar"/>
              </w:rPr>
              <w:sym w:font="Wingdings 2" w:char="00A3"/>
            </w:r>
            <w:r>
              <w:rPr>
                <w:rFonts w:hint="eastAsia" w:asciiTheme="minorEastAsia" w:hAnsiTheme="minorEastAsia" w:eastAsiaTheme="minorEastAsia" w:cstheme="minorEastAsia"/>
                <w:color w:val="auto"/>
                <w:sz w:val="24"/>
                <w:highlight w:val="none"/>
                <w:lang w:bidi="ar"/>
              </w:rPr>
              <w:t>采购预算/□暂定成交金额/□其他</w:t>
            </w:r>
            <w:r>
              <w:rPr>
                <w:rFonts w:hint="eastAsia" w:asciiTheme="minorEastAsia" w:hAnsiTheme="minorEastAsia" w:eastAsiaTheme="minorEastAsia" w:cstheme="minorEastAsia"/>
                <w:color w:val="auto"/>
                <w:sz w:val="24"/>
                <w:highlight w:val="none"/>
                <w:u w:val="single"/>
                <w:lang w:val="en-US" w:eastAsia="zh-CN" w:bidi="ar"/>
              </w:rPr>
              <w:t xml:space="preserve">      </w:t>
            </w:r>
            <w:r>
              <w:rPr>
                <w:rFonts w:hint="eastAsia" w:asciiTheme="minorEastAsia" w:hAnsiTheme="minorEastAsia" w:eastAsiaTheme="minorEastAsia" w:cstheme="minorEastAsia"/>
                <w:color w:val="auto"/>
                <w:sz w:val="24"/>
                <w:highlight w:val="none"/>
                <w:lang w:bidi="ar"/>
              </w:rPr>
              <w:t>）为计费额，</w:t>
            </w:r>
          </w:p>
          <w:p w14:paraId="3AE5698D">
            <w:pPr>
              <w:keepLines/>
              <w:pageBreakBefore w:val="0"/>
              <w:wordWrap w:val="0"/>
              <w:overflowPunct/>
              <w:topLinePunct w:val="0"/>
              <w:bidi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按服务</w:t>
            </w:r>
            <w:r>
              <w:rPr>
                <w:rFonts w:hint="eastAsia" w:asciiTheme="minorEastAsia" w:hAnsiTheme="minorEastAsia" w:eastAsiaTheme="minorEastAsia" w:cstheme="minorEastAsia"/>
                <w:color w:val="auto"/>
                <w:sz w:val="24"/>
                <w:highlight w:val="none"/>
                <w:u w:val="single"/>
                <w:lang w:bidi="ar"/>
              </w:rPr>
              <w:t>类</w:t>
            </w:r>
            <w:r>
              <w:rPr>
                <w:rFonts w:hint="eastAsia" w:asciiTheme="minorEastAsia" w:hAnsiTheme="minorEastAsia" w:eastAsiaTheme="minorEastAsia" w:cstheme="minorEastAsia"/>
                <w:color w:val="auto"/>
                <w:sz w:val="24"/>
                <w:highlight w:val="none"/>
                <w:lang w:bidi="ar"/>
              </w:rPr>
              <w:t>采用差额定率累进法计算出收费基准价格，采购代理收费以（</w:t>
            </w:r>
            <w:r>
              <w:rPr>
                <w:rFonts w:hint="eastAsia" w:asciiTheme="minorEastAsia" w:hAnsiTheme="minorEastAsia" w:eastAsiaTheme="minorEastAsia" w:cstheme="minorEastAsia"/>
                <w:color w:val="auto"/>
                <w:sz w:val="24"/>
                <w:highlight w:val="none"/>
                <w:lang w:bidi="ar"/>
              </w:rPr>
              <w:sym w:font="Wingdings 2" w:char="0052"/>
            </w:r>
            <w:r>
              <w:rPr>
                <w:rFonts w:hint="eastAsia" w:asciiTheme="minorEastAsia" w:hAnsiTheme="minorEastAsia" w:eastAsiaTheme="minorEastAsia" w:cstheme="minorEastAsia"/>
                <w:color w:val="auto"/>
                <w:sz w:val="24"/>
                <w:highlight w:val="none"/>
                <w:lang w:bidi="ar"/>
              </w:rPr>
              <w:t>收费基准价格/</w:t>
            </w:r>
            <w:r>
              <w:rPr>
                <w:rFonts w:hint="eastAsia" w:asciiTheme="minorEastAsia" w:hAnsiTheme="minorEastAsia" w:eastAsiaTheme="minorEastAsia" w:cstheme="minorEastAsia"/>
                <w:color w:val="auto"/>
                <w:sz w:val="24"/>
                <w:highlight w:val="none"/>
                <w:lang w:eastAsia="zh-CN" w:bidi="ar"/>
              </w:rPr>
              <w:t>□</w:t>
            </w:r>
            <w:r>
              <w:rPr>
                <w:rFonts w:hint="eastAsia" w:asciiTheme="minorEastAsia" w:hAnsiTheme="minorEastAsia" w:eastAsiaTheme="minorEastAsia" w:cstheme="minorEastAsia"/>
                <w:color w:val="auto"/>
                <w:sz w:val="24"/>
                <w:highlight w:val="none"/>
                <w:lang w:bidi="ar"/>
              </w:rPr>
              <w:t>收费基准价下浮</w:t>
            </w:r>
            <w:r>
              <w:rPr>
                <w:rFonts w:hint="eastAsia" w:asciiTheme="minorEastAsia" w:hAnsiTheme="minorEastAsia" w:eastAsiaTheme="minorEastAsia" w:cstheme="minorEastAsia"/>
                <w:color w:val="auto"/>
                <w:sz w:val="24"/>
                <w:highlight w:val="none"/>
                <w:u w:val="single"/>
                <w:lang w:val="en-US" w:eastAsia="zh-CN" w:bidi="ar"/>
              </w:rPr>
              <w:t xml:space="preserve">      %</w:t>
            </w:r>
            <w:r>
              <w:rPr>
                <w:rFonts w:hint="eastAsia" w:asciiTheme="minorEastAsia" w:hAnsiTheme="minorEastAsia" w:eastAsiaTheme="minorEastAsia" w:cstheme="minorEastAsia"/>
                <w:color w:val="auto"/>
                <w:sz w:val="24"/>
                <w:highlight w:val="none"/>
                <w:lang w:bidi="ar"/>
              </w:rPr>
              <w:t>/□收费基准价格上浮</w:t>
            </w:r>
            <w:r>
              <w:rPr>
                <w:rFonts w:hint="eastAsia" w:asciiTheme="minorEastAsia" w:hAnsiTheme="minorEastAsia" w:eastAsiaTheme="minorEastAsia" w:cstheme="minorEastAsia"/>
                <w:color w:val="auto"/>
                <w:sz w:val="24"/>
                <w:highlight w:val="none"/>
                <w:u w:val="single"/>
                <w:lang w:bidi="ar"/>
              </w:rPr>
              <w:t xml:space="preserve"> </w:t>
            </w:r>
            <w:r>
              <w:rPr>
                <w:rFonts w:hint="eastAsia" w:asciiTheme="minorEastAsia" w:hAnsiTheme="minorEastAsia" w:eastAsiaTheme="minorEastAsia" w:cstheme="minorEastAsia"/>
                <w:color w:val="auto"/>
                <w:sz w:val="24"/>
                <w:highlight w:val="none"/>
                <w:u w:val="single"/>
                <w:lang w:val="en-US" w:eastAsia="zh-CN" w:bidi="ar"/>
              </w:rPr>
              <w:t xml:space="preserve">   </w:t>
            </w:r>
            <w:r>
              <w:rPr>
                <w:rFonts w:hint="eastAsia" w:asciiTheme="minorEastAsia" w:hAnsiTheme="minorEastAsia" w:eastAsiaTheme="minorEastAsia" w:cstheme="minorEastAsia"/>
                <w:color w:val="auto"/>
                <w:sz w:val="24"/>
                <w:highlight w:val="none"/>
                <w:u w:val="single"/>
                <w:lang w:bidi="ar"/>
              </w:rPr>
              <w:t xml:space="preserve"> %</w:t>
            </w:r>
            <w:r>
              <w:rPr>
                <w:rFonts w:hint="eastAsia" w:asciiTheme="minorEastAsia" w:hAnsiTheme="minorEastAsia" w:eastAsiaTheme="minorEastAsia" w:cstheme="minorEastAsia"/>
                <w:color w:val="auto"/>
                <w:sz w:val="24"/>
                <w:highlight w:val="none"/>
                <w:lang w:bidi="ar"/>
              </w:rPr>
              <w:t>）计算。</w:t>
            </w:r>
          </w:p>
          <w:p w14:paraId="3F19A79E">
            <w:pPr>
              <w:keepLines/>
              <w:pageBreakBefore w:val="0"/>
              <w:wordWrap w:val="0"/>
              <w:overflowPunct/>
              <w:topLinePunct w:val="0"/>
              <w:bidi w:val="0"/>
              <w:snapToGrid w:val="0"/>
              <w:spacing w:line="360" w:lineRule="auto"/>
              <w:rPr>
                <w:color w:val="auto"/>
                <w:highlight w:val="none"/>
              </w:rPr>
            </w:pPr>
            <w:r>
              <w:rPr>
                <w:rFonts w:hint="eastAsia" w:asciiTheme="minorEastAsia" w:hAnsiTheme="minorEastAsia" w:eastAsiaTheme="minorEastAsia" w:cstheme="minorEastAsia"/>
                <w:color w:val="auto"/>
                <w:kern w:val="0"/>
                <w:sz w:val="24"/>
                <w:highlight w:val="none"/>
                <w:lang w:eastAsia="zh-CN" w:bidi="ar"/>
              </w:rPr>
              <w:t>☑</w:t>
            </w:r>
            <w:r>
              <w:rPr>
                <w:rFonts w:hint="eastAsia" w:asciiTheme="minorEastAsia" w:hAnsiTheme="minorEastAsia" w:eastAsiaTheme="minorEastAsia" w:cstheme="minorEastAsia"/>
                <w:color w:val="auto"/>
                <w:sz w:val="24"/>
                <w:highlight w:val="none"/>
                <w:lang w:bidi="ar"/>
              </w:rPr>
              <w:t>固定采购代理收费</w:t>
            </w:r>
            <w:r>
              <w:rPr>
                <w:rFonts w:hint="eastAsia" w:asciiTheme="minorEastAsia" w:hAnsiTheme="minorEastAsia" w:eastAsiaTheme="minorEastAsia" w:cstheme="minorEastAsia"/>
                <w:color w:val="auto"/>
                <w:sz w:val="24"/>
                <w:highlight w:val="none"/>
                <w:u w:val="single"/>
                <w:lang w:bidi="ar"/>
              </w:rPr>
              <w:t xml:space="preserve"> </w:t>
            </w:r>
            <w:r>
              <w:rPr>
                <w:rFonts w:hint="eastAsia" w:asciiTheme="minorEastAsia" w:hAnsiTheme="minorEastAsia" w:eastAsiaTheme="minorEastAsia" w:cstheme="minorEastAsia"/>
                <w:color w:val="auto"/>
                <w:sz w:val="24"/>
                <w:highlight w:val="none"/>
                <w:u w:val="single"/>
                <w:lang w:val="en-US" w:eastAsia="zh-CN" w:bidi="ar"/>
              </w:rPr>
              <w:t xml:space="preserve">18500.00 </w:t>
            </w:r>
            <w:r>
              <w:rPr>
                <w:rFonts w:hint="eastAsia" w:asciiTheme="minorEastAsia" w:hAnsiTheme="minorEastAsia" w:eastAsiaTheme="minorEastAsia" w:cstheme="minorEastAsia"/>
                <w:color w:val="auto"/>
                <w:sz w:val="24"/>
                <w:highlight w:val="none"/>
                <w:u w:val="single"/>
                <w:lang w:bidi="ar"/>
              </w:rPr>
              <w:t>。</w:t>
            </w:r>
          </w:p>
        </w:tc>
      </w:tr>
      <w:tr w14:paraId="6E070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794" w:type="dxa"/>
            <w:vMerge w:val="continue"/>
            <w:tcBorders>
              <w:top w:val="single" w:color="auto" w:sz="4" w:space="0"/>
              <w:left w:val="single" w:color="auto" w:sz="4" w:space="0"/>
              <w:bottom w:val="single" w:color="auto" w:sz="4" w:space="0"/>
              <w:right w:val="single" w:color="auto" w:sz="4" w:space="0"/>
            </w:tcBorders>
            <w:vAlign w:val="center"/>
          </w:tcPr>
          <w:p w14:paraId="7DEAB032">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447" w:type="dxa"/>
            <w:tcBorders>
              <w:top w:val="single" w:color="auto" w:sz="4" w:space="0"/>
              <w:left w:val="single" w:color="auto" w:sz="4" w:space="0"/>
              <w:bottom w:val="single" w:color="auto" w:sz="4" w:space="0"/>
              <w:right w:val="single" w:color="auto" w:sz="4" w:space="0"/>
            </w:tcBorders>
            <w:vAlign w:val="center"/>
          </w:tcPr>
          <w:p w14:paraId="476319BC">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代理服务费收款账户信息</w:t>
            </w:r>
          </w:p>
        </w:tc>
        <w:tc>
          <w:tcPr>
            <w:tcW w:w="6999" w:type="dxa"/>
            <w:tcBorders>
              <w:top w:val="single" w:color="auto" w:sz="4" w:space="0"/>
              <w:left w:val="single" w:color="auto" w:sz="4" w:space="0"/>
              <w:bottom w:val="single" w:color="auto" w:sz="4" w:space="0"/>
              <w:right w:val="single" w:color="auto" w:sz="4" w:space="0"/>
            </w:tcBorders>
            <w:vAlign w:val="center"/>
          </w:tcPr>
          <w:p w14:paraId="548AE600">
            <w:pPr>
              <w:pStyle w:val="12"/>
              <w:keepLines/>
              <w:pageBreakBefore w:val="0"/>
              <w:wordWrap w:val="0"/>
              <w:overflowPunct/>
              <w:topLinePunct w:val="0"/>
              <w:bidi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账户名称：广西邕政采购代理有限公司</w:t>
            </w:r>
          </w:p>
          <w:p w14:paraId="3C014007">
            <w:pPr>
              <w:pStyle w:val="12"/>
              <w:keepLines/>
              <w:pageBreakBefore w:val="0"/>
              <w:wordWrap w:val="0"/>
              <w:overflowPunct/>
              <w:topLinePunct w:val="0"/>
              <w:bidi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开户银行：交通银行南宁东葛西支行</w:t>
            </w:r>
          </w:p>
          <w:p w14:paraId="4DFCE206">
            <w:pPr>
              <w:pStyle w:val="12"/>
              <w:keepLines/>
              <w:pageBreakBefore w:val="0"/>
              <w:wordWrap w:val="0"/>
              <w:overflowPunct/>
              <w:topLinePunct w:val="0"/>
              <w:bidi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 xml:space="preserve">银行账号：4510 6070 1018 1602 32818 </w:t>
            </w:r>
          </w:p>
          <w:p w14:paraId="108C110E">
            <w:pPr>
              <w:pStyle w:val="12"/>
              <w:keepLines/>
              <w:pageBreakBefore w:val="0"/>
              <w:wordWrap w:val="0"/>
              <w:overflowPunct/>
              <w:topLinePunct w:val="0"/>
              <w:bidi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开户行行号：301611000718</w:t>
            </w:r>
          </w:p>
        </w:tc>
      </w:tr>
      <w:tr w14:paraId="1EE18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14:paraId="46D88E8A">
            <w:pPr>
              <w:keepLines/>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41.1</w:t>
            </w:r>
          </w:p>
        </w:tc>
        <w:tc>
          <w:tcPr>
            <w:tcW w:w="2447" w:type="dxa"/>
            <w:tcBorders>
              <w:top w:val="single" w:color="auto" w:sz="4" w:space="0"/>
              <w:left w:val="single" w:color="auto" w:sz="4" w:space="0"/>
              <w:bottom w:val="single" w:color="auto" w:sz="4" w:space="0"/>
              <w:right w:val="single" w:color="auto" w:sz="4" w:space="0"/>
            </w:tcBorders>
            <w:vAlign w:val="center"/>
          </w:tcPr>
          <w:p w14:paraId="2831DCD5">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解释</w:t>
            </w:r>
          </w:p>
        </w:tc>
        <w:tc>
          <w:tcPr>
            <w:tcW w:w="6999" w:type="dxa"/>
            <w:tcBorders>
              <w:top w:val="single" w:color="auto" w:sz="4" w:space="0"/>
              <w:left w:val="single" w:color="auto" w:sz="4" w:space="0"/>
              <w:bottom w:val="single" w:color="auto" w:sz="4" w:space="0"/>
              <w:right w:val="single" w:color="auto" w:sz="4" w:space="0"/>
            </w:tcBorders>
            <w:vAlign w:val="center"/>
          </w:tcPr>
          <w:p w14:paraId="6CA3F80B">
            <w:pPr>
              <w:keepLines/>
              <w:pageBreakBefore w:val="0"/>
              <w:wordWrap w:val="0"/>
              <w:overflowPunct/>
              <w:topLinePunct w:val="0"/>
              <w:bidi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解释权：</w:t>
            </w:r>
            <w:r>
              <w:rPr>
                <w:rFonts w:hint="eastAsia" w:ascii="宋体" w:hAnsi="宋体" w:cs="宋体"/>
                <w:color w:val="auto"/>
                <w:sz w:val="24"/>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 w:val="24"/>
                <w:highlight w:val="none"/>
              </w:rPr>
              <w:t>，由采购人或者采购代理机构负责解释。</w:t>
            </w:r>
          </w:p>
          <w:p w14:paraId="316A652A">
            <w:pPr>
              <w:keepLines/>
              <w:pageBreakBefore w:val="0"/>
              <w:wordWrap w:val="0"/>
              <w:overflowPunct/>
              <w:topLinePunct w:val="0"/>
              <w:bidi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法律责任：</w:t>
            </w:r>
          </w:p>
          <w:p w14:paraId="74B3EEE1">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1.本采购文件根据《中华人民共和国政府采购法》、《中华人民共和国民法典》；《中华人民共和国政府采购法实施条例》、、《政府采购货物和服务招标投 标管理办法》等有关法律、法规编制，参与本项目的各政府采购当事人依法享有上述法律法规所赋予的权利与义务。</w:t>
            </w:r>
          </w:p>
          <w:p w14:paraId="7E1791E1">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b/>
                <w:color w:val="auto"/>
                <w:sz w:val="24"/>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4A453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14:paraId="3E0E1678">
            <w:pPr>
              <w:keepLines/>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41.2</w:t>
            </w:r>
          </w:p>
        </w:tc>
        <w:tc>
          <w:tcPr>
            <w:tcW w:w="2447" w:type="dxa"/>
            <w:tcBorders>
              <w:top w:val="single" w:color="auto" w:sz="4" w:space="0"/>
              <w:left w:val="single" w:color="auto" w:sz="4" w:space="0"/>
              <w:bottom w:val="single" w:color="auto" w:sz="4" w:space="0"/>
              <w:right w:val="single" w:color="auto" w:sz="4" w:space="0"/>
            </w:tcBorders>
            <w:vAlign w:val="center"/>
          </w:tcPr>
          <w:p w14:paraId="5D49732C">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其他释义</w:t>
            </w:r>
          </w:p>
        </w:tc>
        <w:tc>
          <w:tcPr>
            <w:tcW w:w="6999" w:type="dxa"/>
            <w:tcBorders>
              <w:top w:val="single" w:color="auto" w:sz="4" w:space="0"/>
              <w:left w:val="single" w:color="auto" w:sz="4" w:space="0"/>
              <w:bottom w:val="single" w:color="auto" w:sz="4" w:space="0"/>
              <w:right w:val="single" w:color="auto" w:sz="4" w:space="0"/>
            </w:tcBorders>
            <w:vAlign w:val="center"/>
          </w:tcPr>
          <w:p w14:paraId="4E706E74">
            <w:pPr>
              <w:pStyle w:val="12"/>
              <w:keepLines/>
              <w:pageBreakBefore w:val="0"/>
              <w:wordWrap w:val="0"/>
              <w:overflowPunct/>
              <w:topLinePunct w:val="0"/>
              <w:bidi w:val="0"/>
              <w:snapToGrid w:val="0"/>
              <w:spacing w:line="360" w:lineRule="auto"/>
              <w:rPr>
                <w:rFonts w:hAnsi="宋体" w:cs="宋体"/>
                <w:b/>
                <w:bCs/>
                <w:color w:val="auto"/>
                <w:sz w:val="24"/>
                <w:szCs w:val="24"/>
                <w:highlight w:val="none"/>
              </w:rPr>
            </w:pPr>
            <w:r>
              <w:rPr>
                <w:rFonts w:hint="eastAsia" w:hAnsi="宋体" w:cs="宋体"/>
                <w:b/>
                <w:bCs/>
                <w:color w:val="auto"/>
                <w:sz w:val="24"/>
                <w:szCs w:val="24"/>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006D3F76">
            <w:pPr>
              <w:pStyle w:val="12"/>
              <w:keepLines/>
              <w:pageBreakBefore w:val="0"/>
              <w:wordWrap w:val="0"/>
              <w:overflowPunct/>
              <w:topLinePunct w:val="0"/>
              <w:bidi w:val="0"/>
              <w:snapToGrid w:val="0"/>
              <w:spacing w:line="360" w:lineRule="auto"/>
              <w:rPr>
                <w:rFonts w:hAnsi="宋体" w:cs="宋体"/>
                <w:b/>
                <w:bCs/>
                <w:color w:val="auto"/>
                <w:sz w:val="24"/>
                <w:szCs w:val="24"/>
                <w:highlight w:val="none"/>
              </w:rPr>
            </w:pPr>
            <w:r>
              <w:rPr>
                <w:rFonts w:hint="eastAsia" w:hAnsi="宋体" w:cs="宋体"/>
                <w:b/>
                <w:bCs/>
                <w:color w:val="auto"/>
                <w:sz w:val="24"/>
                <w:szCs w:val="24"/>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5A965693">
            <w:pPr>
              <w:pStyle w:val="12"/>
              <w:keepLines/>
              <w:pageBreakBefore w:val="0"/>
              <w:wordWrap w:val="0"/>
              <w:overflowPunct/>
              <w:topLinePunct w:val="0"/>
              <w:bidi w:val="0"/>
              <w:snapToGrid w:val="0"/>
              <w:spacing w:line="360" w:lineRule="auto"/>
              <w:rPr>
                <w:rFonts w:hAnsi="宋体" w:cs="宋体"/>
                <w:b/>
                <w:bCs/>
                <w:color w:val="auto"/>
                <w:sz w:val="24"/>
                <w:szCs w:val="24"/>
                <w:highlight w:val="none"/>
              </w:rPr>
            </w:pPr>
            <w:r>
              <w:rPr>
                <w:rFonts w:hint="eastAsia" w:hAnsi="宋体" w:cs="宋体"/>
                <w:b/>
                <w:bCs/>
                <w:color w:val="auto"/>
                <w:sz w:val="24"/>
                <w:szCs w:val="24"/>
                <w:highlight w:val="none"/>
              </w:rPr>
              <w:t>3.本招标文件中描述投标人的“签字”是指投标人的法定代表人或者委托代理人亲自在文件规定签署处亲笔写上个人的名字的行为，私章、签字章、印鉴、影印等其他形式均不能代替亲笔签字。</w:t>
            </w:r>
          </w:p>
          <w:p w14:paraId="15965C46">
            <w:pPr>
              <w:pStyle w:val="12"/>
              <w:keepLines/>
              <w:pageBreakBefore w:val="0"/>
              <w:wordWrap w:val="0"/>
              <w:overflowPunct/>
              <w:topLinePunct w:val="0"/>
              <w:bidi w:val="0"/>
              <w:snapToGrid w:val="0"/>
              <w:spacing w:line="360" w:lineRule="auto"/>
              <w:rPr>
                <w:rFonts w:hAnsi="宋体" w:cs="宋体"/>
                <w:b/>
                <w:bCs/>
                <w:color w:val="auto"/>
                <w:sz w:val="24"/>
                <w:szCs w:val="24"/>
                <w:highlight w:val="none"/>
              </w:rPr>
            </w:pPr>
            <w:r>
              <w:rPr>
                <w:rFonts w:hint="eastAsia" w:hAnsi="宋体" w:cs="宋体"/>
                <w:b/>
                <w:bCs/>
                <w:color w:val="auto"/>
                <w:sz w:val="24"/>
                <w:szCs w:val="24"/>
                <w:highlight w:val="none"/>
              </w:rPr>
              <w:t>4.自然人投标的，招标文件规定盖公章处由自然人摁手指指印。</w:t>
            </w:r>
          </w:p>
          <w:p w14:paraId="3D73F38F">
            <w:pPr>
              <w:keepLines/>
              <w:pageBreakBefore w:val="0"/>
              <w:wordWrap w:val="0"/>
              <w:overflowPunct/>
              <w:topLinePunct w:val="0"/>
              <w:bidi w:val="0"/>
              <w:spacing w:line="360" w:lineRule="auto"/>
              <w:jc w:val="left"/>
              <w:rPr>
                <w:rFonts w:ascii="宋体" w:hAnsi="宋体" w:cs="宋体"/>
                <w:color w:val="auto"/>
                <w:sz w:val="24"/>
                <w:highlight w:val="none"/>
              </w:rPr>
            </w:pPr>
            <w:r>
              <w:rPr>
                <w:rFonts w:hint="eastAsia" w:ascii="宋体" w:hAnsi="宋体" w:cs="宋体"/>
                <w:b/>
                <w:bCs/>
                <w:color w:val="auto"/>
                <w:sz w:val="24"/>
                <w:highlight w:val="none"/>
              </w:rPr>
              <w:t>5.本招标文件所称的“以上”“以下”“以内”“届满”，包括本数；所称的“不满”“超过”“以外”，不包括本数。</w:t>
            </w:r>
          </w:p>
        </w:tc>
      </w:tr>
    </w:tbl>
    <w:p w14:paraId="5978549C">
      <w:pPr>
        <w:pageBreakBefore w:val="0"/>
        <w:widowControl/>
        <w:wordWrap w:val="0"/>
        <w:overflowPunct/>
        <w:topLinePunct w:val="0"/>
        <w:bidi w:val="0"/>
        <w:spacing w:line="360" w:lineRule="auto"/>
        <w:jc w:val="left"/>
        <w:rPr>
          <w:rFonts w:ascii="宋体" w:hAnsi="宋体" w:cs="宋体"/>
          <w:b/>
          <w:bCs/>
          <w:color w:val="auto"/>
          <w:sz w:val="32"/>
          <w:szCs w:val="32"/>
          <w:highlight w:val="none"/>
        </w:rPr>
        <w:sectPr>
          <w:footerReference r:id="rId7" w:type="default"/>
          <w:pgSz w:w="11906" w:h="16838"/>
          <w:pgMar w:top="1440" w:right="1080" w:bottom="1440" w:left="1080" w:header="720" w:footer="720" w:gutter="0"/>
          <w:pgNumType w:fmt="decimal"/>
          <w:cols w:space="720" w:num="1"/>
          <w:docGrid w:type="lines" w:linePitch="331" w:charSpace="0"/>
        </w:sectPr>
      </w:pPr>
    </w:p>
    <w:p w14:paraId="2CDE2646">
      <w:pPr>
        <w:pageBreakBefore w:val="0"/>
        <w:wordWrap w:val="0"/>
        <w:overflowPunct/>
        <w:topLinePunct w:val="0"/>
        <w:bidi w:val="0"/>
        <w:spacing w:line="360" w:lineRule="auto"/>
        <w:rPr>
          <w:rFonts w:ascii="宋体" w:hAnsi="宋体" w:cs="宋体"/>
          <w:color w:val="auto"/>
          <w:highlight w:val="none"/>
        </w:rPr>
      </w:pPr>
    </w:p>
    <w:p w14:paraId="64BC45D3">
      <w:pPr>
        <w:pStyle w:val="4"/>
        <w:pageBreakBefore w:val="0"/>
        <w:wordWrap w:val="0"/>
        <w:overflowPunct/>
        <w:topLinePunct w:val="0"/>
        <w:bidi w:val="0"/>
        <w:spacing w:before="0" w:after="0" w:line="360" w:lineRule="auto"/>
        <w:jc w:val="center"/>
        <w:rPr>
          <w:rFonts w:ascii="宋体" w:hAnsi="宋体" w:eastAsia="宋体" w:cs="宋体"/>
          <w:color w:val="auto"/>
          <w:highlight w:val="none"/>
        </w:rPr>
      </w:pPr>
      <w:bookmarkStart w:id="36" w:name="_Toc5937"/>
      <w:r>
        <w:rPr>
          <w:rFonts w:hint="eastAsia" w:ascii="宋体" w:hAnsi="宋体" w:eastAsia="宋体" w:cs="宋体"/>
          <w:color w:val="auto"/>
          <w:highlight w:val="none"/>
        </w:rPr>
        <w:t>第二节 投标人须知正文</w:t>
      </w:r>
      <w:bookmarkEnd w:id="36"/>
    </w:p>
    <w:p w14:paraId="1E2AD8B1">
      <w:pPr>
        <w:pStyle w:val="5"/>
        <w:keepNext w:val="0"/>
        <w:keepLines w:val="0"/>
        <w:pageBreakBefore w:val="0"/>
        <w:wordWrap w:val="0"/>
        <w:overflowPunct/>
        <w:topLinePunct w:val="0"/>
        <w:bidi w:val="0"/>
        <w:spacing w:line="360" w:lineRule="auto"/>
        <w:jc w:val="center"/>
        <w:rPr>
          <w:rFonts w:ascii="宋体" w:hAnsi="宋体" w:cs="宋体"/>
          <w:color w:val="auto"/>
          <w:highlight w:val="none"/>
        </w:rPr>
      </w:pPr>
      <w:bookmarkStart w:id="37" w:name="_Toc13364"/>
      <w:r>
        <w:rPr>
          <w:rFonts w:hint="eastAsia" w:ascii="宋体" w:hAnsi="宋体" w:cs="宋体"/>
          <w:color w:val="auto"/>
          <w:highlight w:val="none"/>
        </w:rPr>
        <w:t>一、总  则</w:t>
      </w:r>
      <w:bookmarkEnd w:id="37"/>
    </w:p>
    <w:p w14:paraId="3F523E48">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38" w:name="_Toc254970527"/>
      <w:bookmarkStart w:id="39" w:name="_Toc254970668"/>
      <w:r>
        <w:rPr>
          <w:rFonts w:hint="eastAsia" w:ascii="宋体" w:hAnsi="宋体" w:cs="宋体"/>
          <w:color w:val="auto"/>
          <w:sz w:val="24"/>
          <w:highlight w:val="none"/>
        </w:rPr>
        <w:t>1.适用范围</w:t>
      </w:r>
      <w:bookmarkEnd w:id="38"/>
      <w:bookmarkEnd w:id="39"/>
    </w:p>
    <w:p w14:paraId="02526D80">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20B1E6EF">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6BBCA7D5">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40" w:name="_Toc254970528"/>
      <w:bookmarkStart w:id="41" w:name="_Toc254970669"/>
      <w:r>
        <w:rPr>
          <w:rFonts w:hint="eastAsia" w:ascii="宋体" w:hAnsi="宋体" w:cs="宋体"/>
          <w:color w:val="auto"/>
          <w:sz w:val="24"/>
          <w:highlight w:val="none"/>
        </w:rPr>
        <w:t>2.定义</w:t>
      </w:r>
      <w:bookmarkEnd w:id="40"/>
      <w:bookmarkEnd w:id="41"/>
    </w:p>
    <w:p w14:paraId="5569B34D">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2.1“采购人”是指依法进行政府采购的国家机关、事业单位、团体组织。</w:t>
      </w:r>
    </w:p>
    <w:p w14:paraId="16293C6F">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2.2“采购代理机构” 指政府采购集中采购机构和集中采购机构以外的采购代理机构。</w:t>
      </w:r>
    </w:p>
    <w:p w14:paraId="3AEF23DB">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2.3“供应商”是指向采购人提供货物、工程或者服务的法人、其他组织或者自然人。</w:t>
      </w:r>
    </w:p>
    <w:p w14:paraId="34E858AF">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2.4“投标人”是指响应招标、参加投标竞争的法人、非法人组织或者自然人。</w:t>
      </w:r>
    </w:p>
    <w:p w14:paraId="63543F25">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2.5“服务”是指除货物和工程以外的其他政府采购对象。</w:t>
      </w:r>
    </w:p>
    <w:p w14:paraId="45805F9A">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2.6“书面形式”是指合同书、信件和数据电文（包括电报、电传、传真、短信、电子数据交换和电子邮件）等可以有形地表现所载内容的形式。</w:t>
      </w:r>
    </w:p>
    <w:p w14:paraId="42AD6AF7">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2.7“实质性要求”是指招标文件中已经指明不满足则投标无效的条款，或者不能负偏离的条款，或者采购需求中带“</w:t>
      </w:r>
      <w:r>
        <w:rPr>
          <w:rFonts w:hint="eastAsia" w:ascii="宋体" w:hAnsi="宋体" w:cs="宋体"/>
          <w:b/>
          <w:bCs/>
          <w:color w:val="auto"/>
          <w:szCs w:val="21"/>
          <w:highlight w:val="none"/>
        </w:rPr>
        <w:t>▲</w:t>
      </w:r>
      <w:r>
        <w:rPr>
          <w:rFonts w:hint="eastAsia" w:ascii="宋体" w:hAnsi="宋体" w:cs="宋体"/>
          <w:b/>
          <w:color w:val="auto"/>
          <w:szCs w:val="21"/>
          <w:highlight w:val="none"/>
        </w:rPr>
        <w:t>”的条款。</w:t>
      </w:r>
    </w:p>
    <w:p w14:paraId="4CC881EE">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2.8“正偏离”，是指投标文件对招标文件“采购需求”中有关条款作出的响应优于条款要求并有利于采购人的情形。</w:t>
      </w:r>
    </w:p>
    <w:p w14:paraId="4BC02780">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2.9“负偏离”，是指投标文件对招标文件“采购需求”中有关条款作出的响应不满足条款要求，导致采购人要求不能得到满足的情形。</w:t>
      </w:r>
    </w:p>
    <w:p w14:paraId="422CD18C">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bookmarkStart w:id="42" w:name="_Toc254970670"/>
      <w:bookmarkStart w:id="43" w:name="_Toc254970529"/>
    </w:p>
    <w:p w14:paraId="11AC92B5">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bookmarkEnd w:id="42"/>
      <w:bookmarkEnd w:id="43"/>
      <w:r>
        <w:rPr>
          <w:rFonts w:hint="eastAsia" w:ascii="宋体" w:hAnsi="宋体" w:cs="宋体"/>
          <w:color w:val="auto"/>
          <w:sz w:val="24"/>
          <w:highlight w:val="none"/>
        </w:rPr>
        <w:t>投标人的资格要求</w:t>
      </w:r>
    </w:p>
    <w:p w14:paraId="73A1E5A1">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投标人的资格要求详见“招标公告”。</w:t>
      </w:r>
    </w:p>
    <w:p w14:paraId="159A0A7E">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44" w:name="_Toc254970530"/>
      <w:bookmarkStart w:id="45" w:name="_Toc254970671"/>
      <w:r>
        <w:rPr>
          <w:rFonts w:hint="eastAsia" w:ascii="宋体" w:hAnsi="宋体" w:cs="宋体"/>
          <w:color w:val="auto"/>
          <w:sz w:val="24"/>
          <w:highlight w:val="none"/>
        </w:rPr>
        <w:t>4.投标委托</w:t>
      </w:r>
      <w:bookmarkEnd w:id="44"/>
      <w:bookmarkEnd w:id="45"/>
    </w:p>
    <w:p w14:paraId="11BDF8FB">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3ABBAA19">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46" w:name="_5.投标费用"/>
      <w:bookmarkEnd w:id="46"/>
      <w:bookmarkStart w:id="47" w:name="_Toc254970672"/>
      <w:bookmarkStart w:id="48" w:name="_Toc254970531"/>
      <w:r>
        <w:rPr>
          <w:rFonts w:hint="eastAsia" w:ascii="宋体" w:hAnsi="宋体" w:cs="宋体"/>
          <w:color w:val="auto"/>
          <w:sz w:val="24"/>
          <w:highlight w:val="none"/>
        </w:rPr>
        <w:t>5.投标费用</w:t>
      </w:r>
      <w:bookmarkEnd w:id="47"/>
      <w:bookmarkEnd w:id="48"/>
    </w:p>
    <w:p w14:paraId="3EA8D625">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5F25428A">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6.联合体投标</w:t>
      </w:r>
    </w:p>
    <w:p w14:paraId="5765A096">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080B4A91">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14:paraId="7D6E6E18">
      <w:pPr>
        <w:pageBreakBefore w:val="0"/>
        <w:wordWrap w:val="0"/>
        <w:overflowPunct/>
        <w:topLinePunct w:val="0"/>
        <w:bidi w:val="0"/>
        <w:spacing w:line="360" w:lineRule="auto"/>
        <w:ind w:firstLine="420" w:firstLineChars="200"/>
        <w:rPr>
          <w:rFonts w:ascii="宋体" w:hAnsi="宋体" w:cs="宋体"/>
          <w:bCs/>
          <w:color w:val="auto"/>
          <w:sz w:val="24"/>
          <w:szCs w:val="21"/>
          <w:highlight w:val="none"/>
          <w:shd w:val="clear" w:color="auto" w:fill="FFFFFF"/>
        </w:rPr>
      </w:pPr>
      <w:r>
        <w:rPr>
          <w:rFonts w:hint="eastAsia" w:ascii="宋体" w:hAnsi="宋体" w:cs="宋体"/>
          <w:bCs/>
          <w:color w:val="auto"/>
          <w:szCs w:val="21"/>
          <w:highlight w:val="none"/>
        </w:rPr>
        <w:t>6.3根据《政府采购促进中小企业发展管理办法》（财库[2020]46号）第九条、</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1987367E">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7.转包与分包             </w:t>
      </w:r>
    </w:p>
    <w:p w14:paraId="458100CD">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4D5DD3AB">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7.2根据《政府采购促进中小企业发展管理办法》（财库[2020]46号）第九条及</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71A64F39">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49" w:name="_Toc254970532"/>
      <w:bookmarkStart w:id="50" w:name="_Toc254970673"/>
      <w:r>
        <w:rPr>
          <w:rFonts w:hint="eastAsia" w:ascii="宋体" w:hAnsi="宋体" w:cs="宋体"/>
          <w:color w:val="auto"/>
          <w:sz w:val="24"/>
          <w:highlight w:val="none"/>
        </w:rPr>
        <w:t>8.特别说明：</w:t>
      </w:r>
      <w:bookmarkEnd w:id="49"/>
      <w:bookmarkEnd w:id="50"/>
      <w:bookmarkStart w:id="51" w:name="_8.1提供相同品牌产品且通过资格审查、符合性审查的不同投标人参加同一合"/>
      <w:bookmarkEnd w:id="51"/>
    </w:p>
    <w:p w14:paraId="05B0D1D0">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8.1如果本招标文件要求投标人提供资格、信誉、荣誉、业绩与企业认证等材料的，则投标人所提供的以上材料必须为投标人所拥有。</w:t>
      </w:r>
    </w:p>
    <w:p w14:paraId="58CC2D41">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8.2投标人应仔细阅读招标文件的所有内容，按照招标文件的要求提交投标文件，并对所提供的全部资料的真实性承担法律责任。</w:t>
      </w:r>
    </w:p>
    <w:p w14:paraId="2C345A11">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8.3投标人在投标活动中提供任何虚假材料，将报监管部门查处；中标后发现的，中标供应商须依照《中华人民共和国消费者权益保护法》规定赔偿采购人，且民事赔偿并不免除违法投标人的行政与刑事责任。</w:t>
      </w:r>
    </w:p>
    <w:p w14:paraId="6F78D341">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9.回避与串通投标</w:t>
      </w:r>
    </w:p>
    <w:p w14:paraId="05E0F8D0">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9.1在政府采购活动中，采购人员及相关人员与供应商有下列利害关系之一的，应当回避：</w:t>
      </w:r>
    </w:p>
    <w:p w14:paraId="01947AD5">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（1）参加采购活动前3年内与供应商存在劳动关系；</w:t>
      </w:r>
    </w:p>
    <w:p w14:paraId="0445B10A">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（2）参加采购活动前3年内担任供应商的董事、监事；</w:t>
      </w:r>
    </w:p>
    <w:p w14:paraId="58FF58C2">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（3）参加采购活动前3年内是供应商的控股股东或者实际控制人；</w:t>
      </w:r>
    </w:p>
    <w:p w14:paraId="124D7387">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（4）与供应商的法定代表人或者负责人有夫妻、直系血亲、三代以内旁系血亲或者近姻亲关系；</w:t>
      </w:r>
    </w:p>
    <w:p w14:paraId="3F5F4886">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（5）与供应商有其他可能影响政府采购活动公平、公正进行的关系。</w:t>
      </w:r>
    </w:p>
    <w:p w14:paraId="094ED945">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09B9341">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9.2有下列情形之一的视为投标人相互串通投标，投标文件将被视为无效：</w:t>
      </w:r>
    </w:p>
    <w:p w14:paraId="5CC1428A">
      <w:pPr>
        <w:pageBreakBefore w:val="0"/>
        <w:wordWrap w:val="0"/>
        <w:overflowPunct/>
        <w:topLinePunct w:val="0"/>
        <w:bidi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（1）不同投标人的投标文件由同一单位或者个人编制；或者不同投标人报名的IP地址一致的；或者编制标书硬件设备CPU编号、硬盘编号、网卡地址一致的情况。</w:t>
      </w:r>
    </w:p>
    <w:p w14:paraId="456B9E38">
      <w:pPr>
        <w:pageBreakBefore w:val="0"/>
        <w:wordWrap w:val="0"/>
        <w:overflowPunct/>
        <w:topLinePunct w:val="0"/>
        <w:bidi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（2）不同投标人委托同一单位或者个人办理投标事宜；</w:t>
      </w:r>
    </w:p>
    <w:p w14:paraId="79ACB389">
      <w:pPr>
        <w:pageBreakBefore w:val="0"/>
        <w:wordWrap w:val="0"/>
        <w:overflowPunct/>
        <w:topLinePunct w:val="0"/>
        <w:bidi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（3）不同的投标人的投标文件载明的项目管理员为同一个人；</w:t>
      </w:r>
    </w:p>
    <w:p w14:paraId="428E1132">
      <w:pPr>
        <w:pageBreakBefore w:val="0"/>
        <w:wordWrap w:val="0"/>
        <w:overflowPunct/>
        <w:topLinePunct w:val="0"/>
        <w:bidi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（4）不同投标人的电子或纸质投标文件异常一致或者投标报价呈规律性差异；</w:t>
      </w:r>
    </w:p>
    <w:p w14:paraId="1F5663E0">
      <w:pPr>
        <w:pageBreakBefore w:val="0"/>
        <w:wordWrap w:val="0"/>
        <w:overflowPunct/>
        <w:topLinePunct w:val="0"/>
        <w:bidi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（5）不同投标人的纸质投标文件相互混装；</w:t>
      </w:r>
    </w:p>
    <w:p w14:paraId="4AE58A6B">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9.3供应商有下列情形之一的，属于恶意串通行为，将报同级监督管理部门：</w:t>
      </w:r>
    </w:p>
    <w:p w14:paraId="4211C30A">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（1）供应商直接或者间接从采购人或者采购代理机构处获得其他供应商的相关信息并修改其投标文件或者投标文件；</w:t>
      </w:r>
    </w:p>
    <w:p w14:paraId="74A2B1E9">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（2）供应商按照采购人或者采购代理机构的授意撤换、修改投标文件或者投标文件；</w:t>
      </w:r>
    </w:p>
    <w:p w14:paraId="3FD2B91C">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（3）供应商之间协商报价、技术方案等投标文件或者投标文件的实质性内容；</w:t>
      </w:r>
    </w:p>
    <w:p w14:paraId="00868C5D">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（4）属于同一集团、协会、商会等组织成员的供应商按照该组织要求协同参加政府采购活动；</w:t>
      </w:r>
    </w:p>
    <w:p w14:paraId="3CA0F5FD">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1557782C">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（6）供应商之间商定部分供应商放弃参加政府采购活动或者放弃中标；</w:t>
      </w:r>
    </w:p>
    <w:p w14:paraId="2020897A">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（7）供应商与采购人或者采购代理机构之间、供应商相互之间，为谋求特定供应商中标或者排斥其他供应商的其他串通行为。</w:t>
      </w:r>
    </w:p>
    <w:p w14:paraId="3C873622">
      <w:pPr>
        <w:pStyle w:val="12"/>
        <w:pageBreakBefore w:val="0"/>
        <w:wordWrap w:val="0"/>
        <w:overflowPunct/>
        <w:topLinePunct w:val="0"/>
        <w:bidi w:val="0"/>
        <w:snapToGrid w:val="0"/>
        <w:spacing w:line="360" w:lineRule="auto"/>
        <w:ind w:left="2" w:leftChars="1" w:firstLine="422" w:firstLineChars="200"/>
        <w:rPr>
          <w:rFonts w:hAnsi="宋体" w:cs="宋体"/>
          <w:b/>
          <w:color w:val="auto"/>
          <w:highlight w:val="none"/>
        </w:rPr>
      </w:pPr>
    </w:p>
    <w:p w14:paraId="0305E1FB">
      <w:pPr>
        <w:pStyle w:val="5"/>
        <w:keepNext w:val="0"/>
        <w:keepLines w:val="0"/>
        <w:pageBreakBefore w:val="0"/>
        <w:wordWrap w:val="0"/>
        <w:overflowPunct/>
        <w:topLinePunct w:val="0"/>
        <w:bidi w:val="0"/>
        <w:spacing w:line="360" w:lineRule="auto"/>
        <w:jc w:val="center"/>
        <w:rPr>
          <w:rFonts w:ascii="宋体" w:hAnsi="宋体" w:cs="宋体"/>
          <w:color w:val="auto"/>
          <w:highlight w:val="none"/>
        </w:rPr>
      </w:pPr>
      <w:bookmarkStart w:id="52" w:name="_Toc254970534"/>
      <w:bookmarkStart w:id="53" w:name="_Toc8119"/>
      <w:bookmarkStart w:id="54" w:name="_Toc254970675"/>
      <w:r>
        <w:rPr>
          <w:rFonts w:hint="eastAsia" w:ascii="宋体" w:hAnsi="宋体" w:cs="宋体"/>
          <w:color w:val="auto"/>
          <w:highlight w:val="none"/>
        </w:rPr>
        <w:t>二、招标文件</w:t>
      </w:r>
      <w:bookmarkEnd w:id="52"/>
      <w:bookmarkEnd w:id="53"/>
      <w:bookmarkEnd w:id="54"/>
    </w:p>
    <w:p w14:paraId="0E5BEC83">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10.招标文件的组成</w:t>
      </w:r>
    </w:p>
    <w:p w14:paraId="46D40F95">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第一章 招标公告；</w:t>
      </w:r>
    </w:p>
    <w:p w14:paraId="21BDB0FC">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第二章 采购需求； </w:t>
      </w:r>
    </w:p>
    <w:p w14:paraId="02144C16">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第三章 投标人须知；</w:t>
      </w:r>
    </w:p>
    <w:p w14:paraId="5169912F">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第四章 评标方法及评标标准；</w:t>
      </w:r>
    </w:p>
    <w:p w14:paraId="2DECEF7E">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第五章 拟签订的合同文本；</w:t>
      </w:r>
    </w:p>
    <w:p w14:paraId="670A1ACD">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第六章 投标文件格式；</w:t>
      </w:r>
    </w:p>
    <w:p w14:paraId="145326B7">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第七章 质疑、投诉材料格式</w:t>
      </w:r>
    </w:p>
    <w:p w14:paraId="28A4ACBF">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根据本章第11.1项的规定对公开招标文件所做的澄清、修改，构成招标文件的组成部分。当公开招标文件与招标文件的澄清和修改就同一内容的表述不一致时，以最后澄清或修改公告为准。</w:t>
      </w:r>
    </w:p>
    <w:p w14:paraId="7D2DB529">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14:paraId="0D6E462D">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51BAF89C">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11.2 投标人应认真审阅本公开招标文件，如有疑问，或发现其中有误或有要求不合理的，应在投标人须知前附表规定的</w:t>
      </w:r>
      <w:r>
        <w:rPr>
          <w:rFonts w:hint="eastAsia" w:ascii="宋体" w:hAnsi="宋体" w:cs="宋体"/>
          <w:color w:val="auto"/>
          <w:kern w:val="0"/>
          <w:szCs w:val="21"/>
          <w:highlight w:val="none"/>
        </w:rPr>
        <w:t>投标截止时间</w:t>
      </w:r>
      <w:r>
        <w:rPr>
          <w:rFonts w:hint="eastAsia" w:ascii="宋体" w:hAnsi="宋体" w:cs="宋体"/>
          <w:color w:val="auto"/>
          <w:highlight w:val="none"/>
        </w:rPr>
        <w:t>前以书面形式要求采购人或采购代理机构对招标文件予以澄清；否则，由此产生的后果由投标人自行负责。</w:t>
      </w:r>
    </w:p>
    <w:p w14:paraId="39E41B8E">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auto"/>
          <w:szCs w:val="21"/>
          <w:highlight w:val="none"/>
        </w:rPr>
        <w:t>投标人须知前附表”</w:t>
      </w:r>
      <w:r>
        <w:rPr>
          <w:rFonts w:hint="eastAsia" w:ascii="宋体" w:hAnsi="宋体" w:cs="宋体"/>
          <w:color w:val="auto"/>
          <w:highlight w:val="none"/>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5698BCE8">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11.4 采购人和采购代理机构可以视采购具体情况，变更投标截止时间和开标时间，将变更时间将在“</w:t>
      </w:r>
      <w:r>
        <w:rPr>
          <w:rFonts w:hint="eastAsia" w:ascii="宋体" w:hAnsi="宋体" w:cs="宋体"/>
          <w:color w:val="auto"/>
          <w:szCs w:val="21"/>
          <w:highlight w:val="none"/>
        </w:rPr>
        <w:t>投标人须知前附表”</w:t>
      </w:r>
      <w:r>
        <w:rPr>
          <w:rFonts w:hint="eastAsia" w:ascii="宋体" w:hAnsi="宋体" w:cs="宋体"/>
          <w:color w:val="auto"/>
          <w:kern w:val="0"/>
          <w:szCs w:val="21"/>
          <w:highlight w:val="none"/>
        </w:rPr>
        <w:t>规定的政府采购信息发布媒体上</w:t>
      </w:r>
      <w:r>
        <w:rPr>
          <w:rFonts w:hint="eastAsia" w:ascii="宋体" w:hAnsi="宋体" w:cs="宋体"/>
          <w:color w:val="auto"/>
          <w:highlight w:val="none"/>
        </w:rPr>
        <w:t>发布更正公告。</w:t>
      </w:r>
    </w:p>
    <w:p w14:paraId="0AE94AF8">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w:t>
      </w:r>
      <w:bookmarkStart w:id="55" w:name="_Hlk53134511"/>
      <w:r>
        <w:rPr>
          <w:rFonts w:hint="eastAsia" w:ascii="宋体" w:hAnsi="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55"/>
    <w:p w14:paraId="478B6E5E">
      <w:pPr>
        <w:pStyle w:val="5"/>
        <w:keepNext w:val="0"/>
        <w:keepLines w:val="0"/>
        <w:pageBreakBefore w:val="0"/>
        <w:wordWrap w:val="0"/>
        <w:overflowPunct/>
        <w:topLinePunct w:val="0"/>
        <w:bidi w:val="0"/>
        <w:spacing w:line="360" w:lineRule="auto"/>
        <w:jc w:val="center"/>
        <w:rPr>
          <w:rFonts w:ascii="宋体" w:hAnsi="宋体" w:cs="宋体"/>
          <w:color w:val="auto"/>
          <w:highlight w:val="none"/>
        </w:rPr>
      </w:pPr>
      <w:bookmarkStart w:id="56" w:name="_Toc254970676"/>
      <w:bookmarkStart w:id="57" w:name="_Toc254970535"/>
      <w:bookmarkStart w:id="58" w:name="_Toc21817"/>
      <w:bookmarkStart w:id="59" w:name="_Toc254970544"/>
      <w:bookmarkStart w:id="60" w:name="_Toc254970685"/>
      <w:bookmarkStart w:id="61" w:name="_Toc19841"/>
      <w:r>
        <w:rPr>
          <w:rFonts w:hint="eastAsia" w:ascii="宋体" w:hAnsi="宋体" w:cs="宋体"/>
          <w:color w:val="auto"/>
          <w:highlight w:val="none"/>
        </w:rPr>
        <w:t>三、投标文件的编制</w:t>
      </w:r>
      <w:bookmarkEnd w:id="56"/>
      <w:bookmarkEnd w:id="57"/>
      <w:bookmarkEnd w:id="58"/>
    </w:p>
    <w:p w14:paraId="27399CF9">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62" w:name="_Toc254970677"/>
      <w:bookmarkStart w:id="63" w:name="_Toc254970536"/>
      <w:r>
        <w:rPr>
          <w:rFonts w:hint="eastAsia" w:ascii="宋体" w:hAnsi="宋体" w:cs="宋体"/>
          <w:color w:val="auto"/>
          <w:sz w:val="24"/>
          <w:highlight w:val="none"/>
        </w:rPr>
        <w:t>12.投标文件的编制原则</w:t>
      </w:r>
    </w:p>
    <w:p w14:paraId="589180AD">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12.1投标人必须按照招标文件的要求编制投标文件。投标文件必须对招标文件提出的要求和条件作出明确响应。</w:t>
      </w:r>
    </w:p>
    <w:p w14:paraId="1C70387B">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356E6F90">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13.投标文件的组成</w:t>
      </w:r>
      <w:bookmarkEnd w:id="62"/>
      <w:bookmarkEnd w:id="63"/>
    </w:p>
    <w:p w14:paraId="7DA59FD6">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13.1投标文件由报价文件、资格证明文件、商务文件、技术文件四部分组成。</w:t>
      </w:r>
    </w:p>
    <w:p w14:paraId="26D07049">
      <w:pPr>
        <w:pageBreakBefore w:val="0"/>
        <w:wordWrap w:val="0"/>
        <w:overflowPunct/>
        <w:topLinePunct w:val="0"/>
        <w:bidi w:val="0"/>
        <w:spacing w:line="360" w:lineRule="auto"/>
        <w:ind w:firstLine="420" w:firstLineChars="200"/>
        <w:rPr>
          <w:rFonts w:ascii="宋体" w:hAnsi="宋体" w:cs="宋体"/>
          <w:bCs/>
          <w:color w:val="auto"/>
          <w:szCs w:val="21"/>
          <w:highlight w:val="none"/>
        </w:rPr>
      </w:pPr>
      <w:bookmarkStart w:id="64" w:name="_13.1报价文件:_具体材料见“投标人须知前附表”。"/>
      <w:bookmarkEnd w:id="64"/>
      <w:bookmarkStart w:id="65" w:name="_13.2资格证明文件：具体材料见“投标人须知前附表”。"/>
      <w:bookmarkEnd w:id="65"/>
      <w:r>
        <w:rPr>
          <w:rFonts w:hint="eastAsia" w:ascii="宋体" w:hAnsi="宋体" w:cs="宋体"/>
          <w:bCs/>
          <w:color w:val="auto"/>
          <w:szCs w:val="21"/>
          <w:highlight w:val="none"/>
        </w:rPr>
        <w:t>（1）资格证明文件：具体材料见“投标人须知前附表”。</w:t>
      </w:r>
    </w:p>
    <w:p w14:paraId="47F6B951">
      <w:pPr>
        <w:pageBreakBefore w:val="0"/>
        <w:wordWrap w:val="0"/>
        <w:overflowPunct/>
        <w:topLinePunct w:val="0"/>
        <w:bidi w:val="0"/>
        <w:spacing w:line="360" w:lineRule="auto"/>
        <w:ind w:firstLine="420" w:firstLineChars="200"/>
        <w:rPr>
          <w:rFonts w:ascii="宋体" w:hAnsi="宋体" w:cs="宋体"/>
          <w:bCs/>
          <w:color w:val="auto"/>
          <w:szCs w:val="21"/>
          <w:highlight w:val="none"/>
        </w:rPr>
      </w:pPr>
      <w:bookmarkStart w:id="66" w:name="_13.3商务文件:_具体材料见“投标人须知前附表”。"/>
      <w:bookmarkEnd w:id="66"/>
      <w:r>
        <w:rPr>
          <w:rFonts w:hint="eastAsia" w:ascii="宋体" w:hAnsi="宋体" w:cs="宋体"/>
          <w:bCs/>
          <w:color w:val="auto"/>
          <w:szCs w:val="21"/>
          <w:highlight w:val="none"/>
        </w:rPr>
        <w:t>（2）商务文件：具体材料见“投标人须知前附表”。</w:t>
      </w:r>
    </w:p>
    <w:p w14:paraId="64F97C13">
      <w:pPr>
        <w:pageBreakBefore w:val="0"/>
        <w:wordWrap w:val="0"/>
        <w:overflowPunct/>
        <w:topLinePunct w:val="0"/>
        <w:bidi w:val="0"/>
        <w:spacing w:line="360" w:lineRule="auto"/>
        <w:ind w:firstLine="420" w:firstLineChars="200"/>
        <w:rPr>
          <w:rFonts w:ascii="宋体" w:hAnsi="宋体" w:cs="宋体"/>
          <w:bCs/>
          <w:color w:val="auto"/>
          <w:szCs w:val="21"/>
          <w:highlight w:val="none"/>
        </w:rPr>
      </w:pPr>
      <w:bookmarkStart w:id="67" w:name="_13.4技术文件：具体材料见“投标人须知前附表”。"/>
      <w:bookmarkEnd w:id="67"/>
      <w:r>
        <w:rPr>
          <w:rFonts w:hint="eastAsia" w:ascii="宋体" w:hAnsi="宋体" w:cs="宋体"/>
          <w:bCs/>
          <w:color w:val="auto"/>
          <w:szCs w:val="21"/>
          <w:highlight w:val="none"/>
        </w:rPr>
        <w:t xml:space="preserve">（3）技术文件：具体材料见“投标人须知前附表”。 </w:t>
      </w:r>
    </w:p>
    <w:p w14:paraId="3AF55239">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（4）报价文件： 具体材料见“投标人须知前附表”。</w:t>
      </w:r>
    </w:p>
    <w:p w14:paraId="3385433F">
      <w:pPr>
        <w:pageBreakBefore w:val="0"/>
        <w:wordWrap w:val="0"/>
        <w:overflowPunct/>
        <w:topLinePunct w:val="0"/>
        <w:bidi w:val="0"/>
        <w:spacing w:line="360" w:lineRule="auto"/>
        <w:ind w:firstLine="420" w:firstLineChars="200"/>
        <w:rPr>
          <w:rFonts w:ascii="宋体" w:hAnsi="宋体" w:cs="宋体"/>
          <w:bCs/>
          <w:color w:val="auto"/>
          <w:szCs w:val="21"/>
          <w:highlight w:val="none"/>
        </w:rPr>
      </w:pPr>
      <w:bookmarkStart w:id="68" w:name="_13.5投标文件电子版：具体材料见“投标人须知前附表”。"/>
      <w:bookmarkEnd w:id="68"/>
      <w:r>
        <w:rPr>
          <w:rFonts w:hint="eastAsia" w:ascii="宋体" w:hAnsi="宋体" w:cs="宋体"/>
          <w:bCs/>
          <w:color w:val="auto"/>
          <w:szCs w:val="21"/>
          <w:highlight w:val="none"/>
        </w:rPr>
        <w:t>13.2投标文件电子版：具体要求见本节19.投标文件编制。</w:t>
      </w:r>
    </w:p>
    <w:p w14:paraId="5D7F4A89">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69" w:name="_Toc254970678"/>
      <w:bookmarkStart w:id="70" w:name="_Toc254970537"/>
      <w:r>
        <w:rPr>
          <w:rFonts w:hint="eastAsia" w:ascii="宋体" w:hAnsi="宋体" w:cs="宋体"/>
          <w:color w:val="auto"/>
          <w:sz w:val="24"/>
          <w:highlight w:val="none"/>
        </w:rPr>
        <w:t>14.投标文件的语言及计量</w:t>
      </w:r>
      <w:bookmarkEnd w:id="69"/>
      <w:bookmarkEnd w:id="70"/>
    </w:p>
    <w:p w14:paraId="1B298EE2">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14.1语言文字</w:t>
      </w:r>
    </w:p>
    <w:p w14:paraId="492FE0D2">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529C9943">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14.2投标计量单位</w:t>
      </w:r>
    </w:p>
    <w:p w14:paraId="3FCCE2B9">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4CD01916">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71" w:name="_Toc254970679"/>
      <w:bookmarkStart w:id="72" w:name="_Toc254970538"/>
      <w:r>
        <w:rPr>
          <w:rFonts w:hint="eastAsia" w:ascii="宋体" w:hAnsi="宋体" w:cs="宋体"/>
          <w:color w:val="auto"/>
          <w:sz w:val="24"/>
          <w:highlight w:val="none"/>
        </w:rPr>
        <w:t xml:space="preserve">15.投标文件提交的风险 </w:t>
      </w:r>
    </w:p>
    <w:p w14:paraId="7B63F217">
      <w:pPr>
        <w:pageBreakBefore w:val="0"/>
        <w:wordWrap w:val="0"/>
        <w:overflowPunct/>
        <w:topLinePunct w:val="0"/>
        <w:bidi w:val="0"/>
        <w:spacing w:line="360" w:lineRule="auto"/>
        <w:ind w:firstLine="420" w:firstLineChars="200"/>
        <w:rPr>
          <w:rFonts w:ascii="宋体" w:hAnsi="宋体" w:cs="宋体"/>
          <w:bCs/>
          <w:color w:val="auto"/>
          <w:szCs w:val="20"/>
          <w:highlight w:val="none"/>
        </w:rPr>
      </w:pPr>
      <w:r>
        <w:rPr>
          <w:rFonts w:hint="eastAsia" w:ascii="宋体" w:hAnsi="宋体" w:cs="宋体"/>
          <w:bCs/>
          <w:color w:val="auto"/>
          <w:szCs w:val="20"/>
          <w:highlight w:val="none"/>
        </w:rPr>
        <w:t>投标文件分为资格文件、商务文件、技术文件、报价文件四部分（其中：商务文件与技术文件合并编辑 成一个电子文档）。各投标人在编制投标文件时请按照招标文件规定的编排格式进行，不按要求提交齐全 的文件、混乱的编排导致投标文件被误读或评标委员会查找不到有效文件是造成投标人投标文件无效的风 险。▲投标文件内容不齐全、未按规定的文件格式编制的、没有对招标文件作出实质性响应，投标无效；</w:t>
      </w:r>
    </w:p>
    <w:p w14:paraId="48DC5D76">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16.投标报价</w:t>
      </w:r>
      <w:bookmarkEnd w:id="71"/>
      <w:bookmarkEnd w:id="72"/>
    </w:p>
    <w:p w14:paraId="671FF960">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16.1投标报价应</w:t>
      </w:r>
      <w:r>
        <w:rPr>
          <w:rFonts w:hint="eastAsia" w:ascii="宋体" w:hAnsi="宋体" w:cs="宋体"/>
          <w:bCs/>
          <w:color w:val="auto"/>
          <w:szCs w:val="20"/>
          <w:highlight w:val="none"/>
        </w:rPr>
        <w:t>按“第六章　投标文件格式”中“开标一览表”格式填写。</w:t>
      </w:r>
    </w:p>
    <w:p w14:paraId="276DC84F">
      <w:pPr>
        <w:pageBreakBefore w:val="0"/>
        <w:wordWrap w:val="0"/>
        <w:overflowPunct/>
        <w:topLinePunct w:val="0"/>
        <w:bidi w:val="0"/>
        <w:spacing w:line="360" w:lineRule="auto"/>
        <w:ind w:firstLine="420" w:firstLineChars="200"/>
        <w:rPr>
          <w:rFonts w:ascii="宋体" w:hAnsi="宋体" w:cs="宋体"/>
          <w:bCs/>
          <w:color w:val="auto"/>
          <w:szCs w:val="21"/>
          <w:highlight w:val="none"/>
        </w:rPr>
      </w:pPr>
      <w:bookmarkStart w:id="73" w:name="_16.2投标报价具体定义见投标人须知前附表。"/>
      <w:bookmarkEnd w:id="73"/>
      <w:r>
        <w:rPr>
          <w:rFonts w:hint="eastAsia" w:ascii="宋体" w:hAnsi="宋体" w:cs="宋体"/>
          <w:bCs/>
          <w:color w:val="auto"/>
          <w:szCs w:val="21"/>
          <w:highlight w:val="none"/>
        </w:rPr>
        <w:t>16.2投标报价具体包括内容详见“投标人须知前附表”。</w:t>
      </w:r>
    </w:p>
    <w:p w14:paraId="0233A36B">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16.3投标人必须就所投每个分标的全部内容分别作完整唯一总价报价，不得存在漏项报价；投标人必须就所投分标的单项内容作唯一报价。</w:t>
      </w:r>
    </w:p>
    <w:p w14:paraId="4D21E09D">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17.投标有效期</w:t>
      </w:r>
    </w:p>
    <w:p w14:paraId="4117FB22">
      <w:pPr>
        <w:pageBreakBefore w:val="0"/>
        <w:wordWrap w:val="0"/>
        <w:overflowPunct/>
        <w:topLinePunct w:val="0"/>
        <w:bidi w:val="0"/>
        <w:spacing w:line="360" w:lineRule="auto"/>
        <w:ind w:firstLine="420" w:firstLineChars="200"/>
        <w:rPr>
          <w:rFonts w:ascii="宋体" w:hAnsi="宋体" w:cs="宋体"/>
          <w:bCs/>
          <w:color w:val="auto"/>
          <w:szCs w:val="21"/>
          <w:highlight w:val="none"/>
        </w:rPr>
      </w:pPr>
      <w:bookmarkStart w:id="74" w:name="_17.1投标有效期应按“投标人须知中的前附表”规定的期限。"/>
      <w:bookmarkEnd w:id="74"/>
      <w:r>
        <w:rPr>
          <w:rFonts w:hint="eastAsia" w:ascii="宋体" w:hAnsi="宋体" w:cs="宋体"/>
          <w:bCs/>
          <w:color w:val="auto"/>
          <w:szCs w:val="21"/>
          <w:highlight w:val="none"/>
        </w:rPr>
        <w:t>17.1投标有效期是指为保证采购人有足够的时间在开标后完成评标、定标、合同签订等工作而要求投标人提交的投标文件在一定时间内保持有效的期限。</w:t>
      </w:r>
    </w:p>
    <w:p w14:paraId="1ABDB8D9">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17.2</w:t>
      </w:r>
      <w:bookmarkStart w:id="75" w:name="_Toc254970681"/>
      <w:bookmarkStart w:id="76" w:name="_Toc254970540"/>
      <w:r>
        <w:rPr>
          <w:rFonts w:hint="eastAsia" w:ascii="宋体" w:hAnsi="宋体" w:cs="宋体"/>
          <w:bCs/>
          <w:color w:val="auto"/>
          <w:szCs w:val="21"/>
          <w:highlight w:val="none"/>
        </w:rPr>
        <w:t xml:space="preserve"> 投标有效期应按规定的期限作出承诺，具体详见“投标人须知前附表”。</w:t>
      </w:r>
    </w:p>
    <w:p w14:paraId="32C69E67">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17.3投标人的投标文件在投标有效期内均保持有效。</w:t>
      </w:r>
      <w:bookmarkEnd w:id="75"/>
      <w:bookmarkEnd w:id="76"/>
    </w:p>
    <w:p w14:paraId="6989CDF8">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77" w:name="_18.投标保证金"/>
      <w:bookmarkEnd w:id="77"/>
      <w:bookmarkStart w:id="78" w:name="_Toc254970541"/>
      <w:bookmarkStart w:id="79" w:name="_Toc254970682"/>
      <w:r>
        <w:rPr>
          <w:rFonts w:hint="eastAsia" w:ascii="宋体" w:hAnsi="宋体" w:cs="宋体"/>
          <w:color w:val="auto"/>
          <w:sz w:val="24"/>
          <w:highlight w:val="none"/>
        </w:rPr>
        <w:t>18.投标保证金</w:t>
      </w:r>
      <w:bookmarkEnd w:id="78"/>
      <w:bookmarkEnd w:id="79"/>
    </w:p>
    <w:p w14:paraId="5AD20455">
      <w:pPr>
        <w:pageBreakBefore w:val="0"/>
        <w:wordWrap w:val="0"/>
        <w:overflowPunct/>
        <w:topLinePunct w:val="0"/>
        <w:bidi w:val="0"/>
        <w:spacing w:line="360" w:lineRule="auto"/>
        <w:ind w:firstLine="420" w:firstLineChars="200"/>
        <w:rPr>
          <w:rFonts w:ascii="宋体" w:hAnsi="宋体" w:cs="宋体"/>
          <w:color w:val="auto"/>
          <w:szCs w:val="21"/>
          <w:highlight w:val="none"/>
        </w:rPr>
      </w:pPr>
      <w:bookmarkStart w:id="80" w:name="_Toc254970683"/>
      <w:bookmarkStart w:id="81" w:name="_Toc254970542"/>
      <w:r>
        <w:rPr>
          <w:rFonts w:hint="eastAsia" w:ascii="宋体" w:hAnsi="宋体" w:cs="宋体"/>
          <w:color w:val="auto"/>
          <w:szCs w:val="21"/>
          <w:highlight w:val="none"/>
        </w:rPr>
        <w:t>见“投标人须知前附表”。</w:t>
      </w:r>
    </w:p>
    <w:p w14:paraId="695033B8">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19.投标文件的</w:t>
      </w:r>
      <w:bookmarkEnd w:id="80"/>
      <w:bookmarkEnd w:id="81"/>
      <w:r>
        <w:rPr>
          <w:rFonts w:hint="eastAsia" w:ascii="宋体" w:hAnsi="宋体" w:cs="宋体"/>
          <w:color w:val="auto"/>
          <w:sz w:val="24"/>
          <w:highlight w:val="none"/>
        </w:rPr>
        <w:t>编制</w:t>
      </w:r>
    </w:p>
    <w:p w14:paraId="09017323">
      <w:pPr>
        <w:pageBreakBefore w:val="0"/>
        <w:wordWrap w:val="0"/>
        <w:overflowPunct/>
        <w:topLinePunct w:val="0"/>
        <w:bidi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82" w:name="_19.2投标文件应按报价文件、资格证明文件、商务文件、技术文件分别编制"/>
      <w:bookmarkEnd w:id="82"/>
      <w:r>
        <w:rPr>
          <w:rFonts w:hint="eastAsia" w:ascii="宋体" w:hAnsi="宋体" w:cs="宋体"/>
          <w:color w:val="auto"/>
          <w:szCs w:val="21"/>
          <w:highlight w:val="none"/>
        </w:rPr>
        <w:t xml:space="preserve"> </w:t>
      </w:r>
    </w:p>
    <w:p w14:paraId="7CD2FCAD">
      <w:pPr>
        <w:pStyle w:val="28"/>
        <w:pageBreakBefore w:val="0"/>
        <w:wordWrap w:val="0"/>
        <w:overflowPunct/>
        <w:topLinePunct w:val="0"/>
        <w:bidi w:val="0"/>
        <w:snapToGrid w:val="0"/>
        <w:spacing w:before="0"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19.2投标文件按照招标文件第六章格式要求在规定位置进行签署、盖章。投标人的投标文件未按照招标文件要求签署、盖章的，</w:t>
      </w:r>
      <w:r>
        <w:rPr>
          <w:rFonts w:hint="eastAsia" w:ascii="宋体" w:hAnsi="宋体" w:cs="宋体"/>
          <w:b/>
          <w:color w:val="auto"/>
          <w:sz w:val="21"/>
          <w:szCs w:val="21"/>
          <w:highlight w:val="none"/>
        </w:rPr>
        <w:t>其投标无效。</w:t>
      </w:r>
      <w:r>
        <w:rPr>
          <w:rFonts w:hint="eastAsia" w:ascii="宋体" w:hAnsi="宋体" w:cs="宋体"/>
          <w:color w:val="auto"/>
          <w:sz w:val="21"/>
          <w:szCs w:val="21"/>
          <w:highlight w:val="none"/>
        </w:rPr>
        <w:t>骑缝盖公章不视为在规定位置盖章。</w:t>
      </w:r>
    </w:p>
    <w:p w14:paraId="48087D70">
      <w:pPr>
        <w:pStyle w:val="28"/>
        <w:pageBreakBefore w:val="0"/>
        <w:wordWrap w:val="0"/>
        <w:overflowPunct/>
        <w:topLinePunct w:val="0"/>
        <w:bidi w:val="0"/>
        <w:snapToGrid w:val="0"/>
        <w:spacing w:before="0"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19.3为确保网上操作合法、有效和安全，投标人应当在投标截止时间前完成在广西政府采购云平台的身份认证，确保在电子投标过程中能够对相关数据电文进行加密和使用电子签名。</w:t>
      </w:r>
    </w:p>
    <w:p w14:paraId="4CCC534C">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s="宋体"/>
          <w:color w:val="auto"/>
          <w:szCs w:val="21"/>
          <w:highlight w:val="none"/>
        </w:rPr>
        <w:t>否则作无效投标处理</w:t>
      </w:r>
      <w:r>
        <w:rPr>
          <w:rFonts w:hint="eastAsia" w:ascii="宋体" w:hAnsi="宋体" w:cs="宋体"/>
          <w:b/>
          <w:color w:val="auto"/>
          <w:szCs w:val="21"/>
          <w:highlight w:val="none"/>
        </w:rPr>
        <w:t>。</w:t>
      </w:r>
    </w:p>
    <w:p w14:paraId="7EDEF526">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19.5投标文件应避免涂改、行间插字或者删除，</w:t>
      </w:r>
      <w:r>
        <w:rPr>
          <w:rFonts w:hint="eastAsia" w:ascii="宋体" w:hAnsi="宋体" w:cs="宋体"/>
          <w:b/>
          <w:color w:val="auto"/>
          <w:szCs w:val="21"/>
          <w:highlight w:val="none"/>
        </w:rPr>
        <w:t>否则其投标无效。</w:t>
      </w:r>
    </w:p>
    <w:p w14:paraId="506B6108">
      <w:pPr>
        <w:pageBreakBefore w:val="0"/>
        <w:wordWrap w:val="0"/>
        <w:overflowPunct/>
        <w:topLinePunct w:val="0"/>
        <w:bidi w:val="0"/>
        <w:spacing w:line="360" w:lineRule="auto"/>
        <w:ind w:firstLine="525" w:firstLineChars="250"/>
        <w:rPr>
          <w:rFonts w:ascii="宋体" w:hAnsi="宋体" w:cs="宋体"/>
          <w:color w:val="auto"/>
          <w:highlight w:val="none"/>
        </w:rPr>
      </w:pPr>
      <w:r>
        <w:rPr>
          <w:rFonts w:hint="eastAsia" w:ascii="宋体" w:hAnsi="宋体" w:cs="宋体"/>
          <w:color w:val="auto"/>
          <w:highlight w:val="none"/>
        </w:rPr>
        <w:t>19.6 对招标文件的实质性要求和条件作出响应是指投标人必须对招标文件中标注为实质性要求和条件的</w:t>
      </w:r>
      <w:r>
        <w:rPr>
          <w:rFonts w:hint="eastAsia" w:ascii="宋体" w:hAnsi="宋体" w:cs="宋体"/>
          <w:color w:val="auto"/>
          <w:szCs w:val="21"/>
          <w:highlight w:val="none"/>
        </w:rPr>
        <w:t>服务内容及要求</w:t>
      </w:r>
      <w:r>
        <w:rPr>
          <w:rFonts w:hint="eastAsia" w:ascii="宋体" w:hAnsi="宋体" w:cs="宋体"/>
          <w:color w:val="auto"/>
          <w:highlight w:val="none"/>
        </w:rPr>
        <w:t>、商务条款及其它内容</w:t>
      </w:r>
      <w:r>
        <w:rPr>
          <w:rFonts w:hint="eastAsia" w:ascii="宋体" w:hAnsi="宋体" w:cs="宋体"/>
          <w:b/>
          <w:color w:val="auto"/>
          <w:highlight w:val="none"/>
        </w:rPr>
        <w:t>作出满足或者优于原要求和条件的承诺</w:t>
      </w:r>
      <w:r>
        <w:rPr>
          <w:rFonts w:hint="eastAsia" w:ascii="宋体" w:hAnsi="宋体" w:cs="宋体"/>
          <w:color w:val="auto"/>
          <w:highlight w:val="none"/>
        </w:rPr>
        <w:t>。</w:t>
      </w:r>
    </w:p>
    <w:p w14:paraId="7DC5B0A0">
      <w:pPr>
        <w:pageBreakBefore w:val="0"/>
        <w:wordWrap w:val="0"/>
        <w:overflowPunct/>
        <w:topLinePunct w:val="0"/>
        <w:bidi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19.7本项目为南宁市全流程电子化项目，异常情况见“第二节 投标人须知正文”中“四、24.2开标程序。</w:t>
      </w:r>
    </w:p>
    <w:p w14:paraId="5E061352">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20.备份投标文件</w:t>
      </w:r>
    </w:p>
    <w:p w14:paraId="2BF90D63">
      <w:pPr>
        <w:pageBreakBefore w:val="0"/>
        <w:wordWrap w:val="0"/>
        <w:overflowPunct/>
        <w:topLinePunct w:val="0"/>
        <w:bidi w:val="0"/>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详见在“投标人须知前附表”。</w:t>
      </w:r>
    </w:p>
    <w:p w14:paraId="72751B3F">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21.投标文件的提交</w:t>
      </w:r>
    </w:p>
    <w:p w14:paraId="2F9876D0">
      <w:pPr>
        <w:pageBreakBefore w:val="0"/>
        <w:wordWrap w:val="0"/>
        <w:overflowPunct/>
        <w:topLinePunct w:val="0"/>
        <w:bidi w:val="0"/>
        <w:spacing w:line="360" w:lineRule="auto"/>
        <w:ind w:firstLine="420" w:firstLineChars="200"/>
        <w:rPr>
          <w:rFonts w:hint="eastAsia" w:ascii="宋体" w:hAnsi="宋体" w:cs="宋体"/>
          <w:bCs/>
          <w:color w:val="auto"/>
          <w:szCs w:val="21"/>
          <w:highlight w:val="none"/>
        </w:rPr>
      </w:pPr>
      <w:bookmarkStart w:id="83" w:name="_21.1投标人必须在“投标人须知中的前附表”规定的投标文件接收时间和投"/>
      <w:bookmarkEnd w:id="83"/>
      <w:r>
        <w:rPr>
          <w:rFonts w:hint="eastAsia" w:ascii="宋体" w:hAnsi="宋体" w:cs="宋体"/>
          <w:bCs/>
          <w:color w:val="auto"/>
          <w:szCs w:val="21"/>
          <w:highlight w:val="none"/>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w:t>
      </w:r>
      <w:r>
        <w:rPr>
          <w:rFonts w:hint="eastAsia" w:ascii="宋体" w:hAnsi="宋体" w:cs="宋体"/>
          <w:bCs/>
          <w:color w:val="auto"/>
          <w:szCs w:val="21"/>
          <w:highlight w:val="none"/>
          <w:lang w:val="en-US" w:eastAsia="zh-CN"/>
        </w:rPr>
        <w:t>广西采购</w:t>
      </w:r>
      <w:r>
        <w:rPr>
          <w:rFonts w:hint="eastAsia" w:ascii="宋体" w:hAnsi="宋体" w:cs="宋体"/>
          <w:bCs/>
          <w:color w:val="auto"/>
          <w:szCs w:val="21"/>
          <w:highlight w:val="none"/>
        </w:rPr>
        <w:t>云平台”。</w:t>
      </w:r>
    </w:p>
    <w:p w14:paraId="1F79A1CC">
      <w:pPr>
        <w:pageBreakBefore w:val="0"/>
        <w:wordWrap w:val="0"/>
        <w:overflowPunct/>
        <w:topLinePunct w:val="0"/>
        <w:bidi w:val="0"/>
        <w:spacing w:line="360" w:lineRule="auto"/>
        <w:ind w:firstLine="422" w:firstLineChars="200"/>
        <w:rPr>
          <w:rFonts w:ascii="宋体" w:hAnsi="宋体" w:cs="宋体"/>
          <w:b/>
          <w:color w:val="auto"/>
          <w:szCs w:val="20"/>
          <w:highlight w:val="none"/>
        </w:rPr>
      </w:pPr>
      <w:r>
        <w:rPr>
          <w:rFonts w:hint="eastAsia" w:ascii="宋体" w:hAnsi="宋体" w:cs="宋体"/>
          <w:b/>
          <w:color w:val="auto"/>
          <w:szCs w:val="21"/>
          <w:highlight w:val="none"/>
        </w:rPr>
        <w:t>21.2未在规定时间内提交或者未按照招标文件要求密封或者标记的电子投标文件，广西政府采购云平台将拒收。</w:t>
      </w:r>
    </w:p>
    <w:p w14:paraId="46285E31">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21.3电子版投标文件提交方式见“招标公告”中“四、提交投标文件截止时间、开标时间和地点”</w:t>
      </w:r>
      <w:r>
        <w:rPr>
          <w:rFonts w:hint="eastAsia" w:ascii="宋体" w:hAnsi="宋体" w:cs="宋体"/>
          <w:b/>
          <w:color w:val="auto"/>
          <w:szCs w:val="21"/>
          <w:highlight w:val="none"/>
        </w:rPr>
        <w:t xml:space="preserve"> 。</w:t>
      </w:r>
    </w:p>
    <w:p w14:paraId="6E8B813C">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投标文件的补充、修改、撤回与退回</w:t>
      </w:r>
      <w:bookmarkStart w:id="84" w:name="_Toc254970543"/>
      <w:bookmarkStart w:id="85" w:name="_Toc254970684"/>
    </w:p>
    <w:p w14:paraId="524077C8">
      <w:pPr>
        <w:pageBreakBefore w:val="0"/>
        <w:wordWrap w:val="0"/>
        <w:overflowPunct/>
        <w:topLinePunct w:val="0"/>
        <w:bidi w:val="0"/>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bookmarkEnd w:id="84"/>
    <w:bookmarkEnd w:id="85"/>
    <w:p w14:paraId="4AD9AE66">
      <w:pPr>
        <w:pStyle w:val="28"/>
        <w:pageBreakBefore w:val="0"/>
        <w:wordWrap w:val="0"/>
        <w:overflowPunct/>
        <w:topLinePunct w:val="0"/>
        <w:bidi w:val="0"/>
        <w:spacing w:before="0"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22.2广西政府采购云平台收到投标文件，将妥善保存并即时向供应商发出确认回执通知。在投标截止时间前，除供应商补充、修改或者撤回投标文件外，任何单位和个人不得解密或提取投标文件。</w:t>
      </w:r>
    </w:p>
    <w:p w14:paraId="6A7E0042">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22.3在投标截止时间止提交电子版投标文件的投标人不足3家时，电子版投标文件由代理机构在广西政府采购云平台操作退回，除此之外采购人和采购代理机构对已提交的投标文件概不退回。</w:t>
      </w:r>
    </w:p>
    <w:p w14:paraId="6FBDF502">
      <w:pPr>
        <w:pStyle w:val="10"/>
        <w:pageBreakBefore w:val="0"/>
        <w:wordWrap w:val="0"/>
        <w:overflowPunct/>
        <w:topLinePunct w:val="0"/>
        <w:bidi w:val="0"/>
        <w:snapToGrid w:val="0"/>
        <w:spacing w:line="360" w:lineRule="auto"/>
        <w:ind w:firstLine="739"/>
        <w:rPr>
          <w:rFonts w:hAnsi="宋体" w:cs="宋体"/>
          <w:snapToGrid w:val="0"/>
          <w:color w:val="auto"/>
          <w:sz w:val="21"/>
          <w:szCs w:val="21"/>
          <w:highlight w:val="none"/>
        </w:rPr>
      </w:pPr>
    </w:p>
    <w:p w14:paraId="200427FA">
      <w:pPr>
        <w:pStyle w:val="5"/>
        <w:keepNext w:val="0"/>
        <w:keepLines w:val="0"/>
        <w:pageBreakBefore w:val="0"/>
        <w:wordWrap w:val="0"/>
        <w:overflowPunct/>
        <w:topLinePunct w:val="0"/>
        <w:bidi w:val="0"/>
        <w:spacing w:line="360" w:lineRule="auto"/>
        <w:jc w:val="center"/>
        <w:rPr>
          <w:rFonts w:ascii="宋体" w:hAnsi="宋体" w:cs="宋体"/>
          <w:color w:val="auto"/>
          <w:highlight w:val="none"/>
        </w:rPr>
      </w:pPr>
      <w:r>
        <w:rPr>
          <w:rFonts w:hint="eastAsia" w:ascii="宋体" w:hAnsi="宋体" w:cs="宋体"/>
          <w:color w:val="auto"/>
          <w:highlight w:val="none"/>
        </w:rPr>
        <w:t>四、开    标</w:t>
      </w:r>
      <w:bookmarkEnd w:id="59"/>
      <w:bookmarkEnd w:id="60"/>
      <w:bookmarkEnd w:id="61"/>
    </w:p>
    <w:p w14:paraId="226BDCBB">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86" w:name="_23.开标时间和地点"/>
      <w:bookmarkEnd w:id="86"/>
      <w:r>
        <w:rPr>
          <w:rFonts w:hint="eastAsia" w:ascii="宋体" w:hAnsi="宋体" w:cs="宋体"/>
          <w:color w:val="auto"/>
          <w:sz w:val="24"/>
          <w:highlight w:val="none"/>
        </w:rPr>
        <w:t>23.开标时间和地点</w:t>
      </w:r>
    </w:p>
    <w:p w14:paraId="7444EC95">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23.1开标时间及地点详见“投标人须知前附表”</w:t>
      </w:r>
    </w:p>
    <w:p w14:paraId="7B05E6D5">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23.2如</w:t>
      </w:r>
      <w:r>
        <w:rPr>
          <w:rFonts w:hint="eastAsia" w:ascii="宋体" w:hAnsi="宋体" w:cs="宋体"/>
          <w:bCs/>
          <w:color w:val="auto"/>
          <w:highlight w:val="none"/>
        </w:rPr>
        <w:t>投标人成功解密投标文件，但未在“</w:t>
      </w:r>
      <w:r>
        <w:rPr>
          <w:rFonts w:hint="eastAsia" w:ascii="宋体" w:hAnsi="宋体" w:cs="宋体"/>
          <w:bCs/>
          <w:color w:val="auto"/>
          <w:highlight w:val="none"/>
          <w:lang w:val="en-US" w:eastAsia="zh-CN"/>
        </w:rPr>
        <w:t>广西政府采购云平台</w:t>
      </w:r>
      <w:r>
        <w:rPr>
          <w:rFonts w:hint="eastAsia" w:ascii="宋体" w:hAnsi="宋体" w:cs="宋体"/>
          <w:bCs/>
          <w:color w:val="auto"/>
          <w:highlight w:val="none"/>
        </w:rPr>
        <w:t>”电子开标大厅参加开标的，视同认可开标过程和结果，</w:t>
      </w:r>
      <w:r>
        <w:rPr>
          <w:rFonts w:hint="eastAsia" w:ascii="宋体" w:hAnsi="宋体" w:cs="宋体"/>
          <w:color w:val="auto"/>
          <w:highlight w:val="none"/>
        </w:rPr>
        <w:t>由此产生的后果由投标人自行负责。 投标人不足3家的，不得开标。</w:t>
      </w:r>
    </w:p>
    <w:p w14:paraId="670AF226">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24.开标程序</w:t>
      </w:r>
    </w:p>
    <w:p w14:paraId="2C53CE9A">
      <w:pPr>
        <w:pageBreakBefore w:val="0"/>
        <w:wordWrap w:val="0"/>
        <w:overflowPunct/>
        <w:topLinePunct w:val="0"/>
        <w:autoSpaceDE w:val="0"/>
        <w:autoSpaceDN w:val="0"/>
        <w:bidi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bCs/>
          <w:color w:val="auto"/>
          <w:szCs w:val="21"/>
          <w:highlight w:val="none"/>
        </w:rPr>
        <w:t>24.1</w:t>
      </w:r>
      <w:r>
        <w:rPr>
          <w:rFonts w:hint="eastAsia" w:ascii="宋体" w:hAnsi="宋体" w:cs="宋体"/>
          <w:color w:val="auto"/>
          <w:kern w:val="0"/>
          <w:szCs w:val="21"/>
          <w:highlight w:val="none"/>
        </w:rPr>
        <w:t>开标形式：</w:t>
      </w:r>
    </w:p>
    <w:p w14:paraId="4B612CA5">
      <w:pPr>
        <w:pageBreakBefore w:val="0"/>
        <w:wordWrap w:val="0"/>
        <w:overflowPunct/>
        <w:topLinePunct w:val="0"/>
        <w:autoSpaceDE w:val="0"/>
        <w:autoSpaceDN w:val="0"/>
        <w:bidi w:val="0"/>
        <w:adjustRightInd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开标的准备工作由采购代理机构负责落实，采购代理机构必须基于广西政府采购云平台选取评审专家，如采购代理机构未按规定选取专家的，视为本次开评标无效，应当重新采购；</w:t>
      </w:r>
    </w:p>
    <w:p w14:paraId="0355E92B">
      <w:pPr>
        <w:pageBreakBefore w:val="0"/>
        <w:wordWrap w:val="0"/>
        <w:overflowPunct/>
        <w:topLinePunct w:val="0"/>
        <w:autoSpaceDE w:val="0"/>
        <w:autoSpaceDN w:val="0"/>
        <w:bidi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149557DD">
      <w:pPr>
        <w:pageBreakBefore w:val="0"/>
        <w:wordWrap w:val="0"/>
        <w:overflowPunct/>
        <w:topLinePunct w:val="0"/>
        <w:autoSpaceDE w:val="0"/>
        <w:autoSpaceDN w:val="0"/>
        <w:bidi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24.2开标程序：</w:t>
      </w:r>
    </w:p>
    <w:p w14:paraId="218DBCC8">
      <w:pPr>
        <w:pStyle w:val="12"/>
        <w:pageBreakBefore w:val="0"/>
        <w:wordWrap w:val="0"/>
        <w:overflowPunct/>
        <w:topLinePunct w:val="0"/>
        <w:bidi w:val="0"/>
        <w:snapToGrid w:val="0"/>
        <w:spacing w:line="360" w:lineRule="auto"/>
        <w:ind w:firstLine="422" w:firstLineChars="200"/>
        <w:rPr>
          <w:rFonts w:hAnsi="宋体" w:cs="宋体"/>
          <w:color w:val="auto"/>
          <w:szCs w:val="21"/>
          <w:highlight w:val="none"/>
        </w:rPr>
      </w:pPr>
      <w:r>
        <w:rPr>
          <w:rFonts w:hint="eastAsia" w:hAnsi="宋体" w:cs="宋体"/>
          <w:b/>
          <w:color w:val="auto"/>
          <w:szCs w:val="21"/>
          <w:highlight w:val="none"/>
        </w:rPr>
        <w:t>（1）解密电子投标文件。广西政府采购云平台</w:t>
      </w:r>
      <w:r>
        <w:rPr>
          <w:rFonts w:hint="eastAsia" w:hAnsi="宋体" w:cs="宋体"/>
          <w:color w:val="auto"/>
          <w:szCs w:val="21"/>
          <w:highlight w:val="none"/>
        </w:rPr>
        <w:t>按开标时间自动提取所有投标文件。采购代理机构依托广西政府采购云平台向各投标人发出电子加密投标文件【开始解密】通知，由投标人按招标文件规定的时间内自行进行投标文件解密。投标人的法定代表人或其委托代理人</w:t>
      </w:r>
      <w:r>
        <w:rPr>
          <w:rFonts w:hint="eastAsia" w:hAnsi="宋体" w:cs="宋体"/>
          <w:b/>
          <w:color w:val="auto"/>
          <w:szCs w:val="21"/>
          <w:highlight w:val="none"/>
        </w:rPr>
        <w:t>须携带加密时所用的CA锁准时登录到广西政府采购云平台电子开标大厅签到并对电子投标文件解密</w:t>
      </w:r>
      <w:r>
        <w:rPr>
          <w:rFonts w:hint="eastAsia" w:hAnsi="宋体" w:cs="宋体"/>
          <w:color w:val="auto"/>
          <w:szCs w:val="21"/>
          <w:highlight w:val="none"/>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hAnsi="宋体" w:cs="宋体"/>
          <w:b/>
          <w:color w:val="auto"/>
          <w:szCs w:val="21"/>
          <w:highlight w:val="none"/>
        </w:rPr>
        <w:t>均视为无效投标。</w:t>
      </w:r>
    </w:p>
    <w:p w14:paraId="5388F9FD">
      <w:pPr>
        <w:pStyle w:val="12"/>
        <w:pageBreakBefore w:val="0"/>
        <w:wordWrap w:val="0"/>
        <w:overflowPunct/>
        <w:topLinePunct w:val="0"/>
        <w:bidi w:val="0"/>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（解密</w:t>
      </w:r>
      <w:r>
        <w:rPr>
          <w:rFonts w:hint="eastAsia" w:hAnsi="宋体" w:cs="宋体"/>
          <w:bCs/>
          <w:color w:val="auto"/>
          <w:szCs w:val="21"/>
          <w:highlight w:val="none"/>
        </w:rPr>
        <w:t>异常情况处理：详见本章</w:t>
      </w:r>
      <w:r>
        <w:rPr>
          <w:rFonts w:hint="eastAsia" w:hAnsi="宋体" w:cs="宋体"/>
          <w:color w:val="auto"/>
          <w:highlight w:val="none"/>
        </w:rPr>
        <w:t>29.3 电子交易活动的中止。</w:t>
      </w:r>
      <w:r>
        <w:rPr>
          <w:rFonts w:hint="eastAsia" w:hAnsi="宋体" w:cs="宋体"/>
          <w:color w:val="auto"/>
          <w:szCs w:val="21"/>
          <w:highlight w:val="none"/>
        </w:rPr>
        <w:t>）</w:t>
      </w:r>
    </w:p>
    <w:p w14:paraId="7C8E57D8">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电子唱标。</w:t>
      </w:r>
      <w:r>
        <w:rPr>
          <w:rFonts w:hint="eastAsia" w:ascii="宋体" w:hAnsi="宋体" w:cs="宋体"/>
          <w:color w:val="auto"/>
          <w:szCs w:val="21"/>
          <w:highlight w:val="none"/>
        </w:rPr>
        <w:t>投标文件解密结束，各投标人报价均在广西政府采购云平台远程不见面开标大厅展示；</w:t>
      </w:r>
    </w:p>
    <w:p w14:paraId="114B338F">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签署电子《政府采购活动现场确认声明书》。</w:t>
      </w:r>
      <w:r>
        <w:rPr>
          <w:rFonts w:hint="eastAsia" w:ascii="宋体" w:hAnsi="宋体" w:cs="宋体"/>
          <w:color w:val="auto"/>
          <w:szCs w:val="21"/>
          <w:highlight w:val="none"/>
        </w:rPr>
        <w:t>通过邮件形式在远程不见面开标大厅发送各投标人签署电子《政府采购活动现场确认声明书》。</w:t>
      </w:r>
    </w:p>
    <w:p w14:paraId="4A806E66">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13A0E56F">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7592CA18">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（6）开标结束。</w:t>
      </w:r>
    </w:p>
    <w:p w14:paraId="41206D0E">
      <w:pPr>
        <w:pStyle w:val="12"/>
        <w:pageBreakBefore w:val="0"/>
        <w:wordWrap w:val="0"/>
        <w:overflowPunct/>
        <w:topLinePunct w:val="0"/>
        <w:bidi w:val="0"/>
        <w:snapToGrid w:val="0"/>
        <w:spacing w:line="360" w:lineRule="auto"/>
        <w:ind w:firstLine="422" w:firstLineChars="200"/>
        <w:rPr>
          <w:rFonts w:hAnsi="宋体" w:cs="宋体"/>
          <w:color w:val="auto"/>
          <w:szCs w:val="21"/>
          <w:highlight w:val="none"/>
        </w:rPr>
      </w:pPr>
      <w:r>
        <w:rPr>
          <w:rFonts w:hint="eastAsia" w:hAnsi="宋体" w:cs="宋体"/>
          <w:b/>
          <w:bCs/>
          <w:color w:val="auto"/>
          <w:szCs w:val="21"/>
          <w:highlight w:val="none"/>
        </w:rPr>
        <w:t>特别说明：</w:t>
      </w:r>
      <w:r>
        <w:rPr>
          <w:rFonts w:hint="eastAsia" w:hAnsi="宋体" w:cs="宋体"/>
          <w:color w:val="auto"/>
          <w:szCs w:val="21"/>
          <w:highlight w:val="none"/>
        </w:rPr>
        <w:t>如遇广西政府采购云平台电子化开标或评审程序调整的，按调整后执行。</w:t>
      </w:r>
    </w:p>
    <w:p w14:paraId="7BF7864C">
      <w:pPr>
        <w:pStyle w:val="12"/>
        <w:pageBreakBefore w:val="0"/>
        <w:wordWrap w:val="0"/>
        <w:overflowPunct/>
        <w:topLinePunct w:val="0"/>
        <w:bidi w:val="0"/>
        <w:snapToGrid w:val="0"/>
        <w:spacing w:line="360" w:lineRule="auto"/>
        <w:ind w:left="689" w:leftChars="228" w:hanging="210" w:hangingChars="100"/>
        <w:rPr>
          <w:rFonts w:hAnsi="宋体" w:cs="宋体"/>
          <w:color w:val="auto"/>
          <w:highlight w:val="none"/>
        </w:rPr>
      </w:pPr>
    </w:p>
    <w:p w14:paraId="2240AD1E">
      <w:pPr>
        <w:pStyle w:val="5"/>
        <w:keepNext w:val="0"/>
        <w:keepLines w:val="0"/>
        <w:pageBreakBefore w:val="0"/>
        <w:wordWrap w:val="0"/>
        <w:overflowPunct/>
        <w:topLinePunct w:val="0"/>
        <w:bidi w:val="0"/>
        <w:spacing w:line="360" w:lineRule="auto"/>
        <w:jc w:val="center"/>
        <w:rPr>
          <w:rFonts w:ascii="宋体" w:hAnsi="宋体" w:cs="宋体"/>
          <w:color w:val="auto"/>
          <w:highlight w:val="none"/>
        </w:rPr>
      </w:pPr>
      <w:bookmarkStart w:id="87" w:name="_Toc25263"/>
      <w:r>
        <w:rPr>
          <w:rFonts w:hint="eastAsia" w:ascii="宋体" w:hAnsi="宋体" w:cs="宋体"/>
          <w:color w:val="auto"/>
          <w:highlight w:val="none"/>
        </w:rPr>
        <w:t>五、资格审查</w:t>
      </w:r>
      <w:bookmarkEnd w:id="87"/>
    </w:p>
    <w:p w14:paraId="3B53A5B9">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25.资格审查</w:t>
      </w:r>
    </w:p>
    <w:p w14:paraId="1545EC98">
      <w:pPr>
        <w:pageBreakBefore w:val="0"/>
        <w:wordWrap w:val="0"/>
        <w:overflowPunct/>
        <w:topLinePunct w:val="0"/>
        <w:bidi w:val="0"/>
        <w:spacing w:line="360" w:lineRule="auto"/>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 xml:space="preserve"> 25.1开标结束后，采购人或采购机构依法通过电子投标文件对投标人的资格进行线上审查。</w:t>
      </w:r>
    </w:p>
    <w:p w14:paraId="55680543">
      <w:pPr>
        <w:pageBreakBefore w:val="0"/>
        <w:wordWrap w:val="0"/>
        <w:overflowPunct/>
        <w:topLinePunct w:val="0"/>
        <w:bidi w:val="0"/>
        <w:spacing w:line="360" w:lineRule="auto"/>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 xml:space="preserve"> 25.2采购人或采购机构依据法律法规和招标文件的规定，对投标人的基本资格条件、特定资格条件进行审查。</w:t>
      </w:r>
    </w:p>
    <w:p w14:paraId="021EFA08">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37006C31">
      <w:pPr>
        <w:pageBreakBefore w:val="0"/>
        <w:wordWrap w:val="0"/>
        <w:overflowPunct/>
        <w:topLinePunct w:val="0"/>
        <w:bidi w:val="0"/>
        <w:spacing w:line="360" w:lineRule="auto"/>
        <w:ind w:firstLine="422" w:firstLineChars="200"/>
        <w:rPr>
          <w:rFonts w:ascii="宋体" w:hAnsi="宋体" w:cs="宋体"/>
          <w:b/>
          <w:bCs/>
          <w:color w:val="auto"/>
          <w:szCs w:val="20"/>
          <w:highlight w:val="none"/>
        </w:rPr>
      </w:pPr>
      <w:bookmarkStart w:id="88" w:name="_25.3_投标人有下列情形之一的，资格审查不通过而导致其投标无效："/>
      <w:bookmarkEnd w:id="88"/>
      <w:r>
        <w:rPr>
          <w:rFonts w:hint="eastAsia" w:ascii="宋体" w:hAnsi="宋体" w:cs="宋体"/>
          <w:b/>
          <w:bCs/>
          <w:color w:val="auto"/>
          <w:szCs w:val="20"/>
          <w:highlight w:val="none"/>
        </w:rPr>
        <w:t>25.4投标人有下列情形之一的，资格审查不通过，作无效投标处理：</w:t>
      </w:r>
    </w:p>
    <w:p w14:paraId="25137538">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（1）不具备招标文件中规定的资格要求的；（注：其中信用查询规则见“投标人须知前附表”，广西政府采购云平台已与“信用中国”平台做接口，审查专家可直接在线查询）</w:t>
      </w:r>
    </w:p>
    <w:p w14:paraId="78478BD3">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（2）投标文件未提供任一项“投标人须知前附表”资格证明文件规定的“必须提供”的文件资料的；</w:t>
      </w:r>
    </w:p>
    <w:p w14:paraId="0698AD60">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（3）投标文件提供的资格证明文件出现任一项不符合“投标人须知前附表”资格证明文件规定的“必须提供”的文件资料要求或者无效的。</w:t>
      </w:r>
    </w:p>
    <w:p w14:paraId="47295B2B">
      <w:pPr>
        <w:pageBreakBefore w:val="0"/>
        <w:wordWrap w:val="0"/>
        <w:overflowPunct/>
        <w:topLinePunct w:val="0"/>
        <w:bidi w:val="0"/>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25.5资格审查的合格投标人不足3家的，不得评标。</w:t>
      </w:r>
    </w:p>
    <w:p w14:paraId="1F8181D1">
      <w:pPr>
        <w:pStyle w:val="5"/>
        <w:keepNext w:val="0"/>
        <w:keepLines w:val="0"/>
        <w:pageBreakBefore w:val="0"/>
        <w:wordWrap w:val="0"/>
        <w:overflowPunct/>
        <w:topLinePunct w:val="0"/>
        <w:bidi w:val="0"/>
        <w:spacing w:line="360" w:lineRule="auto"/>
        <w:jc w:val="center"/>
        <w:rPr>
          <w:rFonts w:ascii="宋体" w:hAnsi="宋体" w:cs="宋体"/>
          <w:color w:val="auto"/>
          <w:highlight w:val="none"/>
        </w:rPr>
      </w:pPr>
      <w:bookmarkStart w:id="89" w:name="_Toc31393"/>
      <w:r>
        <w:rPr>
          <w:rFonts w:hint="eastAsia" w:ascii="宋体" w:hAnsi="宋体" w:cs="宋体"/>
          <w:color w:val="auto"/>
          <w:highlight w:val="none"/>
        </w:rPr>
        <w:t>六、评   标</w:t>
      </w:r>
      <w:bookmarkEnd w:id="89"/>
    </w:p>
    <w:p w14:paraId="0FC01E0F">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90" w:name="_26.组建评标委员会"/>
      <w:bookmarkEnd w:id="90"/>
      <w:r>
        <w:rPr>
          <w:rFonts w:hint="eastAsia" w:ascii="宋体" w:hAnsi="宋体" w:cs="宋体"/>
          <w:color w:val="auto"/>
          <w:sz w:val="24"/>
          <w:highlight w:val="none"/>
        </w:rPr>
        <w:t>26.组建评标委员会</w:t>
      </w:r>
    </w:p>
    <w:p w14:paraId="3F134504">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评标委员会由采购人代表和评审专家组成，人数为5人以上单数，其中评审专家不得少于成员总数的三分之二。</w:t>
      </w:r>
    </w:p>
    <w:p w14:paraId="45FC0D66">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参加过采购项目前期咨询论证的专家，不得参加该采购项目的评审活动。</w:t>
      </w:r>
    </w:p>
    <w:p w14:paraId="2F61325A">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27.评标的依据</w:t>
      </w:r>
    </w:p>
    <w:p w14:paraId="39A61D26">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评标委员会以招标文件为依据对投标文件进行评审，“第四章 评标方法和评标标准”没有规定的方法、评审因素和标准，不作为评标依据。</w:t>
      </w:r>
    </w:p>
    <w:p w14:paraId="550090B3">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28.评标原则</w:t>
      </w:r>
    </w:p>
    <w:p w14:paraId="3E697417">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0BB90942">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91" w:name="_28.3评标方法。本项目将按须知前附表规定的评标办法进行评标，具体评标"/>
      <w:bookmarkEnd w:id="91"/>
    </w:p>
    <w:p w14:paraId="028FF22F">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26F15E4C">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28.4评标过程的监控。本项目电子评标过程实行网上留痕、全程录音、录像监控，投标人在评标过程中所进行的试图影响评标结果的不公正活动，可能导致其投标按无效处理。</w:t>
      </w:r>
    </w:p>
    <w:p w14:paraId="17A6737C">
      <w:pPr>
        <w:pageBreakBefore w:val="0"/>
        <w:widowControl/>
        <w:wordWrap w:val="0"/>
        <w:overflowPunct/>
        <w:topLinePunct w:val="0"/>
        <w:bidi w:val="0"/>
        <w:spacing w:line="360" w:lineRule="auto"/>
        <w:ind w:firstLine="420" w:firstLineChars="200"/>
        <w:jc w:val="left"/>
        <w:textAlignment w:val="baseline"/>
        <w:rPr>
          <w:rFonts w:ascii="宋体" w:hAnsi="宋体" w:cs="宋体"/>
          <w:color w:val="auto"/>
          <w:highlight w:val="none"/>
        </w:rPr>
      </w:pPr>
      <w:r>
        <w:rPr>
          <w:rFonts w:hint="eastAsia" w:ascii="宋体" w:hAnsi="宋体" w:cs="宋体"/>
          <w:color w:val="auto"/>
          <w:highlight w:val="none"/>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45B54C8">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29.评标方法及评标标准</w:t>
      </w:r>
    </w:p>
    <w:p w14:paraId="407D4F8E">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29.1本项目的评标方法详见“投标人须知前附表”。</w:t>
      </w:r>
    </w:p>
    <w:p w14:paraId="1F6B2F56">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29.2 评标委员会按照</w:t>
      </w:r>
      <w:r>
        <w:rPr>
          <w:rFonts w:hint="eastAsia" w:ascii="宋体" w:hAnsi="宋体" w:cs="宋体"/>
          <w:b/>
          <w:color w:val="auto"/>
          <w:highlight w:val="none"/>
        </w:rPr>
        <w:t>“第四章 评标方法和评标标准”</w:t>
      </w:r>
      <w:r>
        <w:rPr>
          <w:rFonts w:hint="eastAsia" w:ascii="宋体" w:hAnsi="宋体" w:cs="宋体"/>
          <w:color w:val="auto"/>
          <w:highlight w:val="none"/>
        </w:rPr>
        <w:t>规定的方法、评审因素、标准和程序对投标文件进行评审。</w:t>
      </w:r>
    </w:p>
    <w:p w14:paraId="5413B7F3">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29.3 电子交易活动的中止。采购过程中出现以下情形，导致电子交易平台无法正常运行，或者无法保证电子交易的公平、公正和安全时，采购机构可中止电子交易活动：</w:t>
      </w:r>
    </w:p>
    <w:p w14:paraId="4F589693">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29B7E278">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18D0EABE">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124E6A87">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7CA8AA2E">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5</w:t>
      </w:r>
      <w:r>
        <w:rPr>
          <w:rFonts w:hint="eastAsia" w:ascii="宋体" w:hAnsi="宋体" w:cs="宋体"/>
          <w:color w:val="auto"/>
          <w:highlight w:val="none"/>
        </w:rPr>
        <w:t>）其他无法保证电子交易的公平、公正和安全的情况。</w:t>
      </w:r>
    </w:p>
    <w:p w14:paraId="0F81D490">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584C279D">
      <w:pPr>
        <w:pStyle w:val="12"/>
        <w:pageBreakBefore w:val="0"/>
        <w:wordWrap w:val="0"/>
        <w:overflowPunct/>
        <w:topLinePunct w:val="0"/>
        <w:bidi w:val="0"/>
        <w:snapToGrid w:val="0"/>
        <w:spacing w:line="360" w:lineRule="auto"/>
        <w:ind w:firstLine="420" w:firstLineChars="200"/>
        <w:rPr>
          <w:rFonts w:hAnsi="宋体" w:cs="宋体"/>
          <w:color w:val="auto"/>
          <w:highlight w:val="none"/>
        </w:rPr>
      </w:pPr>
    </w:p>
    <w:p w14:paraId="6323B1B8">
      <w:pPr>
        <w:pStyle w:val="5"/>
        <w:keepNext w:val="0"/>
        <w:keepLines w:val="0"/>
        <w:pageBreakBefore w:val="0"/>
        <w:wordWrap w:val="0"/>
        <w:overflowPunct/>
        <w:topLinePunct w:val="0"/>
        <w:bidi w:val="0"/>
        <w:spacing w:line="360" w:lineRule="auto"/>
        <w:jc w:val="center"/>
        <w:rPr>
          <w:rFonts w:ascii="宋体" w:hAnsi="宋体" w:cs="宋体"/>
          <w:color w:val="auto"/>
          <w:highlight w:val="none"/>
        </w:rPr>
      </w:pPr>
      <w:bookmarkStart w:id="92" w:name="_Toc254970687"/>
      <w:bookmarkStart w:id="93" w:name="_Toc254970546"/>
      <w:bookmarkStart w:id="94" w:name="_Toc19723"/>
      <w:r>
        <w:rPr>
          <w:rFonts w:hint="eastAsia" w:ascii="宋体" w:hAnsi="宋体" w:cs="宋体"/>
          <w:color w:val="auto"/>
          <w:highlight w:val="none"/>
        </w:rPr>
        <w:t>七、</w:t>
      </w:r>
      <w:bookmarkEnd w:id="92"/>
      <w:bookmarkEnd w:id="93"/>
      <w:r>
        <w:rPr>
          <w:rFonts w:hint="eastAsia" w:ascii="宋体" w:hAnsi="宋体" w:cs="宋体"/>
          <w:color w:val="auto"/>
          <w:highlight w:val="none"/>
        </w:rPr>
        <w:t>中标和合同</w:t>
      </w:r>
      <w:bookmarkEnd w:id="94"/>
    </w:p>
    <w:p w14:paraId="72685694">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30.确定中标供应商</w:t>
      </w:r>
    </w:p>
    <w:p w14:paraId="6F47A72A">
      <w:pPr>
        <w:pageBreakBefore w:val="0"/>
        <w:wordWrap w:val="0"/>
        <w:overflowPunct/>
        <w:topLinePunct w:val="0"/>
        <w:bidi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30.1本项目授权评标委员会直接按第四章“评标方法及标准”的规定排列中标候选人顺序，并依照次序确定中标供应商。</w:t>
      </w:r>
    </w:p>
    <w:p w14:paraId="132858E9">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供应商的，应当依法另行确定中标供应商；否则应当重新开展采购活动。</w:t>
      </w:r>
    </w:p>
    <w:p w14:paraId="4F09E83E">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30.3中标供应商无正当理由拒签合同的，根据《中华人民共和国政府采购法》第七十七条第一款规定处理。</w:t>
      </w:r>
    </w:p>
    <w:p w14:paraId="4DCD1ED0">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30.4根据《中华人民共和国民法典》</w:t>
      </w:r>
      <w:r>
        <w:rPr>
          <w:rFonts w:hint="eastAsia" w:ascii="宋体" w:hAnsi="宋体" w:cs="宋体"/>
          <w:color w:val="auto"/>
          <w:sz w:val="19"/>
          <w:szCs w:val="19"/>
          <w:highlight w:val="none"/>
        </w:rPr>
        <w:t>第五百六十三条</w:t>
      </w:r>
      <w:r>
        <w:rPr>
          <w:rFonts w:hint="eastAsia" w:ascii="宋体" w:hAnsi="宋体" w:cs="宋体"/>
          <w:color w:val="auto"/>
          <w:szCs w:val="21"/>
          <w:highlight w:val="none"/>
        </w:rPr>
        <w:t>，因不可抗力致使不能实现合同目的的，当事人可以解除合同。</w:t>
      </w:r>
    </w:p>
    <w:p w14:paraId="6A360713">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结果公告</w:t>
      </w:r>
    </w:p>
    <w:p w14:paraId="35ABD97E">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31.1</w:t>
      </w:r>
      <w:r>
        <w:rPr>
          <w:rFonts w:hint="eastAsia" w:ascii="宋体" w:hAnsi="宋体" w:cs="宋体"/>
          <w:color w:val="auto"/>
          <w:highlight w:val="none"/>
        </w:rPr>
        <w:t>在中标供应商确定之日起2个工作日内，由采购代理机构</w:t>
      </w:r>
      <w:r>
        <w:rPr>
          <w:rFonts w:hint="eastAsia" w:ascii="宋体" w:hAnsi="宋体" w:cs="宋体"/>
          <w:b/>
          <w:color w:val="auto"/>
          <w:szCs w:val="21"/>
          <w:highlight w:val="none"/>
        </w:rPr>
        <w:t>在招标公告发布媒体上</w:t>
      </w:r>
      <w:r>
        <w:rPr>
          <w:rFonts w:hint="eastAsia" w:ascii="宋体" w:hAnsi="宋体" w:cs="宋体"/>
          <w:color w:val="auto"/>
          <w:highlight w:val="none"/>
        </w:rPr>
        <w:t>发布中标结果公告，中标结果公告期限为1个工作日，发布中标结果公告的同时向中标供应商发出中标通知书。</w:t>
      </w:r>
      <w:r>
        <w:rPr>
          <w:rFonts w:hint="eastAsia" w:ascii="宋体" w:hAnsi="宋体" w:cs="宋体"/>
          <w:b/>
          <w:color w:val="auto"/>
          <w:szCs w:val="21"/>
          <w:highlight w:val="none"/>
        </w:rPr>
        <w:t>采购代理机构发出中标通知书前，应当对中标供应商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供应商。</w:t>
      </w:r>
      <w:r>
        <w:rPr>
          <w:rFonts w:hint="eastAsia" w:ascii="宋体" w:hAnsi="宋体" w:cs="宋体"/>
          <w:color w:val="auto"/>
          <w:szCs w:val="21"/>
          <w:highlight w:val="none"/>
        </w:rPr>
        <w:t>排名第二的中标候选人因前款规定的同样原因被取消中标资格的，授权的评标委员会可以确定排名第三的中标候选人为中标供应商，以此类推。</w:t>
      </w:r>
    </w:p>
    <w:p w14:paraId="7A6C287F">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1054AB5C">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7E350D9A">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32.发出中标通知书</w:t>
      </w:r>
    </w:p>
    <w:p w14:paraId="7A60D150">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32.1在发布中标公告的同时，采购代理机构向中标供应商通过广西政府采购云平台发出电子中标通知书。</w:t>
      </w:r>
    </w:p>
    <w:p w14:paraId="29BD06C3">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32.2对未通过资格审查的投标人，采购人或采购机构应当告知其未通过的原因；采用综合评分办法评审的，采购人或采购机构还应当告知未中标供应商本人的评审得分与排序。</w:t>
      </w:r>
    </w:p>
    <w:p w14:paraId="64FC7833">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 无义务解释未中标原因</w:t>
      </w:r>
    </w:p>
    <w:p w14:paraId="11E69293">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采购代理机构无义务向未中标的投标人解释未中标原因和退还投标文件。</w:t>
      </w:r>
    </w:p>
    <w:p w14:paraId="4A4BF45C">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34.合同授予标准</w:t>
      </w:r>
    </w:p>
    <w:p w14:paraId="3931217D">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合同将授予被确定实质上响应招标文件要求，具备履行合同能力的中标供应商（招标文件另有约定多名中标供应商的除外）。</w:t>
      </w:r>
    </w:p>
    <w:p w14:paraId="5C15AC1A">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35.履约保证金</w:t>
      </w:r>
    </w:p>
    <w:p w14:paraId="5313C810">
      <w:pPr>
        <w:pageBreakBefore w:val="0"/>
        <w:wordWrap w:val="0"/>
        <w:overflowPunct/>
        <w:topLinePunct w:val="0"/>
        <w:bidi w:val="0"/>
        <w:spacing w:line="360" w:lineRule="auto"/>
        <w:ind w:firstLine="420" w:firstLineChars="200"/>
        <w:rPr>
          <w:rFonts w:ascii="宋体" w:hAnsi="宋体" w:cs="宋体"/>
          <w:color w:val="auto"/>
          <w:szCs w:val="21"/>
          <w:highlight w:val="none"/>
        </w:rPr>
      </w:pPr>
      <w:bookmarkStart w:id="95" w:name="_39.1中标人须于签订合同前按本须知前附表规定的金额转账或电汇到指定账"/>
      <w:bookmarkEnd w:id="95"/>
      <w:r>
        <w:rPr>
          <w:rFonts w:hint="eastAsia" w:ascii="宋体" w:hAnsi="宋体" w:cs="宋体"/>
          <w:color w:val="auto"/>
          <w:szCs w:val="21"/>
          <w:highlight w:val="none"/>
        </w:rPr>
        <w:t>见“投标人须知前附表”。</w:t>
      </w:r>
    </w:p>
    <w:p w14:paraId="4596D175">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36.签订合同</w:t>
      </w:r>
    </w:p>
    <w:p w14:paraId="080A415D">
      <w:pPr>
        <w:pStyle w:val="28"/>
        <w:pageBreakBefore w:val="0"/>
        <w:wordWrap w:val="0"/>
        <w:overflowPunct/>
        <w:topLinePunct w:val="0"/>
        <w:bidi w:val="0"/>
        <w:snapToGrid w:val="0"/>
        <w:spacing w:before="0" w:line="360" w:lineRule="auto"/>
        <w:ind w:firstLine="422"/>
        <w:rPr>
          <w:rFonts w:ascii="宋体" w:hAnsi="宋体" w:cs="宋体"/>
          <w:color w:val="auto"/>
          <w:kern w:val="0"/>
          <w:sz w:val="21"/>
          <w:szCs w:val="21"/>
          <w:highlight w:val="none"/>
          <w:lang w:val="zh-CN"/>
        </w:rPr>
      </w:pPr>
      <w:bookmarkStart w:id="96" w:name="_40.1投标人接到中标通知书后，按须知前附表规定向采购人出示相关资格证"/>
      <w:bookmarkEnd w:id="96"/>
      <w:r>
        <w:rPr>
          <w:rFonts w:hint="eastAsia" w:ascii="宋体" w:hAnsi="宋体" w:cs="宋体"/>
          <w:b/>
          <w:color w:val="auto"/>
          <w:sz w:val="21"/>
          <w:szCs w:val="21"/>
          <w:highlight w:val="none"/>
        </w:rPr>
        <w:t xml:space="preserve"> 36.1中标供应商领取电子中标通知书后，</w:t>
      </w:r>
      <w:r>
        <w:rPr>
          <w:rFonts w:hint="eastAsia" w:ascii="宋体" w:hAnsi="宋体" w:cs="宋体"/>
          <w:color w:val="auto"/>
          <w:kern w:val="0"/>
          <w:sz w:val="21"/>
          <w:szCs w:val="21"/>
          <w:highlight w:val="none"/>
          <w:lang w:val="zh-CN"/>
        </w:rPr>
        <w:t>按规定的日期、时间、地点，由法定代表人或其授权代表与采购人代表签订电子采购合同。如中标供应商为联合体的，由联合体成员各方法定代表人或其授权代表与采购人代表签订合同，签订携带资料详见“投标人须知前附表”。</w:t>
      </w:r>
    </w:p>
    <w:p w14:paraId="740CF467">
      <w:pPr>
        <w:pStyle w:val="28"/>
        <w:pageBreakBefore w:val="0"/>
        <w:wordWrap w:val="0"/>
        <w:overflowPunct/>
        <w:topLinePunct w:val="0"/>
        <w:bidi w:val="0"/>
        <w:snapToGrid w:val="0"/>
        <w:spacing w:before="0" w:line="360" w:lineRule="auto"/>
        <w:ind w:firstLine="42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36.2</w:t>
      </w:r>
      <w:r>
        <w:rPr>
          <w:rFonts w:hint="eastAsia" w:ascii="宋体" w:hAnsi="宋体" w:cs="宋体"/>
          <w:color w:val="auto"/>
          <w:sz w:val="21"/>
          <w:szCs w:val="21"/>
          <w:highlight w:val="none"/>
        </w:rPr>
        <w:t>采购合同由采购人与中标供应商根据招标文件、投标文件等内容通过政府采购电子交易平台在线签订，自动备案。</w:t>
      </w:r>
    </w:p>
    <w:p w14:paraId="1CF779C1">
      <w:pPr>
        <w:pStyle w:val="28"/>
        <w:pageBreakBefore w:val="0"/>
        <w:wordWrap w:val="0"/>
        <w:overflowPunct/>
        <w:topLinePunct w:val="0"/>
        <w:bidi w:val="0"/>
        <w:snapToGrid w:val="0"/>
        <w:spacing w:before="0"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36.3签订合同时间：按中标通知书规定的时间与采购人签订合同（最长不能超过25日）。</w:t>
      </w:r>
    </w:p>
    <w:p w14:paraId="112DD028">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36.4中标供应商拒绝与采购人签订合同的，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50F55042">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A30990E">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78913BBB">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36.7如签订合同并生效后，供应商无故拒绝或延期，除按照合同条款处理外，将承担相应的法律责任。</w:t>
      </w:r>
    </w:p>
    <w:p w14:paraId="5C694059">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59E32C0E">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97" w:name="_41.政府采购合同公告"/>
      <w:bookmarkEnd w:id="97"/>
      <w:r>
        <w:rPr>
          <w:rFonts w:hint="eastAsia" w:ascii="宋体" w:hAnsi="宋体" w:cs="宋体"/>
          <w:color w:val="auto"/>
          <w:sz w:val="24"/>
          <w:highlight w:val="none"/>
        </w:rPr>
        <w:t>37.政府采购合同公告</w:t>
      </w:r>
    </w:p>
    <w:p w14:paraId="27A3023B">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采购人或者受托采购代理机构应当自政府采购合同签订之日起2个工作日内，将政府采购合同</w:t>
      </w:r>
      <w:r>
        <w:rPr>
          <w:rFonts w:hint="eastAsia" w:ascii="宋体" w:hAnsi="宋体" w:cs="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ascii="宋体" w:hAnsi="宋体" w:cs="宋体"/>
          <w:color w:val="auto"/>
          <w:highlight w:val="none"/>
        </w:rPr>
        <w:t>上公告，但政府采购合同中涉及国家秘密、商业秘密的内容除外。</w:t>
      </w:r>
    </w:p>
    <w:p w14:paraId="1F03F1C8">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38. 询问、质疑和投诉</w:t>
      </w:r>
    </w:p>
    <w:p w14:paraId="538A0980">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38.1询问</w:t>
      </w:r>
    </w:p>
    <w:p w14:paraId="0B2BF6AB">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38.1.1供应商在开标前对政府采购活动事项有疑问的，可以向采购人或采购代理机构项目负责人提出询问。</w:t>
      </w:r>
    </w:p>
    <w:p w14:paraId="34AAB8A5">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38.1.2采购人或采购人委托的采购代理机构自受理询问之日起3个工作日内对供应商依法提出的询问作出答复，</w:t>
      </w:r>
      <w:r>
        <w:rPr>
          <w:rFonts w:hint="eastAsia" w:ascii="宋体" w:hAnsi="宋体" w:cs="宋体"/>
          <w:color w:val="auto"/>
          <w:highlight w:val="none"/>
        </w:rPr>
        <w:t>但答复内容不得涉及商业秘密</w:t>
      </w:r>
      <w:r>
        <w:rPr>
          <w:rFonts w:hint="eastAsia" w:ascii="宋体" w:hAnsi="宋体" w:cs="宋体"/>
          <w:bCs/>
          <w:color w:val="auto"/>
          <w:szCs w:val="21"/>
          <w:highlight w:val="none"/>
        </w:rPr>
        <w:t>。</w:t>
      </w:r>
    </w:p>
    <w:p w14:paraId="61455FAF">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38.1.3 询问事项可能影响中标、成交结果的，采购人应当暂停签订合同，已经签订合同的，应当中止履行合同。</w:t>
      </w:r>
    </w:p>
    <w:p w14:paraId="3932DA6A">
      <w:pPr>
        <w:pageBreakBefore w:val="0"/>
        <w:wordWrap w:val="0"/>
        <w:overflowPunct/>
        <w:topLinePunct w:val="0"/>
        <w:bidi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38.2质疑</w:t>
      </w:r>
    </w:p>
    <w:p w14:paraId="22A5EFE5">
      <w:pPr>
        <w:pageBreakBefore w:val="0"/>
        <w:wordWrap w:val="0"/>
        <w:overflowPunct/>
        <w:topLinePunct w:val="0"/>
        <w:bidi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38.2.1</w:t>
      </w:r>
      <w:r>
        <w:rPr>
          <w:rFonts w:hint="eastAsia" w:ascii="宋体" w:hAnsi="宋体" w:cs="宋体"/>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3820D6AD">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（1）潜在供应商依法获取公开招标文件后，认为采购文件使自己的权益受到损害的，应当在公开招标文件公告期限届满之日起7个工作日内提出质疑。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5EFF635E">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3AF665CF">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（3）供应商认为中标或者成交结果使自己的权益受到损害的，应当在中标或者成交结果公告期限届满之日起7个工作日内提出质疑，由采购人受理并负责答复。</w:t>
      </w:r>
    </w:p>
    <w:p w14:paraId="02093B09">
      <w:pPr>
        <w:pageBreakBefore w:val="0"/>
        <w:wordWrap w:val="0"/>
        <w:overflowPunct/>
        <w:topLinePunct w:val="0"/>
        <w:bidi w:val="0"/>
        <w:spacing w:line="360" w:lineRule="auto"/>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38.2.2</w:t>
      </w:r>
      <w:r>
        <w:rPr>
          <w:rFonts w:hint="eastAsia" w:ascii="宋体" w:hAnsi="宋体" w:cs="宋体"/>
          <w:bCs/>
          <w:color w:val="auto"/>
          <w:szCs w:val="21"/>
          <w:highlight w:val="none"/>
        </w:rPr>
        <w:t>供应商质疑实行实名制，其质疑应当有具体的质疑事项及事实根据，质疑应当坚持依法依规、诚实信用原则，不得进行虚假、恶意质疑。</w:t>
      </w:r>
    </w:p>
    <w:p w14:paraId="3A403FFD">
      <w:pPr>
        <w:pageBreakBefore w:val="0"/>
        <w:wordWrap w:val="0"/>
        <w:overflowPunct/>
        <w:topLinePunct w:val="0"/>
        <w:bidi w:val="0"/>
        <w:spacing w:line="360" w:lineRule="auto"/>
        <w:ind w:firstLine="422" w:firstLineChars="200"/>
        <w:rPr>
          <w:rFonts w:ascii="宋体" w:hAnsi="宋体" w:cs="宋体"/>
          <w:bCs/>
          <w:color w:val="auto"/>
          <w:highlight w:val="none"/>
        </w:rPr>
      </w:pPr>
      <w:r>
        <w:rPr>
          <w:rFonts w:hint="eastAsia" w:ascii="宋体" w:hAnsi="宋体" w:cs="宋体"/>
          <w:b/>
          <w:bCs/>
          <w:color w:val="auto"/>
          <w:highlight w:val="none"/>
        </w:rPr>
        <w:t>38.2.3</w:t>
      </w:r>
      <w:r>
        <w:rPr>
          <w:rFonts w:hint="eastAsia" w:ascii="宋体" w:hAnsi="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highlight w:val="none"/>
        </w:rPr>
        <w:t>。</w:t>
      </w:r>
    </w:p>
    <w:p w14:paraId="1BE326E8">
      <w:pPr>
        <w:pageBreakBefore w:val="0"/>
        <w:wordWrap w:val="0"/>
        <w:overflowPunct/>
        <w:topLinePunct w:val="0"/>
        <w:bidi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38.2.4 质疑供应商提起质疑应当符合下列条件：</w:t>
      </w:r>
    </w:p>
    <w:p w14:paraId="5D46C1F5">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（1）质疑供应商是参与所质疑</w:t>
      </w:r>
      <w:r>
        <w:rPr>
          <w:rFonts w:hint="eastAsia" w:ascii="宋体" w:hAnsi="宋体" w:cs="宋体"/>
          <w:bCs/>
          <w:color w:val="auto"/>
          <w:szCs w:val="21"/>
          <w:highlight w:val="none"/>
        </w:rPr>
        <w:t>项目</w:t>
      </w:r>
      <w:r>
        <w:rPr>
          <w:rFonts w:hint="eastAsia" w:ascii="宋体" w:hAnsi="宋体" w:cs="宋体"/>
          <w:bCs/>
          <w:color w:val="auto"/>
          <w:highlight w:val="none"/>
        </w:rPr>
        <w:t>采购活动的供应商（潜在供应商已依法获取可之一的采购文件的，可以对该采购文件质疑）；</w:t>
      </w:r>
    </w:p>
    <w:p w14:paraId="07BDB1F4">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（2）质疑函内容符合本章第38.2.5项的规定；</w:t>
      </w:r>
    </w:p>
    <w:p w14:paraId="2166E74A">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（3）在质疑有效期限内提起质疑；</w:t>
      </w:r>
    </w:p>
    <w:p w14:paraId="00BB1824">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（4）属于所质疑的采购人或采购人委托的采购代理机构组织的采购活动；</w:t>
      </w:r>
    </w:p>
    <w:p w14:paraId="2904ACD3">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xml:space="preserve">（5）同一质疑事项未经采购人或采购人委托的采购代理机构质疑处理； </w:t>
      </w:r>
    </w:p>
    <w:p w14:paraId="1E1A6A6D">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（6）供应商对同一采购程序环节的质疑应当在质疑有效期内一次性提出；</w:t>
      </w:r>
    </w:p>
    <w:p w14:paraId="010994C8">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（7）供应商提交质疑应当提交必要的证明材料，证明材料应以合法手段取得；</w:t>
      </w:r>
    </w:p>
    <w:p w14:paraId="7BD17CA5">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bCs/>
          <w:color w:val="auto"/>
          <w:highlight w:val="none"/>
        </w:rPr>
        <w:t>（8）财政部门规定的其他条件。</w:t>
      </w:r>
    </w:p>
    <w:p w14:paraId="66E0FA74">
      <w:pPr>
        <w:pageBreakBefore w:val="0"/>
        <w:wordWrap w:val="0"/>
        <w:overflowPunct/>
        <w:topLinePunct w:val="0"/>
        <w:bidi w:val="0"/>
        <w:spacing w:line="360" w:lineRule="auto"/>
        <w:ind w:firstLine="420" w:firstLineChars="200"/>
        <w:rPr>
          <w:rFonts w:ascii="宋体" w:hAnsi="宋体" w:cs="宋体"/>
          <w:b/>
          <w:color w:val="auto"/>
          <w:szCs w:val="21"/>
          <w:highlight w:val="none"/>
        </w:rPr>
      </w:pPr>
      <w:bookmarkStart w:id="98" w:name="_9.2质疑、投诉应当采用书面形式，质疑函、投诉书均应明确阐述招标文件、"/>
      <w:bookmarkEnd w:id="98"/>
      <w:r>
        <w:rPr>
          <w:rFonts w:hint="eastAsia" w:ascii="宋体" w:hAnsi="宋体" w:cs="宋体"/>
          <w:color w:val="auto"/>
          <w:szCs w:val="21"/>
          <w:highlight w:val="none"/>
        </w:rPr>
        <w:t xml:space="preserve"> 38.2.5 </w:t>
      </w:r>
      <w:r>
        <w:rPr>
          <w:rFonts w:hint="eastAsia" w:ascii="宋体" w:hAnsi="宋体" w:cs="宋体"/>
          <w:bCs/>
          <w:color w:val="auto"/>
          <w:highlight w:val="none"/>
        </w:rPr>
        <w:t>供应商提出质疑应当提交质疑函和必要的证明材料，针对同一采购程序环节的质疑必须在法定质疑期内一次性提出。质疑函应当包括下列内容（质疑函格式后附）：</w:t>
      </w:r>
    </w:p>
    <w:p w14:paraId="32D7EB23">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（1）供应商的姓名或者名称、地址、邮编、联系人及联系电话；</w:t>
      </w:r>
    </w:p>
    <w:p w14:paraId="7BB7D178">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（2）质疑项目的名称、编号；</w:t>
      </w:r>
    </w:p>
    <w:p w14:paraId="51386751">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（3）具体、明确的质疑事项和与质疑事项相关的请求；</w:t>
      </w:r>
    </w:p>
    <w:p w14:paraId="3FE097FD">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（4）事实依据（列明权益受到损害的事实和理由）；</w:t>
      </w:r>
    </w:p>
    <w:p w14:paraId="63556BB8">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（5）必要的法律依据；</w:t>
      </w:r>
    </w:p>
    <w:p w14:paraId="7CC23732">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（6）提出质疑的日期。</w:t>
      </w:r>
    </w:p>
    <w:p w14:paraId="40FC97D4">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供应商为自然人的，应当由本人签字；供应商为法人或者其他组织的，应当由法定代表人、主要负责人，或者其委托代理人签字或者盖章，并加盖公章。</w:t>
      </w:r>
    </w:p>
    <w:p w14:paraId="2C46F674">
      <w:pPr>
        <w:pageBreakBefore w:val="0"/>
        <w:wordWrap w:val="0"/>
        <w:overflowPunct/>
        <w:topLinePunct w:val="0"/>
        <w:bidi w:val="0"/>
        <w:spacing w:line="360" w:lineRule="auto"/>
        <w:ind w:firstLine="422" w:firstLineChars="200"/>
        <w:rPr>
          <w:rFonts w:ascii="宋体" w:hAnsi="宋体" w:cs="宋体"/>
          <w:b/>
          <w:color w:val="auto"/>
          <w:szCs w:val="20"/>
          <w:highlight w:val="none"/>
        </w:rPr>
      </w:pPr>
      <w:r>
        <w:rPr>
          <w:rFonts w:hint="eastAsia" w:ascii="宋体" w:hAnsi="宋体" w:cs="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288BD759">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71202CC3">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348BB407">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77C67DA4">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质疑答复导致中标结果改变的，采购人或者采购代理机构应当将有关情况书面报告本级财政部门。</w:t>
      </w:r>
    </w:p>
    <w:p w14:paraId="714419B6">
      <w:pPr>
        <w:pageBreakBefore w:val="0"/>
        <w:wordWrap w:val="0"/>
        <w:overflowPunct/>
        <w:topLinePunct w:val="0"/>
        <w:bidi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38.3投诉</w:t>
      </w:r>
    </w:p>
    <w:p w14:paraId="09103B28">
      <w:pPr>
        <w:pageBreakBefore w:val="0"/>
        <w:wordWrap w:val="0"/>
        <w:overflowPunct/>
        <w:topLinePunct w:val="0"/>
        <w:bidi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38.3</w:t>
      </w:r>
      <w:r>
        <w:rPr>
          <w:rFonts w:hint="eastAsia" w:ascii="宋体" w:hAnsi="宋体" w:cs="宋体"/>
          <w:bCs/>
          <w:color w:val="auto"/>
          <w:highlight w:val="none"/>
        </w:rPr>
        <w:t>.</w:t>
      </w:r>
      <w:r>
        <w:rPr>
          <w:rFonts w:hint="eastAsia" w:ascii="宋体" w:hAnsi="宋体" w:cs="宋体"/>
          <w:b/>
          <w:bCs/>
          <w:color w:val="auto"/>
          <w:highlight w:val="none"/>
        </w:rPr>
        <w:t xml:space="preserve">1 </w:t>
      </w:r>
      <w:r>
        <w:rPr>
          <w:rFonts w:hint="eastAsia" w:ascii="宋体" w:hAnsi="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cs="宋体"/>
          <w:color w:val="auto"/>
          <w:highlight w:val="none"/>
        </w:rPr>
        <w:t>采购代理机构</w:t>
      </w:r>
      <w:r>
        <w:rPr>
          <w:rFonts w:hint="eastAsia" w:ascii="宋体" w:hAnsi="宋体" w:cs="宋体"/>
          <w:bCs/>
          <w:color w:val="auto"/>
          <w:highlight w:val="none"/>
        </w:rPr>
        <w:t>提出质疑。对采购人、</w:t>
      </w:r>
      <w:r>
        <w:rPr>
          <w:rFonts w:hint="eastAsia" w:ascii="宋体" w:hAnsi="宋体" w:cs="宋体"/>
          <w:color w:val="auto"/>
          <w:highlight w:val="none"/>
        </w:rPr>
        <w:t>采购代理机构</w:t>
      </w:r>
      <w:r>
        <w:rPr>
          <w:rFonts w:hint="eastAsia" w:ascii="宋体" w:hAnsi="宋体" w:cs="宋体"/>
          <w:bCs/>
          <w:color w:val="auto"/>
          <w:highlight w:val="none"/>
        </w:rPr>
        <w:t>的答复不满意，或者采购人、</w:t>
      </w:r>
      <w:r>
        <w:rPr>
          <w:rFonts w:hint="eastAsia" w:ascii="宋体" w:hAnsi="宋体" w:cs="宋体"/>
          <w:color w:val="auto"/>
          <w:highlight w:val="none"/>
        </w:rPr>
        <w:t>采购代理机构</w:t>
      </w:r>
      <w:r>
        <w:rPr>
          <w:rFonts w:hint="eastAsia" w:ascii="宋体" w:hAnsi="宋体" w:cs="宋体"/>
          <w:bCs/>
          <w:color w:val="auto"/>
          <w:highlight w:val="none"/>
        </w:rPr>
        <w:t>未在规定期限内做出答复的，供应商可以在答复期满后15个工作日内向南宁市政府采购监督管理部门提起投诉，投诉方式见“投标人须知前附表”。</w:t>
      </w:r>
    </w:p>
    <w:p w14:paraId="234B5040">
      <w:pPr>
        <w:pageBreakBefore w:val="0"/>
        <w:wordWrap w:val="0"/>
        <w:overflowPunct/>
        <w:topLinePunct w:val="0"/>
        <w:bidi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38.3.2 </w:t>
      </w:r>
      <w:r>
        <w:rPr>
          <w:rFonts w:hint="eastAsia" w:ascii="宋体" w:hAnsi="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cs="宋体"/>
          <w:color w:val="auto"/>
          <w:szCs w:val="21"/>
          <w:highlight w:val="none"/>
        </w:rPr>
        <w:t>应当包括下列主要内容</w:t>
      </w:r>
      <w:r>
        <w:rPr>
          <w:rFonts w:hint="eastAsia" w:ascii="宋体" w:hAnsi="宋体" w:cs="宋体"/>
          <w:color w:val="auto"/>
          <w:highlight w:val="none"/>
        </w:rPr>
        <w:t>（如材料中有外文资料应同时附上对应的中文译本）</w:t>
      </w:r>
      <w:r>
        <w:rPr>
          <w:rFonts w:hint="eastAsia" w:ascii="宋体" w:hAnsi="宋体" w:cs="宋体"/>
          <w:bCs/>
          <w:color w:val="auto"/>
          <w:highlight w:val="none"/>
        </w:rPr>
        <w:t>（投诉书格式后附）</w:t>
      </w:r>
      <w:r>
        <w:rPr>
          <w:rFonts w:hint="eastAsia" w:ascii="宋体" w:hAnsi="宋体" w:cs="宋体"/>
          <w:color w:val="auto"/>
          <w:szCs w:val="21"/>
          <w:highlight w:val="none"/>
        </w:rPr>
        <w:t>：</w:t>
      </w:r>
    </w:p>
    <w:p w14:paraId="5C42E3FA">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（1）投诉人和被投诉人的名称、地址、邮编、联系人及联系电话等； </w:t>
      </w:r>
    </w:p>
    <w:p w14:paraId="0FCFDC0F">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（2）质疑和质疑答复情况及相关证明材料； </w:t>
      </w:r>
    </w:p>
    <w:p w14:paraId="7B185058">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（3）具体、明确的投诉事项和与投诉事项相关的投诉请求；</w:t>
      </w:r>
    </w:p>
    <w:p w14:paraId="0FA46C7B">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350C629F">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（5）法律依据；</w:t>
      </w:r>
    </w:p>
    <w:p w14:paraId="636CE357">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（6）提起投诉的日期。</w:t>
      </w:r>
    </w:p>
    <w:p w14:paraId="21DB9512">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（7）附件材料：营业执照副本内页复印件（要求证件有效并清晰反映企业法人经营范围；近期连续三个月依法缴纳税收和在职职工社会保障资金证明材料（复印件）。</w:t>
      </w:r>
      <w:r>
        <w:rPr>
          <w:rFonts w:hint="eastAsia" w:ascii="宋体" w:hAnsi="宋体" w:cs="宋体"/>
          <w:color w:val="auto"/>
          <w:highlight w:val="none"/>
        </w:rPr>
        <w:tab/>
      </w:r>
    </w:p>
    <w:p w14:paraId="3C1AA2F2">
      <w:pPr>
        <w:pageBreakBefore w:val="0"/>
        <w:wordWrap w:val="0"/>
        <w:overflowPunct/>
        <w:topLinePunct w:val="0"/>
        <w:bidi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38.3.3  </w:t>
      </w:r>
      <w:r>
        <w:rPr>
          <w:rFonts w:hint="eastAsia" w:ascii="宋体" w:hAnsi="宋体" w:cs="宋体"/>
          <w:color w:val="auto"/>
          <w:highlight w:val="none"/>
        </w:rPr>
        <w:t>投诉人可以委托代理人办理投诉事务。</w:t>
      </w:r>
      <w:r>
        <w:rPr>
          <w:rFonts w:hint="eastAsia" w:ascii="宋体" w:hAnsi="宋体" w:cs="宋体"/>
          <w:bCs/>
          <w:color w:val="auto"/>
          <w:highlight w:val="none"/>
        </w:rPr>
        <w:t>委托代理人应熟悉相关业务情况。</w:t>
      </w:r>
      <w:r>
        <w:rPr>
          <w:rFonts w:hint="eastAsia" w:ascii="宋体" w:hAnsi="宋体" w:cs="宋体"/>
          <w:color w:val="auto"/>
          <w:highlight w:val="none"/>
        </w:rPr>
        <w:t>代理人办理投诉事务时，除提交投诉书外，还应当提交投诉人的授权委托书和委托代理人身份证明复印件。</w:t>
      </w:r>
    </w:p>
    <w:p w14:paraId="2C46B6B8">
      <w:pPr>
        <w:pageBreakBefore w:val="0"/>
        <w:wordWrap w:val="0"/>
        <w:overflowPunct/>
        <w:topLinePunct w:val="0"/>
        <w:bidi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38.3.4</w:t>
      </w:r>
      <w:r>
        <w:rPr>
          <w:rFonts w:hint="eastAsia" w:ascii="宋体" w:hAnsi="宋体" w:cs="宋体"/>
          <w:color w:val="auto"/>
          <w:highlight w:val="none"/>
        </w:rPr>
        <w:t xml:space="preserve">  投诉人提起投诉应当符合下列条件：</w:t>
      </w:r>
    </w:p>
    <w:p w14:paraId="20B9A7F7">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（1）投诉人是参与所投诉政府采购活动的供应商；</w:t>
      </w:r>
    </w:p>
    <w:p w14:paraId="7507C36C">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（2）提起投诉前已依法进行质疑；</w:t>
      </w:r>
    </w:p>
    <w:p w14:paraId="74B9559F">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（3）投诉书内容符合本章第38.3.2项的规定；</w:t>
      </w:r>
    </w:p>
    <w:p w14:paraId="53787DCC">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（4）在投诉有效期限内提起投诉；</w:t>
      </w:r>
    </w:p>
    <w:p w14:paraId="54566A59">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（5）属于南宁市政府采购监督管理部门管辖；</w:t>
      </w:r>
    </w:p>
    <w:p w14:paraId="116F7DC0">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（6）同一投诉事项未经</w:t>
      </w:r>
      <w:r>
        <w:rPr>
          <w:rFonts w:hint="eastAsia" w:ascii="宋体" w:hAnsi="宋体" w:cs="宋体"/>
          <w:bCs/>
          <w:color w:val="auto"/>
          <w:highlight w:val="none"/>
        </w:rPr>
        <w:t>南宁市政府采购监督管理部门</w:t>
      </w:r>
      <w:r>
        <w:rPr>
          <w:rFonts w:hint="eastAsia" w:ascii="宋体" w:hAnsi="宋体" w:cs="宋体"/>
          <w:color w:val="auto"/>
          <w:highlight w:val="none"/>
        </w:rPr>
        <w:t>投诉处理；</w:t>
      </w:r>
    </w:p>
    <w:p w14:paraId="5FA5883B">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（7）国务院财政部门规定的其他条件。</w:t>
      </w:r>
    </w:p>
    <w:p w14:paraId="7B52DDD8">
      <w:pPr>
        <w:pageBreakBefore w:val="0"/>
        <w:wordWrap w:val="0"/>
        <w:overflowPunct/>
        <w:topLinePunct w:val="0"/>
        <w:bidi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38.3.5</w:t>
      </w:r>
      <w:r>
        <w:rPr>
          <w:rFonts w:hint="eastAsia" w:ascii="宋体" w:hAnsi="宋体" w:cs="宋体"/>
          <w:color w:val="auto"/>
          <w:highlight w:val="none"/>
        </w:rPr>
        <w:t xml:space="preserve">  南宁市政府采购监督管理部门自受理投诉之日起30个工作日内，对投诉事项作出处理决定，并以书面形式通知投诉人、被投诉人及其他与投诉处理结果有利害关系的政府采购当事人。并将投诉结果在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color w:val="auto"/>
          <w:kern w:val="0"/>
          <w:szCs w:val="21"/>
          <w:highlight w:val="none"/>
        </w:rPr>
        <w:t>“广西政府采购网”（http://zfcg.gxzf.gov.cn）</w:t>
      </w:r>
      <w:r>
        <w:rPr>
          <w:rFonts w:hint="eastAsia" w:ascii="宋体" w:hAnsi="宋体" w:cs="宋体"/>
          <w:color w:val="auto"/>
          <w:highlight w:val="none"/>
        </w:rPr>
        <w:t>发布。</w:t>
      </w:r>
    </w:p>
    <w:p w14:paraId="3CCC2FD1">
      <w:pPr>
        <w:pageBreakBefore w:val="0"/>
        <w:wordWrap w:val="0"/>
        <w:overflowPunct/>
        <w:topLinePunct w:val="0"/>
        <w:bidi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38.3.6</w:t>
      </w:r>
      <w:r>
        <w:rPr>
          <w:rFonts w:hint="eastAsia" w:ascii="宋体" w:hAnsi="宋体" w:cs="宋体"/>
          <w:color w:val="auto"/>
          <w:highlight w:val="none"/>
        </w:rPr>
        <w:t xml:space="preserve">  南宁市政府采购监督管理部门在处理投诉事项期间，可以视具体情况暂停采购活动。</w:t>
      </w:r>
    </w:p>
    <w:p w14:paraId="4D29AE64">
      <w:pPr>
        <w:pageBreakBefore w:val="0"/>
        <w:wordWrap w:val="0"/>
        <w:overflowPunct/>
        <w:topLinePunct w:val="0"/>
        <w:bidi w:val="0"/>
        <w:snapToGrid w:val="0"/>
        <w:spacing w:line="360" w:lineRule="auto"/>
        <w:ind w:left="120" w:leftChars="57" w:firstLine="482" w:firstLineChars="150"/>
        <w:jc w:val="center"/>
        <w:outlineLvl w:val="9"/>
        <w:rPr>
          <w:rFonts w:hint="eastAsia" w:ascii="宋体" w:hAnsi="宋体" w:cs="宋体"/>
          <w:b/>
          <w:bCs/>
          <w:color w:val="auto"/>
          <w:sz w:val="32"/>
          <w:szCs w:val="32"/>
          <w:highlight w:val="none"/>
        </w:rPr>
      </w:pPr>
    </w:p>
    <w:p w14:paraId="3A7851FE">
      <w:pPr>
        <w:pageBreakBefore w:val="0"/>
        <w:wordWrap w:val="0"/>
        <w:overflowPunct/>
        <w:topLinePunct w:val="0"/>
        <w:bidi w:val="0"/>
        <w:snapToGrid w:val="0"/>
        <w:spacing w:line="360" w:lineRule="auto"/>
        <w:ind w:left="120" w:leftChars="57" w:firstLine="482" w:firstLineChars="150"/>
        <w:jc w:val="center"/>
        <w:outlineLvl w:val="2"/>
        <w:rPr>
          <w:rFonts w:ascii="宋体" w:hAnsi="宋体" w:cs="宋体"/>
          <w:b/>
          <w:bCs/>
          <w:color w:val="auto"/>
          <w:sz w:val="32"/>
          <w:szCs w:val="32"/>
          <w:highlight w:val="none"/>
        </w:rPr>
      </w:pPr>
      <w:bookmarkStart w:id="99" w:name="_Toc6519"/>
      <w:r>
        <w:rPr>
          <w:rFonts w:hint="eastAsia" w:ascii="宋体" w:hAnsi="宋体" w:cs="宋体"/>
          <w:b/>
          <w:bCs/>
          <w:color w:val="auto"/>
          <w:sz w:val="32"/>
          <w:szCs w:val="32"/>
          <w:highlight w:val="none"/>
        </w:rPr>
        <w:t>八、验收</w:t>
      </w:r>
      <w:bookmarkEnd w:id="99"/>
    </w:p>
    <w:p w14:paraId="6E93535B">
      <w:pPr>
        <w:pageBreakBefore w:val="0"/>
        <w:wordWrap w:val="0"/>
        <w:overflowPunct/>
        <w:topLinePunct w:val="0"/>
        <w:bidi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39.验收</w:t>
      </w:r>
    </w:p>
    <w:p w14:paraId="441625AA">
      <w:pPr>
        <w:pageBreakBefore w:val="0"/>
        <w:tabs>
          <w:tab w:val="left" w:pos="0"/>
        </w:tabs>
        <w:wordWrap w:val="0"/>
        <w:overflowPunct/>
        <w:topLinePunct w:val="0"/>
        <w:bidi w:val="0"/>
        <w:spacing w:line="360" w:lineRule="auto"/>
        <w:ind w:firstLine="480"/>
        <w:rPr>
          <w:rFonts w:ascii="宋体" w:hAnsi="宋体" w:cs="宋体"/>
          <w:color w:val="auto"/>
          <w:highlight w:val="none"/>
        </w:rPr>
      </w:pPr>
      <w:r>
        <w:rPr>
          <w:rFonts w:hint="eastAsia" w:ascii="宋体" w:hAnsi="宋体" w:cs="宋体"/>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6C6FAEF">
      <w:pPr>
        <w:pageBreakBefore w:val="0"/>
        <w:tabs>
          <w:tab w:val="left" w:pos="0"/>
        </w:tabs>
        <w:wordWrap w:val="0"/>
        <w:overflowPunct/>
        <w:topLinePunct w:val="0"/>
        <w:bidi w:val="0"/>
        <w:spacing w:line="360" w:lineRule="auto"/>
        <w:ind w:firstLine="480"/>
        <w:rPr>
          <w:rFonts w:ascii="宋体" w:hAnsi="宋体" w:cs="宋体"/>
          <w:color w:val="auto"/>
          <w:highlight w:val="none"/>
        </w:rPr>
      </w:pPr>
      <w:r>
        <w:rPr>
          <w:rFonts w:hint="eastAsia" w:ascii="宋体" w:hAnsi="宋体" w:cs="宋体"/>
          <w:color w:val="auto"/>
          <w:highlight w:val="none"/>
        </w:rPr>
        <w:t>39.2采购人可以邀请参加本项目的其他投标人或者第三方机构参与验收。参与验收的投标人或者第三方机构的意见作为验收书的参考资料一并存档。</w:t>
      </w:r>
    </w:p>
    <w:p w14:paraId="2458C1C1">
      <w:pPr>
        <w:pageBreakBefore w:val="0"/>
        <w:tabs>
          <w:tab w:val="left" w:pos="0"/>
        </w:tabs>
        <w:wordWrap w:val="0"/>
        <w:overflowPunct/>
        <w:topLinePunct w:val="0"/>
        <w:bidi w:val="0"/>
        <w:spacing w:line="360" w:lineRule="auto"/>
        <w:ind w:firstLine="480"/>
        <w:rPr>
          <w:rFonts w:ascii="宋体" w:hAnsi="宋体" w:cs="宋体"/>
          <w:color w:val="auto"/>
          <w:highlight w:val="none"/>
        </w:rPr>
      </w:pPr>
      <w:r>
        <w:rPr>
          <w:rFonts w:hint="eastAsia" w:ascii="宋体" w:hAnsi="宋体" w:cs="宋体"/>
          <w:color w:val="auto"/>
          <w:highlight w:val="none"/>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F2CE622">
      <w:pPr>
        <w:pageBreakBefore w:val="0"/>
        <w:tabs>
          <w:tab w:val="left" w:pos="0"/>
        </w:tabs>
        <w:wordWrap w:val="0"/>
        <w:overflowPunct/>
        <w:topLinePunct w:val="0"/>
        <w:bidi w:val="0"/>
        <w:spacing w:line="360" w:lineRule="auto"/>
        <w:ind w:firstLine="480"/>
        <w:rPr>
          <w:rFonts w:ascii="宋体" w:hAnsi="宋体" w:cs="宋体"/>
          <w:color w:val="auto"/>
          <w:highlight w:val="none"/>
        </w:rPr>
      </w:pPr>
      <w:r>
        <w:rPr>
          <w:rFonts w:hint="eastAsia" w:ascii="宋体" w:hAnsi="宋体" w:cs="宋体"/>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AFD419F">
      <w:pPr>
        <w:pStyle w:val="12"/>
        <w:pageBreakBefore w:val="0"/>
        <w:wordWrap w:val="0"/>
        <w:overflowPunct/>
        <w:topLinePunct w:val="0"/>
        <w:bidi w:val="0"/>
        <w:snapToGrid w:val="0"/>
        <w:spacing w:line="360" w:lineRule="auto"/>
        <w:rPr>
          <w:rFonts w:hAnsi="宋体" w:cs="宋体"/>
          <w:color w:val="auto"/>
          <w:highlight w:val="none"/>
        </w:rPr>
      </w:pPr>
    </w:p>
    <w:p w14:paraId="4DB33C9B">
      <w:pPr>
        <w:pStyle w:val="5"/>
        <w:keepNext w:val="0"/>
        <w:keepLines w:val="0"/>
        <w:pageBreakBefore w:val="0"/>
        <w:wordWrap w:val="0"/>
        <w:overflowPunct/>
        <w:topLinePunct w:val="0"/>
        <w:bidi w:val="0"/>
        <w:spacing w:line="360" w:lineRule="auto"/>
        <w:jc w:val="center"/>
        <w:rPr>
          <w:rFonts w:ascii="宋体" w:hAnsi="宋体" w:cs="宋体"/>
          <w:color w:val="auto"/>
          <w:highlight w:val="none"/>
        </w:rPr>
      </w:pPr>
      <w:bookmarkStart w:id="100" w:name="_八、其他事项"/>
      <w:bookmarkEnd w:id="100"/>
      <w:bookmarkStart w:id="101" w:name="_Toc29156"/>
      <w:r>
        <w:rPr>
          <w:rFonts w:hint="eastAsia" w:ascii="宋体" w:hAnsi="宋体" w:cs="宋体"/>
          <w:color w:val="auto"/>
          <w:highlight w:val="none"/>
        </w:rPr>
        <w:t>九、其他事项</w:t>
      </w:r>
      <w:bookmarkEnd w:id="101"/>
    </w:p>
    <w:p w14:paraId="0C48BA31">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102" w:name="_42.代理服务费"/>
      <w:bookmarkEnd w:id="102"/>
      <w:r>
        <w:rPr>
          <w:rFonts w:hint="eastAsia" w:ascii="宋体" w:hAnsi="宋体" w:cs="宋体"/>
          <w:color w:val="auto"/>
          <w:sz w:val="24"/>
          <w:highlight w:val="none"/>
        </w:rPr>
        <w:t>40.代理服务费</w:t>
      </w:r>
    </w:p>
    <w:p w14:paraId="298FB50D">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代理服务收费标准及缴费账户详见“投标人须知前附表”，投标人为联合体的，可以由联合体中的一方或者多方共同交纳代理服务费。</w:t>
      </w:r>
    </w:p>
    <w:p w14:paraId="7879D2DB">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 需要补充的其他内容</w:t>
      </w:r>
    </w:p>
    <w:p w14:paraId="32EE0224">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41.1本招标文件解释规则详见“投标人须知前附表”。</w:t>
      </w:r>
    </w:p>
    <w:p w14:paraId="1E126F45">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41.2 其他事项详见“投标人须知前附表”。</w:t>
      </w:r>
    </w:p>
    <w:p w14:paraId="0EE05814">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14:paraId="136F8A8C">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以联合体形式参加政府采购活动，联合体各方均为中小企业的，联合体视同中小企业。其中，联合体各方均为小微企业的，联合体视同小微企业。</w:t>
      </w:r>
    </w:p>
    <w:p w14:paraId="245F2F57">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依据本文件规定享受扶持政策获得政府采购合同的，小微企业不得将合同分包给大中型企业，中型企业不得将合同分包给大型企业。</w:t>
      </w:r>
    </w:p>
    <w:p w14:paraId="29041C89">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 政采贷相关说明</w:t>
      </w:r>
    </w:p>
    <w:p w14:paraId="7C7FA96D">
      <w:pPr>
        <w:pageBreakBefore w:val="0"/>
        <w:numPr>
          <w:ilvl w:val="0"/>
          <w:numId w:val="5"/>
        </w:numPr>
        <w:wordWrap w:val="0"/>
        <w:overflowPunct/>
        <w:topLinePunct w:val="0"/>
        <w:bidi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为优化政府采购营商环境，缓解供应商资金难题，南宁市政府采购试行政府采购信用融资制度，中 标供应商如有融资需求，可凭政府采购合同通过以下方式申请政府采购信用融资贷款： （1）线下渠道：在“南宁市公共资源交易中心”官网（网址： http://www.nnggzy.org.cn ）“交易信 息- 政府采购- 政府采购信用融资”中融资银行和南宁市企业融资服务中心专栏信息申请政府采购信用融资 。 （2）线上渠道：登录中征营应收账款融资服务平台（网址：https://www.crcrfsp.com，客服电话： 400-009-0001），选择相关金融产品和银行业金融机构金融融资贷款。具体操作方式见《中国人民银行南宁 中心支行广西壮族自治区财政厅关于推广线上“政采贷”融资模式的通知》（南宁银发〔2021〕258 号）文 （文件公开网址详情见：“广西政府采购网”——http://www.ccgpguangxi.gov.cn/AdministrativeRegulations/AutonomousRegion/9830442.html）</w:t>
      </w:r>
      <w:r>
        <w:rPr>
          <w:rFonts w:hint="eastAsia" w:ascii="宋体" w:hAnsi="宋体" w:cs="宋体"/>
          <w:color w:val="auto"/>
          <w:highlight w:val="none"/>
        </w:rPr>
        <w:br w:type="page"/>
      </w:r>
    </w:p>
    <w:p w14:paraId="766891E9">
      <w:pPr>
        <w:pStyle w:val="12"/>
        <w:pageBreakBefore w:val="0"/>
        <w:wordWrap w:val="0"/>
        <w:overflowPunct/>
        <w:topLinePunct w:val="0"/>
        <w:bidi w:val="0"/>
        <w:spacing w:line="360" w:lineRule="auto"/>
        <w:jc w:val="center"/>
        <w:outlineLvl w:val="0"/>
        <w:rPr>
          <w:rFonts w:hAnsi="宋体" w:cs="宋体"/>
          <w:b/>
          <w:color w:val="auto"/>
          <w:sz w:val="36"/>
          <w:highlight w:val="none"/>
        </w:rPr>
      </w:pPr>
      <w:bookmarkStart w:id="103" w:name="_Toc532545043"/>
      <w:bookmarkStart w:id="104" w:name="_Toc4997"/>
      <w:r>
        <w:rPr>
          <w:rFonts w:hint="eastAsia" w:hAnsi="宋体" w:cs="宋体"/>
          <w:b/>
          <w:color w:val="auto"/>
          <w:sz w:val="36"/>
          <w:highlight w:val="none"/>
        </w:rPr>
        <w:t>第四章  评标方法</w:t>
      </w:r>
      <w:bookmarkEnd w:id="103"/>
      <w:r>
        <w:rPr>
          <w:rFonts w:hint="eastAsia" w:hAnsi="宋体" w:cs="宋体"/>
          <w:b/>
          <w:color w:val="auto"/>
          <w:sz w:val="36"/>
          <w:highlight w:val="none"/>
        </w:rPr>
        <w:t>及评分标准</w:t>
      </w:r>
      <w:bookmarkEnd w:id="104"/>
    </w:p>
    <w:p w14:paraId="132D9ADD">
      <w:pPr>
        <w:pStyle w:val="12"/>
        <w:pageBreakBefore w:val="0"/>
        <w:wordWrap w:val="0"/>
        <w:overflowPunct/>
        <w:topLinePunct w:val="0"/>
        <w:bidi w:val="0"/>
        <w:spacing w:line="360" w:lineRule="auto"/>
        <w:jc w:val="center"/>
        <w:outlineLvl w:val="1"/>
        <w:rPr>
          <w:rFonts w:hAnsi="宋体" w:cs="宋体"/>
          <w:b/>
          <w:bCs/>
          <w:color w:val="auto"/>
          <w:sz w:val="32"/>
          <w:szCs w:val="32"/>
          <w:highlight w:val="none"/>
        </w:rPr>
      </w:pPr>
      <w:bookmarkStart w:id="105" w:name="_Toc2118"/>
      <w:r>
        <w:rPr>
          <w:rFonts w:hint="eastAsia" w:hAnsi="宋体" w:cs="宋体"/>
          <w:b/>
          <w:bCs/>
          <w:color w:val="auto"/>
          <w:sz w:val="32"/>
          <w:szCs w:val="32"/>
          <w:highlight w:val="none"/>
        </w:rPr>
        <w:t>第一节 评标方法</w:t>
      </w:r>
      <w:bookmarkEnd w:id="105"/>
    </w:p>
    <w:p w14:paraId="453629C1">
      <w:pPr>
        <w:pStyle w:val="12"/>
        <w:pageBreakBefore w:val="0"/>
        <w:tabs>
          <w:tab w:val="left" w:pos="2472"/>
        </w:tabs>
        <w:wordWrap w:val="0"/>
        <w:overflowPunct/>
        <w:topLinePunct w:val="0"/>
        <w:bidi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本项目采用</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综合评分法 </w:t>
      </w:r>
      <w:r>
        <w:rPr>
          <w:rFonts w:hint="eastAsia" w:hAnsi="宋体" w:cs="宋体"/>
          <w:color w:val="auto"/>
          <w:szCs w:val="21"/>
          <w:highlight w:val="none"/>
        </w:rPr>
        <w:t>进行评审。</w:t>
      </w:r>
    </w:p>
    <w:p w14:paraId="19BD762D">
      <w:pPr>
        <w:pageBreakBefore w:val="0"/>
        <w:wordWrap w:val="0"/>
        <w:overflowPunct/>
        <w:topLinePunct w:val="0"/>
        <w:autoSpaceDE w:val="0"/>
        <w:autoSpaceDN w:val="0"/>
        <w:bidi w:val="0"/>
        <w:adjustRightInd w:val="0"/>
        <w:spacing w:line="360" w:lineRule="auto"/>
        <w:ind w:firstLine="420" w:firstLineChars="200"/>
        <w:rPr>
          <w:rFonts w:ascii="宋体" w:hAnsi="宋体" w:cs="宋体"/>
          <w:color w:val="auto"/>
          <w:sz w:val="24"/>
          <w:highlight w:val="none"/>
        </w:rPr>
      </w:pPr>
      <w:r>
        <w:rPr>
          <w:rFonts w:hint="eastAsia" w:ascii="宋体" w:hAnsi="宋体" w:cs="宋体"/>
          <w:color w:val="auto"/>
          <w:highlight w:val="none"/>
        </w:rPr>
        <w:t>综合评分法，</w:t>
      </w:r>
      <w:r>
        <w:rPr>
          <w:rFonts w:hint="eastAsia" w:ascii="宋体" w:hAnsi="宋体" w:cs="宋体"/>
          <w:color w:val="auto"/>
          <w:szCs w:val="20"/>
          <w:highlight w:val="none"/>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781D2E00">
      <w:pPr>
        <w:pStyle w:val="12"/>
        <w:pageBreakBefore w:val="0"/>
        <w:wordWrap w:val="0"/>
        <w:overflowPunct/>
        <w:topLinePunct w:val="0"/>
        <w:bidi w:val="0"/>
        <w:spacing w:line="360" w:lineRule="auto"/>
        <w:ind w:firstLine="420"/>
        <w:rPr>
          <w:rFonts w:hAnsi="宋体" w:cs="宋体"/>
          <w:color w:val="auto"/>
          <w:highlight w:val="none"/>
        </w:rPr>
      </w:pPr>
    </w:p>
    <w:p w14:paraId="20635B88">
      <w:pPr>
        <w:pStyle w:val="12"/>
        <w:pageBreakBefore w:val="0"/>
        <w:tabs>
          <w:tab w:val="left" w:pos="2472"/>
        </w:tabs>
        <w:wordWrap w:val="0"/>
        <w:overflowPunct/>
        <w:topLinePunct w:val="0"/>
        <w:bidi w:val="0"/>
        <w:spacing w:line="360" w:lineRule="auto"/>
        <w:jc w:val="center"/>
        <w:outlineLvl w:val="1"/>
        <w:rPr>
          <w:rFonts w:hAnsi="宋体" w:cs="宋体"/>
          <w:b/>
          <w:bCs/>
          <w:color w:val="auto"/>
          <w:sz w:val="32"/>
          <w:szCs w:val="32"/>
          <w:highlight w:val="none"/>
        </w:rPr>
      </w:pPr>
      <w:bookmarkStart w:id="106" w:name="_Toc3444"/>
      <w:r>
        <w:rPr>
          <w:rFonts w:hint="eastAsia" w:hAnsi="宋体" w:cs="宋体"/>
          <w:b/>
          <w:bCs/>
          <w:color w:val="auto"/>
          <w:sz w:val="32"/>
          <w:szCs w:val="32"/>
          <w:highlight w:val="none"/>
        </w:rPr>
        <w:t>第二节 评标程序</w:t>
      </w:r>
      <w:bookmarkEnd w:id="106"/>
    </w:p>
    <w:p w14:paraId="304659ED">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1.符合性审查</w:t>
      </w:r>
    </w:p>
    <w:p w14:paraId="3D0577FD">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评标委员会应当对符合资格的投标人的投标文件进行投标报价、商务、技术等实质性内容符合性审查，以确定其是否满足招标文件的实质性要求。</w:t>
      </w:r>
    </w:p>
    <w:p w14:paraId="6FEB5EB7">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2.符合性审查不通过而导致投标无效的情形</w:t>
      </w:r>
    </w:p>
    <w:p w14:paraId="7059B405">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投标人的投标文件中存在对招标文件的任何实质性要求和条件的负偏离，将被视为投标无效。</w:t>
      </w:r>
    </w:p>
    <w:p w14:paraId="5F4265A2">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2.1在报价评审时，如发现下列情形之一的，将被视为投标无效：</w:t>
      </w:r>
    </w:p>
    <w:p w14:paraId="39B2E91E">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（1）投标文件未提供“投标人须知前附表”第13.1条规定中“必须提供”的文件资料的;</w:t>
      </w:r>
    </w:p>
    <w:p w14:paraId="501E37EF">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（2）未采用人民币报价或者未按照招标文件标明的币种报价的；</w:t>
      </w:r>
    </w:p>
    <w:p w14:paraId="640B8569">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（3）报价超出招标文件规定最高限价，或者超出采购预算金额（包括分项预算）的；</w:t>
      </w:r>
    </w:p>
    <w:p w14:paraId="21646FF8">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314A31C0">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（5）修正后的报价，投标人不确认的；</w:t>
      </w:r>
    </w:p>
    <w:p w14:paraId="4240181C">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（6）投标人属于本章第5条第（2）项情形的。</w:t>
      </w:r>
    </w:p>
    <w:p w14:paraId="78D27063">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2.2在商务评审时，如发现下列情形之一的，将被视为投标无效：</w:t>
      </w:r>
    </w:p>
    <w:p w14:paraId="6FA50B40">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（1）投标文件未按招标文件要求签署、盖章的；</w:t>
      </w:r>
    </w:p>
    <w:p w14:paraId="3BA3C9FF">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（2）委托代理人未能出具有效身份证明或者出具的身份证明与授权委托书中的信息不符的； </w:t>
      </w:r>
    </w:p>
    <w:p w14:paraId="63119612">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（3）投标文件未提供“投标人须知前附表”第13.1条规定中“必须提供”或者“委托时必须提供”的文件资料的;</w:t>
      </w:r>
    </w:p>
    <w:p w14:paraId="1715A5E0">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（4）投标有效期、项目完成时间（交货时间、服务完成时间或者服务期等）、质保期、售后服务等招标文件中标“▲”的商务条款发生负偏离的；</w:t>
      </w:r>
    </w:p>
    <w:p w14:paraId="38F9412A">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（5）商务条款评审允许负偏离的条款数超过“投标人须知前附表”规定项数的。</w:t>
      </w:r>
    </w:p>
    <w:p w14:paraId="1EF61556">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（6）投标文件的实质性内容未使用中文表述、使用计量单位不符合招标文件要求的；</w:t>
      </w:r>
    </w:p>
    <w:p w14:paraId="0D439D3A">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（7）投标文件中的文件资料因填写不齐全或者内容虚假或者出现其他情形而导致被评标委员会认定无效的；</w:t>
      </w:r>
    </w:p>
    <w:p w14:paraId="1E7502C5">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（8）投标文件含有采购人不能接受的附加条件的；</w:t>
      </w:r>
    </w:p>
    <w:p w14:paraId="77E8FCB8">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（9）未响应招标文件实质性要求的；</w:t>
      </w:r>
    </w:p>
    <w:p w14:paraId="6D044C23">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（10）属于投标人须知正文第9.2条情形的；</w:t>
      </w:r>
    </w:p>
    <w:p w14:paraId="0501B8C5">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（11）法律、法规和招标文件规定的其他无效情形。</w:t>
      </w:r>
    </w:p>
    <w:p w14:paraId="49BFE7FF">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2.3在技术评审时，如发现下列情形之一的，将被视为投标无效：</w:t>
      </w:r>
    </w:p>
    <w:p w14:paraId="2C6EA863">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（1）不满足招标文件要求的服务内容、技术要求、安全、质量标准，或者与招标文件中标“▲”的技术需求发生负偏离的；</w:t>
      </w:r>
    </w:p>
    <w:p w14:paraId="241D4FBB">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（2）技术需求评审允许负偏离的条款数超过“投标人须知前附表”规定项数的；</w:t>
      </w:r>
    </w:p>
    <w:p w14:paraId="33114456">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（3）投标文件未提供“投标人须知前附表”第13.1条规定中“必须提供”的文件资料的;</w:t>
      </w:r>
    </w:p>
    <w:p w14:paraId="4D6B0B35">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（4）虚假投标，或者出现其他情形而导致被评标委员会认定无效的；</w:t>
      </w:r>
    </w:p>
    <w:p w14:paraId="470C53D6">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（5）如招标文件需要提供技术方案的，投标技术方案不明确，招标文件未允许但存在一个或者一个以上备选（替代）投标方案的。</w:t>
      </w:r>
    </w:p>
    <w:p w14:paraId="4A33F83F">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3.澄清补正、说明或者补正</w:t>
      </w:r>
    </w:p>
    <w:p w14:paraId="33018EBE">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072714C5">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54857A72">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4.投标文件修正</w:t>
      </w:r>
    </w:p>
    <w:p w14:paraId="75F4C0D4">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4.1投标文件报价出现前后不一致的，按照下列规定修正： </w:t>
      </w:r>
    </w:p>
    <w:p w14:paraId="08F970D1">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（1）报价文件中“开标一览表”内容与投标文件中相应内容不一致的，以“开标一览表”为准；</w:t>
      </w:r>
    </w:p>
    <w:p w14:paraId="02CF8F3B">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（2）大写金额和小写金额不一致的，以大写金额为准；</w:t>
      </w:r>
    </w:p>
    <w:p w14:paraId="1F418E4C">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（3）单价金额小数点或者百分比有明显错位的，以开标一览表的总价为准，并修改单价；</w:t>
      </w:r>
    </w:p>
    <w:p w14:paraId="30C71F54">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14:paraId="3921A766">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同时出现两种以上不一致的，按照以上（1）-（4）规定的顺序修正。修正后的报价经投标人确认后产生约束力，投标人不确认的，其投标无效。</w:t>
      </w:r>
    </w:p>
    <w:p w14:paraId="76EE1F34">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4.2经投标人确认修正后的报价若超过采购预算金额或者最高限价，投标人的投标文件作无效投标处理。</w:t>
      </w:r>
    </w:p>
    <w:p w14:paraId="39D54E92">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4.3经投标人确认修正后的报价作为签订合同的依据，并以此报价计算价格分。</w:t>
      </w:r>
    </w:p>
    <w:p w14:paraId="3DDC3A47">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5.比较与评价</w:t>
      </w:r>
    </w:p>
    <w:p w14:paraId="13457035">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5.1评标委员会按照招标文件中规定的评标方法和评标标准，对符合性审查合格的投标文件进行商务和技术评估，综合比较与评价。</w:t>
      </w:r>
    </w:p>
    <w:p w14:paraId="16711EE1">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5.2评标委员会独立对每个投标人的投标文件进行评价，并汇总每个投标人的得分。</w:t>
      </w:r>
    </w:p>
    <w:p w14:paraId="4667A42A">
      <w:pPr>
        <w:pageBreakBefore w:val="0"/>
        <w:widowControl/>
        <w:numPr>
          <w:ilvl w:val="0"/>
          <w:numId w:val="6"/>
        </w:numPr>
        <w:wordWrap w:val="0"/>
        <w:overflowPunct/>
        <w:topLinePunct w:val="0"/>
        <w:bidi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40795C39">
      <w:pPr>
        <w:pageBreakBefore w:val="0"/>
        <w:widowControl/>
        <w:numPr>
          <w:ilvl w:val="0"/>
          <w:numId w:val="6"/>
        </w:numPr>
        <w:wordWrap w:val="0"/>
        <w:overflowPunct/>
        <w:topLinePunct w:val="0"/>
        <w:bidi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06A59EE3">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5.3评标委员会按照招标文件中规定的评标方法和标准计算各投标人的报价得分。在计算过程中，不得去掉最高报价或者最低报价。</w:t>
      </w:r>
    </w:p>
    <w:p w14:paraId="475DE296">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5.4各投标人的得分为所有评委的有效评分的算术平均数。</w:t>
      </w:r>
    </w:p>
    <w:p w14:paraId="3234FF43">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5.5评标委员会按照招标文件中的规定推荐中标候选人。</w:t>
      </w:r>
    </w:p>
    <w:p w14:paraId="00C3D510">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7AEAA9B3">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6.评审复核</w:t>
      </w:r>
    </w:p>
    <w:p w14:paraId="3718CE91">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6.1评标报告签署前，评标委员会要对评审结果进行复核，复核意见要体现在评标报告中。</w:t>
      </w:r>
    </w:p>
    <w:p w14:paraId="54C4A4EB">
      <w:pPr>
        <w:pageBreakBefore w:val="0"/>
        <w:widowControl/>
        <w:wordWrap w:val="0"/>
        <w:overflowPunct/>
        <w:topLinePunct w:val="0"/>
        <w:bidi w:val="0"/>
        <w:spacing w:line="360" w:lineRule="auto"/>
        <w:ind w:firstLine="420" w:firstLineChars="200"/>
        <w:jc w:val="left"/>
        <w:textAlignment w:val="baseline"/>
        <w:rPr>
          <w:rFonts w:ascii="宋体" w:hAnsi="宋体" w:cs="宋体"/>
          <w:color w:val="auto"/>
          <w:highlight w:val="none"/>
        </w:rPr>
      </w:pPr>
      <w:r>
        <w:rPr>
          <w:rFonts w:hint="eastAsia" w:ascii="宋体" w:hAnsi="宋体" w:cs="宋体"/>
          <w:color w:val="auto"/>
          <w:highlight w:val="none"/>
        </w:rPr>
        <w:t>6.2评标结果汇总完成后，除下列情形外，任何人不得修改评标结果：</w:t>
      </w:r>
    </w:p>
    <w:p w14:paraId="64A02381">
      <w:pPr>
        <w:pageBreakBefore w:val="0"/>
        <w:widowControl/>
        <w:wordWrap w:val="0"/>
        <w:overflowPunct/>
        <w:topLinePunct w:val="0"/>
        <w:bidi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（一）分值汇总计算错误的；</w:t>
      </w:r>
    </w:p>
    <w:p w14:paraId="7462AA62">
      <w:pPr>
        <w:pageBreakBefore w:val="0"/>
        <w:widowControl/>
        <w:wordWrap w:val="0"/>
        <w:overflowPunct/>
        <w:topLinePunct w:val="0"/>
        <w:bidi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（二）分项评分超出评分标准范围的；</w:t>
      </w:r>
    </w:p>
    <w:p w14:paraId="58504463">
      <w:pPr>
        <w:pageBreakBefore w:val="0"/>
        <w:widowControl/>
        <w:wordWrap w:val="0"/>
        <w:overflowPunct/>
        <w:topLinePunct w:val="0"/>
        <w:bidi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（三）评标委员会成员对客观评审因素评分不一致的；</w:t>
      </w:r>
    </w:p>
    <w:p w14:paraId="57D7BD10">
      <w:pPr>
        <w:pageBreakBefore w:val="0"/>
        <w:widowControl/>
        <w:wordWrap w:val="0"/>
        <w:overflowPunct/>
        <w:topLinePunct w:val="0"/>
        <w:bidi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（四）经评标委员会认定评分畸高、畸低的。</w:t>
      </w:r>
    </w:p>
    <w:p w14:paraId="394C4FE7">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C584737">
      <w:pPr>
        <w:pStyle w:val="4"/>
        <w:pageBreakBefore w:val="0"/>
        <w:wordWrap w:val="0"/>
        <w:overflowPunct/>
        <w:topLinePunct w:val="0"/>
        <w:bidi w:val="0"/>
        <w:spacing w:before="0" w:after="0" w:line="360" w:lineRule="auto"/>
        <w:jc w:val="center"/>
        <w:rPr>
          <w:rFonts w:ascii="宋体" w:hAnsi="宋体" w:eastAsia="宋体" w:cs="宋体"/>
          <w:b w:val="0"/>
          <w:color w:val="auto"/>
          <w:sz w:val="30"/>
          <w:szCs w:val="30"/>
          <w:highlight w:val="none"/>
        </w:rPr>
      </w:pPr>
      <w:bookmarkStart w:id="107" w:name="_Toc32456"/>
      <w:r>
        <w:rPr>
          <w:rFonts w:hint="eastAsia" w:ascii="宋体" w:hAnsi="宋体" w:eastAsia="宋体" w:cs="宋体"/>
          <w:b w:val="0"/>
          <w:color w:val="auto"/>
          <w:sz w:val="30"/>
          <w:szCs w:val="30"/>
          <w:highlight w:val="none"/>
        </w:rPr>
        <w:t>第三节 评分标准</w:t>
      </w:r>
      <w:bookmarkEnd w:id="107"/>
    </w:p>
    <w:p w14:paraId="0E0A096E">
      <w:pPr>
        <w:pStyle w:val="12"/>
        <w:pageBreakBefore w:val="0"/>
        <w:widowControl/>
        <w:wordWrap w:val="0"/>
        <w:overflowPunct/>
        <w:topLinePunct w:val="0"/>
        <w:bidi w:val="0"/>
        <w:spacing w:line="360" w:lineRule="auto"/>
        <w:ind w:firstLine="602" w:firstLineChars="200"/>
        <w:jc w:val="center"/>
        <w:rPr>
          <w:rFonts w:hAnsi="宋体" w:cs="宋体"/>
          <w:b/>
          <w:color w:val="auto"/>
          <w:sz w:val="30"/>
          <w:szCs w:val="30"/>
          <w:highlight w:val="none"/>
        </w:rPr>
      </w:pPr>
      <w:r>
        <w:rPr>
          <w:rFonts w:hint="eastAsia" w:hAnsi="宋体" w:cs="宋体"/>
          <w:b/>
          <w:color w:val="auto"/>
          <w:sz w:val="30"/>
          <w:szCs w:val="30"/>
          <w:highlight w:val="none"/>
        </w:rPr>
        <w:t>二、综合评分法</w:t>
      </w:r>
    </w:p>
    <w:p w14:paraId="31A10520">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szCs w:val="21"/>
          <w:highlight w:val="none"/>
        </w:rPr>
        <w:t>注：1.计分方法按四舍五入取至百分位。</w:t>
      </w:r>
    </w:p>
    <w:p w14:paraId="31888158">
      <w:pPr>
        <w:pageBreakBefore w:val="0"/>
        <w:wordWrap w:val="0"/>
        <w:overflowPunct/>
        <w:topLinePunct w:val="0"/>
        <w:bidi w:val="0"/>
        <w:spacing w:line="360" w:lineRule="auto"/>
        <w:ind w:firstLine="1050" w:firstLineChars="500"/>
        <w:rPr>
          <w:rFonts w:ascii="宋体" w:hAnsi="宋体" w:cs="宋体"/>
          <w:color w:val="auto"/>
          <w:szCs w:val="21"/>
          <w:highlight w:val="none"/>
        </w:rPr>
      </w:pPr>
      <w:r>
        <w:rPr>
          <w:rFonts w:hint="eastAsia" w:ascii="宋体" w:hAnsi="宋体" w:cs="宋体"/>
          <w:color w:val="auto"/>
          <w:szCs w:val="21"/>
          <w:highlight w:val="none"/>
        </w:rPr>
        <w:t>总得分=报价分+技术分+商务分</w:t>
      </w:r>
    </w:p>
    <w:p w14:paraId="39466A24">
      <w:pPr>
        <w:pageBreakBefore w:val="0"/>
        <w:wordWrap w:val="0"/>
        <w:overflowPunct/>
        <w:topLinePunct w:val="0"/>
        <w:bidi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2.商务技术评审因素为客观评分项的，应在评分项目或评分标准中予以标注为‘客观分’。对投标人的客观评分项目，各评标专家评分应当一致。</w:t>
      </w:r>
      <w:bookmarkStart w:id="108" w:name="PO_TDCUS_ITEM_SM_TITLE_1"/>
    </w:p>
    <w:bookmarkEnd w:id="108"/>
    <w:tbl>
      <w:tblPr>
        <w:tblStyle w:val="19"/>
        <w:tblpPr w:leftFromText="180" w:rightFromText="180" w:vertAnchor="text" w:horzAnchor="page" w:tblpX="1139" w:tblpY="94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776"/>
        <w:gridCol w:w="6433"/>
        <w:gridCol w:w="1170"/>
      </w:tblGrid>
      <w:tr w14:paraId="02126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top w:val="single" w:color="auto" w:sz="4" w:space="0"/>
              <w:left w:val="single" w:color="auto" w:sz="4" w:space="0"/>
              <w:bottom w:val="single" w:color="auto" w:sz="4" w:space="0"/>
              <w:right w:val="single" w:color="auto" w:sz="4" w:space="0"/>
            </w:tcBorders>
          </w:tcPr>
          <w:p w14:paraId="7BEE96AA">
            <w:pPr>
              <w:pStyle w:val="12"/>
              <w:keepNext w:val="0"/>
              <w:keepLines w:val="0"/>
              <w:pageBreakBefore w:val="0"/>
              <w:widowControl/>
              <w:kinsoku/>
              <w:wordWrap w:val="0"/>
              <w:overflowPunct/>
              <w:topLinePunct w:val="0"/>
              <w:autoSpaceDE/>
              <w:autoSpaceDN/>
              <w:bidi w:val="0"/>
              <w:adjustRightInd/>
              <w:spacing w:line="360" w:lineRule="auto"/>
              <w:ind w:firstLine="0" w:firstLineChars="0"/>
              <w:textAlignment w:val="auto"/>
              <w:rPr>
                <w:rFonts w:hint="eastAsia" w:asciiTheme="minorEastAsia" w:hAnsiTheme="minorEastAsia" w:eastAsiaTheme="minorEastAsia" w:cstheme="minorEastAsia"/>
                <w:bCs/>
                <w:color w:val="auto"/>
                <w:sz w:val="24"/>
                <w:szCs w:val="24"/>
                <w:highlight w:val="none"/>
              </w:rPr>
            </w:pPr>
            <w:bookmarkStart w:id="109" w:name="_Toc26276"/>
            <w:r>
              <w:rPr>
                <w:rFonts w:hint="eastAsia" w:asciiTheme="minorEastAsia" w:hAnsiTheme="minorEastAsia" w:eastAsiaTheme="minorEastAsia" w:cstheme="minorEastAsia"/>
                <w:bCs/>
                <w:color w:val="auto"/>
                <w:sz w:val="24"/>
                <w:szCs w:val="24"/>
                <w:highlight w:val="none"/>
              </w:rPr>
              <w:t>序号</w:t>
            </w:r>
          </w:p>
        </w:tc>
        <w:tc>
          <w:tcPr>
            <w:tcW w:w="1776" w:type="dxa"/>
            <w:tcBorders>
              <w:top w:val="single" w:color="auto" w:sz="4" w:space="0"/>
              <w:left w:val="single" w:color="auto" w:sz="4" w:space="0"/>
              <w:bottom w:val="single" w:color="auto" w:sz="4" w:space="0"/>
              <w:right w:val="single" w:color="auto" w:sz="4" w:space="0"/>
            </w:tcBorders>
          </w:tcPr>
          <w:p w14:paraId="4DBAA982">
            <w:pPr>
              <w:pStyle w:val="12"/>
              <w:keepNext w:val="0"/>
              <w:keepLines w:val="0"/>
              <w:pageBreakBefore w:val="0"/>
              <w:widowControl/>
              <w:kinsoku/>
              <w:wordWrap w:val="0"/>
              <w:overflowPunct/>
              <w:topLinePunct w:val="0"/>
              <w:autoSpaceDE/>
              <w:autoSpaceDN/>
              <w:bidi w:val="0"/>
              <w:adjustRightInd/>
              <w:spacing w:line="360" w:lineRule="auto"/>
              <w:ind w:firstLine="0" w:firstLineChars="0"/>
              <w:jc w:val="center"/>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评分类型</w:t>
            </w:r>
          </w:p>
        </w:tc>
        <w:tc>
          <w:tcPr>
            <w:tcW w:w="6433" w:type="dxa"/>
            <w:tcBorders>
              <w:top w:val="single" w:color="auto" w:sz="4" w:space="0"/>
              <w:left w:val="single" w:color="auto" w:sz="4" w:space="0"/>
              <w:bottom w:val="single" w:color="auto" w:sz="4" w:space="0"/>
              <w:right w:val="single" w:color="auto" w:sz="4" w:space="0"/>
            </w:tcBorders>
          </w:tcPr>
          <w:p w14:paraId="37B11FAD">
            <w:pPr>
              <w:pStyle w:val="12"/>
              <w:keepNext w:val="0"/>
              <w:keepLines w:val="0"/>
              <w:pageBreakBefore w:val="0"/>
              <w:widowControl/>
              <w:kinsoku/>
              <w:wordWrap w:val="0"/>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评分标准</w:t>
            </w:r>
          </w:p>
        </w:tc>
        <w:tc>
          <w:tcPr>
            <w:tcW w:w="1170" w:type="dxa"/>
            <w:tcBorders>
              <w:top w:val="single" w:color="auto" w:sz="4" w:space="0"/>
              <w:left w:val="single" w:color="auto" w:sz="4" w:space="0"/>
              <w:bottom w:val="single" w:color="auto" w:sz="4" w:space="0"/>
              <w:right w:val="single" w:color="auto" w:sz="4" w:space="0"/>
            </w:tcBorders>
          </w:tcPr>
          <w:p w14:paraId="3331B48E">
            <w:pPr>
              <w:pStyle w:val="12"/>
              <w:keepNext w:val="0"/>
              <w:keepLines w:val="0"/>
              <w:pageBreakBefore w:val="0"/>
              <w:widowControl/>
              <w:kinsoku/>
              <w:wordWrap w:val="0"/>
              <w:overflowPunct/>
              <w:topLinePunct w:val="0"/>
              <w:autoSpaceDE/>
              <w:autoSpaceDN/>
              <w:bidi w:val="0"/>
              <w:adjustRightInd/>
              <w:spacing w:line="360" w:lineRule="auto"/>
              <w:ind w:firstLine="0" w:firstLineChars="0"/>
              <w:jc w:val="center"/>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分值</w:t>
            </w:r>
          </w:p>
        </w:tc>
      </w:tr>
      <w:tr w14:paraId="2520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top w:val="single" w:color="auto" w:sz="4" w:space="0"/>
              <w:left w:val="single" w:color="auto" w:sz="4" w:space="0"/>
              <w:bottom w:val="single" w:color="auto" w:sz="4" w:space="0"/>
              <w:right w:val="single" w:color="auto" w:sz="4" w:space="0"/>
            </w:tcBorders>
            <w:vAlign w:val="center"/>
          </w:tcPr>
          <w:p w14:paraId="05480DDC">
            <w:pPr>
              <w:pStyle w:val="12"/>
              <w:keepNext w:val="0"/>
              <w:keepLines w:val="0"/>
              <w:pageBreakBefore w:val="0"/>
              <w:widowControl/>
              <w:kinsoku/>
              <w:wordWrap w:val="0"/>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w:t>
            </w:r>
          </w:p>
        </w:tc>
        <w:tc>
          <w:tcPr>
            <w:tcW w:w="1776" w:type="dxa"/>
            <w:tcBorders>
              <w:top w:val="single" w:color="auto" w:sz="4" w:space="0"/>
              <w:left w:val="single" w:color="auto" w:sz="4" w:space="0"/>
              <w:bottom w:val="single" w:color="auto" w:sz="4" w:space="0"/>
              <w:right w:val="single" w:color="auto" w:sz="4" w:space="0"/>
            </w:tcBorders>
            <w:vAlign w:val="center"/>
          </w:tcPr>
          <w:p w14:paraId="0AD67C70">
            <w:pPr>
              <w:pStyle w:val="12"/>
              <w:keepNext w:val="0"/>
              <w:keepLines w:val="0"/>
              <w:pageBreakBefore w:val="0"/>
              <w:widowControl/>
              <w:kinsoku/>
              <w:wordWrap w:val="0"/>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报价分</w:t>
            </w:r>
          </w:p>
        </w:tc>
        <w:tc>
          <w:tcPr>
            <w:tcW w:w="6433" w:type="dxa"/>
            <w:tcBorders>
              <w:top w:val="single" w:color="auto" w:sz="4" w:space="0"/>
              <w:left w:val="single" w:color="auto" w:sz="4" w:space="0"/>
              <w:bottom w:val="single" w:color="auto" w:sz="4" w:space="0"/>
              <w:right w:val="single" w:color="auto" w:sz="4" w:space="0"/>
            </w:tcBorders>
          </w:tcPr>
          <w:p w14:paraId="5FC3F609">
            <w:pPr>
              <w:keepNext w:val="0"/>
              <w:keepLines w:val="0"/>
              <w:pageBreakBefore w:val="0"/>
              <w:kinsoku/>
              <w:wordWrap w:val="0"/>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（1）评标报价为投标人的投标报价进行政策性扣除后的价格，评标报价只是作为评标时使用。最终中标供应商的中标金额等于投标报价。</w:t>
            </w:r>
          </w:p>
          <w:p w14:paraId="2B592644">
            <w:pPr>
              <w:pStyle w:val="12"/>
              <w:keepNext w:val="0"/>
              <w:keepLines w:val="0"/>
              <w:pageBreakBefore w:val="0"/>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（2）按照《政府采购促进中小企业发展管理办法》（财库〔2020〕46号）的规定，投标人在其投标文件中提供《中小企业声明函》，且其服务为小型和微型企业承接的，对其最后报价给予20%的扣除。</w:t>
            </w:r>
          </w:p>
          <w:p w14:paraId="56C98B2C">
            <w:pPr>
              <w:keepNext w:val="0"/>
              <w:keepLines w:val="0"/>
              <w:pageBreakBefore w:val="0"/>
              <w:kinsoku/>
              <w:wordWrap w:val="0"/>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Theme="minorEastAsia" w:hAnsiTheme="minorEastAsia" w:eastAsiaTheme="minorEastAsia" w:cstheme="minorEastAsia"/>
                <w:color w:val="auto"/>
                <w:sz w:val="24"/>
                <w:szCs w:val="24"/>
                <w:highlight w:val="none"/>
              </w:rPr>
              <w:t>监狱企业参加政府采购活动时，应当提供由省级以上监狱管理局、戒毒管理局(含新疆生产建设兵团)出具的属于监狱企业的证明文件。</w:t>
            </w:r>
            <w:r>
              <w:rPr>
                <w:rFonts w:hint="eastAsia" w:asciiTheme="minorEastAsia" w:hAnsiTheme="minorEastAsia" w:eastAsiaTheme="minorEastAsia" w:cstheme="minorEastAsia"/>
                <w:bCs/>
                <w:color w:val="auto"/>
                <w:sz w:val="24"/>
                <w:szCs w:val="24"/>
                <w:highlight w:val="none"/>
              </w:rPr>
              <w:t>不重复享受政策。</w:t>
            </w:r>
          </w:p>
          <w:p w14:paraId="74B90226">
            <w:pPr>
              <w:keepNext w:val="0"/>
              <w:keepLines w:val="0"/>
              <w:pageBreakBefore w:val="0"/>
              <w:kinsoku/>
              <w:wordWrap w:val="0"/>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（4）按照</w:t>
            </w:r>
            <w:r>
              <w:rPr>
                <w:rFonts w:hint="eastAsia" w:asciiTheme="minorEastAsia" w:hAnsiTheme="minorEastAsia" w:eastAsiaTheme="minorEastAsia" w:cstheme="minorEastAsia"/>
                <w:bCs/>
                <w:color w:val="auto"/>
                <w:sz w:val="24"/>
                <w:szCs w:val="24"/>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Theme="minorEastAsia" w:hAnsiTheme="minorEastAsia" w:eastAsiaTheme="minorEastAsia" w:cstheme="minorEastAsia"/>
                <w:color w:val="auto"/>
                <w:sz w:val="24"/>
                <w:szCs w:val="24"/>
                <w:highlight w:val="none"/>
              </w:rPr>
              <w:t>残疾人福利性单位参加政府采购活动时，应当提供该通知规定的《残疾人福利性单位声明函》，并对声明的真实性负责。</w:t>
            </w:r>
            <w:r>
              <w:rPr>
                <w:rFonts w:hint="eastAsia" w:asciiTheme="minorEastAsia" w:hAnsiTheme="minorEastAsia" w:eastAsiaTheme="minorEastAsia" w:cstheme="minorEastAsia"/>
                <w:bCs/>
                <w:color w:val="auto"/>
                <w:sz w:val="24"/>
                <w:szCs w:val="24"/>
                <w:highlight w:val="none"/>
              </w:rPr>
              <w:t>残疾人福利性单位属于小型、微型企业的，不重复享受政策。</w:t>
            </w:r>
          </w:p>
          <w:p w14:paraId="648C6988">
            <w:pPr>
              <w:keepNext w:val="0"/>
              <w:keepLines w:val="0"/>
              <w:pageBreakBefore w:val="0"/>
              <w:kinsoku/>
              <w:wordWrap w:val="0"/>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（5）政策性扣除计算方法。</w:t>
            </w:r>
          </w:p>
          <w:p w14:paraId="663C8784">
            <w:pPr>
              <w:keepNext w:val="0"/>
              <w:keepLines w:val="0"/>
              <w:pageBreakBefore w:val="0"/>
              <w:kinsoku/>
              <w:wordWrap w:val="0"/>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在服务采购项目中，服务由小微企业承接；对符合上述要求的投标人的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Theme="minorEastAsia" w:hAnsiTheme="minorEastAsia" w:eastAsiaTheme="minorEastAsia" w:cstheme="minorEastAsia"/>
                <w:bCs/>
                <w:color w:val="auto"/>
                <w:sz w:val="24"/>
                <w:szCs w:val="24"/>
                <w:highlight w:val="none"/>
                <w:u w:val="single"/>
              </w:rPr>
              <w:t>6%</w:t>
            </w:r>
            <w:r>
              <w:rPr>
                <w:rFonts w:hint="eastAsia" w:asciiTheme="minorEastAsia" w:hAnsiTheme="minorEastAsia" w:eastAsiaTheme="minorEastAsia" w:cstheme="minorEastAsia"/>
                <w:bCs/>
                <w:color w:val="auto"/>
                <w:sz w:val="24"/>
                <w:szCs w:val="24"/>
                <w:highlight w:val="none"/>
              </w:rPr>
              <w:t>的扣除，用扣除后的价格参加评审，扣除后的价格为评标报价，即评标报价=投标报价×（1-</w:t>
            </w:r>
            <w:r>
              <w:rPr>
                <w:rFonts w:hint="eastAsia" w:asciiTheme="minorEastAsia" w:hAnsiTheme="minorEastAsia" w:eastAsiaTheme="minorEastAsia" w:cstheme="minorEastAsia"/>
                <w:bCs/>
                <w:color w:val="auto"/>
                <w:sz w:val="24"/>
                <w:szCs w:val="24"/>
                <w:highlight w:val="none"/>
                <w:u w:val="single"/>
              </w:rPr>
              <w:t>6%</w:t>
            </w:r>
            <w:r>
              <w:rPr>
                <w:rFonts w:hint="eastAsia" w:asciiTheme="minorEastAsia" w:hAnsiTheme="minorEastAsia" w:eastAsiaTheme="minorEastAsia" w:cstheme="minorEastAsia"/>
                <w:bCs/>
                <w:color w:val="auto"/>
                <w:sz w:val="24"/>
                <w:szCs w:val="24"/>
                <w:highlight w:val="none"/>
              </w:rPr>
              <w:t>）。除上述情况外，评标报价=投标报价。</w:t>
            </w:r>
          </w:p>
          <w:p w14:paraId="04925CB6">
            <w:pPr>
              <w:keepNext w:val="0"/>
              <w:keepLines w:val="0"/>
              <w:pageBreakBefore w:val="0"/>
              <w:kinsoku/>
              <w:wordWrap w:val="0"/>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（6）满足招标文件要求且评标报价最低的评标报价为评标基准价，其价格分为满分。</w:t>
            </w:r>
          </w:p>
          <w:p w14:paraId="71A05CF0">
            <w:pPr>
              <w:keepNext w:val="0"/>
              <w:keepLines w:val="0"/>
              <w:pageBreakBefore w:val="0"/>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（7）价格分计算公式：        </w:t>
            </w:r>
          </w:p>
          <w:p w14:paraId="34323888">
            <w:pPr>
              <w:pStyle w:val="12"/>
              <w:keepNext w:val="0"/>
              <w:keepLines w:val="0"/>
              <w:pageBreakBefore w:val="0"/>
              <w:widowControl/>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价格分=(评标基准价／评标报价)×</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10 </w:t>
            </w:r>
            <w:r>
              <w:rPr>
                <w:rFonts w:hint="eastAsia" w:asciiTheme="minorEastAsia" w:hAnsiTheme="minorEastAsia" w:eastAsiaTheme="minorEastAsia" w:cstheme="minorEastAsia"/>
                <w:bCs/>
                <w:color w:val="auto"/>
                <w:sz w:val="24"/>
                <w:szCs w:val="24"/>
                <w:highlight w:val="none"/>
              </w:rPr>
              <w:t>分</w:t>
            </w:r>
          </w:p>
        </w:tc>
        <w:tc>
          <w:tcPr>
            <w:tcW w:w="1170" w:type="dxa"/>
            <w:tcBorders>
              <w:top w:val="single" w:color="auto" w:sz="4" w:space="0"/>
              <w:left w:val="single" w:color="auto" w:sz="4" w:space="0"/>
              <w:bottom w:val="single" w:color="auto" w:sz="4" w:space="0"/>
              <w:right w:val="single" w:color="auto" w:sz="4" w:space="0"/>
            </w:tcBorders>
            <w:vAlign w:val="center"/>
          </w:tcPr>
          <w:p w14:paraId="43655237">
            <w:pPr>
              <w:pStyle w:val="12"/>
              <w:keepNext w:val="0"/>
              <w:keepLines w:val="0"/>
              <w:pageBreakBefore w:val="0"/>
              <w:widowControl/>
              <w:kinsoku/>
              <w:wordWrap w:val="0"/>
              <w:overflowPunct/>
              <w:topLinePunct w:val="0"/>
              <w:autoSpaceDE/>
              <w:autoSpaceDN/>
              <w:bidi w:val="0"/>
              <w:adjustRightInd/>
              <w:spacing w:line="360" w:lineRule="auto"/>
              <w:ind w:firstLine="0" w:firstLineChars="0"/>
              <w:jc w:val="center"/>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0~</w:t>
            </w:r>
            <w:r>
              <w:rPr>
                <w:rFonts w:hint="eastAsia" w:asciiTheme="minorEastAsia" w:hAnsiTheme="minorEastAsia" w:eastAsiaTheme="minorEastAsia" w:cstheme="minorEastAsia"/>
                <w:bCs/>
                <w:color w:val="auto"/>
                <w:sz w:val="24"/>
                <w:szCs w:val="24"/>
                <w:highlight w:val="none"/>
                <w:lang w:val="en-US" w:eastAsia="zh-CN"/>
              </w:rPr>
              <w:t>10</w:t>
            </w:r>
          </w:p>
        </w:tc>
      </w:tr>
      <w:tr w14:paraId="4F61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Merge w:val="restart"/>
            <w:tcBorders>
              <w:top w:val="single" w:color="auto" w:sz="4" w:space="0"/>
              <w:left w:val="single" w:color="auto" w:sz="4" w:space="0"/>
              <w:right w:val="single" w:color="auto" w:sz="4" w:space="0"/>
            </w:tcBorders>
            <w:vAlign w:val="center"/>
          </w:tcPr>
          <w:p w14:paraId="1B6D432C">
            <w:pPr>
              <w:pStyle w:val="12"/>
              <w:keepNext w:val="0"/>
              <w:keepLines w:val="0"/>
              <w:pageBreakBefore w:val="0"/>
              <w:widowControl/>
              <w:kinsoku/>
              <w:wordWrap w:val="0"/>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w:t>
            </w:r>
          </w:p>
        </w:tc>
        <w:tc>
          <w:tcPr>
            <w:tcW w:w="1776" w:type="dxa"/>
            <w:tcBorders>
              <w:top w:val="single" w:color="auto" w:sz="4" w:space="0"/>
              <w:left w:val="single" w:color="auto" w:sz="4" w:space="0"/>
              <w:bottom w:val="single" w:color="auto" w:sz="4" w:space="0"/>
              <w:right w:val="single" w:color="auto" w:sz="4" w:space="0"/>
            </w:tcBorders>
          </w:tcPr>
          <w:p w14:paraId="70B800B3">
            <w:pPr>
              <w:pStyle w:val="12"/>
              <w:keepNext w:val="0"/>
              <w:keepLines w:val="0"/>
              <w:pageBreakBefore w:val="0"/>
              <w:widowControl/>
              <w:kinsoku/>
              <w:wordWrap w:val="0"/>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技术分</w:t>
            </w:r>
          </w:p>
        </w:tc>
        <w:tc>
          <w:tcPr>
            <w:tcW w:w="6433" w:type="dxa"/>
            <w:tcBorders>
              <w:top w:val="single" w:color="auto" w:sz="4" w:space="0"/>
              <w:left w:val="single" w:color="auto" w:sz="4" w:space="0"/>
              <w:bottom w:val="single" w:color="auto" w:sz="4" w:space="0"/>
              <w:right w:val="single" w:color="auto" w:sz="4" w:space="0"/>
            </w:tcBorders>
          </w:tcPr>
          <w:p w14:paraId="0ADC8DAB">
            <w:pPr>
              <w:pStyle w:val="12"/>
              <w:keepNext w:val="0"/>
              <w:keepLines w:val="0"/>
              <w:pageBreakBefore w:val="0"/>
              <w:widowControl/>
              <w:kinsoku/>
              <w:wordWrap w:val="0"/>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评审因素</w:t>
            </w:r>
          </w:p>
        </w:tc>
        <w:tc>
          <w:tcPr>
            <w:tcW w:w="1170" w:type="dxa"/>
            <w:tcBorders>
              <w:top w:val="single" w:color="auto" w:sz="4" w:space="0"/>
              <w:left w:val="single" w:color="auto" w:sz="4" w:space="0"/>
              <w:bottom w:val="single" w:color="auto" w:sz="4" w:space="0"/>
              <w:right w:val="single" w:color="auto" w:sz="4" w:space="0"/>
            </w:tcBorders>
          </w:tcPr>
          <w:p w14:paraId="511FE78F">
            <w:pPr>
              <w:pStyle w:val="12"/>
              <w:keepNext w:val="0"/>
              <w:keepLines w:val="0"/>
              <w:pageBreakBefore w:val="0"/>
              <w:widowControl/>
              <w:kinsoku/>
              <w:wordWrap w:val="0"/>
              <w:overflowPunct/>
              <w:topLinePunct w:val="0"/>
              <w:autoSpaceDE/>
              <w:autoSpaceDN/>
              <w:bidi w:val="0"/>
              <w:adjustRightInd/>
              <w:spacing w:line="360" w:lineRule="auto"/>
              <w:ind w:firstLine="0" w:firstLineChars="0"/>
              <w:jc w:val="both"/>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分值</w:t>
            </w:r>
          </w:p>
        </w:tc>
      </w:tr>
      <w:tr w14:paraId="3D2FA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trPr>
        <w:tc>
          <w:tcPr>
            <w:tcW w:w="583" w:type="dxa"/>
            <w:vMerge w:val="continue"/>
            <w:tcBorders>
              <w:left w:val="single" w:color="auto" w:sz="4" w:space="0"/>
              <w:right w:val="single" w:color="auto" w:sz="4" w:space="0"/>
            </w:tcBorders>
          </w:tcPr>
          <w:p w14:paraId="408D4036">
            <w:pPr>
              <w:pStyle w:val="12"/>
              <w:keepNext w:val="0"/>
              <w:keepLines w:val="0"/>
              <w:pageBreakBefore w:val="0"/>
              <w:widowControl/>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p>
        </w:tc>
        <w:tc>
          <w:tcPr>
            <w:tcW w:w="1776" w:type="dxa"/>
            <w:tcBorders>
              <w:top w:val="single" w:color="auto" w:sz="4" w:space="0"/>
              <w:left w:val="single" w:color="auto" w:sz="4" w:space="0"/>
              <w:bottom w:val="single" w:color="auto" w:sz="4" w:space="0"/>
              <w:right w:val="single" w:color="auto" w:sz="4" w:space="0"/>
            </w:tcBorders>
            <w:vAlign w:val="center"/>
          </w:tcPr>
          <w:p w14:paraId="7E047C52">
            <w:pPr>
              <w:keepNext w:val="0"/>
              <w:keepLines w:val="0"/>
              <w:pageBreakBefore w:val="0"/>
              <w:kinsoku/>
              <w:overflowPunct/>
              <w:topLinePunct w:val="0"/>
              <w:autoSpaceDE/>
              <w:autoSpaceDN/>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项目技术响应情况（满分18分）</w:t>
            </w:r>
          </w:p>
        </w:tc>
        <w:tc>
          <w:tcPr>
            <w:tcW w:w="6433" w:type="dxa"/>
            <w:tcBorders>
              <w:top w:val="single" w:color="auto" w:sz="4" w:space="0"/>
              <w:left w:val="single" w:color="auto" w:sz="4" w:space="0"/>
              <w:bottom w:val="single" w:color="auto" w:sz="4" w:space="0"/>
              <w:right w:val="single" w:color="auto" w:sz="4" w:space="0"/>
            </w:tcBorders>
            <w:vAlign w:val="top"/>
          </w:tcPr>
          <w:p w14:paraId="59F60936">
            <w:pPr>
              <w:pStyle w:val="2"/>
              <w:numPr>
                <w:ilvl w:val="0"/>
                <w:numId w:val="0"/>
              </w:numP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带“</w:t>
            </w:r>
            <w:r>
              <w:rPr>
                <w:rFonts w:hint="eastAsia" w:ascii="Times New Roman" w:hAnsi="Times New Roman" w:eastAsia="宋体" w:cs="Times New Roman"/>
                <w:color w:val="auto"/>
                <w:sz w:val="24"/>
                <w:szCs w:val="24"/>
                <w:highlight w:val="none"/>
                <w:lang w:val="en-US" w:eastAsia="zh-CN"/>
              </w:rPr>
              <w:t>●</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”号重要技术参数响应程度：采购需求中标注“</w:t>
            </w:r>
            <w:r>
              <w:rPr>
                <w:rFonts w:hint="eastAsia" w:ascii="Times New Roman" w:hAnsi="Times New Roman" w:eastAsia="宋体" w:cs="Times New Roman"/>
                <w:color w:val="auto"/>
                <w:sz w:val="24"/>
                <w:szCs w:val="24"/>
                <w:highlight w:val="none"/>
                <w:lang w:val="en-US" w:eastAsia="zh-CN"/>
              </w:rPr>
              <w:t>●</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”号条款为重要功能服务条款（共18项），完全满足招标文件要求的得18分；对采购需求中标注“</w:t>
            </w:r>
            <w:r>
              <w:rPr>
                <w:rFonts w:hint="eastAsia" w:ascii="Times New Roman" w:hAnsi="Times New Roman" w:eastAsia="宋体" w:cs="Times New Roman"/>
                <w:color w:val="auto"/>
                <w:sz w:val="24"/>
                <w:szCs w:val="24"/>
                <w:highlight w:val="none"/>
                <w:lang w:val="en-US" w:eastAsia="zh-CN"/>
              </w:rPr>
              <w:t>●</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”条款的重要功能服务条款参数不响应或负偏离的，每有一项扣1分，扣完18分为止。</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【注：如需求中要求提供相关证明材料，须按要求提供，否则视为负偏离，未明确要求提供证明资料的，以《技术要求偏离表》响应情况为准。本项评审不包含技术评审中的演示参数。】</w:t>
            </w:r>
          </w:p>
        </w:tc>
        <w:tc>
          <w:tcPr>
            <w:tcW w:w="1170" w:type="dxa"/>
            <w:tcBorders>
              <w:top w:val="single" w:color="auto" w:sz="4" w:space="0"/>
              <w:left w:val="single" w:color="auto" w:sz="4" w:space="0"/>
              <w:bottom w:val="single" w:color="auto" w:sz="4" w:space="0"/>
              <w:right w:val="single" w:color="auto" w:sz="4" w:space="0"/>
            </w:tcBorders>
            <w:vAlign w:val="center"/>
          </w:tcPr>
          <w:p w14:paraId="4A3752D2">
            <w:pPr>
              <w:pStyle w:val="12"/>
              <w:keepNext w:val="0"/>
              <w:keepLines w:val="0"/>
              <w:pageBreakBefore w:val="0"/>
              <w:widowControl/>
              <w:kinsoku/>
              <w:wordWrap w:val="0"/>
              <w:overflowPunct/>
              <w:topLinePunct w:val="0"/>
              <w:autoSpaceDE/>
              <w:autoSpaceDN/>
              <w:bidi w:val="0"/>
              <w:adjustRightInd/>
              <w:spacing w:line="360" w:lineRule="auto"/>
              <w:ind w:firstLine="0" w:firstLineChars="0"/>
              <w:jc w:val="both"/>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kern w:val="0"/>
                <w:sz w:val="24"/>
                <w:szCs w:val="24"/>
                <w:highlight w:val="none"/>
              </w:rPr>
              <w:t>0~</w:t>
            </w:r>
            <w:r>
              <w:rPr>
                <w:rFonts w:hint="eastAsia" w:asciiTheme="minorEastAsia" w:hAnsiTheme="minorEastAsia" w:eastAsiaTheme="minorEastAsia" w:cstheme="minorEastAsia"/>
                <w:bCs/>
                <w:color w:val="auto"/>
                <w:kern w:val="0"/>
                <w:sz w:val="24"/>
                <w:szCs w:val="24"/>
                <w:highlight w:val="none"/>
                <w:lang w:val="en-US" w:eastAsia="zh-CN"/>
              </w:rPr>
              <w:t>18</w:t>
            </w:r>
            <w:r>
              <w:rPr>
                <w:rFonts w:hint="eastAsia" w:asciiTheme="minorEastAsia" w:hAnsiTheme="minorEastAsia" w:eastAsiaTheme="minorEastAsia" w:cstheme="minorEastAsia"/>
                <w:bCs/>
                <w:color w:val="auto"/>
                <w:kern w:val="0"/>
                <w:sz w:val="24"/>
                <w:szCs w:val="24"/>
                <w:highlight w:val="none"/>
              </w:rPr>
              <w:t>分</w:t>
            </w:r>
          </w:p>
        </w:tc>
      </w:tr>
      <w:tr w14:paraId="2AFE1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583" w:type="dxa"/>
            <w:vMerge w:val="continue"/>
            <w:tcBorders>
              <w:left w:val="single" w:color="auto" w:sz="4" w:space="0"/>
              <w:right w:val="single" w:color="auto" w:sz="4" w:space="0"/>
            </w:tcBorders>
          </w:tcPr>
          <w:p w14:paraId="5A3A05BA">
            <w:pPr>
              <w:pStyle w:val="12"/>
              <w:keepNext w:val="0"/>
              <w:keepLines w:val="0"/>
              <w:pageBreakBefore w:val="0"/>
              <w:widowControl/>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p>
        </w:tc>
        <w:tc>
          <w:tcPr>
            <w:tcW w:w="1776" w:type="dxa"/>
            <w:tcBorders>
              <w:top w:val="single" w:color="auto" w:sz="4" w:space="0"/>
              <w:left w:val="single" w:color="auto" w:sz="4" w:space="0"/>
              <w:bottom w:val="single" w:color="auto" w:sz="4" w:space="0"/>
              <w:right w:val="single" w:color="auto" w:sz="4" w:space="0"/>
            </w:tcBorders>
            <w:vAlign w:val="center"/>
          </w:tcPr>
          <w:p w14:paraId="6EEE4BD0">
            <w:pPr>
              <w:keepNext w:val="0"/>
              <w:keepLines w:val="0"/>
              <w:pageBreakBefore w:val="0"/>
              <w:kinsoku/>
              <w:overflowPunct/>
              <w:topLinePunct w:val="0"/>
              <w:autoSpaceDE/>
              <w:autoSpaceDN/>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项目理解（满分12分，不满足一档会不提供得0分。）</w:t>
            </w:r>
          </w:p>
        </w:tc>
        <w:tc>
          <w:tcPr>
            <w:tcW w:w="6433" w:type="dxa"/>
            <w:tcBorders>
              <w:top w:val="single" w:color="auto" w:sz="4" w:space="0"/>
              <w:left w:val="single" w:color="auto" w:sz="4" w:space="0"/>
              <w:bottom w:val="single" w:color="auto" w:sz="4" w:space="0"/>
              <w:right w:val="single" w:color="auto" w:sz="4" w:space="0"/>
            </w:tcBorders>
            <w:vAlign w:val="top"/>
          </w:tcPr>
          <w:p w14:paraId="1DE5CA8D">
            <w:pPr>
              <w:keepNext w:val="0"/>
              <w:keepLines w:val="0"/>
              <w:pageBreakBefore w:val="0"/>
              <w:kinsoku/>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一档（2分）：有对本项目的理解和分析，表述清晰；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二档（8 分）：在一档的基础上，对项目背景、目标、范围、需求有深入理解，对项目涉及的相关政策有了解；</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三档（12 分）：在二档的基础上，对项目总体目标有深刻认识，能够深入分析项目现状，能结合项目背景、目标、范围、需求提出合理化建议，有利于本项目顺利实施。</w:t>
            </w:r>
          </w:p>
        </w:tc>
        <w:tc>
          <w:tcPr>
            <w:tcW w:w="1170" w:type="dxa"/>
            <w:tcBorders>
              <w:top w:val="single" w:color="auto" w:sz="4" w:space="0"/>
              <w:left w:val="single" w:color="auto" w:sz="4" w:space="0"/>
              <w:bottom w:val="single" w:color="auto" w:sz="4" w:space="0"/>
              <w:right w:val="single" w:color="auto" w:sz="4" w:space="0"/>
            </w:tcBorders>
            <w:vAlign w:val="center"/>
          </w:tcPr>
          <w:p w14:paraId="53911AD1">
            <w:pPr>
              <w:pStyle w:val="12"/>
              <w:keepNext w:val="0"/>
              <w:keepLines w:val="0"/>
              <w:pageBreakBefore w:val="0"/>
              <w:widowControl/>
              <w:kinsoku/>
              <w:wordWrap w:val="0"/>
              <w:overflowPunct/>
              <w:topLinePunct w:val="0"/>
              <w:autoSpaceDE/>
              <w:autoSpaceDN/>
              <w:bidi w:val="0"/>
              <w:adjustRightInd/>
              <w:spacing w:line="360" w:lineRule="auto"/>
              <w:ind w:firstLine="0" w:firstLineChars="0"/>
              <w:jc w:val="both"/>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0~</w:t>
            </w:r>
            <w:r>
              <w:rPr>
                <w:rFonts w:hint="eastAsia" w:asciiTheme="minorEastAsia" w:hAnsiTheme="minorEastAsia" w:eastAsiaTheme="minorEastAsia" w:cstheme="minorEastAsia"/>
                <w:bCs/>
                <w:color w:val="auto"/>
                <w:kern w:val="0"/>
                <w:sz w:val="24"/>
                <w:szCs w:val="24"/>
                <w:highlight w:val="none"/>
                <w:lang w:val="en-US" w:eastAsia="zh-CN"/>
              </w:rPr>
              <w:t>12</w:t>
            </w:r>
            <w:r>
              <w:rPr>
                <w:rFonts w:hint="eastAsia" w:asciiTheme="minorEastAsia" w:hAnsiTheme="minorEastAsia" w:eastAsiaTheme="minorEastAsia" w:cstheme="minorEastAsia"/>
                <w:bCs/>
                <w:color w:val="auto"/>
                <w:kern w:val="0"/>
                <w:sz w:val="24"/>
                <w:szCs w:val="24"/>
                <w:highlight w:val="none"/>
              </w:rPr>
              <w:t>分</w:t>
            </w:r>
          </w:p>
        </w:tc>
      </w:tr>
      <w:tr w14:paraId="202B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583" w:type="dxa"/>
            <w:vMerge w:val="continue"/>
            <w:tcBorders>
              <w:left w:val="single" w:color="auto" w:sz="4" w:space="0"/>
              <w:right w:val="single" w:color="auto" w:sz="4" w:space="0"/>
            </w:tcBorders>
          </w:tcPr>
          <w:p w14:paraId="4D842A7B">
            <w:pPr>
              <w:pStyle w:val="12"/>
              <w:keepNext w:val="0"/>
              <w:keepLines w:val="0"/>
              <w:pageBreakBefore w:val="0"/>
              <w:widowControl/>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p>
        </w:tc>
        <w:tc>
          <w:tcPr>
            <w:tcW w:w="1776" w:type="dxa"/>
            <w:tcBorders>
              <w:top w:val="single" w:color="auto" w:sz="4" w:space="0"/>
              <w:left w:val="single" w:color="auto" w:sz="4" w:space="0"/>
              <w:bottom w:val="single" w:color="auto" w:sz="4" w:space="0"/>
              <w:right w:val="single" w:color="auto" w:sz="4" w:space="0"/>
            </w:tcBorders>
            <w:shd w:val="clear" w:color="auto" w:fill="auto"/>
            <w:vAlign w:val="center"/>
          </w:tcPr>
          <w:p w14:paraId="0C66C88B">
            <w:pPr>
              <w:keepNext w:val="0"/>
              <w:keepLines w:val="0"/>
              <w:pageBreakBefore w:val="0"/>
              <w:kinsoku/>
              <w:overflowPunct/>
              <w:topLinePunct w:val="0"/>
              <w:autoSpaceDE/>
              <w:autoSpaceDN/>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bCs/>
                <w:color w:val="auto"/>
                <w:kern w:val="0"/>
                <w:sz w:val="24"/>
                <w:szCs w:val="24"/>
                <w:highlight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项目实施方案分（满分15分，不满足一档会不提供得0分。）</w:t>
            </w:r>
          </w:p>
        </w:tc>
        <w:tc>
          <w:tcPr>
            <w:tcW w:w="6433" w:type="dxa"/>
            <w:tcBorders>
              <w:top w:val="single" w:color="auto" w:sz="4" w:space="0"/>
              <w:left w:val="single" w:color="auto" w:sz="4" w:space="0"/>
              <w:bottom w:val="single" w:color="auto" w:sz="4" w:space="0"/>
              <w:right w:val="single" w:color="auto" w:sz="4" w:space="0"/>
            </w:tcBorders>
            <w:shd w:val="clear" w:color="auto" w:fill="auto"/>
            <w:vAlign w:val="top"/>
          </w:tcPr>
          <w:p w14:paraId="1061682F">
            <w:pPr>
              <w:keepNext w:val="0"/>
              <w:keepLines w:val="0"/>
              <w:pageBreakBefore w:val="0"/>
              <w:kinsoku/>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highlight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一档（5分）：方案总体相对简单，基本可完成项目实施。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二档（9分）：满足一档基础上，方案总体相对完善，有项目总体工作方案及进度安排、项目管理方案、专业技术方案及保障措施等方面的描述，可较好完成项目实施，基本满足采购需求要求。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三档（15分）：满足二档基础上，方案详尽，有对项目总体工作方案及进度安排、项目管理方案、专业技术方案、验收方案、风险管理、项目培训方案等方面的描述，符合本项目实际特点，可顺利完成项目实施，完全满足采购需求要求，充分考虑本项目的实际使用需求。</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66E99DB2">
            <w:pPr>
              <w:pStyle w:val="12"/>
              <w:keepNext w:val="0"/>
              <w:keepLines w:val="0"/>
              <w:pageBreakBefore w:val="0"/>
              <w:widowControl/>
              <w:kinsoku/>
              <w:wordWrap w:val="0"/>
              <w:overflowPunct/>
              <w:topLinePunct w:val="0"/>
              <w:autoSpaceDE/>
              <w:autoSpaceDN/>
              <w:bidi w:val="0"/>
              <w:adjustRightInd/>
              <w:spacing w:line="360" w:lineRule="auto"/>
              <w:ind w:firstLine="0" w:firstLineChars="0"/>
              <w:jc w:val="both"/>
              <w:textAlignment w:val="auto"/>
              <w:rPr>
                <w:rFonts w:hint="eastAsia" w:asciiTheme="minorEastAsia" w:hAnsiTheme="minorEastAsia" w:eastAsiaTheme="minorEastAsia" w:cstheme="minorEastAsia"/>
                <w:bCs/>
                <w:color w:val="auto"/>
                <w:kern w:val="0"/>
                <w:sz w:val="24"/>
                <w:szCs w:val="24"/>
                <w:highlight w:val="none"/>
                <w:lang w:val="en-US" w:eastAsia="zh-CN" w:bidi="ar-SA"/>
              </w:rPr>
            </w:pPr>
            <w:r>
              <w:rPr>
                <w:rFonts w:hint="eastAsia" w:asciiTheme="minorEastAsia" w:hAnsiTheme="minorEastAsia" w:eastAsiaTheme="minorEastAsia" w:cstheme="minorEastAsia"/>
                <w:bCs/>
                <w:color w:val="auto"/>
                <w:kern w:val="0"/>
                <w:sz w:val="24"/>
                <w:szCs w:val="24"/>
                <w:highlight w:val="none"/>
              </w:rPr>
              <w:t>0~</w:t>
            </w:r>
            <w:r>
              <w:rPr>
                <w:rFonts w:hint="eastAsia" w:asciiTheme="minorEastAsia" w:hAnsiTheme="minorEastAsia" w:eastAsiaTheme="minorEastAsia" w:cstheme="minorEastAsia"/>
                <w:bCs/>
                <w:color w:val="auto"/>
                <w:kern w:val="0"/>
                <w:sz w:val="24"/>
                <w:szCs w:val="24"/>
                <w:highlight w:val="none"/>
                <w:lang w:val="en-US" w:eastAsia="zh-CN"/>
              </w:rPr>
              <w:t>15</w:t>
            </w:r>
            <w:r>
              <w:rPr>
                <w:rFonts w:hint="eastAsia" w:asciiTheme="minorEastAsia" w:hAnsiTheme="minorEastAsia" w:eastAsiaTheme="minorEastAsia" w:cstheme="minorEastAsia"/>
                <w:bCs/>
                <w:color w:val="auto"/>
                <w:kern w:val="0"/>
                <w:sz w:val="24"/>
                <w:szCs w:val="24"/>
                <w:highlight w:val="none"/>
              </w:rPr>
              <w:t>分</w:t>
            </w:r>
          </w:p>
        </w:tc>
      </w:tr>
      <w:tr w14:paraId="1CB3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583" w:type="dxa"/>
            <w:vMerge w:val="continue"/>
            <w:tcBorders>
              <w:left w:val="single" w:color="auto" w:sz="4" w:space="0"/>
              <w:right w:val="single" w:color="auto" w:sz="4" w:space="0"/>
            </w:tcBorders>
          </w:tcPr>
          <w:p w14:paraId="102DFFFD">
            <w:pPr>
              <w:pStyle w:val="12"/>
              <w:keepNext w:val="0"/>
              <w:keepLines w:val="0"/>
              <w:pageBreakBefore w:val="0"/>
              <w:widowControl/>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p>
        </w:tc>
        <w:tc>
          <w:tcPr>
            <w:tcW w:w="1776" w:type="dxa"/>
            <w:tcBorders>
              <w:top w:val="single" w:color="auto" w:sz="4" w:space="0"/>
              <w:left w:val="single" w:color="auto" w:sz="4" w:space="0"/>
              <w:bottom w:val="single" w:color="auto" w:sz="4" w:space="0"/>
              <w:right w:val="single" w:color="auto" w:sz="4" w:space="0"/>
            </w:tcBorders>
            <w:vAlign w:val="center"/>
          </w:tcPr>
          <w:p w14:paraId="6D98BBF2">
            <w:pPr>
              <w:keepNext w:val="0"/>
              <w:keepLines w:val="0"/>
              <w:pageBreakBefore w:val="0"/>
              <w:kinsoku/>
              <w:overflowPunct/>
              <w:topLinePunct w:val="0"/>
              <w:autoSpaceDE/>
              <w:autoSpaceDN/>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售后服务方案分（满分10分，不满足一档会不提供得0分。）</w:t>
            </w:r>
          </w:p>
        </w:tc>
        <w:tc>
          <w:tcPr>
            <w:tcW w:w="6433" w:type="dxa"/>
            <w:tcBorders>
              <w:top w:val="single" w:color="auto" w:sz="4" w:space="0"/>
              <w:left w:val="single" w:color="auto" w:sz="4" w:space="0"/>
              <w:bottom w:val="single" w:color="auto" w:sz="4" w:space="0"/>
              <w:right w:val="single" w:color="auto" w:sz="4" w:space="0"/>
            </w:tcBorders>
            <w:vAlign w:val="top"/>
          </w:tcPr>
          <w:p w14:paraId="620F95B5">
            <w:pPr>
              <w:keepNext w:val="0"/>
              <w:keepLines w:val="0"/>
              <w:pageBreakBefore w:val="0"/>
              <w:kinsoku/>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一档（2分）：满足采购需求的基本服务要求，服务承诺有一定描述，有基本的措施。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二档（</w:t>
            </w:r>
            <w:r>
              <w:rPr>
                <w:rFonts w:hint="default" w:asciiTheme="minorEastAsia" w:hAnsiTheme="minorEastAsia" w:eastAsiaTheme="minorEastAsia" w:cstheme="minorEastAsia"/>
                <w:i w:val="0"/>
                <w:iCs w:val="0"/>
                <w:color w:val="auto"/>
                <w:kern w:val="0"/>
                <w:sz w:val="24"/>
                <w:szCs w:val="24"/>
                <w:highlight w:val="none"/>
                <w:u w:val="none"/>
                <w:lang w:val="en-US" w:eastAsia="zh-CN" w:bidi="ar"/>
              </w:rPr>
              <w:t>5</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分）：满足一档基础上，服务承诺描述较详细，措施具体、有效、可行性较高；有故障处理响应时间、解决故障承诺的时间，有较好的应急保障措施，质量保障措施；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三档（1</w:t>
            </w:r>
            <w:r>
              <w:rPr>
                <w:rFonts w:hint="default" w:asciiTheme="minorEastAsia" w:hAnsiTheme="minorEastAsia" w:eastAsiaTheme="minorEastAsia" w:cstheme="minorEastAsia"/>
                <w:i w:val="0"/>
                <w:iCs w:val="0"/>
                <w:color w:val="auto"/>
                <w:kern w:val="0"/>
                <w:sz w:val="24"/>
                <w:szCs w:val="24"/>
                <w:highlight w:val="none"/>
                <w:u w:val="none"/>
                <w:lang w:val="en-US" w:eastAsia="zh-CN" w:bidi="ar"/>
              </w:rPr>
              <w:t>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分）：</w:t>
            </w:r>
            <w:r>
              <w:rPr>
                <w:rFonts w:hint="eastAsia" w:asciiTheme="minorEastAsia" w:hAnsiTheme="minorEastAsia" w:eastAsiaTheme="minorEastAsia" w:cstheme="minorEastAsia"/>
                <w:color w:val="auto"/>
                <w:kern w:val="0"/>
                <w:sz w:val="24"/>
                <w:highlight w:val="none"/>
                <w:u w:val="none"/>
                <w:lang w:bidi="ar"/>
              </w:rPr>
              <w:t>满足二档基础上，售后服务方案优于采购需求，针对本项目提供专门的售后服务支持，能根据用户情况提供技术支持服务、定期回访服务，具有系统实施、系统维护、服务支持的本地技术服务人员队伍，提供优于招标文件售后服务要求的服务响应时间。</w:t>
            </w:r>
          </w:p>
        </w:tc>
        <w:tc>
          <w:tcPr>
            <w:tcW w:w="1170" w:type="dxa"/>
            <w:tcBorders>
              <w:top w:val="single" w:color="auto" w:sz="4" w:space="0"/>
              <w:left w:val="single" w:color="auto" w:sz="4" w:space="0"/>
              <w:bottom w:val="single" w:color="auto" w:sz="4" w:space="0"/>
              <w:right w:val="single" w:color="auto" w:sz="4" w:space="0"/>
            </w:tcBorders>
            <w:vAlign w:val="center"/>
          </w:tcPr>
          <w:p w14:paraId="02DD7F9E">
            <w:pPr>
              <w:pStyle w:val="12"/>
              <w:keepNext w:val="0"/>
              <w:keepLines w:val="0"/>
              <w:pageBreakBefore w:val="0"/>
              <w:widowControl/>
              <w:kinsoku/>
              <w:wordWrap w:val="0"/>
              <w:overflowPunct/>
              <w:topLinePunct w:val="0"/>
              <w:autoSpaceDE/>
              <w:autoSpaceDN/>
              <w:bidi w:val="0"/>
              <w:adjustRightInd/>
              <w:spacing w:line="360" w:lineRule="auto"/>
              <w:ind w:firstLine="0" w:firstLineChars="0"/>
              <w:jc w:val="both"/>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0~</w:t>
            </w:r>
            <w:r>
              <w:rPr>
                <w:rFonts w:hint="eastAsia" w:asciiTheme="minorEastAsia" w:hAnsiTheme="minorEastAsia" w:eastAsiaTheme="minorEastAsia" w:cstheme="minorEastAsia"/>
                <w:bCs/>
                <w:color w:val="auto"/>
                <w:kern w:val="0"/>
                <w:sz w:val="24"/>
                <w:szCs w:val="24"/>
                <w:highlight w:val="none"/>
                <w:lang w:val="en-US" w:eastAsia="zh-CN"/>
              </w:rPr>
              <w:t>10</w:t>
            </w:r>
            <w:r>
              <w:rPr>
                <w:rFonts w:hint="eastAsia" w:asciiTheme="minorEastAsia" w:hAnsiTheme="minorEastAsia" w:eastAsiaTheme="minorEastAsia" w:cstheme="minorEastAsia"/>
                <w:bCs/>
                <w:color w:val="auto"/>
                <w:kern w:val="0"/>
                <w:sz w:val="24"/>
                <w:szCs w:val="24"/>
                <w:highlight w:val="none"/>
              </w:rPr>
              <w:t>分</w:t>
            </w:r>
          </w:p>
        </w:tc>
      </w:tr>
      <w:tr w14:paraId="6FD1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583" w:type="dxa"/>
            <w:vMerge w:val="continue"/>
            <w:tcBorders>
              <w:left w:val="single" w:color="auto" w:sz="4" w:space="0"/>
              <w:right w:val="single" w:color="auto" w:sz="4" w:space="0"/>
            </w:tcBorders>
          </w:tcPr>
          <w:p w14:paraId="256C1E8F">
            <w:pPr>
              <w:pStyle w:val="12"/>
              <w:keepNext w:val="0"/>
              <w:keepLines w:val="0"/>
              <w:pageBreakBefore w:val="0"/>
              <w:widowControl/>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p>
        </w:tc>
        <w:tc>
          <w:tcPr>
            <w:tcW w:w="1776" w:type="dxa"/>
            <w:tcBorders>
              <w:top w:val="single" w:color="auto" w:sz="4" w:space="0"/>
              <w:left w:val="single" w:color="auto" w:sz="4" w:space="0"/>
              <w:bottom w:val="single" w:color="auto" w:sz="4" w:space="0"/>
              <w:right w:val="single" w:color="auto" w:sz="4" w:space="0"/>
            </w:tcBorders>
            <w:vAlign w:val="center"/>
          </w:tcPr>
          <w:p w14:paraId="4FB96CFD">
            <w:pPr>
              <w:keepNext w:val="0"/>
              <w:keepLines w:val="0"/>
              <w:pageBreakBefore w:val="0"/>
              <w:kinsoku/>
              <w:overflowPunct/>
              <w:topLinePunct w:val="0"/>
              <w:autoSpaceDE/>
              <w:autoSpaceDN/>
              <w:bidi w:val="0"/>
              <w:adjustRightInd/>
              <w:snapToGrid w:val="0"/>
              <w:spacing w:line="360" w:lineRule="auto"/>
              <w:ind w:firstLine="0" w:firstLineChars="0"/>
              <w:jc w:val="both"/>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演示分（满分15分）</w:t>
            </w:r>
          </w:p>
        </w:tc>
        <w:tc>
          <w:tcPr>
            <w:tcW w:w="6433" w:type="dxa"/>
            <w:tcBorders>
              <w:top w:val="single" w:color="auto" w:sz="4" w:space="0"/>
              <w:left w:val="single" w:color="auto" w:sz="4" w:space="0"/>
              <w:bottom w:val="single" w:color="auto" w:sz="4" w:space="0"/>
              <w:right w:val="single" w:color="auto" w:sz="4" w:space="0"/>
            </w:tcBorders>
            <w:vAlign w:val="top"/>
          </w:tcPr>
          <w:p w14:paraId="3EFB48ED">
            <w:pPr>
              <w:keepNext w:val="0"/>
              <w:keepLines w:val="0"/>
              <w:pageBreakBefore w:val="0"/>
              <w:kinsoku/>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根据投标人提供的演示内容，依据如下细则进行评分：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一、网络阅卷平台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考试管理员通过创建考试发起考试活动。系统支持至少四种考试组织模式，包括：1）联考模式：实现以教研室组织或多个学校模式的联考方式；2）期考模式：实现以学校为单位组织的期中（终）考，全校统一编制试场和组织阅卷教师；3）月考/周考模式：实现年级范围内组织的月考/周考模式；4）教师模式：即在权限范围内的教师可自行组织考试，系统权限开放给所有老师，老师可自行组织考试，完成整改阅卷流程。(功能及流程完整得3分，否则不得分)；</w:t>
            </w:r>
          </w:p>
          <w:p w14:paraId="57364D44">
            <w:pPr>
              <w:keepNext w:val="0"/>
              <w:keepLines w:val="0"/>
              <w:pageBreakBefore w:val="0"/>
              <w:kinsoku/>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二、大模型学业智能监测平台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区域领导：通过区域考试报告，区域领导能够依据平台所收集并挖掘的考试数据，进行精确的教学成效与学生需求分析，从而为区域教育教学的决策提供有力支持。在此报告中，区域领导可以全面获取区域学生整体概况、分年级的详细分析以及年级学科的深入分析。(功能及流程完整得3分，否则不得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三、AI数字课堂系统</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1.座位表智能更新：通过AI数字课堂系统更新座位表，支持学号识别、二维码识别两种方式；(功能及流程完整得3分，否则不得分)；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手势答题：判断题、选择题支持识别学生手势作答，如判题题，识别学生放置在桌面左侧为对，右侧为错；选择题，识别学生的手放置在桌面左上角为A，右上角为B，左下角为C，右下角为D；(功能及流程完整得3分，否则不得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3.桌面直播：通过学生桌面数据采集终端的直播功能，在采集模式下，支持用户选中学生进行直播，直播的模式下，可以查看每个学生桌面当前情况；(功能及流程完整得3分，否则不得分)。</w:t>
            </w:r>
          </w:p>
          <w:p w14:paraId="430BDFD1">
            <w:pPr>
              <w:keepNext w:val="0"/>
              <w:keepLines w:val="0"/>
              <w:pageBreakBefore w:val="0"/>
              <w:kinsoku/>
              <w:overflowPunct/>
              <w:topLinePunct w:val="0"/>
              <w:autoSpaceDE/>
              <w:autoSpaceDN/>
              <w:bidi w:val="0"/>
              <w:adjustRightInd/>
              <w:snapToGrid w:val="0"/>
              <w:spacing w:line="360" w:lineRule="auto"/>
              <w:ind w:firstLine="482" w:firstLineChars="200"/>
              <w:textAlignment w:val="auto"/>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p>
          <w:p w14:paraId="47D59419">
            <w:pPr>
              <w:keepNext w:val="0"/>
              <w:keepLines w:val="0"/>
              <w:pageBreakBefore w:val="0"/>
              <w:kinsoku/>
              <w:overflowPunct/>
              <w:topLinePunct w:val="0"/>
              <w:autoSpaceDE/>
              <w:autoSpaceDN/>
              <w:bidi w:val="0"/>
              <w:adjustRightInd/>
              <w:snapToGrid w:val="0"/>
              <w:spacing w:line="360" w:lineRule="auto"/>
              <w:ind w:firstLine="482" w:firstLineChars="200"/>
              <w:textAlignment w:val="auto"/>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注：</w:t>
            </w:r>
          </w:p>
          <w:p w14:paraId="612119FF">
            <w:pPr>
              <w:keepNext w:val="0"/>
              <w:keepLines w:val="0"/>
              <w:pageBreakBefore w:val="0"/>
              <w:kinsoku/>
              <w:overflowPunct/>
              <w:topLinePunct w:val="0"/>
              <w:autoSpaceDE/>
              <w:autoSpaceDN/>
              <w:bidi w:val="0"/>
              <w:adjustRightInd/>
              <w:snapToGrid w:val="0"/>
              <w:spacing w:line="360" w:lineRule="auto"/>
              <w:ind w:firstLine="482" w:firstLineChars="200"/>
              <w:textAlignment w:val="auto"/>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①演示时间不超过15分钟。不提供演示的，演示分为0分，投标人不得使用 PPT演示，否则不得分。</w:t>
            </w:r>
          </w:p>
          <w:p w14:paraId="20219416">
            <w:pPr>
              <w:keepNext w:val="0"/>
              <w:keepLines w:val="0"/>
              <w:pageBreakBefore w:val="0"/>
              <w:kinsoku/>
              <w:overflowPunct/>
              <w:topLinePunct w:val="0"/>
              <w:autoSpaceDE/>
              <w:autoSpaceDN/>
              <w:bidi w:val="0"/>
              <w:adjustRightInd/>
              <w:snapToGrid w:val="0"/>
              <w:spacing w:line="360" w:lineRule="auto"/>
              <w:ind w:firstLine="482" w:firstLineChars="200"/>
              <w:textAlignment w:val="auto"/>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投标人需要在具备有摄像头及语音功能且互联网网络状况良好的电脑登录“广西采购云”平台远程开标大厅参与本次演示。</w:t>
            </w:r>
          </w:p>
          <w:p w14:paraId="5AEE080C">
            <w:pPr>
              <w:keepNext w:val="0"/>
              <w:keepLines w:val="0"/>
              <w:pageBreakBefore w:val="0"/>
              <w:kinsoku/>
              <w:overflowPunct/>
              <w:topLinePunct w:val="0"/>
              <w:autoSpaceDE/>
              <w:autoSpaceDN/>
              <w:bidi w:val="0"/>
              <w:adjustRightInd/>
              <w:snapToGrid w:val="0"/>
              <w:spacing w:line="360" w:lineRule="auto"/>
              <w:ind w:firstLine="480" w:firstLineChars="200"/>
              <w:textAlignment w:val="auto"/>
              <w:rPr>
                <w:rFonts w:hint="eastAsia"/>
                <w:color w:val="auto"/>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②若对项目采购电子交易系统操作有疑问，可登录“政采云”平台（https://www.zcygov.cn/），点击右侧咨询小采，获取采小蜜智能服务管家帮助，或拨打政采云服务热线95763 获取热线服务帮助。</w:t>
            </w:r>
          </w:p>
        </w:tc>
        <w:tc>
          <w:tcPr>
            <w:tcW w:w="1170" w:type="dxa"/>
            <w:tcBorders>
              <w:top w:val="single" w:color="auto" w:sz="4" w:space="0"/>
              <w:left w:val="single" w:color="auto" w:sz="4" w:space="0"/>
              <w:bottom w:val="single" w:color="auto" w:sz="4" w:space="0"/>
              <w:right w:val="single" w:color="auto" w:sz="4" w:space="0"/>
            </w:tcBorders>
            <w:vAlign w:val="center"/>
          </w:tcPr>
          <w:p w14:paraId="4D1622FC">
            <w:pPr>
              <w:pStyle w:val="12"/>
              <w:keepNext w:val="0"/>
              <w:keepLines w:val="0"/>
              <w:pageBreakBefore w:val="0"/>
              <w:widowControl/>
              <w:kinsoku/>
              <w:wordWrap w:val="0"/>
              <w:overflowPunct/>
              <w:topLinePunct w:val="0"/>
              <w:autoSpaceDE/>
              <w:autoSpaceDN/>
              <w:bidi w:val="0"/>
              <w:adjustRightInd/>
              <w:spacing w:line="360" w:lineRule="auto"/>
              <w:ind w:firstLine="0" w:firstLineChars="0"/>
              <w:jc w:val="both"/>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0~</w:t>
            </w:r>
            <w:r>
              <w:rPr>
                <w:rFonts w:hint="eastAsia" w:asciiTheme="minorEastAsia" w:hAnsiTheme="minorEastAsia" w:eastAsiaTheme="minorEastAsia" w:cstheme="minorEastAsia"/>
                <w:bCs/>
                <w:color w:val="auto"/>
                <w:kern w:val="0"/>
                <w:sz w:val="24"/>
                <w:szCs w:val="24"/>
                <w:highlight w:val="none"/>
                <w:lang w:val="en-US" w:eastAsia="zh-CN"/>
              </w:rPr>
              <w:t>15</w:t>
            </w:r>
            <w:r>
              <w:rPr>
                <w:rFonts w:hint="eastAsia" w:asciiTheme="minorEastAsia" w:hAnsiTheme="minorEastAsia" w:eastAsiaTheme="minorEastAsia" w:cstheme="minorEastAsia"/>
                <w:bCs/>
                <w:color w:val="auto"/>
                <w:kern w:val="0"/>
                <w:sz w:val="24"/>
                <w:szCs w:val="24"/>
                <w:highlight w:val="none"/>
              </w:rPr>
              <w:t>分（客观分）</w:t>
            </w:r>
          </w:p>
        </w:tc>
      </w:tr>
      <w:tr w14:paraId="55224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583" w:type="dxa"/>
            <w:vMerge w:val="continue"/>
            <w:tcBorders>
              <w:left w:val="single" w:color="auto" w:sz="4" w:space="0"/>
              <w:right w:val="single" w:color="auto" w:sz="4" w:space="0"/>
            </w:tcBorders>
          </w:tcPr>
          <w:p w14:paraId="2144B1F1">
            <w:pPr>
              <w:pStyle w:val="12"/>
              <w:keepNext w:val="0"/>
              <w:keepLines w:val="0"/>
              <w:pageBreakBefore w:val="0"/>
              <w:widowControl/>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p>
        </w:tc>
        <w:tc>
          <w:tcPr>
            <w:tcW w:w="1776" w:type="dxa"/>
            <w:tcBorders>
              <w:top w:val="single" w:color="auto" w:sz="4" w:space="0"/>
              <w:left w:val="single" w:color="auto" w:sz="4" w:space="0"/>
              <w:bottom w:val="single" w:color="auto" w:sz="4" w:space="0"/>
              <w:right w:val="single" w:color="auto" w:sz="4" w:space="0"/>
            </w:tcBorders>
            <w:vAlign w:val="center"/>
          </w:tcPr>
          <w:p w14:paraId="229F73D2">
            <w:pPr>
              <w:keepNext w:val="0"/>
              <w:keepLines w:val="0"/>
              <w:pageBreakBefore w:val="0"/>
              <w:kinsoku/>
              <w:overflowPunct/>
              <w:topLinePunct w:val="0"/>
              <w:autoSpaceDE/>
              <w:autoSpaceDN/>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人员团队分（满分10分）</w:t>
            </w:r>
          </w:p>
        </w:tc>
        <w:tc>
          <w:tcPr>
            <w:tcW w:w="6433" w:type="dxa"/>
            <w:tcBorders>
              <w:top w:val="single" w:color="auto" w:sz="4" w:space="0"/>
              <w:left w:val="single" w:color="auto" w:sz="4" w:space="0"/>
              <w:bottom w:val="single" w:color="auto" w:sz="4" w:space="0"/>
              <w:right w:val="single" w:color="auto" w:sz="4" w:space="0"/>
            </w:tcBorders>
            <w:vAlign w:val="top"/>
          </w:tcPr>
          <w:p w14:paraId="53612CA1">
            <w:pPr>
              <w:keepNext w:val="0"/>
              <w:keepLines w:val="0"/>
              <w:pageBreakBefore w:val="0"/>
              <w:kinsoku/>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1.拟投入本项目的项目经理具有：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（1）具有信息系统项目管理师证书；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（2）具有</w:t>
            </w:r>
            <w:r>
              <w:rPr>
                <w:rFonts w:hint="eastAsia" w:asciiTheme="minorEastAsia" w:hAnsiTheme="minorEastAsia" w:eastAsiaTheme="minorEastAsia" w:cstheme="minorEastAsia"/>
                <w:i w:val="0"/>
                <w:iCs w:val="0"/>
                <w:color w:val="auto"/>
                <w:kern w:val="0"/>
                <w:sz w:val="24"/>
                <w:szCs w:val="24"/>
                <w:highlight w:val="none"/>
                <w:u w:val="none"/>
                <w:lang w:val="en-US" w:eastAsia="zh-CN" w:bidi="ar"/>
                <w:woUserID w:val="5"/>
              </w:rPr>
              <w:t>电子信息类工程师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（3）具有系统集成项目管理工程师；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color w:val="auto"/>
                <w:kern w:val="0"/>
                <w:sz w:val="24"/>
                <w:highlight w:val="none"/>
                <w:u w:val="none"/>
                <w:lang w:bidi="ar"/>
              </w:rPr>
              <w:t>每满足一项得</w:t>
            </w:r>
            <w:r>
              <w:rPr>
                <w:rFonts w:hint="eastAsia" w:asciiTheme="minorEastAsia" w:hAnsiTheme="minorEastAsia" w:eastAsiaTheme="minorEastAsia" w:cstheme="minorEastAsia"/>
                <w:color w:val="auto"/>
                <w:kern w:val="0"/>
                <w:sz w:val="24"/>
                <w:highlight w:val="none"/>
                <w:u w:val="none"/>
                <w:lang w:val="en-US" w:eastAsia="zh-CN" w:bidi="ar"/>
              </w:rPr>
              <w:t>1</w:t>
            </w:r>
            <w:r>
              <w:rPr>
                <w:rFonts w:hint="eastAsia" w:asciiTheme="minorEastAsia" w:hAnsiTheme="minorEastAsia" w:eastAsiaTheme="minorEastAsia" w:cstheme="minorEastAsia"/>
                <w:color w:val="auto"/>
                <w:kern w:val="0"/>
                <w:sz w:val="24"/>
                <w:highlight w:val="none"/>
                <w:u w:val="none"/>
                <w:lang w:bidi="ar"/>
              </w:rPr>
              <w:t>分，满分</w:t>
            </w:r>
            <w:r>
              <w:rPr>
                <w:rFonts w:hint="eastAsia" w:asciiTheme="minorEastAsia" w:hAnsiTheme="minorEastAsia" w:eastAsiaTheme="minorEastAsia" w:cstheme="minorEastAsia"/>
                <w:color w:val="auto"/>
                <w:kern w:val="0"/>
                <w:sz w:val="24"/>
                <w:highlight w:val="none"/>
                <w:u w:val="none"/>
                <w:lang w:eastAsia="zh-CN" w:bidi="ar"/>
              </w:rPr>
              <w:t>3</w:t>
            </w:r>
            <w:r>
              <w:rPr>
                <w:rFonts w:hint="eastAsia" w:asciiTheme="minorEastAsia" w:hAnsiTheme="minorEastAsia" w:eastAsiaTheme="minorEastAsia" w:cstheme="minorEastAsia"/>
                <w:color w:val="auto"/>
                <w:kern w:val="0"/>
                <w:sz w:val="24"/>
                <w:highlight w:val="none"/>
                <w:u w:val="none"/>
                <w:lang w:bidi="ar"/>
              </w:rPr>
              <w:t>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2.拟派的实施人员（不含项目经理)具有：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（1）技术总工1名，具有软件评测师证书、软件工程造价师证书，</w:t>
            </w:r>
            <w:r>
              <w:rPr>
                <w:rFonts w:hint="eastAsia" w:asciiTheme="minorEastAsia" w:hAnsiTheme="minorEastAsia" w:eastAsiaTheme="minorEastAsia" w:cstheme="minorEastAsia"/>
                <w:color w:val="auto"/>
                <w:kern w:val="0"/>
                <w:sz w:val="24"/>
                <w:highlight w:val="none"/>
                <w:u w:val="none"/>
                <w:lang w:bidi="ar"/>
              </w:rPr>
              <w:t>每满足一项得</w:t>
            </w:r>
            <w:r>
              <w:rPr>
                <w:rFonts w:hint="eastAsia" w:asciiTheme="minorEastAsia" w:hAnsiTheme="minorEastAsia" w:eastAsiaTheme="minorEastAsia" w:cstheme="minorEastAsia"/>
                <w:color w:val="auto"/>
                <w:kern w:val="0"/>
                <w:sz w:val="24"/>
                <w:highlight w:val="none"/>
                <w:u w:val="none"/>
                <w:lang w:val="en-US" w:eastAsia="zh-CN" w:bidi="ar"/>
              </w:rPr>
              <w:t>1</w:t>
            </w:r>
            <w:r>
              <w:rPr>
                <w:rFonts w:hint="eastAsia" w:asciiTheme="minorEastAsia" w:hAnsiTheme="minorEastAsia" w:eastAsiaTheme="minorEastAsia" w:cstheme="minorEastAsia"/>
                <w:color w:val="auto"/>
                <w:kern w:val="0"/>
                <w:sz w:val="24"/>
                <w:highlight w:val="none"/>
                <w:u w:val="none"/>
                <w:lang w:bidi="ar"/>
              </w:rPr>
              <w:t>分，满分</w:t>
            </w:r>
            <w:r>
              <w:rPr>
                <w:rFonts w:hint="eastAsia" w:asciiTheme="minorEastAsia" w:hAnsiTheme="minorEastAsia" w:eastAsiaTheme="minorEastAsia" w:cstheme="minorEastAsia"/>
                <w:color w:val="auto"/>
                <w:kern w:val="0"/>
                <w:sz w:val="24"/>
                <w:highlight w:val="none"/>
                <w:u w:val="none"/>
                <w:lang w:val="en-US" w:eastAsia="zh-CN" w:bidi="ar"/>
              </w:rPr>
              <w:t>2</w:t>
            </w:r>
            <w:r>
              <w:rPr>
                <w:rFonts w:hint="eastAsia" w:asciiTheme="minorEastAsia" w:hAnsiTheme="minorEastAsia" w:eastAsiaTheme="minorEastAsia" w:cstheme="minorEastAsia"/>
                <w:color w:val="auto"/>
                <w:kern w:val="0"/>
                <w:sz w:val="24"/>
                <w:highlight w:val="none"/>
                <w:u w:val="none"/>
                <w:lang w:bidi="ar"/>
              </w:rPr>
              <w:t>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（2）质量负责人1名，具有信息技术高级工程师证书，得1分，未提供或不满足不得分；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（3）软件架构师1名，具有高级程序员证书、计算机软件助理工程师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及以上</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证书，</w:t>
            </w:r>
            <w:r>
              <w:rPr>
                <w:rFonts w:hint="eastAsia" w:asciiTheme="minorEastAsia" w:hAnsiTheme="minorEastAsia" w:eastAsiaTheme="minorEastAsia" w:cstheme="minorEastAsia"/>
                <w:color w:val="auto"/>
                <w:kern w:val="0"/>
                <w:sz w:val="24"/>
                <w:highlight w:val="none"/>
                <w:u w:val="none"/>
                <w:lang w:bidi="ar"/>
              </w:rPr>
              <w:t>每满足一项得</w:t>
            </w:r>
            <w:r>
              <w:rPr>
                <w:rFonts w:hint="eastAsia" w:asciiTheme="minorEastAsia" w:hAnsiTheme="minorEastAsia" w:eastAsiaTheme="minorEastAsia" w:cstheme="minorEastAsia"/>
                <w:color w:val="auto"/>
                <w:kern w:val="0"/>
                <w:sz w:val="24"/>
                <w:highlight w:val="none"/>
                <w:u w:val="none"/>
                <w:lang w:val="en-US" w:eastAsia="zh-CN" w:bidi="ar"/>
              </w:rPr>
              <w:t>1</w:t>
            </w:r>
            <w:r>
              <w:rPr>
                <w:rFonts w:hint="eastAsia" w:asciiTheme="minorEastAsia" w:hAnsiTheme="minorEastAsia" w:eastAsiaTheme="minorEastAsia" w:cstheme="minorEastAsia"/>
                <w:color w:val="auto"/>
                <w:kern w:val="0"/>
                <w:sz w:val="24"/>
                <w:highlight w:val="none"/>
                <w:u w:val="none"/>
                <w:lang w:bidi="ar"/>
              </w:rPr>
              <w:t>分，满分</w:t>
            </w:r>
            <w:r>
              <w:rPr>
                <w:rFonts w:hint="eastAsia" w:asciiTheme="minorEastAsia" w:hAnsiTheme="minorEastAsia" w:eastAsiaTheme="minorEastAsia" w:cstheme="minorEastAsia"/>
                <w:color w:val="auto"/>
                <w:kern w:val="0"/>
                <w:sz w:val="24"/>
                <w:highlight w:val="none"/>
                <w:u w:val="none"/>
                <w:lang w:val="en-US" w:eastAsia="zh-CN" w:bidi="ar"/>
              </w:rPr>
              <w:t>2</w:t>
            </w:r>
            <w:r>
              <w:rPr>
                <w:rFonts w:hint="eastAsia" w:asciiTheme="minorEastAsia" w:hAnsiTheme="minorEastAsia" w:eastAsiaTheme="minorEastAsia" w:cstheme="minorEastAsia"/>
                <w:color w:val="auto"/>
                <w:kern w:val="0"/>
                <w:sz w:val="24"/>
                <w:highlight w:val="none"/>
                <w:u w:val="none"/>
                <w:lang w:bidi="ar"/>
              </w:rPr>
              <w:t>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（4）测试工程师2名，每有一人具有软件评测师证书得0.5分，满分为1分；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（5）软件设计师2名，每有一人具有软件设计师证书得0.5分，满分为1分；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注：此项满分7分，同一人不重复计算得分。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3.投标人为本项目拟派人员购买的本单位社保记录（截标之日起前半年内任意1个月）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或劳动合同或聘用协议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和相关证书复印件才能得分。</w:t>
            </w:r>
          </w:p>
        </w:tc>
        <w:tc>
          <w:tcPr>
            <w:tcW w:w="1170" w:type="dxa"/>
            <w:tcBorders>
              <w:top w:val="single" w:color="auto" w:sz="4" w:space="0"/>
              <w:left w:val="single" w:color="auto" w:sz="4" w:space="0"/>
              <w:bottom w:val="single" w:color="auto" w:sz="4" w:space="0"/>
              <w:right w:val="single" w:color="auto" w:sz="4" w:space="0"/>
            </w:tcBorders>
            <w:vAlign w:val="center"/>
          </w:tcPr>
          <w:p w14:paraId="18B76DD9">
            <w:pPr>
              <w:pStyle w:val="12"/>
              <w:keepNext w:val="0"/>
              <w:keepLines w:val="0"/>
              <w:pageBreakBefore w:val="0"/>
              <w:widowControl/>
              <w:kinsoku/>
              <w:wordWrap w:val="0"/>
              <w:overflowPunct/>
              <w:topLinePunct w:val="0"/>
              <w:autoSpaceDE/>
              <w:autoSpaceDN/>
              <w:bidi w:val="0"/>
              <w:adjustRightInd/>
              <w:spacing w:line="360" w:lineRule="auto"/>
              <w:ind w:firstLine="0" w:firstLineChars="0"/>
              <w:jc w:val="both"/>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0~</w:t>
            </w:r>
            <w:r>
              <w:rPr>
                <w:rFonts w:hint="eastAsia" w:asciiTheme="minorEastAsia" w:hAnsiTheme="minorEastAsia" w:eastAsiaTheme="minorEastAsia" w:cstheme="minorEastAsia"/>
                <w:bCs/>
                <w:color w:val="auto"/>
                <w:kern w:val="0"/>
                <w:sz w:val="24"/>
                <w:szCs w:val="24"/>
                <w:highlight w:val="none"/>
                <w:lang w:val="en-US" w:eastAsia="zh-CN"/>
              </w:rPr>
              <w:t>10</w:t>
            </w:r>
            <w:r>
              <w:rPr>
                <w:rFonts w:hint="eastAsia" w:asciiTheme="minorEastAsia" w:hAnsiTheme="minorEastAsia" w:eastAsiaTheme="minorEastAsia" w:cstheme="minorEastAsia"/>
                <w:bCs/>
                <w:color w:val="auto"/>
                <w:kern w:val="0"/>
                <w:sz w:val="24"/>
                <w:szCs w:val="24"/>
                <w:highlight w:val="none"/>
              </w:rPr>
              <w:t>分（客观分）</w:t>
            </w:r>
          </w:p>
        </w:tc>
      </w:tr>
      <w:tr w14:paraId="2975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Merge w:val="restart"/>
            <w:tcBorders>
              <w:top w:val="single" w:color="auto" w:sz="4" w:space="0"/>
              <w:left w:val="single" w:color="auto" w:sz="4" w:space="0"/>
              <w:right w:val="single" w:color="auto" w:sz="4" w:space="0"/>
            </w:tcBorders>
            <w:vAlign w:val="center"/>
          </w:tcPr>
          <w:p w14:paraId="416CE455">
            <w:pPr>
              <w:pStyle w:val="12"/>
              <w:keepNext w:val="0"/>
              <w:keepLines w:val="0"/>
              <w:pageBreakBefore w:val="0"/>
              <w:widowControl/>
              <w:kinsoku/>
              <w:wordWrap w:val="0"/>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w:t>
            </w:r>
          </w:p>
        </w:tc>
        <w:tc>
          <w:tcPr>
            <w:tcW w:w="1776" w:type="dxa"/>
            <w:tcBorders>
              <w:top w:val="single" w:color="auto" w:sz="4" w:space="0"/>
              <w:left w:val="single" w:color="auto" w:sz="4" w:space="0"/>
              <w:bottom w:val="single" w:color="auto" w:sz="4" w:space="0"/>
              <w:right w:val="single" w:color="auto" w:sz="4" w:space="0"/>
            </w:tcBorders>
          </w:tcPr>
          <w:p w14:paraId="5ADD2FAC">
            <w:pPr>
              <w:pStyle w:val="12"/>
              <w:keepNext w:val="0"/>
              <w:keepLines w:val="0"/>
              <w:pageBreakBefore w:val="0"/>
              <w:widowControl/>
              <w:kinsoku/>
              <w:wordWrap w:val="0"/>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商务分</w:t>
            </w:r>
          </w:p>
        </w:tc>
        <w:tc>
          <w:tcPr>
            <w:tcW w:w="6433" w:type="dxa"/>
            <w:tcBorders>
              <w:top w:val="single" w:color="auto" w:sz="4" w:space="0"/>
              <w:left w:val="single" w:color="auto" w:sz="4" w:space="0"/>
              <w:bottom w:val="single" w:color="auto" w:sz="4" w:space="0"/>
              <w:right w:val="single" w:color="auto" w:sz="4" w:space="0"/>
            </w:tcBorders>
          </w:tcPr>
          <w:p w14:paraId="04420FF7">
            <w:pPr>
              <w:pStyle w:val="12"/>
              <w:keepNext w:val="0"/>
              <w:keepLines w:val="0"/>
              <w:pageBreakBefore w:val="0"/>
              <w:widowControl/>
              <w:kinsoku/>
              <w:wordWrap w:val="0"/>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评审因素</w:t>
            </w:r>
          </w:p>
        </w:tc>
        <w:tc>
          <w:tcPr>
            <w:tcW w:w="1170" w:type="dxa"/>
            <w:tcBorders>
              <w:top w:val="single" w:color="auto" w:sz="4" w:space="0"/>
              <w:left w:val="single" w:color="auto" w:sz="4" w:space="0"/>
              <w:bottom w:val="single" w:color="auto" w:sz="4" w:space="0"/>
              <w:right w:val="single" w:color="auto" w:sz="4" w:space="0"/>
            </w:tcBorders>
            <w:vAlign w:val="center"/>
          </w:tcPr>
          <w:p w14:paraId="63E0D4A9">
            <w:pPr>
              <w:pStyle w:val="12"/>
              <w:keepNext w:val="0"/>
              <w:keepLines w:val="0"/>
              <w:pageBreakBefore w:val="0"/>
              <w:widowControl/>
              <w:kinsoku/>
              <w:wordWrap w:val="0"/>
              <w:overflowPunct/>
              <w:topLinePunct w:val="0"/>
              <w:autoSpaceDE/>
              <w:autoSpaceDN/>
              <w:bidi w:val="0"/>
              <w:adjustRightInd/>
              <w:spacing w:line="360" w:lineRule="auto"/>
              <w:ind w:firstLine="0" w:firstLineChars="0"/>
              <w:jc w:val="both"/>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分值</w:t>
            </w:r>
          </w:p>
        </w:tc>
      </w:tr>
      <w:tr w14:paraId="7C0D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83" w:type="dxa"/>
            <w:vMerge w:val="continue"/>
            <w:tcBorders>
              <w:left w:val="single" w:color="auto" w:sz="4" w:space="0"/>
              <w:right w:val="single" w:color="auto" w:sz="4" w:space="0"/>
            </w:tcBorders>
          </w:tcPr>
          <w:p w14:paraId="6EEB5A17">
            <w:pPr>
              <w:pStyle w:val="12"/>
              <w:keepNext w:val="0"/>
              <w:keepLines w:val="0"/>
              <w:pageBreakBefore w:val="0"/>
              <w:widowControl/>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p>
        </w:tc>
        <w:tc>
          <w:tcPr>
            <w:tcW w:w="8209" w:type="dxa"/>
            <w:gridSpan w:val="2"/>
            <w:tcBorders>
              <w:top w:val="single" w:color="auto" w:sz="4" w:space="0"/>
              <w:left w:val="single" w:color="auto" w:sz="4" w:space="0"/>
              <w:bottom w:val="single" w:color="auto" w:sz="4" w:space="0"/>
              <w:right w:val="single" w:color="auto" w:sz="4" w:space="0"/>
            </w:tcBorders>
            <w:vAlign w:val="center"/>
          </w:tcPr>
          <w:p w14:paraId="74FE0ABA">
            <w:pPr>
              <w:keepNext w:val="0"/>
              <w:keepLines w:val="0"/>
              <w:pageBreakBefore w:val="0"/>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业绩分（满分5分）</w:t>
            </w:r>
          </w:p>
          <w:p w14:paraId="133B2BF9">
            <w:pPr>
              <w:pStyle w:val="25"/>
              <w:keepNext w:val="0"/>
              <w:keepLines w:val="0"/>
              <w:pageBreakBefore w:val="0"/>
              <w:kinsoku/>
              <w:overflowPunct/>
              <w:topLinePunct w:val="0"/>
              <w:autoSpaceDE/>
              <w:autoSpaceDN/>
              <w:bidi w:val="0"/>
              <w:adjustRightInd/>
              <w:spacing w:before="0" w:after="0" w:line="360" w:lineRule="auto"/>
              <w:ind w:firstLine="52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投标人自2022年1月1日以来有同类项目（信息化或系统开发或平台建设等项目）业绩，【以中标（成交）通知书原件（或复印件）扫描件或合同原件（或复印件）扫描件为准】，每提供一个得1分，满分5分。</w:t>
            </w:r>
          </w:p>
        </w:tc>
        <w:tc>
          <w:tcPr>
            <w:tcW w:w="1170" w:type="dxa"/>
            <w:tcBorders>
              <w:top w:val="single" w:color="auto" w:sz="4" w:space="0"/>
              <w:left w:val="single" w:color="auto" w:sz="4" w:space="0"/>
              <w:bottom w:val="single" w:color="auto" w:sz="4" w:space="0"/>
              <w:right w:val="single" w:color="auto" w:sz="4" w:space="0"/>
            </w:tcBorders>
            <w:vAlign w:val="center"/>
          </w:tcPr>
          <w:p w14:paraId="2BED1828">
            <w:pPr>
              <w:keepNext w:val="0"/>
              <w:keepLines w:val="0"/>
              <w:pageBreakBefore w:val="0"/>
              <w:kinsoku/>
              <w:overflowPunct/>
              <w:topLinePunct w:val="0"/>
              <w:autoSpaceDE/>
              <w:autoSpaceDN/>
              <w:bidi w:val="0"/>
              <w:adjustRightInd/>
              <w:spacing w:line="360" w:lineRule="auto"/>
              <w:ind w:firstLine="0" w:firstLineChars="0"/>
              <w:jc w:val="both"/>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kern w:val="0"/>
                <w:sz w:val="24"/>
                <w:szCs w:val="24"/>
                <w:highlight w:val="none"/>
              </w:rPr>
              <w:t>0~</w:t>
            </w:r>
            <w:r>
              <w:rPr>
                <w:rFonts w:hint="eastAsia" w:asciiTheme="minorEastAsia" w:hAnsiTheme="minorEastAsia" w:eastAsiaTheme="minorEastAsia" w:cstheme="minorEastAsia"/>
                <w:bCs/>
                <w:color w:val="auto"/>
                <w:kern w:val="0"/>
                <w:sz w:val="24"/>
                <w:szCs w:val="24"/>
                <w:highlight w:val="none"/>
                <w:lang w:val="en-US" w:eastAsia="zh-CN"/>
              </w:rPr>
              <w:t>5</w:t>
            </w:r>
            <w:r>
              <w:rPr>
                <w:rFonts w:hint="eastAsia" w:asciiTheme="minorEastAsia" w:hAnsiTheme="minorEastAsia" w:eastAsiaTheme="minorEastAsia" w:cstheme="minorEastAsia"/>
                <w:bCs/>
                <w:color w:val="auto"/>
                <w:kern w:val="0"/>
                <w:sz w:val="24"/>
                <w:szCs w:val="24"/>
                <w:highlight w:val="none"/>
              </w:rPr>
              <w:t>（客观分）</w:t>
            </w:r>
          </w:p>
        </w:tc>
      </w:tr>
      <w:tr w14:paraId="7079F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83" w:type="dxa"/>
            <w:vMerge w:val="continue"/>
            <w:tcBorders>
              <w:left w:val="single" w:color="auto" w:sz="4" w:space="0"/>
              <w:right w:val="single" w:color="auto" w:sz="4" w:space="0"/>
            </w:tcBorders>
          </w:tcPr>
          <w:p w14:paraId="60F51A69">
            <w:pPr>
              <w:pStyle w:val="12"/>
              <w:keepNext w:val="0"/>
              <w:keepLines w:val="0"/>
              <w:pageBreakBefore w:val="0"/>
              <w:widowControl/>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p>
        </w:tc>
        <w:tc>
          <w:tcPr>
            <w:tcW w:w="8209" w:type="dxa"/>
            <w:gridSpan w:val="2"/>
            <w:tcBorders>
              <w:top w:val="single" w:color="auto" w:sz="4" w:space="0"/>
              <w:left w:val="single" w:color="auto" w:sz="4" w:space="0"/>
              <w:bottom w:val="single" w:color="auto" w:sz="4" w:space="0"/>
              <w:right w:val="single" w:color="auto" w:sz="4" w:space="0"/>
            </w:tcBorders>
            <w:vAlign w:val="center"/>
          </w:tcPr>
          <w:p w14:paraId="66811E74">
            <w:pPr>
              <w:keepNext w:val="0"/>
              <w:keepLines w:val="0"/>
              <w:pageBreakBefore w:val="0"/>
              <w:kinsoku/>
              <w:wordWrap w:val="0"/>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履约能力分（满分5分）</w:t>
            </w:r>
          </w:p>
          <w:p w14:paraId="23A311F0">
            <w:pPr>
              <w:pStyle w:val="25"/>
              <w:keepNext w:val="0"/>
              <w:keepLines w:val="0"/>
              <w:pageBreakBefore w:val="0"/>
              <w:kinsoku/>
              <w:overflowPunct/>
              <w:topLinePunct w:val="0"/>
              <w:autoSpaceDE/>
              <w:autoSpaceDN/>
              <w:bidi w:val="0"/>
              <w:adjustRightInd/>
              <w:spacing w:before="0" w:after="0" w:line="360" w:lineRule="auto"/>
              <w:ind w:firstLine="52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投标人具备以下资质或认证：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（1）质量管理体系认证，认证范围包括（计算机应用软件开发(人工智能平台软件或大数据平台软件)）；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（2）环境管理体系认证，认证范围包括（计算机应用软件开发(人工智能平台软件或大数据平台软件)；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（3）职业健康安全管理体系认证，认证范围包括（计算机应用软件开发(人工智能平台软件或大数据平台软件)；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（4）信息技术服务管理体系认证，适用范围包括（计算机应用软件开发）；</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（5）信息安全管理体系认证，适用范围包括（计算机应用软件开发）；</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本项最高得5分；每提供1个得1分。（提供有效期内的证书复印件加盖投标人公章）</w:t>
            </w:r>
          </w:p>
        </w:tc>
        <w:tc>
          <w:tcPr>
            <w:tcW w:w="1170" w:type="dxa"/>
            <w:tcBorders>
              <w:top w:val="single" w:color="auto" w:sz="4" w:space="0"/>
              <w:left w:val="single" w:color="auto" w:sz="4" w:space="0"/>
              <w:bottom w:val="single" w:color="auto" w:sz="4" w:space="0"/>
              <w:right w:val="single" w:color="auto" w:sz="4" w:space="0"/>
            </w:tcBorders>
            <w:vAlign w:val="center"/>
          </w:tcPr>
          <w:p w14:paraId="40D6D113">
            <w:pPr>
              <w:keepNext w:val="0"/>
              <w:keepLines w:val="0"/>
              <w:pageBreakBefore w:val="0"/>
              <w:kinsoku/>
              <w:overflowPunct/>
              <w:topLinePunct w:val="0"/>
              <w:autoSpaceDE/>
              <w:autoSpaceDN/>
              <w:bidi w:val="0"/>
              <w:adjustRightInd/>
              <w:spacing w:line="360" w:lineRule="auto"/>
              <w:ind w:firstLine="0" w:firstLineChars="0"/>
              <w:jc w:val="both"/>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0~</w:t>
            </w:r>
            <w:r>
              <w:rPr>
                <w:rFonts w:hint="eastAsia" w:asciiTheme="minorEastAsia" w:hAnsiTheme="minorEastAsia" w:eastAsiaTheme="minorEastAsia" w:cstheme="minorEastAsia"/>
                <w:bCs/>
                <w:color w:val="auto"/>
                <w:kern w:val="0"/>
                <w:sz w:val="24"/>
                <w:szCs w:val="24"/>
                <w:highlight w:val="none"/>
                <w:lang w:val="en-US" w:eastAsia="zh-CN"/>
              </w:rPr>
              <w:t>5</w:t>
            </w:r>
            <w:r>
              <w:rPr>
                <w:rFonts w:hint="eastAsia" w:asciiTheme="minorEastAsia" w:hAnsiTheme="minorEastAsia" w:eastAsiaTheme="minorEastAsia" w:cstheme="minorEastAsia"/>
                <w:bCs/>
                <w:color w:val="auto"/>
                <w:kern w:val="0"/>
                <w:sz w:val="24"/>
                <w:szCs w:val="24"/>
                <w:highlight w:val="none"/>
              </w:rPr>
              <w:t>（客观分）</w:t>
            </w:r>
          </w:p>
        </w:tc>
      </w:tr>
    </w:tbl>
    <w:p w14:paraId="12BB7AB2">
      <w:pPr>
        <w:pStyle w:val="4"/>
        <w:pageBreakBefore w:val="0"/>
        <w:wordWrap w:val="0"/>
        <w:overflowPunct/>
        <w:topLinePunct w:val="0"/>
        <w:bidi w:val="0"/>
        <w:spacing w:before="0" w:after="0" w:line="360" w:lineRule="auto"/>
        <w:jc w:val="both"/>
        <w:rPr>
          <w:rFonts w:hint="eastAsia" w:ascii="宋体" w:hAnsi="宋体" w:eastAsia="宋体" w:cs="宋体"/>
          <w:b w:val="0"/>
          <w:color w:val="auto"/>
          <w:sz w:val="30"/>
          <w:szCs w:val="30"/>
          <w:highlight w:val="none"/>
        </w:rPr>
        <w:sectPr>
          <w:headerReference r:id="rId8" w:type="default"/>
          <w:footerReference r:id="rId9" w:type="default"/>
          <w:pgSz w:w="11906" w:h="16838"/>
          <w:pgMar w:top="1440" w:right="1080" w:bottom="1440" w:left="1080" w:header="720" w:footer="720" w:gutter="0"/>
          <w:pgNumType w:fmt="decimal"/>
          <w:cols w:space="720" w:num="1"/>
          <w:docGrid w:type="lines" w:linePitch="331" w:charSpace="0"/>
        </w:sectPr>
      </w:pPr>
    </w:p>
    <w:p w14:paraId="7FC98D69">
      <w:pPr>
        <w:pStyle w:val="4"/>
        <w:pageBreakBefore w:val="0"/>
        <w:wordWrap w:val="0"/>
        <w:overflowPunct/>
        <w:topLinePunct w:val="0"/>
        <w:bidi w:val="0"/>
        <w:spacing w:before="0" w:after="0" w:line="360" w:lineRule="auto"/>
        <w:jc w:val="center"/>
        <w:rPr>
          <w:rFonts w:ascii="宋体" w:hAnsi="宋体" w:eastAsia="宋体" w:cs="宋体"/>
          <w:b w:val="0"/>
          <w:color w:val="auto"/>
          <w:sz w:val="30"/>
          <w:szCs w:val="30"/>
          <w:highlight w:val="none"/>
        </w:rPr>
      </w:pPr>
      <w:r>
        <w:rPr>
          <w:rFonts w:hint="eastAsia" w:ascii="宋体" w:hAnsi="宋体" w:eastAsia="宋体" w:cs="宋体"/>
          <w:b w:val="0"/>
          <w:color w:val="auto"/>
          <w:sz w:val="30"/>
          <w:szCs w:val="30"/>
          <w:highlight w:val="none"/>
        </w:rPr>
        <w:t>第四节 中标候选人推荐原则</w:t>
      </w:r>
      <w:bookmarkEnd w:id="109"/>
    </w:p>
    <w:p w14:paraId="41812771">
      <w:pPr>
        <w:pStyle w:val="12"/>
        <w:pageBreakBefore w:val="0"/>
        <w:numPr>
          <w:ilvl w:val="0"/>
          <w:numId w:val="7"/>
        </w:numPr>
        <w:wordWrap w:val="0"/>
        <w:overflowPunct/>
        <w:topLinePunct w:val="0"/>
        <w:bidi w:val="0"/>
        <w:spacing w:line="360" w:lineRule="auto"/>
        <w:contextualSpacing/>
        <w:rPr>
          <w:rFonts w:hAnsi="宋体" w:cs="宋体"/>
          <w:b/>
          <w:bCs/>
          <w:color w:val="auto"/>
          <w:sz w:val="24"/>
          <w:szCs w:val="24"/>
          <w:highlight w:val="none"/>
        </w:rPr>
      </w:pPr>
      <w:r>
        <w:rPr>
          <w:rFonts w:hint="eastAsia" w:hAnsi="宋体" w:cs="宋体"/>
          <w:b/>
          <w:bCs/>
          <w:color w:val="auto"/>
          <w:sz w:val="24"/>
          <w:szCs w:val="24"/>
          <w:highlight w:val="none"/>
        </w:rPr>
        <w:t>综合评分法</w:t>
      </w:r>
    </w:p>
    <w:p w14:paraId="03BCE39F">
      <w:pPr>
        <w:pStyle w:val="12"/>
        <w:pageBreakBefore w:val="0"/>
        <w:wordWrap w:val="0"/>
        <w:overflowPunct/>
        <w:topLinePunct w:val="0"/>
        <w:bidi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5A7D9756">
      <w:pPr>
        <w:pStyle w:val="4"/>
        <w:pageBreakBefore w:val="0"/>
        <w:wordWrap w:val="0"/>
        <w:overflowPunct/>
        <w:topLinePunct w:val="0"/>
        <w:bidi w:val="0"/>
        <w:spacing w:before="0" w:after="0" w:line="360" w:lineRule="auto"/>
        <w:ind w:firstLine="600" w:firstLineChars="200"/>
        <w:jc w:val="center"/>
        <w:rPr>
          <w:rFonts w:ascii="宋体" w:hAnsi="宋体" w:eastAsia="宋体" w:cs="宋体"/>
          <w:b w:val="0"/>
          <w:color w:val="auto"/>
          <w:sz w:val="30"/>
          <w:szCs w:val="30"/>
          <w:highlight w:val="none"/>
        </w:rPr>
      </w:pPr>
      <w:bookmarkStart w:id="110" w:name="_Toc52"/>
      <w:r>
        <w:rPr>
          <w:rFonts w:hint="eastAsia" w:ascii="宋体" w:hAnsi="宋体" w:eastAsia="宋体" w:cs="宋体"/>
          <w:b w:val="0"/>
          <w:color w:val="auto"/>
          <w:sz w:val="30"/>
          <w:szCs w:val="30"/>
          <w:highlight w:val="none"/>
        </w:rPr>
        <w:t>第五节 评标报告</w:t>
      </w:r>
      <w:bookmarkEnd w:id="110"/>
    </w:p>
    <w:p w14:paraId="4F196DDF">
      <w:pPr>
        <w:pStyle w:val="28"/>
        <w:pageBreakBefore w:val="0"/>
        <w:wordWrap w:val="0"/>
        <w:overflowPunct/>
        <w:topLinePunct w:val="0"/>
        <w:bidi w:val="0"/>
        <w:spacing w:before="0" w:line="360" w:lineRule="auto"/>
        <w:ind w:firstLine="482"/>
        <w:rPr>
          <w:rFonts w:ascii="宋体" w:hAnsi="宋体" w:cs="宋体"/>
          <w:b/>
          <w:bCs/>
          <w:color w:val="auto"/>
          <w:szCs w:val="24"/>
          <w:highlight w:val="none"/>
        </w:rPr>
      </w:pPr>
      <w:r>
        <w:rPr>
          <w:rFonts w:hint="eastAsia" w:ascii="宋体" w:hAnsi="宋体" w:cs="宋体"/>
          <w:b/>
          <w:bCs/>
          <w:color w:val="auto"/>
          <w:szCs w:val="24"/>
          <w:highlight w:val="none"/>
        </w:rPr>
        <w:t>（一）评标报告与推荐中标候选人</w:t>
      </w:r>
    </w:p>
    <w:p w14:paraId="60055FFA">
      <w:pPr>
        <w:pStyle w:val="12"/>
        <w:pageBreakBefore w:val="0"/>
        <w:tabs>
          <w:tab w:val="left" w:pos="2472"/>
        </w:tabs>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评标委员会根据原始评标记录和评标结果编写评标报告，并通过电子交易平台向采购人、采购代理机构提交。</w:t>
      </w:r>
    </w:p>
    <w:p w14:paraId="1934FAB4">
      <w:pPr>
        <w:pageBreakBefore w:val="0"/>
        <w:widowControl/>
        <w:wordWrap w:val="0"/>
        <w:overflowPunct/>
        <w:topLinePunct w:val="0"/>
        <w:bidi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（二）评标争议事项处理</w:t>
      </w:r>
    </w:p>
    <w:p w14:paraId="23F03F98">
      <w:pPr>
        <w:pStyle w:val="12"/>
        <w:pageBreakBefore w:val="0"/>
        <w:tabs>
          <w:tab w:val="left" w:pos="2472"/>
        </w:tabs>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28A940C1">
      <w:pPr>
        <w:pageBreakBefore w:val="0"/>
        <w:widowControl/>
        <w:wordWrap w:val="0"/>
        <w:overflowPunct/>
        <w:topLinePunct w:val="0"/>
        <w:bidi w:val="0"/>
        <w:spacing w:line="360" w:lineRule="auto"/>
        <w:jc w:val="left"/>
        <w:rPr>
          <w:rFonts w:ascii="宋体" w:hAnsi="宋体" w:cs="宋体"/>
          <w:b/>
          <w:color w:val="auto"/>
          <w:sz w:val="36"/>
          <w:szCs w:val="20"/>
          <w:highlight w:val="none"/>
        </w:rPr>
        <w:sectPr>
          <w:pgSz w:w="11906" w:h="16838"/>
          <w:pgMar w:top="1440" w:right="1080" w:bottom="1440" w:left="1080" w:header="720" w:footer="720" w:gutter="0"/>
          <w:pgNumType w:fmt="decimal"/>
          <w:cols w:space="720" w:num="1"/>
          <w:docGrid w:type="lines" w:linePitch="331" w:charSpace="0"/>
        </w:sectPr>
      </w:pPr>
    </w:p>
    <w:p w14:paraId="5D43F068">
      <w:pPr>
        <w:pStyle w:val="12"/>
        <w:pageBreakBefore w:val="0"/>
        <w:tabs>
          <w:tab w:val="left" w:pos="2472"/>
        </w:tabs>
        <w:wordWrap w:val="0"/>
        <w:overflowPunct/>
        <w:topLinePunct w:val="0"/>
        <w:bidi w:val="0"/>
        <w:spacing w:line="360" w:lineRule="auto"/>
        <w:jc w:val="both"/>
        <w:rPr>
          <w:rFonts w:hAnsi="宋体" w:cs="宋体"/>
          <w:b/>
          <w:color w:val="auto"/>
          <w:sz w:val="36"/>
          <w:highlight w:val="none"/>
        </w:rPr>
      </w:pPr>
    </w:p>
    <w:p w14:paraId="034FF672">
      <w:pPr>
        <w:pStyle w:val="7"/>
        <w:pageBreakBefore w:val="0"/>
        <w:overflowPunct/>
        <w:topLinePunct w:val="0"/>
        <w:bidi w:val="0"/>
        <w:spacing w:line="360" w:lineRule="auto"/>
        <w:rPr>
          <w:rFonts w:hAnsi="宋体" w:cs="宋体"/>
          <w:b/>
          <w:color w:val="auto"/>
          <w:sz w:val="36"/>
          <w:highlight w:val="none"/>
        </w:rPr>
      </w:pPr>
    </w:p>
    <w:p w14:paraId="2EB1BC03">
      <w:pPr>
        <w:pageBreakBefore w:val="0"/>
        <w:overflowPunct/>
        <w:topLinePunct w:val="0"/>
        <w:bidi w:val="0"/>
        <w:spacing w:line="360" w:lineRule="auto"/>
        <w:rPr>
          <w:rFonts w:hAnsi="宋体" w:cs="宋体"/>
          <w:b/>
          <w:color w:val="auto"/>
          <w:sz w:val="36"/>
          <w:highlight w:val="none"/>
        </w:rPr>
      </w:pPr>
    </w:p>
    <w:p w14:paraId="3E73B691">
      <w:pPr>
        <w:pageBreakBefore w:val="0"/>
        <w:overflowPunct/>
        <w:topLinePunct w:val="0"/>
        <w:bidi w:val="0"/>
        <w:spacing w:line="360" w:lineRule="auto"/>
        <w:outlineLvl w:val="9"/>
        <w:rPr>
          <w:rFonts w:hAnsi="宋体" w:cs="宋体"/>
          <w:b/>
          <w:color w:val="auto"/>
          <w:sz w:val="36"/>
          <w:highlight w:val="none"/>
        </w:rPr>
      </w:pPr>
    </w:p>
    <w:p w14:paraId="26F56708">
      <w:pPr>
        <w:pageBreakBefore w:val="0"/>
        <w:overflowPunct/>
        <w:topLinePunct w:val="0"/>
        <w:bidi w:val="0"/>
        <w:spacing w:line="360" w:lineRule="auto"/>
        <w:rPr>
          <w:rFonts w:hAnsi="宋体" w:cs="宋体"/>
          <w:b/>
          <w:color w:val="auto"/>
          <w:sz w:val="36"/>
          <w:highlight w:val="none"/>
        </w:rPr>
      </w:pPr>
    </w:p>
    <w:p w14:paraId="50B38E59">
      <w:pPr>
        <w:pageBreakBefore w:val="0"/>
        <w:overflowPunct/>
        <w:topLinePunct w:val="0"/>
        <w:bidi w:val="0"/>
        <w:spacing w:line="360" w:lineRule="auto"/>
        <w:outlineLvl w:val="9"/>
        <w:rPr>
          <w:rFonts w:hAnsi="宋体" w:cs="宋体"/>
          <w:b/>
          <w:color w:val="auto"/>
          <w:sz w:val="36"/>
          <w:highlight w:val="none"/>
        </w:rPr>
      </w:pPr>
    </w:p>
    <w:p w14:paraId="7CE027B9">
      <w:pPr>
        <w:pageBreakBefore w:val="0"/>
        <w:overflowPunct/>
        <w:topLinePunct w:val="0"/>
        <w:bidi w:val="0"/>
        <w:spacing w:line="360" w:lineRule="auto"/>
        <w:rPr>
          <w:color w:val="auto"/>
          <w:highlight w:val="none"/>
        </w:rPr>
      </w:pPr>
    </w:p>
    <w:p w14:paraId="527F7CE3">
      <w:pPr>
        <w:pStyle w:val="12"/>
        <w:pageBreakBefore w:val="0"/>
        <w:tabs>
          <w:tab w:val="left" w:pos="2472"/>
        </w:tabs>
        <w:wordWrap w:val="0"/>
        <w:overflowPunct/>
        <w:topLinePunct w:val="0"/>
        <w:bidi w:val="0"/>
        <w:spacing w:line="360" w:lineRule="auto"/>
        <w:jc w:val="center"/>
        <w:outlineLvl w:val="0"/>
        <w:rPr>
          <w:rFonts w:ascii="宋体" w:hAnsi="宋体" w:cs="宋体"/>
          <w:bCs/>
          <w:color w:val="auto"/>
          <w:szCs w:val="20"/>
          <w:highlight w:val="none"/>
        </w:rPr>
        <w:sectPr>
          <w:pgSz w:w="11906" w:h="16838"/>
          <w:pgMar w:top="1440" w:right="1080" w:bottom="1440" w:left="1080" w:header="720" w:footer="720" w:gutter="0"/>
          <w:pgNumType w:fmt="decimal"/>
          <w:cols w:space="720" w:num="1"/>
          <w:docGrid w:type="lines" w:linePitch="331" w:charSpace="0"/>
        </w:sectPr>
      </w:pPr>
      <w:bookmarkStart w:id="111" w:name="_Toc29194"/>
      <w:r>
        <w:rPr>
          <w:rFonts w:hint="eastAsia" w:hAnsi="宋体" w:cs="宋体"/>
          <w:b/>
          <w:color w:val="auto"/>
          <w:sz w:val="36"/>
          <w:highlight w:val="none"/>
        </w:rPr>
        <w:t>第五章 拟签订的合同文本</w:t>
      </w:r>
      <w:bookmarkEnd w:id="111"/>
    </w:p>
    <w:p w14:paraId="2DA7DDFC">
      <w:pPr>
        <w:pageBreakBefore w:val="0"/>
        <w:wordWrap w:val="0"/>
        <w:overflowPunct/>
        <w:topLinePunct w:val="0"/>
        <w:bidi w:val="0"/>
        <w:spacing w:line="360" w:lineRule="auto"/>
        <w:rPr>
          <w:rFonts w:ascii="宋体" w:hAnsi="宋体" w:cs="宋体"/>
          <w:color w:val="auto"/>
          <w:sz w:val="24"/>
          <w:highlight w:val="none"/>
          <w:u w:val="single"/>
        </w:rPr>
      </w:pPr>
      <w:r>
        <w:rPr>
          <w:rFonts w:hint="eastAsia" w:ascii="宋体" w:hAnsi="宋体" w:cs="宋体"/>
          <w:color w:val="auto"/>
          <w:sz w:val="24"/>
          <w:highlight w:val="none"/>
        </w:rPr>
        <w:t>广西政府采购云平台合同编号：</w:t>
      </w:r>
      <w:r>
        <w:rPr>
          <w:rFonts w:hint="eastAsia" w:ascii="宋体" w:hAnsi="宋体" w:cs="宋体"/>
          <w:color w:val="auto"/>
          <w:sz w:val="24"/>
          <w:highlight w:val="none"/>
          <w:u w:val="single"/>
        </w:rPr>
        <w:t xml:space="preserve">           </w:t>
      </w:r>
    </w:p>
    <w:p w14:paraId="1BE07588">
      <w:pPr>
        <w:pageBreakBefore w:val="0"/>
        <w:wordWrap w:val="0"/>
        <w:overflowPunct/>
        <w:topLinePunct w:val="0"/>
        <w:bidi w:val="0"/>
        <w:spacing w:line="360" w:lineRule="auto"/>
        <w:jc w:val="center"/>
        <w:rPr>
          <w:rFonts w:ascii="宋体" w:hAnsi="宋体" w:cs="宋体"/>
          <w:b/>
          <w:bCs/>
          <w:color w:val="auto"/>
          <w:sz w:val="52"/>
          <w:highlight w:val="none"/>
        </w:rPr>
      </w:pPr>
    </w:p>
    <w:p w14:paraId="25BC1A46">
      <w:pPr>
        <w:pageBreakBefore w:val="0"/>
        <w:wordWrap w:val="0"/>
        <w:overflowPunct/>
        <w:topLinePunct w:val="0"/>
        <w:bidi w:val="0"/>
        <w:spacing w:line="360" w:lineRule="auto"/>
        <w:jc w:val="center"/>
        <w:rPr>
          <w:rFonts w:ascii="宋体" w:hAnsi="宋体" w:cs="宋体"/>
          <w:b/>
          <w:bCs/>
          <w:color w:val="auto"/>
          <w:sz w:val="52"/>
          <w:highlight w:val="none"/>
        </w:rPr>
      </w:pPr>
    </w:p>
    <w:p w14:paraId="078E08A1">
      <w:pPr>
        <w:pageBreakBefore w:val="0"/>
        <w:wordWrap w:val="0"/>
        <w:overflowPunct/>
        <w:topLinePunct w:val="0"/>
        <w:bidi w:val="0"/>
        <w:spacing w:line="360" w:lineRule="auto"/>
        <w:jc w:val="center"/>
        <w:rPr>
          <w:rFonts w:ascii="宋体" w:hAnsi="宋体" w:cs="宋体"/>
          <w:b/>
          <w:bCs/>
          <w:color w:val="auto"/>
          <w:sz w:val="52"/>
          <w:highlight w:val="none"/>
        </w:rPr>
      </w:pPr>
      <w:r>
        <w:rPr>
          <w:rFonts w:hint="eastAsia" w:ascii="宋体" w:hAnsi="宋体" w:cs="宋体"/>
          <w:b/>
          <w:bCs/>
          <w:color w:val="auto"/>
          <w:sz w:val="52"/>
          <w:highlight w:val="none"/>
        </w:rPr>
        <w:t>南 宁 市 政 府 采 购</w:t>
      </w:r>
    </w:p>
    <w:p w14:paraId="782D48F0">
      <w:pPr>
        <w:pageBreakBefore w:val="0"/>
        <w:wordWrap w:val="0"/>
        <w:overflowPunct/>
        <w:topLinePunct w:val="0"/>
        <w:bidi w:val="0"/>
        <w:spacing w:line="360" w:lineRule="auto"/>
        <w:ind w:firstLine="420" w:firstLineChars="200"/>
        <w:rPr>
          <w:rFonts w:ascii="宋体" w:hAnsi="宋体" w:cs="宋体"/>
          <w:color w:val="auto"/>
          <w:highlight w:val="none"/>
        </w:rPr>
      </w:pPr>
    </w:p>
    <w:p w14:paraId="1765E45F">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                                                 </w:t>
      </w:r>
    </w:p>
    <w:p w14:paraId="7D447C03">
      <w:pPr>
        <w:pageBreakBefore w:val="0"/>
        <w:wordWrap w:val="0"/>
        <w:overflowPunct/>
        <w:topLinePunct w:val="0"/>
        <w:bidi w:val="0"/>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u w:val="single"/>
        </w:rPr>
        <w:t xml:space="preserve">           </w:t>
      </w:r>
      <w:r>
        <w:rPr>
          <w:rFonts w:hint="eastAsia" w:ascii="宋体" w:hAnsi="宋体" w:cs="宋体"/>
          <w:b/>
          <w:bCs/>
          <w:color w:val="auto"/>
          <w:sz w:val="44"/>
          <w:highlight w:val="none"/>
        </w:rPr>
        <w:t>合同</w:t>
      </w:r>
    </w:p>
    <w:p w14:paraId="609889AC">
      <w:pPr>
        <w:pageBreakBefore w:val="0"/>
        <w:wordWrap w:val="0"/>
        <w:overflowPunct/>
        <w:topLinePunct w:val="0"/>
        <w:bidi w:val="0"/>
        <w:spacing w:line="360" w:lineRule="auto"/>
        <w:ind w:firstLine="3507" w:firstLineChars="794"/>
        <w:rPr>
          <w:rFonts w:ascii="宋体" w:hAnsi="宋体" w:cs="宋体"/>
          <w:b/>
          <w:bCs/>
          <w:color w:val="auto"/>
          <w:sz w:val="44"/>
          <w:highlight w:val="none"/>
        </w:rPr>
      </w:pPr>
    </w:p>
    <w:p w14:paraId="15FE4EFC">
      <w:pPr>
        <w:pageBreakBefore w:val="0"/>
        <w:wordWrap w:val="0"/>
        <w:overflowPunct/>
        <w:topLinePunct w:val="0"/>
        <w:bidi w:val="0"/>
        <w:spacing w:line="360" w:lineRule="auto"/>
        <w:ind w:firstLine="1063" w:firstLineChars="294"/>
        <w:jc w:val="left"/>
        <w:rPr>
          <w:rFonts w:ascii="宋体" w:hAnsi="宋体" w:cs="宋体"/>
          <w:b/>
          <w:color w:val="auto"/>
          <w:sz w:val="36"/>
          <w:szCs w:val="36"/>
          <w:highlight w:val="none"/>
        </w:rPr>
      </w:pPr>
      <w:r>
        <w:rPr>
          <w:rFonts w:hint="eastAsia" w:ascii="宋体" w:hAnsi="宋体" w:cs="宋体"/>
          <w:b/>
          <w:color w:val="auto"/>
          <w:sz w:val="36"/>
          <w:szCs w:val="36"/>
          <w:highlight w:val="none"/>
        </w:rPr>
        <w:t xml:space="preserve">项目编号：   </w:t>
      </w:r>
    </w:p>
    <w:p w14:paraId="329AD473">
      <w:pPr>
        <w:pageBreakBefore w:val="0"/>
        <w:wordWrap w:val="0"/>
        <w:overflowPunct/>
        <w:topLinePunct w:val="0"/>
        <w:bidi w:val="0"/>
        <w:spacing w:line="360" w:lineRule="auto"/>
        <w:ind w:firstLine="1063" w:firstLineChars="294"/>
        <w:jc w:val="left"/>
        <w:rPr>
          <w:rFonts w:ascii="宋体" w:hAnsi="宋体" w:cs="宋体"/>
          <w:b/>
          <w:color w:val="auto"/>
          <w:sz w:val="36"/>
          <w:szCs w:val="36"/>
          <w:highlight w:val="none"/>
        </w:rPr>
      </w:pPr>
      <w:r>
        <w:rPr>
          <w:rFonts w:hint="eastAsia" w:ascii="宋体" w:hAnsi="宋体" w:cs="宋体"/>
          <w:b/>
          <w:color w:val="auto"/>
          <w:sz w:val="36"/>
          <w:szCs w:val="36"/>
          <w:highlight w:val="none"/>
        </w:rPr>
        <w:t>计划编号：</w:t>
      </w:r>
    </w:p>
    <w:p w14:paraId="3D9B78AA">
      <w:pPr>
        <w:pageBreakBefore w:val="0"/>
        <w:tabs>
          <w:tab w:val="left" w:pos="7200"/>
        </w:tabs>
        <w:wordWrap w:val="0"/>
        <w:overflowPunct/>
        <w:topLinePunct w:val="0"/>
        <w:bidi w:val="0"/>
        <w:spacing w:line="360" w:lineRule="auto"/>
        <w:ind w:firstLine="1995" w:firstLineChars="552"/>
        <w:rPr>
          <w:rFonts w:ascii="宋体" w:hAnsi="宋体" w:cs="宋体"/>
          <w:b/>
          <w:color w:val="auto"/>
          <w:sz w:val="36"/>
          <w:szCs w:val="36"/>
          <w:highlight w:val="none"/>
        </w:rPr>
      </w:pPr>
    </w:p>
    <w:p w14:paraId="0982B755">
      <w:pPr>
        <w:pStyle w:val="9"/>
        <w:pageBreakBefore w:val="0"/>
        <w:overflowPunct/>
        <w:topLinePunct w:val="0"/>
        <w:bidi w:val="0"/>
        <w:spacing w:after="0" w:line="360" w:lineRule="auto"/>
        <w:rPr>
          <w:color w:val="auto"/>
          <w:highlight w:val="none"/>
        </w:rPr>
      </w:pPr>
    </w:p>
    <w:p w14:paraId="0F1F7623">
      <w:pPr>
        <w:pageBreakBefore w:val="0"/>
        <w:tabs>
          <w:tab w:val="left" w:pos="7200"/>
        </w:tabs>
        <w:wordWrap w:val="0"/>
        <w:overflowPunct/>
        <w:topLinePunct w:val="0"/>
        <w:bidi w:val="0"/>
        <w:spacing w:line="360" w:lineRule="auto"/>
        <w:ind w:firstLine="1995" w:firstLineChars="552"/>
        <w:rPr>
          <w:rFonts w:ascii="宋体" w:hAnsi="宋体" w:cs="宋体"/>
          <w:b/>
          <w:color w:val="auto"/>
          <w:sz w:val="36"/>
          <w:szCs w:val="36"/>
          <w:highlight w:val="none"/>
          <w:u w:val="single"/>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u w:val="single"/>
        </w:rPr>
        <w:t xml:space="preserve">                      </w:t>
      </w:r>
    </w:p>
    <w:p w14:paraId="4B918499">
      <w:pPr>
        <w:pageBreakBefore w:val="0"/>
        <w:tabs>
          <w:tab w:val="left" w:pos="7380"/>
        </w:tabs>
        <w:wordWrap w:val="0"/>
        <w:overflowPunct/>
        <w:topLinePunct w:val="0"/>
        <w:bidi w:val="0"/>
        <w:spacing w:line="360" w:lineRule="auto"/>
        <w:ind w:firstLine="1995" w:firstLineChars="552"/>
        <w:rPr>
          <w:rFonts w:ascii="宋体" w:hAnsi="宋体" w:cs="宋体"/>
          <w:b/>
          <w:bCs/>
          <w:color w:val="auto"/>
          <w:sz w:val="44"/>
          <w:highlight w:val="none"/>
        </w:rPr>
      </w:pPr>
      <w:r>
        <w:rPr>
          <w:rFonts w:hint="eastAsia" w:ascii="宋体" w:hAnsi="宋体" w:cs="宋体"/>
          <w:b/>
          <w:color w:val="auto"/>
          <w:sz w:val="36"/>
          <w:szCs w:val="36"/>
          <w:highlight w:val="none"/>
        </w:rPr>
        <w:t>中标供应商：</w:t>
      </w:r>
      <w:r>
        <w:rPr>
          <w:rFonts w:hint="eastAsia" w:ascii="宋体" w:hAnsi="宋体" w:cs="宋体"/>
          <w:b/>
          <w:color w:val="auto"/>
          <w:sz w:val="36"/>
          <w:szCs w:val="36"/>
          <w:highlight w:val="none"/>
          <w:u w:val="single"/>
        </w:rPr>
        <w:t xml:space="preserve">                   </w:t>
      </w:r>
    </w:p>
    <w:p w14:paraId="7439A453">
      <w:pPr>
        <w:pageBreakBefore w:val="0"/>
        <w:tabs>
          <w:tab w:val="left" w:pos="7380"/>
        </w:tabs>
        <w:wordWrap w:val="0"/>
        <w:overflowPunct/>
        <w:topLinePunct w:val="0"/>
        <w:bidi w:val="0"/>
        <w:spacing w:line="360" w:lineRule="auto"/>
        <w:rPr>
          <w:rFonts w:ascii="宋体" w:hAnsi="宋体" w:cs="宋体"/>
          <w:b/>
          <w:bCs/>
          <w:color w:val="auto"/>
          <w:sz w:val="44"/>
          <w:highlight w:val="none"/>
        </w:rPr>
      </w:pPr>
    </w:p>
    <w:p w14:paraId="2F042BA3">
      <w:pPr>
        <w:pageBreakBefore w:val="0"/>
        <w:wordWrap w:val="0"/>
        <w:overflowPunct/>
        <w:topLinePunct w:val="0"/>
        <w:bidi w:val="0"/>
        <w:spacing w:line="360" w:lineRule="auto"/>
        <w:rPr>
          <w:rFonts w:ascii="宋体" w:hAnsi="宋体" w:cs="宋体"/>
          <w:color w:val="auto"/>
          <w:sz w:val="24"/>
          <w:highlight w:val="none"/>
        </w:rPr>
      </w:pPr>
    </w:p>
    <w:p w14:paraId="63E87815">
      <w:pPr>
        <w:pageBreakBefore w:val="0"/>
        <w:wordWrap w:val="0"/>
        <w:overflowPunct/>
        <w:topLinePunct w:val="0"/>
        <w:bidi w:val="0"/>
        <w:spacing w:line="360" w:lineRule="auto"/>
        <w:ind w:firstLine="2280" w:firstLineChars="950"/>
        <w:rPr>
          <w:rFonts w:ascii="宋体" w:hAnsi="宋体" w:cs="宋体"/>
          <w:b/>
          <w:bCs/>
          <w:color w:val="auto"/>
          <w:sz w:val="44"/>
          <w:highlight w:val="non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C926C8F">
      <w:pPr>
        <w:pageBreakBefore w:val="0"/>
        <w:wordWrap w:val="0"/>
        <w:overflowPunct/>
        <w:topLinePunct w:val="0"/>
        <w:bidi w:val="0"/>
        <w:snapToGrid w:val="0"/>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rPr>
        <w:br w:type="page"/>
      </w:r>
    </w:p>
    <w:p w14:paraId="7379491D">
      <w:pPr>
        <w:pageBreakBefore w:val="0"/>
        <w:wordWrap w:val="0"/>
        <w:overflowPunct/>
        <w:topLinePunct w:val="0"/>
        <w:bidi w:val="0"/>
        <w:snapToGrid w:val="0"/>
        <w:spacing w:line="360" w:lineRule="auto"/>
        <w:jc w:val="center"/>
        <w:rPr>
          <w:rFonts w:ascii="宋体" w:hAnsi="宋体" w:cs="宋体"/>
          <w:b/>
          <w:bCs/>
          <w:color w:val="auto"/>
          <w:sz w:val="44"/>
          <w:highlight w:val="none"/>
        </w:rPr>
      </w:pPr>
    </w:p>
    <w:p w14:paraId="41320AAF">
      <w:pPr>
        <w:pageBreakBefore w:val="0"/>
        <w:wordWrap w:val="0"/>
        <w:overflowPunct/>
        <w:topLinePunct w:val="0"/>
        <w:bidi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合同目录</w:t>
      </w:r>
    </w:p>
    <w:p w14:paraId="11A2957A">
      <w:pPr>
        <w:pageBreakBefore w:val="0"/>
        <w:wordWrap w:val="0"/>
        <w:overflowPunct/>
        <w:topLinePunct w:val="0"/>
        <w:bidi w:val="0"/>
        <w:snapToGrid w:val="0"/>
        <w:spacing w:line="360" w:lineRule="auto"/>
        <w:jc w:val="center"/>
        <w:rPr>
          <w:rFonts w:ascii="宋体" w:hAnsi="宋体" w:cs="宋体"/>
          <w:b/>
          <w:bCs/>
          <w:color w:val="auto"/>
          <w:sz w:val="44"/>
          <w:highlight w:val="none"/>
        </w:rPr>
      </w:pPr>
    </w:p>
    <w:p w14:paraId="60A7D792">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第一部分 合同书</w:t>
      </w:r>
      <w:r>
        <w:rPr>
          <w:rFonts w:hint="eastAsia" w:ascii="宋体" w:hAnsi="宋体" w:cs="宋体"/>
          <w:color w:val="auto"/>
          <w:kern w:val="0"/>
          <w:sz w:val="24"/>
          <w:highlight w:val="none"/>
        </w:rPr>
        <w:t>……………………………………………………………（页码）</w:t>
      </w:r>
    </w:p>
    <w:p w14:paraId="35E41B4C">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二、第二部分 合同一般条款……………………………………………………（页码）</w:t>
      </w:r>
    </w:p>
    <w:p w14:paraId="1311025A">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三、第三部分 合同专用条款……………………………………………………（页码）</w:t>
      </w:r>
    </w:p>
    <w:p w14:paraId="48AD0CF3">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四、</w:t>
      </w:r>
      <w:r>
        <w:rPr>
          <w:rFonts w:hint="eastAsia" w:ascii="宋体" w:hAnsi="宋体" w:cs="宋体"/>
          <w:color w:val="auto"/>
          <w:sz w:val="24"/>
          <w:highlight w:val="none"/>
        </w:rPr>
        <w:t>第四部分 合同附件</w:t>
      </w:r>
      <w:r>
        <w:rPr>
          <w:rFonts w:hint="eastAsia" w:ascii="宋体" w:hAnsi="宋体" w:cs="宋体"/>
          <w:color w:val="auto"/>
          <w:kern w:val="0"/>
          <w:sz w:val="24"/>
          <w:highlight w:val="none"/>
        </w:rPr>
        <w:t>…………………………………………………………（页码）</w:t>
      </w:r>
    </w:p>
    <w:p w14:paraId="07BF7074">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4.1中标通知书 …………………………………………………………………（页码）</w:t>
      </w:r>
    </w:p>
    <w:p w14:paraId="4B618EBE">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4.2招标文件服务需求一览表 …………………………………………………（页码）</w:t>
      </w:r>
    </w:p>
    <w:p w14:paraId="7E19A2B5">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4.3招标文件的更改通知（如有） ……………………………………………（页码）</w:t>
      </w:r>
    </w:p>
    <w:p w14:paraId="4EE0C071">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4.4投标函 ………………………………………………………………………（页码）</w:t>
      </w:r>
    </w:p>
    <w:p w14:paraId="62D9C18F">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4.5报价表 ………………………………………………………………………（页码）</w:t>
      </w:r>
    </w:p>
    <w:p w14:paraId="4BF7A337">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4.6投标服务技术资料表 ………………………………………………………（页码）</w:t>
      </w:r>
    </w:p>
    <w:p w14:paraId="7BA5A89A">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4.7商务条款偏离表 ……………………………………………………………（页码）</w:t>
      </w:r>
    </w:p>
    <w:p w14:paraId="134B11BA">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4.8中标供应商澄清函（如有请提供） ………………………………………（页码）</w:t>
      </w:r>
    </w:p>
    <w:p w14:paraId="5646AAED">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4.9其他与本合同相关的资料（如有请提供） ………………………………（页码）</w:t>
      </w:r>
    </w:p>
    <w:p w14:paraId="148A9373">
      <w:pPr>
        <w:pageBreakBefore w:val="0"/>
        <w:wordWrap w:val="0"/>
        <w:overflowPunct/>
        <w:topLinePunct w:val="0"/>
        <w:bidi w:val="0"/>
        <w:snapToGrid w:val="0"/>
        <w:spacing w:line="360" w:lineRule="auto"/>
        <w:rPr>
          <w:rFonts w:ascii="宋体" w:hAnsi="宋体" w:cs="宋体"/>
          <w:color w:val="auto"/>
          <w:kern w:val="0"/>
          <w:sz w:val="24"/>
          <w:highlight w:val="none"/>
        </w:rPr>
      </w:pPr>
    </w:p>
    <w:p w14:paraId="4311EE02">
      <w:pPr>
        <w:pageBreakBefore w:val="0"/>
        <w:widowControl/>
        <w:wordWrap w:val="0"/>
        <w:overflowPunct/>
        <w:topLinePunct w:val="0"/>
        <w:bidi w:val="0"/>
        <w:spacing w:line="360" w:lineRule="auto"/>
        <w:jc w:val="left"/>
        <w:rPr>
          <w:rFonts w:ascii="宋体" w:hAnsi="宋体" w:cs="宋体"/>
          <w:color w:val="auto"/>
          <w:spacing w:val="-4"/>
          <w:sz w:val="18"/>
          <w:szCs w:val="20"/>
          <w:highlight w:val="none"/>
        </w:rPr>
        <w:sectPr>
          <w:pgSz w:w="11906" w:h="16838"/>
          <w:pgMar w:top="1440" w:right="1080" w:bottom="1440" w:left="1080" w:header="720" w:footer="720" w:gutter="0"/>
          <w:pgNumType w:fmt="decimal"/>
          <w:cols w:space="720" w:num="1"/>
          <w:docGrid w:type="lines" w:linePitch="331" w:charSpace="0"/>
        </w:sectPr>
      </w:pPr>
    </w:p>
    <w:p w14:paraId="5DE6D1F4">
      <w:pPr>
        <w:pStyle w:val="29"/>
        <w:wordWrap w:val="0"/>
        <w:spacing w:after="0"/>
        <w:ind w:firstLine="562"/>
        <w:jc w:val="center"/>
        <w:rPr>
          <w:rFonts w:ascii="宋体" w:hAnsi="宋体" w:cs="宋体"/>
          <w:b/>
          <w:color w:val="auto"/>
          <w:sz w:val="28"/>
          <w:szCs w:val="28"/>
          <w:highlight w:val="none"/>
        </w:rPr>
      </w:pPr>
      <w:r>
        <w:rPr>
          <w:rFonts w:hint="eastAsia" w:ascii="宋体" w:hAnsi="宋体" w:cs="宋体"/>
          <w:b/>
          <w:color w:val="auto"/>
          <w:sz w:val="28"/>
          <w:szCs w:val="28"/>
          <w:highlight w:val="none"/>
        </w:rPr>
        <w:t>第一部分 合同书</w:t>
      </w:r>
    </w:p>
    <w:p w14:paraId="312B866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南宁市第十四中学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公开招标方式  </w:t>
      </w:r>
      <w:r>
        <w:rPr>
          <w:rFonts w:hint="eastAsia" w:ascii="宋体" w:hAnsi="宋体" w:cs="宋体"/>
          <w:color w:val="auto"/>
          <w:sz w:val="24"/>
          <w:highlight w:val="none"/>
        </w:rPr>
        <w:t>对</w:t>
      </w:r>
      <w:r>
        <w:rPr>
          <w:rFonts w:hint="eastAsia" w:ascii="宋体" w:hAnsi="宋体" w:cs="宋体"/>
          <w:color w:val="auto"/>
          <w:sz w:val="24"/>
          <w:highlight w:val="none"/>
          <w:u w:val="single"/>
          <w:lang w:eastAsia="zh-CN"/>
        </w:rPr>
        <w:t>南宁市第十四中学数字校园建设项目</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评标委员会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rPr>
        <w:t>为该项目中标供应商。现于中标通知书发出之日起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日内（根据项目实际情况填写，不能超过25日），按照采购文件确定的事项签订本合同。</w:t>
      </w:r>
    </w:p>
    <w:p w14:paraId="6015CF6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490DBEE9">
      <w:pPr>
        <w:wordWrap w:val="0"/>
        <w:spacing w:line="360" w:lineRule="auto"/>
        <w:ind w:firstLine="482" w:firstLineChars="200"/>
        <w:rPr>
          <w:rFonts w:ascii="宋体" w:hAnsi="宋体" w:cs="宋体"/>
          <w:b/>
          <w:color w:val="auto"/>
          <w:sz w:val="24"/>
          <w:highlight w:val="none"/>
        </w:rPr>
      </w:pPr>
      <w:bookmarkStart w:id="112" w:name="_Toc2232"/>
      <w:bookmarkStart w:id="113" w:name="_Toc3029"/>
      <w:bookmarkStart w:id="114" w:name="_Toc24059"/>
      <w:r>
        <w:rPr>
          <w:rFonts w:hint="eastAsia" w:ascii="宋体" w:hAnsi="宋体" w:cs="宋体"/>
          <w:b/>
          <w:color w:val="auto"/>
          <w:sz w:val="24"/>
          <w:highlight w:val="none"/>
        </w:rPr>
        <w:t>1.1 合同组成部分</w:t>
      </w:r>
      <w:bookmarkEnd w:id="112"/>
      <w:bookmarkEnd w:id="113"/>
      <w:bookmarkEnd w:id="114"/>
    </w:p>
    <w:p w14:paraId="54C35A1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710421B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0B4B83D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14:paraId="2DC7728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投标文件及“投标报价”（含澄清或者说明文件）；</w:t>
      </w:r>
    </w:p>
    <w:p w14:paraId="08E3EB4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14:paraId="4798F07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2561F546">
      <w:pPr>
        <w:wordWrap w:val="0"/>
        <w:spacing w:line="360" w:lineRule="auto"/>
        <w:ind w:firstLine="482" w:firstLineChars="200"/>
        <w:rPr>
          <w:rFonts w:ascii="宋体" w:hAnsi="宋体" w:cs="宋体"/>
          <w:b/>
          <w:color w:val="auto"/>
          <w:sz w:val="24"/>
          <w:highlight w:val="none"/>
        </w:rPr>
      </w:pPr>
      <w:bookmarkStart w:id="115" w:name="_Toc21295"/>
      <w:bookmarkStart w:id="116" w:name="_Toc24300"/>
      <w:bookmarkStart w:id="117" w:name="_Toc27126"/>
      <w:r>
        <w:rPr>
          <w:rFonts w:hint="eastAsia" w:ascii="宋体" w:hAnsi="宋体" w:cs="宋体"/>
          <w:b/>
          <w:color w:val="auto"/>
          <w:sz w:val="24"/>
          <w:highlight w:val="none"/>
        </w:rPr>
        <w:t>1.2 标的物</w:t>
      </w:r>
      <w:bookmarkEnd w:id="115"/>
      <w:bookmarkEnd w:id="116"/>
      <w:bookmarkEnd w:id="117"/>
    </w:p>
    <w:p w14:paraId="0489A14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 标的物1信息</w:t>
      </w:r>
    </w:p>
    <w:p w14:paraId="55C5A204">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1.2.1.1名称：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0076DAB">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1.2.1.2数量：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C5B993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1.2.1.3质量：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6A1F65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059259EB">
      <w:pPr>
        <w:wordWrap w:val="0"/>
        <w:spacing w:line="360" w:lineRule="auto"/>
        <w:ind w:firstLine="482" w:firstLineChars="200"/>
        <w:rPr>
          <w:rFonts w:ascii="宋体" w:hAnsi="宋体" w:cs="宋体"/>
          <w:b/>
          <w:color w:val="auto"/>
          <w:sz w:val="24"/>
          <w:highlight w:val="none"/>
        </w:rPr>
      </w:pPr>
      <w:bookmarkStart w:id="118" w:name="_Toc23292"/>
      <w:bookmarkStart w:id="119" w:name="_Toc21551"/>
      <w:bookmarkStart w:id="120" w:name="_Toc21631"/>
      <w:r>
        <w:rPr>
          <w:rFonts w:hint="eastAsia" w:ascii="宋体" w:hAnsi="宋体" w:cs="宋体"/>
          <w:b/>
          <w:color w:val="auto"/>
          <w:sz w:val="24"/>
          <w:highlight w:val="none"/>
        </w:rPr>
        <w:t>1.3 价款</w:t>
      </w:r>
      <w:bookmarkEnd w:id="118"/>
      <w:bookmarkEnd w:id="119"/>
      <w:bookmarkEnd w:id="120"/>
    </w:p>
    <w:p w14:paraId="7565005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本合同总价为：人民币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元人民币，含税）。</w:t>
      </w:r>
    </w:p>
    <w:p w14:paraId="03F37662">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19"/>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27E5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DA889F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4C6B3C6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02B16D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分项价格</w:t>
            </w:r>
          </w:p>
        </w:tc>
      </w:tr>
      <w:tr w14:paraId="17AE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7FFEE24">
            <w:pPr>
              <w:wordWrap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2776C36">
            <w:pPr>
              <w:wordWrap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CC88E86">
            <w:pPr>
              <w:wordWrap w:val="0"/>
              <w:spacing w:line="360" w:lineRule="auto"/>
              <w:ind w:firstLine="480" w:firstLineChars="200"/>
              <w:rPr>
                <w:rFonts w:ascii="宋体" w:hAnsi="宋体" w:cs="宋体"/>
                <w:color w:val="auto"/>
                <w:sz w:val="24"/>
                <w:highlight w:val="none"/>
              </w:rPr>
            </w:pPr>
          </w:p>
        </w:tc>
      </w:tr>
      <w:tr w14:paraId="79BEC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3DBA071">
            <w:pPr>
              <w:wordWrap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789399D">
            <w:pPr>
              <w:wordWrap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CF0194D">
            <w:pPr>
              <w:wordWrap w:val="0"/>
              <w:spacing w:line="360" w:lineRule="auto"/>
              <w:ind w:firstLine="480" w:firstLineChars="200"/>
              <w:rPr>
                <w:rFonts w:ascii="宋体" w:hAnsi="宋体" w:cs="宋体"/>
                <w:color w:val="auto"/>
                <w:sz w:val="24"/>
                <w:highlight w:val="none"/>
              </w:rPr>
            </w:pPr>
          </w:p>
        </w:tc>
      </w:tr>
      <w:tr w14:paraId="4E7C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EE943ED">
            <w:pPr>
              <w:wordWrap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545C82E">
            <w:pPr>
              <w:wordWrap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6531823">
            <w:pPr>
              <w:wordWrap w:val="0"/>
              <w:spacing w:line="360" w:lineRule="auto"/>
              <w:ind w:firstLine="480" w:firstLineChars="200"/>
              <w:rPr>
                <w:rFonts w:ascii="宋体" w:hAnsi="宋体" w:cs="宋体"/>
                <w:color w:val="auto"/>
                <w:sz w:val="24"/>
                <w:highlight w:val="none"/>
              </w:rPr>
            </w:pPr>
          </w:p>
        </w:tc>
      </w:tr>
      <w:tr w14:paraId="3F76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DECBDC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29301593">
            <w:pPr>
              <w:wordWrap w:val="0"/>
              <w:spacing w:line="360" w:lineRule="auto"/>
              <w:ind w:firstLine="480" w:firstLineChars="200"/>
              <w:rPr>
                <w:rFonts w:ascii="宋体" w:hAnsi="宋体" w:cs="宋体"/>
                <w:color w:val="auto"/>
                <w:sz w:val="24"/>
                <w:highlight w:val="none"/>
              </w:rPr>
            </w:pPr>
          </w:p>
        </w:tc>
      </w:tr>
    </w:tbl>
    <w:p w14:paraId="2827E6A8">
      <w:pPr>
        <w:wordWrap w:val="0"/>
        <w:spacing w:line="360" w:lineRule="auto"/>
        <w:ind w:firstLine="482" w:firstLineChars="200"/>
        <w:rPr>
          <w:rFonts w:ascii="宋体" w:hAnsi="宋体" w:cs="宋体"/>
          <w:b/>
          <w:color w:val="auto"/>
          <w:sz w:val="24"/>
          <w:highlight w:val="none"/>
        </w:rPr>
      </w:pPr>
      <w:bookmarkStart w:id="121" w:name="_Toc10340"/>
      <w:bookmarkStart w:id="122" w:name="_Toc22618"/>
      <w:bookmarkStart w:id="123" w:name="_Toc1814"/>
      <w:r>
        <w:rPr>
          <w:rFonts w:hint="eastAsia" w:ascii="宋体" w:hAnsi="宋体" w:cs="宋体"/>
          <w:b/>
          <w:color w:val="auto"/>
          <w:sz w:val="24"/>
          <w:highlight w:val="none"/>
        </w:rPr>
        <w:t>1.4 付款方式和发票开具方式</w:t>
      </w:r>
      <w:bookmarkEnd w:id="121"/>
      <w:bookmarkEnd w:id="122"/>
      <w:bookmarkEnd w:id="123"/>
    </w:p>
    <w:p w14:paraId="4444750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 付款方式：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ADD9BC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1.4.2 发票开具方式：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E09BB3">
      <w:pPr>
        <w:wordWrap w:val="0"/>
        <w:spacing w:line="360" w:lineRule="auto"/>
        <w:ind w:firstLine="482" w:firstLineChars="200"/>
        <w:rPr>
          <w:rFonts w:ascii="宋体" w:hAnsi="宋体" w:cs="宋体"/>
          <w:b/>
          <w:color w:val="auto"/>
          <w:sz w:val="24"/>
          <w:highlight w:val="none"/>
        </w:rPr>
      </w:pPr>
      <w:bookmarkStart w:id="124" w:name="_Toc2846"/>
      <w:bookmarkStart w:id="125" w:name="_Toc19304"/>
      <w:bookmarkStart w:id="126" w:name="_Toc32071"/>
      <w:r>
        <w:rPr>
          <w:rFonts w:hint="eastAsia" w:ascii="宋体" w:hAnsi="宋体" w:cs="宋体"/>
          <w:b/>
          <w:color w:val="auto"/>
          <w:sz w:val="24"/>
          <w:highlight w:val="none"/>
        </w:rPr>
        <w:t>1.5 标的物交付期限、地点、方式</w:t>
      </w:r>
      <w:bookmarkEnd w:id="124"/>
      <w:bookmarkEnd w:id="125"/>
      <w:bookmarkEnd w:id="126"/>
      <w:r>
        <w:rPr>
          <w:rFonts w:hint="eastAsia" w:ascii="宋体" w:hAnsi="宋体" w:cs="宋体"/>
          <w:b/>
          <w:color w:val="auto"/>
          <w:sz w:val="24"/>
          <w:highlight w:val="none"/>
        </w:rPr>
        <w:t>和服务期限</w:t>
      </w:r>
    </w:p>
    <w:p w14:paraId="5D9E7032">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 xml:space="preserve">1.5.1 </w:t>
      </w:r>
      <w:r>
        <w:rPr>
          <w:rFonts w:hint="eastAsia" w:ascii="宋体" w:hAnsi="宋体" w:cs="宋体"/>
          <w:color w:val="auto"/>
          <w:sz w:val="24"/>
          <w:highlight w:val="none"/>
          <w:lang w:val="en-US" w:eastAsia="zh-CN"/>
        </w:rPr>
        <w:t>交付时间</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09AFDF3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1.5.2 </w:t>
      </w:r>
      <w:r>
        <w:rPr>
          <w:rFonts w:hint="eastAsia" w:ascii="宋体" w:hAnsi="宋体" w:cs="宋体"/>
          <w:color w:val="auto"/>
          <w:sz w:val="24"/>
          <w:highlight w:val="none"/>
          <w:lang w:val="en-US" w:eastAsia="zh-CN"/>
        </w:rPr>
        <w:t>交付</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CDFAF7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23FD10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 服务及质保期限：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0035EE9">
      <w:pPr>
        <w:wordWrap w:val="0"/>
        <w:spacing w:line="360" w:lineRule="auto"/>
        <w:ind w:firstLine="482" w:firstLineChars="200"/>
        <w:rPr>
          <w:rFonts w:ascii="宋体" w:hAnsi="宋体" w:cs="宋体"/>
          <w:b/>
          <w:color w:val="auto"/>
          <w:sz w:val="24"/>
          <w:highlight w:val="none"/>
        </w:rPr>
      </w:pPr>
      <w:bookmarkStart w:id="127" w:name="_Toc27250"/>
      <w:bookmarkStart w:id="128" w:name="_Toc21423"/>
      <w:bookmarkStart w:id="129" w:name="_Toc19554"/>
      <w:r>
        <w:rPr>
          <w:rFonts w:hint="eastAsia" w:ascii="宋体" w:hAnsi="宋体" w:cs="宋体"/>
          <w:b/>
          <w:color w:val="auto"/>
          <w:sz w:val="24"/>
          <w:highlight w:val="none"/>
        </w:rPr>
        <w:t>1.6 违约责任</w:t>
      </w:r>
      <w:bookmarkEnd w:id="127"/>
      <w:bookmarkEnd w:id="128"/>
      <w:bookmarkEnd w:id="129"/>
    </w:p>
    <w:p w14:paraId="6AAE649B">
      <w:pPr>
        <w:wordWrap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1.6.1 乙方</w:t>
      </w:r>
      <w:r>
        <w:rPr>
          <w:rFonts w:hint="eastAsia" w:ascii="宋体" w:hAnsi="宋体" w:cs="宋体"/>
          <w:color w:val="auto"/>
          <w:sz w:val="24"/>
          <w:highlight w:val="none"/>
          <w:lang w:eastAsia="zh-CN"/>
        </w:rPr>
        <w:t>在项目实施要求的服务期内因自身原因不能按时完成项目的，每逾期1天</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eastAsia="zh-CN"/>
        </w:rPr>
        <w:t>对</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lang w:eastAsia="zh-CN"/>
        </w:rPr>
        <w:t>处罚合同总金额的1‰作为违约金；逾期超过10天，否则</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eastAsia="zh-CN"/>
        </w:rPr>
        <w:t>有权上报相关监督部门，因此给</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eastAsia="zh-CN"/>
        </w:rPr>
        <w:t>造成的经济损失由</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lang w:eastAsia="zh-CN"/>
        </w:rPr>
        <w:t>自行承担。由于不可抗力原因导致的项目延期，不在违约处罚范围内。</w:t>
      </w:r>
    </w:p>
    <w:p w14:paraId="7E357B98">
      <w:pPr>
        <w:wordWrap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1.6.2 乙方</w:t>
      </w:r>
      <w:r>
        <w:rPr>
          <w:rFonts w:hint="eastAsia" w:ascii="宋体" w:hAnsi="宋体" w:cs="宋体"/>
          <w:color w:val="auto"/>
          <w:sz w:val="24"/>
          <w:highlight w:val="none"/>
          <w:lang w:eastAsia="zh-CN"/>
        </w:rPr>
        <w:t>在项目实施期间的服务成果未达到</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eastAsia="zh-CN"/>
        </w:rPr>
        <w:t>要求的，</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eastAsia="zh-CN"/>
        </w:rPr>
        <w:t>对</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lang w:eastAsia="zh-CN"/>
        </w:rPr>
        <w:t>处罚合同总金额的2‰作为违约金，因此给</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eastAsia="zh-CN"/>
        </w:rPr>
        <w:t>造成的经济损失由</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lang w:eastAsia="zh-CN"/>
        </w:rPr>
        <w:t>自行承担。</w:t>
      </w:r>
    </w:p>
    <w:p w14:paraId="3343C388">
      <w:pPr>
        <w:wordWrap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 xml:space="preserve">1.6.3 </w:t>
      </w:r>
      <w:r>
        <w:rPr>
          <w:rFonts w:hint="eastAsia" w:ascii="宋体" w:hAnsi="宋体" w:cs="宋体"/>
          <w:color w:val="auto"/>
          <w:sz w:val="24"/>
          <w:highlight w:val="none"/>
          <w:lang w:eastAsia="zh-CN"/>
        </w:rPr>
        <w:t>违约责任产生的赔偿不意味违约方整个合同责任的解除，未经</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eastAsia="zh-CN"/>
        </w:rPr>
        <w:t>同意，</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lang w:eastAsia="zh-CN"/>
        </w:rPr>
        <w:t>不得以任何理由推迟、降低、减少有关合同条款履行的承诺。</w:t>
      </w:r>
    </w:p>
    <w:p w14:paraId="514DD882">
      <w:pPr>
        <w:wordWrap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 xml:space="preserve">1.6.4 </w:t>
      </w:r>
      <w:r>
        <w:rPr>
          <w:rFonts w:hint="eastAsia" w:ascii="宋体" w:hAnsi="宋体" w:cs="宋体"/>
          <w:color w:val="auto"/>
          <w:sz w:val="24"/>
          <w:highlight w:val="none"/>
          <w:lang w:eastAsia="zh-CN"/>
        </w:rPr>
        <w:t>如</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lang w:eastAsia="zh-CN"/>
        </w:rPr>
        <w:t>出现违约时，</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eastAsia="zh-CN"/>
        </w:rPr>
        <w:t>应以书面方式告知</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lang w:eastAsia="zh-CN"/>
        </w:rPr>
        <w:t>应承担的违约责任；</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lang w:eastAsia="zh-CN"/>
        </w:rPr>
        <w:t>须在收到通知后须立即整改，由此产生的一切损失由</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lang w:eastAsia="zh-CN"/>
        </w:rPr>
        <w:t>须承担相应责任，且须向</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eastAsia="zh-CN"/>
        </w:rPr>
        <w:t>支付合同总金额的2‰作为违约金。</w:t>
      </w:r>
    </w:p>
    <w:p w14:paraId="1D8ED13E">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1.6.5 乙方</w:t>
      </w:r>
      <w:r>
        <w:rPr>
          <w:rFonts w:hint="eastAsia" w:ascii="宋体" w:hAnsi="宋体" w:cs="宋体"/>
          <w:color w:val="auto"/>
          <w:sz w:val="24"/>
          <w:highlight w:val="none"/>
          <w:lang w:eastAsia="zh-CN"/>
        </w:rPr>
        <w:t>的其它违约行为，</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eastAsia="zh-CN"/>
        </w:rPr>
        <w:t>对</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lang w:eastAsia="zh-CN"/>
        </w:rPr>
        <w:t>处罚合同总金额的2‰作为违约金，并赔偿</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eastAsia="zh-CN"/>
        </w:rPr>
        <w:t>相应的经济损失。</w:t>
      </w:r>
    </w:p>
    <w:p w14:paraId="48EFDAB6">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 xml:space="preserve">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DC2A025">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7A4EA6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 xml:space="preserve"> 如果出现政府采购监督管理部门在处理投诉事项期间，书面通知甲方暂停采购活动的情形，或者询问或质疑事项可能影响中标结果的，导致甲方中止履行合同的情形，均不视为甲方违约。</w:t>
      </w:r>
    </w:p>
    <w:p w14:paraId="065B0F49">
      <w:pPr>
        <w:wordWrap w:val="0"/>
        <w:spacing w:line="360" w:lineRule="auto"/>
        <w:ind w:firstLine="482" w:firstLineChars="200"/>
        <w:rPr>
          <w:rFonts w:ascii="宋体" w:hAnsi="宋体" w:cs="宋体"/>
          <w:b/>
          <w:color w:val="auto"/>
          <w:sz w:val="24"/>
          <w:highlight w:val="none"/>
        </w:rPr>
      </w:pPr>
      <w:bookmarkStart w:id="130" w:name="_Toc15583"/>
      <w:bookmarkStart w:id="131" w:name="_Toc28375"/>
      <w:bookmarkStart w:id="132" w:name="_Toc16021"/>
      <w:r>
        <w:rPr>
          <w:rFonts w:hint="eastAsia" w:ascii="宋体" w:hAnsi="宋体" w:cs="宋体"/>
          <w:b/>
          <w:color w:val="auto"/>
          <w:sz w:val="24"/>
          <w:highlight w:val="none"/>
        </w:rPr>
        <w:t>1.7 合同争议的解决</w:t>
      </w:r>
      <w:bookmarkEnd w:id="130"/>
      <w:bookmarkEnd w:id="131"/>
      <w:bookmarkEnd w:id="132"/>
    </w:p>
    <w:p w14:paraId="3138903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种方式解决：</w:t>
      </w:r>
    </w:p>
    <w:p w14:paraId="7A8222A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color w:val="auto"/>
          <w:sz w:val="24"/>
          <w:highlight w:val="none"/>
          <w:u w:val="single"/>
        </w:rPr>
        <w:t>南宁市</w:t>
      </w:r>
      <w:r>
        <w:rPr>
          <w:rFonts w:hint="eastAsia" w:ascii="宋体" w:hAnsi="宋体" w:cs="宋体"/>
          <w:color w:val="auto"/>
          <w:sz w:val="24"/>
          <w:highlight w:val="none"/>
        </w:rPr>
        <w:t>仲裁委员会依申请仲裁时其现行有效的仲裁规则裁决；</w:t>
      </w:r>
    </w:p>
    <w:p w14:paraId="4AA86B3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color w:val="auto"/>
          <w:sz w:val="24"/>
          <w:highlight w:val="none"/>
          <w:u w:val="single"/>
        </w:rPr>
        <w:t xml:space="preserve">   甲方所在地    有管辖权的</w:t>
      </w:r>
      <w:r>
        <w:rPr>
          <w:rFonts w:hint="eastAsia" w:ascii="宋体" w:hAnsi="宋体" w:cs="宋体"/>
          <w:color w:val="auto"/>
          <w:sz w:val="24"/>
          <w:highlight w:val="none"/>
        </w:rPr>
        <w:t>人民法院起诉。</w:t>
      </w:r>
    </w:p>
    <w:p w14:paraId="4226402F">
      <w:pPr>
        <w:wordWrap w:val="0"/>
        <w:spacing w:line="360" w:lineRule="auto"/>
        <w:ind w:firstLine="482" w:firstLineChars="200"/>
        <w:rPr>
          <w:rFonts w:ascii="宋体" w:hAnsi="宋体" w:cs="宋体"/>
          <w:b/>
          <w:color w:val="auto"/>
          <w:sz w:val="24"/>
          <w:highlight w:val="none"/>
        </w:rPr>
      </w:pPr>
      <w:bookmarkStart w:id="133" w:name="_Toc11173"/>
      <w:bookmarkStart w:id="134" w:name="_Toc15322"/>
      <w:bookmarkStart w:id="135" w:name="_Toc7245"/>
      <w:r>
        <w:rPr>
          <w:rFonts w:hint="eastAsia" w:ascii="宋体" w:hAnsi="宋体" w:cs="宋体"/>
          <w:b/>
          <w:color w:val="auto"/>
          <w:sz w:val="24"/>
          <w:highlight w:val="none"/>
        </w:rPr>
        <w:t>1.8 合同生效</w:t>
      </w:r>
      <w:bookmarkEnd w:id="133"/>
      <w:bookmarkEnd w:id="134"/>
      <w:bookmarkEnd w:id="135"/>
    </w:p>
    <w:p w14:paraId="43A0711F">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本合同自双方当事人加盖有效电子公章时生效。</w:t>
      </w:r>
    </w:p>
    <w:p w14:paraId="0782FA82">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甲方：                                  乙方：</w:t>
      </w:r>
    </w:p>
    <w:p w14:paraId="22C253C3">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3DAF501C">
      <w:pPr>
        <w:wordWrap w:val="0"/>
        <w:spacing w:line="360" w:lineRule="auto"/>
        <w:ind w:firstLine="200"/>
        <w:rPr>
          <w:rFonts w:ascii="宋体" w:hAnsi="宋体" w:cs="宋体"/>
          <w:color w:val="auto"/>
          <w:sz w:val="24"/>
          <w:highlight w:val="none"/>
          <w:lang w:val="zh-CN"/>
        </w:rPr>
      </w:pPr>
    </w:p>
    <w:p w14:paraId="15043C96">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64D91142">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789B7CCB">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4CD3262A">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6A60623A">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358894CC">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08072181">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06949B16">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57BCF66E">
      <w:pPr>
        <w:wordWrap w:val="0"/>
        <w:spacing w:line="360" w:lineRule="auto"/>
        <w:ind w:firstLine="200"/>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4CF86BAB">
      <w:pPr>
        <w:wordWrap w:val="0"/>
        <w:spacing w:line="360" w:lineRule="auto"/>
        <w:ind w:firstLine="200"/>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564E33C1">
      <w:pPr>
        <w:wordWrap w:val="0"/>
        <w:spacing w:line="360" w:lineRule="auto"/>
        <w:ind w:firstLine="200"/>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23993776">
      <w:pPr>
        <w:wordWrap w:val="0"/>
        <w:spacing w:line="360" w:lineRule="auto"/>
        <w:ind w:firstLine="200"/>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0E0CA419">
      <w:pPr>
        <w:wordWrap w:val="0"/>
        <w:spacing w:line="360" w:lineRule="auto"/>
        <w:ind w:firstLine="200"/>
        <w:jc w:val="center"/>
        <w:rPr>
          <w:rFonts w:ascii="宋体" w:hAnsi="宋体" w:cs="宋体"/>
          <w:b/>
          <w:color w:val="auto"/>
          <w:sz w:val="28"/>
          <w:szCs w:val="28"/>
          <w:highlight w:val="none"/>
        </w:rPr>
      </w:pPr>
      <w:r>
        <w:rPr>
          <w:rFonts w:hint="eastAsia" w:ascii="宋体" w:hAnsi="宋体" w:cs="宋体"/>
          <w:b/>
          <w:color w:val="auto"/>
          <w:highlight w:val="none"/>
        </w:rPr>
        <w:br w:type="page"/>
      </w:r>
      <w:bookmarkStart w:id="136" w:name="_Toc331685783"/>
      <w:r>
        <w:rPr>
          <w:rFonts w:hint="eastAsia" w:ascii="宋体" w:hAnsi="宋体" w:cs="宋体"/>
          <w:b/>
          <w:color w:val="auto"/>
          <w:sz w:val="28"/>
          <w:szCs w:val="28"/>
          <w:highlight w:val="none"/>
        </w:rPr>
        <w:t>第二部分 合同一般条款</w:t>
      </w:r>
      <w:bookmarkEnd w:id="136"/>
    </w:p>
    <w:p w14:paraId="405044CD">
      <w:pPr>
        <w:wordWrap w:val="0"/>
        <w:spacing w:line="360" w:lineRule="auto"/>
        <w:ind w:firstLine="482" w:firstLineChars="200"/>
        <w:rPr>
          <w:rFonts w:ascii="宋体" w:hAnsi="宋体" w:cs="宋体"/>
          <w:b/>
          <w:color w:val="auto"/>
          <w:sz w:val="24"/>
          <w:highlight w:val="none"/>
        </w:rPr>
      </w:pPr>
      <w:bookmarkStart w:id="137" w:name="_Toc28763"/>
      <w:bookmarkStart w:id="138" w:name="_Ref467379094"/>
      <w:bookmarkStart w:id="139" w:name="_Ref467378463"/>
      <w:bookmarkStart w:id="140" w:name="_Ref467379205"/>
      <w:bookmarkStart w:id="141" w:name="_Toc487900349"/>
      <w:bookmarkStart w:id="142" w:name="_Ref467378404"/>
      <w:bookmarkStart w:id="143" w:name="_Ref467379225"/>
      <w:bookmarkStart w:id="144" w:name="_Toc16917"/>
      <w:bookmarkStart w:id="145" w:name="_Toc279701240"/>
      <w:bookmarkStart w:id="146" w:name="_Ref467379109"/>
      <w:bookmarkStart w:id="147" w:name="_Toc259093669"/>
      <w:bookmarkStart w:id="148" w:name="_Ref467379101"/>
      <w:bookmarkStart w:id="149" w:name="_Ref467379214"/>
      <w:bookmarkStart w:id="150" w:name="_Toc19614"/>
      <w:bookmarkStart w:id="151" w:name="_Ref467378499"/>
      <w:bookmarkStart w:id="152" w:name="_Ref467379195"/>
      <w:r>
        <w:rPr>
          <w:rFonts w:hint="eastAsia" w:ascii="宋体" w:hAnsi="宋体" w:cs="宋体"/>
          <w:b/>
          <w:color w:val="auto"/>
          <w:sz w:val="24"/>
          <w:highlight w:val="none"/>
        </w:rPr>
        <w:t>2.1 定义</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2B850DD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65C82F3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14:paraId="2782677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14:paraId="5854759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 “标的物”系指中标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14:paraId="7FE5C982">
      <w:pPr>
        <w:wordWrap w:val="0"/>
        <w:spacing w:line="360" w:lineRule="auto"/>
        <w:ind w:firstLine="480" w:firstLineChars="200"/>
        <w:rPr>
          <w:rFonts w:ascii="宋体" w:hAnsi="宋体" w:cs="宋体"/>
          <w:color w:val="auto"/>
          <w:sz w:val="24"/>
          <w:highlight w:val="none"/>
        </w:rPr>
      </w:pPr>
      <w:bookmarkStart w:id="153" w:name="_Ref467378840"/>
      <w:r>
        <w:rPr>
          <w:rFonts w:hint="eastAsia" w:ascii="宋体" w:hAnsi="宋体" w:cs="宋体"/>
          <w:color w:val="auto"/>
          <w:sz w:val="24"/>
          <w:highlight w:val="none"/>
        </w:rPr>
        <w:t>2.1.4 “甲方”系指与中标供应商签署合同的采购人</w:t>
      </w:r>
      <w:bookmarkEnd w:id="153"/>
      <w:r>
        <w:rPr>
          <w:rFonts w:hint="eastAsia" w:ascii="宋体" w:hAnsi="宋体" w:cs="宋体"/>
          <w:color w:val="auto"/>
          <w:sz w:val="24"/>
          <w:highlight w:val="none"/>
        </w:rPr>
        <w:t>；采购人委托采购机构代表其与乙方签订合同的，采购人的授权委托书作为合同附件。</w:t>
      </w:r>
    </w:p>
    <w:p w14:paraId="3DEE593C">
      <w:pPr>
        <w:wordWrap w:val="0"/>
        <w:spacing w:line="360" w:lineRule="auto"/>
        <w:ind w:firstLine="480" w:firstLineChars="200"/>
        <w:rPr>
          <w:rFonts w:ascii="宋体" w:hAnsi="宋体" w:cs="宋体"/>
          <w:color w:val="auto"/>
          <w:sz w:val="24"/>
          <w:highlight w:val="none"/>
        </w:rPr>
      </w:pPr>
      <w:bookmarkStart w:id="154" w:name="_Ref467379400"/>
      <w:r>
        <w:rPr>
          <w:rFonts w:hint="eastAsia" w:ascii="宋体" w:hAnsi="宋体" w:cs="宋体"/>
          <w:color w:val="auto"/>
          <w:sz w:val="24"/>
          <w:highlight w:val="none"/>
        </w:rPr>
        <w:t>2.1.5 “乙方”系指根据合同约定交付标的物的</w:t>
      </w:r>
      <w:bookmarkEnd w:id="154"/>
      <w:r>
        <w:rPr>
          <w:rFonts w:hint="eastAsia" w:ascii="宋体" w:hAnsi="宋体" w:cs="宋体"/>
          <w:color w:val="auto"/>
          <w:sz w:val="24"/>
          <w:highlight w:val="none"/>
        </w:rPr>
        <w:t>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AB57F6D">
      <w:pPr>
        <w:wordWrap w:val="0"/>
        <w:spacing w:line="360" w:lineRule="auto"/>
        <w:ind w:firstLine="480" w:firstLineChars="200"/>
        <w:rPr>
          <w:rFonts w:ascii="宋体" w:hAnsi="宋体" w:cs="宋体"/>
          <w:color w:val="auto"/>
          <w:sz w:val="24"/>
          <w:highlight w:val="none"/>
        </w:rPr>
      </w:pPr>
      <w:bookmarkStart w:id="155" w:name="_Ref467379436"/>
      <w:r>
        <w:rPr>
          <w:rFonts w:hint="eastAsia" w:ascii="宋体" w:hAnsi="宋体" w:cs="宋体"/>
          <w:color w:val="auto"/>
          <w:sz w:val="24"/>
          <w:highlight w:val="none"/>
        </w:rPr>
        <w:t>2.1.6 “现场”系指合同约定标的物将要运至或者实施或者安装的地点。</w:t>
      </w:r>
      <w:bookmarkEnd w:id="155"/>
    </w:p>
    <w:p w14:paraId="20503022">
      <w:pPr>
        <w:wordWrap w:val="0"/>
        <w:spacing w:line="360" w:lineRule="auto"/>
        <w:ind w:firstLine="482" w:firstLineChars="200"/>
        <w:rPr>
          <w:rFonts w:ascii="宋体" w:hAnsi="宋体" w:cs="宋体"/>
          <w:b/>
          <w:color w:val="auto"/>
          <w:sz w:val="24"/>
          <w:highlight w:val="none"/>
        </w:rPr>
      </w:pPr>
      <w:bookmarkStart w:id="156" w:name="_Toc27635"/>
      <w:bookmarkStart w:id="157" w:name="_Toc487900350"/>
      <w:bookmarkStart w:id="158" w:name="_Toc13336"/>
      <w:bookmarkStart w:id="159" w:name="_Toc259093670"/>
      <w:bookmarkStart w:id="160" w:name="_Toc32504"/>
      <w:bookmarkStart w:id="161" w:name="_Toc279701241"/>
      <w:r>
        <w:rPr>
          <w:rFonts w:hint="eastAsia" w:ascii="宋体" w:hAnsi="宋体" w:cs="宋体"/>
          <w:b/>
          <w:color w:val="auto"/>
          <w:sz w:val="24"/>
          <w:highlight w:val="none"/>
        </w:rPr>
        <w:t>2.2 技术规范</w:t>
      </w:r>
      <w:bookmarkEnd w:id="156"/>
      <w:bookmarkEnd w:id="157"/>
      <w:bookmarkEnd w:id="158"/>
      <w:bookmarkEnd w:id="159"/>
      <w:bookmarkEnd w:id="160"/>
      <w:bookmarkEnd w:id="161"/>
    </w:p>
    <w:p w14:paraId="36ED11E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47AD9B39">
      <w:pPr>
        <w:wordWrap w:val="0"/>
        <w:spacing w:line="360" w:lineRule="auto"/>
        <w:ind w:firstLine="482" w:firstLineChars="200"/>
        <w:rPr>
          <w:rFonts w:ascii="宋体" w:hAnsi="宋体" w:cs="宋体"/>
          <w:b/>
          <w:color w:val="auto"/>
          <w:sz w:val="24"/>
          <w:highlight w:val="none"/>
        </w:rPr>
      </w:pPr>
      <w:bookmarkStart w:id="162" w:name="_Toc31634"/>
      <w:bookmarkStart w:id="163" w:name="_Toc279701242"/>
      <w:bookmarkStart w:id="164" w:name="_Toc259093671"/>
      <w:bookmarkStart w:id="165" w:name="_Toc27853"/>
      <w:bookmarkStart w:id="166" w:name="_Toc487900351"/>
      <w:bookmarkStart w:id="167" w:name="_Toc9829"/>
      <w:r>
        <w:rPr>
          <w:rFonts w:hint="eastAsia" w:ascii="宋体" w:hAnsi="宋体" w:cs="宋体"/>
          <w:b/>
          <w:color w:val="auto"/>
          <w:sz w:val="24"/>
          <w:highlight w:val="none"/>
        </w:rPr>
        <w:t>2.3 知识产权</w:t>
      </w:r>
      <w:bookmarkEnd w:id="162"/>
      <w:bookmarkEnd w:id="163"/>
      <w:bookmarkEnd w:id="164"/>
      <w:bookmarkEnd w:id="165"/>
      <w:bookmarkEnd w:id="166"/>
      <w:bookmarkEnd w:id="167"/>
    </w:p>
    <w:p w14:paraId="7CBE4BA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38EC14A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2.3.2具有知识产权的计算机软件等标的物的知识产权归属，详见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DC0E47F">
      <w:pPr>
        <w:wordWrap w:val="0"/>
        <w:spacing w:line="360" w:lineRule="auto"/>
        <w:ind w:firstLine="482" w:firstLineChars="200"/>
        <w:rPr>
          <w:rFonts w:ascii="宋体" w:hAnsi="宋体" w:cs="宋体"/>
          <w:b/>
          <w:color w:val="auto"/>
          <w:sz w:val="24"/>
          <w:highlight w:val="none"/>
        </w:rPr>
      </w:pPr>
      <w:bookmarkStart w:id="168" w:name="_Toc29149"/>
      <w:bookmarkStart w:id="169" w:name="_Toc11932"/>
      <w:bookmarkStart w:id="170" w:name="_Toc4194"/>
      <w:r>
        <w:rPr>
          <w:rFonts w:hint="eastAsia" w:ascii="宋体" w:hAnsi="宋体" w:cs="宋体"/>
          <w:b/>
          <w:color w:val="auto"/>
          <w:sz w:val="24"/>
          <w:highlight w:val="none"/>
        </w:rPr>
        <w:t>2.4 包装和装运</w:t>
      </w:r>
      <w:bookmarkEnd w:id="168"/>
      <w:bookmarkEnd w:id="169"/>
      <w:bookmarkEnd w:id="170"/>
    </w:p>
    <w:p w14:paraId="46D6B33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11BC4D6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 装运标的物的要求和通知，详见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EABB22A">
      <w:pPr>
        <w:wordWrap w:val="0"/>
        <w:spacing w:line="360" w:lineRule="auto"/>
        <w:ind w:firstLine="482" w:firstLineChars="200"/>
        <w:rPr>
          <w:rFonts w:ascii="宋体" w:hAnsi="宋体" w:cs="宋体"/>
          <w:b/>
          <w:color w:val="auto"/>
          <w:sz w:val="24"/>
          <w:highlight w:val="none"/>
        </w:rPr>
      </w:pPr>
      <w:bookmarkStart w:id="171" w:name="_Toc487900354"/>
      <w:bookmarkStart w:id="172" w:name="_Toc279701245"/>
      <w:bookmarkStart w:id="173" w:name="_Ref467378541"/>
      <w:bookmarkStart w:id="174" w:name="_Ref467379527"/>
      <w:bookmarkStart w:id="175" w:name="_Ref467379542"/>
      <w:bookmarkStart w:id="176" w:name="_Toc259093674"/>
      <w:bookmarkStart w:id="177" w:name="_Ref467379536"/>
      <w:bookmarkStart w:id="178" w:name="_Ref467378591"/>
      <w:bookmarkStart w:id="179" w:name="_Toc30272"/>
      <w:bookmarkStart w:id="180" w:name="_Toc19074"/>
      <w:bookmarkStart w:id="181" w:name="_Toc26182"/>
      <w:r>
        <w:rPr>
          <w:rFonts w:hint="eastAsia" w:ascii="宋体" w:hAnsi="宋体" w:cs="宋体"/>
          <w:b/>
          <w:color w:val="auto"/>
          <w:sz w:val="24"/>
          <w:highlight w:val="none"/>
        </w:rPr>
        <w:t>2.</w:t>
      </w:r>
      <w:bookmarkEnd w:id="171"/>
      <w:bookmarkEnd w:id="172"/>
      <w:bookmarkEnd w:id="173"/>
      <w:bookmarkEnd w:id="174"/>
      <w:bookmarkEnd w:id="175"/>
      <w:bookmarkEnd w:id="176"/>
      <w:bookmarkEnd w:id="177"/>
      <w:bookmarkEnd w:id="178"/>
      <w:r>
        <w:rPr>
          <w:rFonts w:hint="eastAsia" w:ascii="宋体" w:hAnsi="宋体" w:cs="宋体"/>
          <w:b/>
          <w:color w:val="auto"/>
          <w:sz w:val="24"/>
          <w:highlight w:val="none"/>
        </w:rPr>
        <w:t>5 履约检查和问题反馈</w:t>
      </w:r>
      <w:bookmarkEnd w:id="179"/>
      <w:bookmarkEnd w:id="180"/>
      <w:bookmarkEnd w:id="181"/>
    </w:p>
    <w:p w14:paraId="5E76FFCE">
      <w:pPr>
        <w:wordWrap w:val="0"/>
        <w:spacing w:line="360" w:lineRule="auto"/>
        <w:ind w:firstLine="480" w:firstLineChars="200"/>
        <w:rPr>
          <w:rFonts w:ascii="宋体" w:hAnsi="宋体" w:cs="宋体"/>
          <w:color w:val="auto"/>
          <w:sz w:val="24"/>
          <w:highlight w:val="none"/>
        </w:rPr>
      </w:pPr>
      <w:bookmarkStart w:id="182" w:name="_Ref467379657"/>
      <w:r>
        <w:rPr>
          <w:rFonts w:hint="eastAsia" w:ascii="宋体" w:hAnsi="宋体" w:cs="宋体"/>
          <w:color w:val="auto"/>
          <w:sz w:val="24"/>
          <w:highlight w:val="none"/>
        </w:rPr>
        <w:t>2.5.1</w:t>
      </w:r>
      <w:bookmarkEnd w:id="182"/>
      <w:bookmarkStart w:id="183" w:name="_Toc186431854"/>
      <w:bookmarkStart w:id="184" w:name="_Toc487900357"/>
      <w:bookmarkStart w:id="185" w:name="_Toc279701247"/>
      <w:bookmarkStart w:id="186" w:name="_Ref467379793"/>
      <w:bookmarkStart w:id="187" w:name="_Toc259093676"/>
      <w:bookmarkStart w:id="188" w:name="_Ref467379807"/>
      <w:r>
        <w:rPr>
          <w:rFonts w:hint="eastAsia" w:ascii="宋体" w:hAnsi="宋体" w:cs="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3AE4513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183"/>
      <w:bookmarkStart w:id="189" w:name="_Toc186431855"/>
      <w:r>
        <w:rPr>
          <w:rFonts w:hint="eastAsia" w:ascii="宋体" w:hAnsi="宋体" w:cs="宋体"/>
          <w:color w:val="auto"/>
          <w:sz w:val="24"/>
          <w:highlight w:val="none"/>
        </w:rPr>
        <w:t>。</w:t>
      </w:r>
    </w:p>
    <w:bookmarkEnd w:id="189"/>
    <w:p w14:paraId="7B94A943">
      <w:pPr>
        <w:wordWrap w:val="0"/>
        <w:spacing w:line="360" w:lineRule="auto"/>
        <w:ind w:firstLine="482" w:firstLineChars="200"/>
        <w:rPr>
          <w:rFonts w:ascii="宋体" w:hAnsi="宋体" w:cs="宋体"/>
          <w:b/>
          <w:color w:val="auto"/>
          <w:sz w:val="24"/>
          <w:highlight w:val="none"/>
        </w:rPr>
      </w:pPr>
      <w:bookmarkStart w:id="190" w:name="_Toc28451"/>
      <w:bookmarkStart w:id="191" w:name="_Toc19219"/>
      <w:bookmarkStart w:id="192" w:name="_Toc7836"/>
      <w:r>
        <w:rPr>
          <w:rFonts w:hint="eastAsia" w:ascii="宋体" w:hAnsi="宋体" w:cs="宋体"/>
          <w:b/>
          <w:color w:val="auto"/>
          <w:sz w:val="24"/>
          <w:highlight w:val="none"/>
        </w:rPr>
        <w:t>2.6 结算方式和付款条件</w:t>
      </w:r>
      <w:bookmarkEnd w:id="184"/>
      <w:bookmarkEnd w:id="185"/>
      <w:bookmarkEnd w:id="186"/>
      <w:bookmarkEnd w:id="187"/>
      <w:bookmarkEnd w:id="188"/>
      <w:bookmarkEnd w:id="190"/>
      <w:bookmarkEnd w:id="191"/>
      <w:bookmarkEnd w:id="192"/>
    </w:p>
    <w:p w14:paraId="4FBDAAD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7618D6C">
      <w:pPr>
        <w:wordWrap w:val="0"/>
        <w:spacing w:line="360" w:lineRule="auto"/>
        <w:ind w:firstLine="482" w:firstLineChars="200"/>
        <w:rPr>
          <w:rFonts w:ascii="宋体" w:hAnsi="宋体" w:cs="宋体"/>
          <w:b/>
          <w:color w:val="auto"/>
          <w:sz w:val="24"/>
          <w:highlight w:val="none"/>
        </w:rPr>
      </w:pPr>
      <w:bookmarkStart w:id="193" w:name="_Toc279701248"/>
      <w:bookmarkStart w:id="194" w:name="_Toc259093677"/>
      <w:bookmarkStart w:id="195" w:name="_Toc487900358"/>
      <w:bookmarkStart w:id="196" w:name="_Ref467379852"/>
      <w:bookmarkStart w:id="197" w:name="_Ref467379863"/>
      <w:bookmarkStart w:id="198" w:name="_Ref467379923"/>
      <w:bookmarkStart w:id="199" w:name="_Toc16110"/>
      <w:bookmarkStart w:id="200" w:name="_Toc774"/>
      <w:bookmarkStart w:id="201" w:name="_Toc3225"/>
      <w:r>
        <w:rPr>
          <w:rFonts w:hint="eastAsia" w:ascii="宋体" w:hAnsi="宋体" w:cs="宋体"/>
          <w:b/>
          <w:color w:val="auto"/>
          <w:sz w:val="24"/>
          <w:highlight w:val="none"/>
        </w:rPr>
        <w:t>2.7 技术资料</w:t>
      </w:r>
      <w:bookmarkEnd w:id="193"/>
      <w:bookmarkEnd w:id="194"/>
      <w:bookmarkEnd w:id="195"/>
      <w:bookmarkEnd w:id="196"/>
      <w:bookmarkEnd w:id="197"/>
      <w:bookmarkEnd w:id="198"/>
      <w:r>
        <w:rPr>
          <w:rFonts w:hint="eastAsia" w:ascii="宋体" w:hAnsi="宋体" w:cs="宋体"/>
          <w:b/>
          <w:color w:val="auto"/>
          <w:sz w:val="24"/>
          <w:highlight w:val="none"/>
        </w:rPr>
        <w:t>和保密义务</w:t>
      </w:r>
      <w:bookmarkEnd w:id="199"/>
      <w:bookmarkEnd w:id="200"/>
      <w:bookmarkEnd w:id="201"/>
    </w:p>
    <w:p w14:paraId="4B59FA7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2.7.1 乙方有权依据合同约定和项目需要，向甲方了解有关情况，调阅有关资料等，甲方应予积极配合；</w:t>
      </w:r>
    </w:p>
    <w:p w14:paraId="630AF57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2.7.2 乙方有义务妥善保管和保护由甲方提供的前款信息和资料等；</w:t>
      </w:r>
    </w:p>
    <w:p w14:paraId="51FCFDF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58302E93">
      <w:pPr>
        <w:wordWrap w:val="0"/>
        <w:spacing w:line="360" w:lineRule="auto"/>
        <w:ind w:firstLine="482" w:firstLineChars="200"/>
        <w:rPr>
          <w:rFonts w:ascii="宋体" w:hAnsi="宋体" w:cs="宋体"/>
          <w:b/>
          <w:color w:val="auto"/>
          <w:sz w:val="24"/>
          <w:highlight w:val="none"/>
        </w:rPr>
      </w:pPr>
      <w:bookmarkStart w:id="202" w:name="_Toc7860"/>
      <w:r>
        <w:rPr>
          <w:rFonts w:hint="eastAsia" w:ascii="宋体" w:hAnsi="宋体" w:cs="宋体"/>
          <w:b/>
          <w:color w:val="auto"/>
          <w:sz w:val="24"/>
          <w:highlight w:val="none"/>
        </w:rPr>
        <w:t>2.8 质量保证</w:t>
      </w:r>
      <w:bookmarkEnd w:id="202"/>
    </w:p>
    <w:p w14:paraId="1785141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2.8.1 乙方应建立和完善履行合同的内部质量保证体系，并提供相关内部规章制度给甲方，以便甲方进行监督检查；</w:t>
      </w:r>
    </w:p>
    <w:p w14:paraId="140EECE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2.8.2 乙方应保证履行合同的人员数量和素质、软件和硬件设备的配置、场地、环境和设施等满足全面履行合同的要求，并应接受甲方的监督检查。</w:t>
      </w:r>
    </w:p>
    <w:p w14:paraId="3FA29A18">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宋体" w:hAnsi="宋体" w:cs="宋体"/>
          <w:color w:val="auto"/>
          <w:kern w:val="0"/>
          <w:sz w:val="24"/>
          <w:highlight w:val="none"/>
        </w:rPr>
        <w:t>甲方有权放弃或终止合同，并没收履约保证金。</w:t>
      </w:r>
    </w:p>
    <w:p w14:paraId="705712C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（根据项目实际情况填写，一般为30%）。</w:t>
      </w:r>
    </w:p>
    <w:p w14:paraId="74CF2C31">
      <w:pPr>
        <w:wordWrap w:val="0"/>
        <w:spacing w:line="360" w:lineRule="auto"/>
        <w:ind w:firstLine="482" w:firstLineChars="200"/>
        <w:rPr>
          <w:rFonts w:ascii="宋体" w:hAnsi="宋体" w:cs="宋体"/>
          <w:b/>
          <w:color w:val="auto"/>
          <w:sz w:val="24"/>
          <w:highlight w:val="none"/>
        </w:rPr>
      </w:pPr>
      <w:bookmarkStart w:id="203" w:name="_Toc17244"/>
      <w:bookmarkStart w:id="204" w:name="_Toc259093681"/>
      <w:bookmarkStart w:id="205" w:name="_Toc487900362"/>
      <w:bookmarkStart w:id="206" w:name="_Toc279701252"/>
      <w:r>
        <w:rPr>
          <w:rFonts w:hint="eastAsia" w:ascii="宋体" w:hAnsi="宋体" w:cs="宋体"/>
          <w:b/>
          <w:color w:val="auto"/>
          <w:sz w:val="24"/>
          <w:highlight w:val="none"/>
        </w:rPr>
        <w:t>2.9 标的物的风险负担</w:t>
      </w:r>
      <w:bookmarkEnd w:id="203"/>
    </w:p>
    <w:p w14:paraId="63A81B2D">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F314E99">
      <w:pPr>
        <w:wordWrap w:val="0"/>
        <w:spacing w:line="360" w:lineRule="auto"/>
        <w:ind w:firstLine="482" w:firstLineChars="200"/>
        <w:rPr>
          <w:rFonts w:ascii="宋体" w:hAnsi="宋体" w:cs="宋体"/>
          <w:b/>
          <w:color w:val="auto"/>
          <w:sz w:val="24"/>
          <w:highlight w:val="none"/>
        </w:rPr>
      </w:pPr>
      <w:bookmarkStart w:id="207" w:name="_Toc14055"/>
      <w:r>
        <w:rPr>
          <w:rFonts w:hint="eastAsia" w:ascii="宋体" w:hAnsi="宋体" w:cs="宋体"/>
          <w:b/>
          <w:color w:val="auto"/>
          <w:sz w:val="24"/>
          <w:highlight w:val="none"/>
        </w:rPr>
        <w:t>2.10 延迟交货</w:t>
      </w:r>
      <w:bookmarkEnd w:id="204"/>
      <w:bookmarkEnd w:id="205"/>
      <w:bookmarkEnd w:id="206"/>
      <w:bookmarkEnd w:id="207"/>
      <w:r>
        <w:rPr>
          <w:rFonts w:hint="eastAsia" w:ascii="宋体" w:hAnsi="宋体" w:cs="宋体"/>
          <w:b/>
          <w:color w:val="auto"/>
          <w:sz w:val="24"/>
          <w:highlight w:val="none"/>
        </w:rPr>
        <w:t>/交付</w:t>
      </w:r>
    </w:p>
    <w:p w14:paraId="54A5395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024FF2A2">
      <w:pPr>
        <w:wordWrap w:val="0"/>
        <w:spacing w:line="360" w:lineRule="auto"/>
        <w:ind w:firstLine="482" w:firstLineChars="200"/>
        <w:rPr>
          <w:rFonts w:ascii="宋体" w:hAnsi="宋体" w:cs="宋体"/>
          <w:b/>
          <w:color w:val="auto"/>
          <w:sz w:val="24"/>
          <w:highlight w:val="none"/>
        </w:rPr>
      </w:pPr>
      <w:bookmarkStart w:id="208" w:name="_Toc7502"/>
      <w:bookmarkStart w:id="209" w:name="_Toc279701254"/>
      <w:bookmarkStart w:id="210" w:name="_Toc259093683"/>
      <w:bookmarkStart w:id="211" w:name="_Toc487900364"/>
      <w:bookmarkStart w:id="212" w:name="_Ref467378121"/>
      <w:r>
        <w:rPr>
          <w:rFonts w:hint="eastAsia" w:ascii="宋体" w:hAnsi="宋体" w:cs="宋体"/>
          <w:b/>
          <w:color w:val="auto"/>
          <w:sz w:val="24"/>
          <w:highlight w:val="none"/>
        </w:rPr>
        <w:t>2.11 合同变更</w:t>
      </w:r>
      <w:bookmarkEnd w:id="208"/>
    </w:p>
    <w:p w14:paraId="1238977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5E3A82F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213" w:name="_Toc279701259"/>
      <w:bookmarkStart w:id="214" w:name="_Toc487900369"/>
      <w:bookmarkStart w:id="215" w:name="_Toc259093688"/>
    </w:p>
    <w:p w14:paraId="3EF90964">
      <w:pPr>
        <w:wordWrap w:val="0"/>
        <w:spacing w:line="360" w:lineRule="auto"/>
        <w:ind w:firstLine="482" w:firstLineChars="200"/>
        <w:rPr>
          <w:rFonts w:ascii="宋体" w:hAnsi="宋体" w:cs="宋体"/>
          <w:b/>
          <w:color w:val="auto"/>
          <w:sz w:val="24"/>
          <w:highlight w:val="none"/>
        </w:rPr>
      </w:pPr>
      <w:bookmarkStart w:id="216" w:name="_Toc10366"/>
      <w:bookmarkStart w:id="217" w:name="_Toc15237"/>
      <w:bookmarkStart w:id="218" w:name="_Toc22955"/>
      <w:r>
        <w:rPr>
          <w:rFonts w:hint="eastAsia" w:ascii="宋体" w:hAnsi="宋体" w:cs="宋体"/>
          <w:b/>
          <w:color w:val="auto"/>
          <w:sz w:val="24"/>
          <w:highlight w:val="none"/>
        </w:rPr>
        <w:t>2.12 合同转让</w:t>
      </w:r>
      <w:bookmarkEnd w:id="213"/>
      <w:bookmarkEnd w:id="214"/>
      <w:bookmarkEnd w:id="215"/>
      <w:r>
        <w:rPr>
          <w:rFonts w:hint="eastAsia" w:ascii="宋体" w:hAnsi="宋体" w:cs="宋体"/>
          <w:b/>
          <w:color w:val="auto"/>
          <w:sz w:val="24"/>
          <w:highlight w:val="none"/>
        </w:rPr>
        <w:t>和分包</w:t>
      </w:r>
      <w:bookmarkEnd w:id="216"/>
      <w:bookmarkEnd w:id="217"/>
      <w:bookmarkEnd w:id="218"/>
    </w:p>
    <w:p w14:paraId="3A0D41A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163FC4D4">
      <w:pPr>
        <w:wordWrap w:val="0"/>
        <w:spacing w:line="360" w:lineRule="auto"/>
        <w:ind w:firstLine="482" w:firstLineChars="200"/>
        <w:rPr>
          <w:rFonts w:ascii="宋体" w:hAnsi="宋体" w:cs="宋体"/>
          <w:b/>
          <w:color w:val="auto"/>
          <w:sz w:val="24"/>
          <w:highlight w:val="none"/>
        </w:rPr>
      </w:pPr>
      <w:bookmarkStart w:id="219" w:name="_Toc14066"/>
      <w:bookmarkStart w:id="220" w:name="_Toc13566"/>
      <w:bookmarkStart w:id="221" w:name="_Toc16508"/>
      <w:r>
        <w:rPr>
          <w:rFonts w:hint="eastAsia" w:ascii="宋体" w:hAnsi="宋体" w:cs="宋体"/>
          <w:b/>
          <w:color w:val="auto"/>
          <w:sz w:val="24"/>
          <w:highlight w:val="none"/>
        </w:rPr>
        <w:t>2.13 不可抗力</w:t>
      </w:r>
      <w:bookmarkEnd w:id="219"/>
      <w:bookmarkEnd w:id="220"/>
      <w:bookmarkEnd w:id="221"/>
    </w:p>
    <w:p w14:paraId="19202AD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2.13.1如果任何一方遭遇法律规定的不可抗力，致使合同履行受阻时，履行合同的期限应予延长，延长的期限应相当于不可抗力所影响的时间；</w:t>
      </w:r>
    </w:p>
    <w:p w14:paraId="50A1B81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2.13.2受不可抗力影响的一方在不可抗力发生后，应在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5826D72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2.13.3 因不可抗力致使不能实现合同目的的，当事人可以解除合同；</w:t>
      </w:r>
    </w:p>
    <w:p w14:paraId="16D9EEB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2.13.4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050302BC">
      <w:pPr>
        <w:wordWrap w:val="0"/>
        <w:spacing w:line="360" w:lineRule="auto"/>
        <w:ind w:firstLine="482" w:firstLineChars="200"/>
        <w:rPr>
          <w:rFonts w:ascii="宋体" w:hAnsi="宋体" w:cs="宋体"/>
          <w:b/>
          <w:color w:val="auto"/>
          <w:sz w:val="24"/>
          <w:highlight w:val="none"/>
        </w:rPr>
      </w:pPr>
      <w:bookmarkStart w:id="222" w:name="_Toc487900365"/>
      <w:bookmarkStart w:id="223" w:name="_Toc6969"/>
      <w:bookmarkStart w:id="224" w:name="_Toc689"/>
      <w:bookmarkStart w:id="225" w:name="_Toc279701255"/>
      <w:bookmarkStart w:id="226" w:name="_Toc259093684"/>
      <w:bookmarkStart w:id="227" w:name="_Toc30676"/>
      <w:r>
        <w:rPr>
          <w:rFonts w:hint="eastAsia" w:ascii="宋体" w:hAnsi="宋体" w:cs="宋体"/>
          <w:b/>
          <w:color w:val="auto"/>
          <w:sz w:val="24"/>
          <w:highlight w:val="none"/>
        </w:rPr>
        <w:t>2.14 税费</w:t>
      </w:r>
      <w:bookmarkEnd w:id="222"/>
      <w:bookmarkEnd w:id="223"/>
      <w:bookmarkEnd w:id="224"/>
      <w:bookmarkEnd w:id="225"/>
      <w:bookmarkEnd w:id="226"/>
      <w:bookmarkEnd w:id="227"/>
    </w:p>
    <w:p w14:paraId="3F48BA5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与合同有关的一切税费，均按照中华人民共和国法律的相关规定执行。</w:t>
      </w:r>
    </w:p>
    <w:p w14:paraId="5A81DC02">
      <w:pPr>
        <w:wordWrap w:val="0"/>
        <w:spacing w:line="360" w:lineRule="auto"/>
        <w:ind w:firstLine="482" w:firstLineChars="200"/>
        <w:rPr>
          <w:rFonts w:ascii="宋体" w:hAnsi="宋体" w:cs="宋体"/>
          <w:b/>
          <w:color w:val="auto"/>
          <w:sz w:val="24"/>
          <w:highlight w:val="none"/>
        </w:rPr>
      </w:pPr>
      <w:bookmarkStart w:id="228" w:name="_Toc279701258"/>
      <w:bookmarkStart w:id="229" w:name="_Toc8298"/>
      <w:bookmarkStart w:id="230" w:name="_Toc7102"/>
      <w:bookmarkStart w:id="231" w:name="_Toc16959"/>
      <w:bookmarkStart w:id="232" w:name="_Toc259093687"/>
      <w:bookmarkStart w:id="233" w:name="_Toc487900368"/>
      <w:r>
        <w:rPr>
          <w:rFonts w:hint="eastAsia" w:ascii="宋体" w:hAnsi="宋体" w:cs="宋体"/>
          <w:b/>
          <w:color w:val="auto"/>
          <w:sz w:val="24"/>
          <w:highlight w:val="none"/>
        </w:rPr>
        <w:t>2.15 乙方破产</w:t>
      </w:r>
      <w:bookmarkEnd w:id="228"/>
      <w:bookmarkEnd w:id="229"/>
      <w:bookmarkEnd w:id="230"/>
      <w:bookmarkEnd w:id="231"/>
      <w:bookmarkEnd w:id="232"/>
      <w:bookmarkEnd w:id="233"/>
    </w:p>
    <w:p w14:paraId="27EC0A6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4B36274">
      <w:pPr>
        <w:wordWrap w:val="0"/>
        <w:spacing w:line="360" w:lineRule="auto"/>
        <w:ind w:firstLine="482" w:firstLineChars="200"/>
        <w:rPr>
          <w:rFonts w:ascii="宋体" w:hAnsi="宋体" w:cs="宋体"/>
          <w:b/>
          <w:color w:val="auto"/>
          <w:sz w:val="24"/>
          <w:highlight w:val="none"/>
        </w:rPr>
      </w:pPr>
      <w:bookmarkStart w:id="234" w:name="_Toc29333"/>
      <w:bookmarkStart w:id="235" w:name="_Toc15387"/>
      <w:bookmarkStart w:id="236" w:name="_Toc6134"/>
      <w:r>
        <w:rPr>
          <w:rFonts w:hint="eastAsia" w:ascii="宋体" w:hAnsi="宋体" w:cs="宋体"/>
          <w:b/>
          <w:color w:val="auto"/>
          <w:sz w:val="24"/>
          <w:highlight w:val="none"/>
        </w:rPr>
        <w:t>2.16 合同中止、终止</w:t>
      </w:r>
      <w:bookmarkEnd w:id="234"/>
      <w:bookmarkEnd w:id="235"/>
      <w:bookmarkEnd w:id="236"/>
    </w:p>
    <w:p w14:paraId="21877B1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2.16.1 双方当事人不得擅自中止或者终止合同；</w:t>
      </w:r>
    </w:p>
    <w:p w14:paraId="2912FB1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6752713F">
      <w:pPr>
        <w:wordWrap w:val="0"/>
        <w:spacing w:line="360" w:lineRule="auto"/>
        <w:ind w:firstLine="482" w:firstLineChars="200"/>
        <w:rPr>
          <w:rFonts w:ascii="宋体" w:hAnsi="宋体" w:cs="宋体"/>
          <w:b/>
          <w:color w:val="auto"/>
          <w:sz w:val="24"/>
          <w:highlight w:val="none"/>
        </w:rPr>
      </w:pPr>
      <w:bookmarkStart w:id="237" w:name="_Toc1125"/>
      <w:bookmarkStart w:id="238" w:name="_Toc14563"/>
      <w:bookmarkStart w:id="239" w:name="_Toc6596"/>
      <w:r>
        <w:rPr>
          <w:rFonts w:hint="eastAsia" w:ascii="宋体" w:hAnsi="宋体" w:cs="宋体"/>
          <w:b/>
          <w:color w:val="auto"/>
          <w:sz w:val="24"/>
          <w:highlight w:val="none"/>
        </w:rPr>
        <w:t>2.17 检验和验收</w:t>
      </w:r>
      <w:bookmarkEnd w:id="237"/>
      <w:bookmarkEnd w:id="238"/>
      <w:bookmarkEnd w:id="239"/>
    </w:p>
    <w:p w14:paraId="2205954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1090206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B27BD5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209"/>
    <w:bookmarkEnd w:id="210"/>
    <w:bookmarkEnd w:id="211"/>
    <w:bookmarkEnd w:id="212"/>
    <w:p w14:paraId="0068DBB8">
      <w:pPr>
        <w:wordWrap w:val="0"/>
        <w:spacing w:line="360" w:lineRule="auto"/>
        <w:ind w:firstLine="482" w:firstLineChars="200"/>
        <w:rPr>
          <w:rFonts w:ascii="宋体" w:hAnsi="宋体" w:cs="宋体"/>
          <w:b/>
          <w:color w:val="auto"/>
          <w:sz w:val="24"/>
          <w:highlight w:val="none"/>
        </w:rPr>
      </w:pPr>
      <w:bookmarkStart w:id="240" w:name="_Toc259093690"/>
      <w:bookmarkStart w:id="241" w:name="_Toc279701261"/>
      <w:bookmarkStart w:id="242" w:name="_Toc487900371"/>
      <w:bookmarkStart w:id="243" w:name="_Toc19604"/>
      <w:bookmarkStart w:id="244" w:name="_Toc11284"/>
      <w:bookmarkStart w:id="245" w:name="_Toc25182"/>
      <w:r>
        <w:rPr>
          <w:rFonts w:hint="eastAsia" w:ascii="宋体" w:hAnsi="宋体" w:cs="宋体"/>
          <w:b/>
          <w:color w:val="auto"/>
          <w:sz w:val="24"/>
          <w:highlight w:val="none"/>
        </w:rPr>
        <w:t>2.18 通知</w:t>
      </w:r>
      <w:bookmarkEnd w:id="240"/>
      <w:bookmarkEnd w:id="241"/>
      <w:bookmarkEnd w:id="242"/>
      <w:r>
        <w:rPr>
          <w:rFonts w:hint="eastAsia" w:ascii="宋体" w:hAnsi="宋体" w:cs="宋体"/>
          <w:b/>
          <w:color w:val="auto"/>
          <w:sz w:val="24"/>
          <w:highlight w:val="none"/>
        </w:rPr>
        <w:t>和送达</w:t>
      </w:r>
      <w:bookmarkEnd w:id="243"/>
      <w:bookmarkEnd w:id="244"/>
      <w:bookmarkEnd w:id="245"/>
    </w:p>
    <w:p w14:paraId="7AD29EFE">
      <w:pPr>
        <w:wordWrap w:val="0"/>
        <w:spacing w:line="360" w:lineRule="auto"/>
        <w:ind w:firstLine="480" w:firstLineChars="200"/>
        <w:rPr>
          <w:rFonts w:ascii="宋体" w:hAnsi="宋体" w:cs="宋体"/>
          <w:color w:val="auto"/>
          <w:sz w:val="24"/>
          <w:highlight w:val="none"/>
        </w:rPr>
      </w:pPr>
      <w:bookmarkStart w:id="246" w:name="_Toc6698"/>
      <w:bookmarkStart w:id="247" w:name="_Toc3135"/>
      <w:bookmarkStart w:id="248" w:name="_Toc279701262"/>
      <w:bookmarkStart w:id="249" w:name="_Toc487900372"/>
      <w:bookmarkStart w:id="250" w:name="_Toc259093691"/>
      <w:r>
        <w:rPr>
          <w:rFonts w:hint="eastAsia" w:ascii="宋体" w:hAnsi="宋体" w:cs="宋体"/>
          <w:color w:val="auto"/>
          <w:sz w:val="24"/>
          <w:highlight w:val="none"/>
        </w:rPr>
        <w:t>2.18.1 任何一方因履行合同而以合同第一部分尾部所列明的</w:t>
      </w:r>
      <w:r>
        <w:rPr>
          <w:rFonts w:hint="eastAsia" w:ascii="宋体" w:hAnsi="宋体" w:cs="宋体"/>
          <w:color w:val="auto"/>
          <w:sz w:val="24"/>
          <w:highlight w:val="none"/>
          <w:u w:val="single"/>
        </w:rPr>
        <w:t>“约定送达地址”</w:t>
      </w:r>
      <w:r>
        <w:rPr>
          <w:rFonts w:hint="eastAsia" w:ascii="宋体" w:hAnsi="宋体" w:cs="宋体"/>
          <w:color w:val="auto"/>
          <w:sz w:val="24"/>
          <w:highlight w:val="none"/>
        </w:rPr>
        <w:t>为收件地址的所有通知、文件、材料，均视为已向对方当事人送达；任何一方变更上述送达方式或者地址的，应于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个工作日（根据项目实际情况填写）内书面通知对方当事人，在对方当事人收到有关变更通知之前，变更前的约定送达方式或者地址仍视为有效。</w:t>
      </w:r>
      <w:bookmarkEnd w:id="246"/>
      <w:bookmarkEnd w:id="247"/>
    </w:p>
    <w:p w14:paraId="14B04C95">
      <w:pPr>
        <w:wordWrap w:val="0"/>
        <w:spacing w:line="360" w:lineRule="auto"/>
        <w:ind w:firstLine="480" w:firstLineChars="200"/>
        <w:rPr>
          <w:rFonts w:ascii="宋体" w:hAnsi="宋体" w:cs="宋体"/>
          <w:color w:val="auto"/>
          <w:sz w:val="24"/>
          <w:highlight w:val="none"/>
        </w:rPr>
      </w:pPr>
      <w:bookmarkStart w:id="251" w:name="_Toc23294"/>
      <w:bookmarkStart w:id="252" w:name="_Toc23128"/>
      <w:r>
        <w:rPr>
          <w:rFonts w:hint="eastAsia" w:ascii="宋体" w:hAnsi="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51"/>
      <w:bookmarkEnd w:id="252"/>
    </w:p>
    <w:p w14:paraId="73974880">
      <w:pPr>
        <w:wordWrap w:val="0"/>
        <w:spacing w:line="360" w:lineRule="auto"/>
        <w:ind w:firstLine="482" w:firstLineChars="200"/>
        <w:rPr>
          <w:rFonts w:ascii="宋体" w:hAnsi="宋体" w:cs="宋体"/>
          <w:b/>
          <w:color w:val="auto"/>
          <w:sz w:val="24"/>
          <w:highlight w:val="none"/>
        </w:rPr>
      </w:pPr>
      <w:bookmarkStart w:id="253" w:name="_Toc30599"/>
      <w:bookmarkStart w:id="254" w:name="_Toc18540"/>
      <w:bookmarkStart w:id="255" w:name="_Toc4355"/>
      <w:r>
        <w:rPr>
          <w:rFonts w:hint="eastAsia" w:ascii="宋体" w:hAnsi="宋体" w:cs="宋体"/>
          <w:b/>
          <w:color w:val="auto"/>
          <w:sz w:val="24"/>
          <w:highlight w:val="none"/>
        </w:rPr>
        <w:t>2.19 计量单位</w:t>
      </w:r>
      <w:bookmarkEnd w:id="248"/>
      <w:bookmarkEnd w:id="249"/>
      <w:bookmarkEnd w:id="250"/>
      <w:bookmarkEnd w:id="253"/>
      <w:bookmarkEnd w:id="254"/>
      <w:bookmarkEnd w:id="255"/>
    </w:p>
    <w:p w14:paraId="5898D08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C7D7B92">
      <w:pPr>
        <w:wordWrap w:val="0"/>
        <w:spacing w:line="360" w:lineRule="auto"/>
        <w:ind w:firstLine="482" w:firstLineChars="200"/>
        <w:rPr>
          <w:rFonts w:ascii="宋体" w:hAnsi="宋体" w:cs="宋体"/>
          <w:b/>
          <w:color w:val="auto"/>
          <w:sz w:val="24"/>
          <w:highlight w:val="none"/>
        </w:rPr>
      </w:pPr>
      <w:bookmarkStart w:id="256" w:name="_Toc10330"/>
      <w:bookmarkStart w:id="257" w:name="_Toc487900373"/>
      <w:bookmarkStart w:id="258" w:name="_Toc18567"/>
      <w:bookmarkStart w:id="259" w:name="_Toc279701263"/>
      <w:bookmarkStart w:id="260" w:name="_Toc259093692"/>
      <w:bookmarkStart w:id="261" w:name="_Toc12773"/>
      <w:r>
        <w:rPr>
          <w:rFonts w:hint="eastAsia" w:ascii="宋体" w:hAnsi="宋体" w:cs="宋体"/>
          <w:b/>
          <w:color w:val="auto"/>
          <w:sz w:val="24"/>
          <w:highlight w:val="none"/>
        </w:rPr>
        <w:t>2.20 合同使用的文字和适用的法律</w:t>
      </w:r>
      <w:bookmarkEnd w:id="256"/>
      <w:bookmarkEnd w:id="257"/>
      <w:bookmarkEnd w:id="258"/>
      <w:bookmarkEnd w:id="259"/>
      <w:bookmarkEnd w:id="260"/>
      <w:bookmarkEnd w:id="261"/>
    </w:p>
    <w:p w14:paraId="4B49860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2.20.1 合同使用汉语书就、变更和解释；</w:t>
      </w:r>
    </w:p>
    <w:p w14:paraId="1804FA5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2.20.2 合同适用中华人民共和国法律。</w:t>
      </w:r>
    </w:p>
    <w:p w14:paraId="3C575182">
      <w:pPr>
        <w:wordWrap w:val="0"/>
        <w:spacing w:line="360" w:lineRule="auto"/>
        <w:ind w:firstLine="482" w:firstLineChars="200"/>
        <w:rPr>
          <w:rFonts w:ascii="宋体" w:hAnsi="宋体" w:cs="宋体"/>
          <w:b/>
          <w:color w:val="auto"/>
          <w:sz w:val="24"/>
          <w:highlight w:val="none"/>
        </w:rPr>
      </w:pPr>
      <w:bookmarkStart w:id="262" w:name="_Toc259093693"/>
      <w:bookmarkStart w:id="263" w:name="_Toc12004"/>
      <w:bookmarkStart w:id="264" w:name="_Toc279701264"/>
      <w:bookmarkStart w:id="265" w:name="_Toc16673"/>
      <w:bookmarkStart w:id="266" w:name="_Toc3148"/>
      <w:bookmarkStart w:id="267" w:name="_Toc487900374"/>
      <w:r>
        <w:rPr>
          <w:rFonts w:hint="eastAsia" w:ascii="宋体" w:hAnsi="宋体" w:cs="宋体"/>
          <w:b/>
          <w:color w:val="auto"/>
          <w:sz w:val="24"/>
          <w:highlight w:val="none"/>
        </w:rPr>
        <w:t>2.21 履约保证金</w:t>
      </w:r>
      <w:bookmarkEnd w:id="262"/>
      <w:bookmarkEnd w:id="263"/>
      <w:bookmarkEnd w:id="264"/>
      <w:bookmarkEnd w:id="265"/>
      <w:bookmarkEnd w:id="266"/>
    </w:p>
    <w:p w14:paraId="4DBBD45C">
      <w:pPr>
        <w:wordWrap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color w:val="auto"/>
          <w:sz w:val="24"/>
          <w:highlight w:val="none"/>
        </w:rPr>
        <w:t>本项目不收取履约保证金</w:t>
      </w:r>
    </w:p>
    <w:p w14:paraId="4DF8DFFF">
      <w:pPr>
        <w:wordWrap w:val="0"/>
        <w:spacing w:line="360" w:lineRule="auto"/>
        <w:ind w:firstLine="482" w:firstLineChars="200"/>
        <w:rPr>
          <w:rFonts w:ascii="宋体" w:hAnsi="宋体" w:cs="宋体"/>
          <w:color w:val="auto"/>
          <w:kern w:val="0"/>
          <w:sz w:val="24"/>
          <w:highlight w:val="none"/>
          <w:lang w:val="zh-CN"/>
        </w:rPr>
      </w:pPr>
      <w:r>
        <w:rPr>
          <w:rFonts w:hint="eastAsia" w:ascii="宋体" w:hAnsi="宋体" w:cs="宋体"/>
          <w:b/>
          <w:color w:val="auto"/>
          <w:sz w:val="24"/>
          <w:highlight w:val="none"/>
        </w:rPr>
        <w:t>2.22 中小企业政策</w:t>
      </w:r>
    </w:p>
    <w:p w14:paraId="2BBA3D20">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2.22.1本合同（□是  □否）为中小企业“政采贷”可融资合同，关于中小企业信用融资事项见采购文件“投标人须知正文”。</w:t>
      </w:r>
    </w:p>
    <w:p w14:paraId="440D1989">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2.22.2本合同（□是  □否）为中小企业预留合同。</w:t>
      </w:r>
    </w:p>
    <w:bookmarkEnd w:id="267"/>
    <w:p w14:paraId="73ED1331">
      <w:pPr>
        <w:wordWrap w:val="0"/>
        <w:spacing w:line="360" w:lineRule="auto"/>
        <w:ind w:firstLine="482" w:firstLineChars="200"/>
        <w:rPr>
          <w:rFonts w:ascii="宋体" w:hAnsi="宋体" w:cs="宋体"/>
          <w:b/>
          <w:color w:val="auto"/>
          <w:sz w:val="24"/>
          <w:highlight w:val="none"/>
        </w:rPr>
      </w:pPr>
      <w:bookmarkStart w:id="268" w:name="_Toc14001"/>
      <w:bookmarkStart w:id="269" w:name="_Toc19890"/>
      <w:bookmarkStart w:id="270" w:name="_Toc6885"/>
      <w:r>
        <w:rPr>
          <w:rFonts w:hint="eastAsia" w:ascii="宋体" w:hAnsi="宋体" w:cs="宋体"/>
          <w:b/>
          <w:color w:val="auto"/>
          <w:sz w:val="24"/>
          <w:highlight w:val="none"/>
        </w:rPr>
        <w:t>2.23 合同份数</w:t>
      </w:r>
      <w:bookmarkEnd w:id="268"/>
      <w:bookmarkEnd w:id="269"/>
      <w:bookmarkEnd w:id="270"/>
    </w:p>
    <w:p w14:paraId="02918EE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份，乙方执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份。每份均具有同等法律效力。</w:t>
      </w:r>
    </w:p>
    <w:p w14:paraId="1B701B25">
      <w:pPr>
        <w:wordWrap w:val="0"/>
        <w:spacing w:line="360" w:lineRule="auto"/>
        <w:jc w:val="center"/>
        <w:rPr>
          <w:rFonts w:ascii="宋体" w:hAnsi="宋体" w:cs="宋体"/>
          <w:b/>
          <w:color w:val="auto"/>
          <w:sz w:val="28"/>
          <w:szCs w:val="28"/>
          <w:highlight w:val="none"/>
        </w:rPr>
      </w:pPr>
      <w:r>
        <w:rPr>
          <w:rFonts w:hint="eastAsia" w:ascii="宋体" w:hAnsi="宋体" w:cs="宋体"/>
          <w:color w:val="auto"/>
          <w:highlight w:val="none"/>
        </w:rPr>
        <w:br w:type="page"/>
      </w:r>
      <w:bookmarkStart w:id="271" w:name="_Toc331685784"/>
      <w:r>
        <w:rPr>
          <w:rFonts w:hint="eastAsia" w:ascii="宋体" w:hAnsi="宋体" w:cs="宋体"/>
          <w:b/>
          <w:color w:val="auto"/>
          <w:sz w:val="28"/>
          <w:szCs w:val="28"/>
          <w:highlight w:val="none"/>
        </w:rPr>
        <w:t>第三部分  合同专用条款</w:t>
      </w:r>
      <w:bookmarkEnd w:id="271"/>
    </w:p>
    <w:p w14:paraId="187D6BD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7A4CDCB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3.1具有知识产权的标的物知识产权归属：</w:t>
      </w:r>
    </w:p>
    <w:p w14:paraId="601887C6">
      <w:pPr>
        <w:wordWrap w:val="0"/>
        <w:spacing w:line="360" w:lineRule="auto"/>
        <w:ind w:firstLine="480" w:firstLineChars="200"/>
        <w:rPr>
          <w:rFonts w:ascii="宋体" w:hAnsi="宋体" w:cs="宋体"/>
          <w:color w:val="auto"/>
          <w:sz w:val="24"/>
          <w:highlight w:val="none"/>
        </w:rPr>
      </w:pPr>
    </w:p>
    <w:p w14:paraId="076FAC6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3.2包装和装运专用条款（如果有）：</w:t>
      </w:r>
    </w:p>
    <w:p w14:paraId="3BF59BD4">
      <w:pPr>
        <w:wordWrap w:val="0"/>
        <w:spacing w:line="360" w:lineRule="auto"/>
        <w:ind w:firstLine="480" w:firstLineChars="200"/>
        <w:rPr>
          <w:rFonts w:ascii="宋体" w:hAnsi="宋体" w:cs="宋体"/>
          <w:color w:val="auto"/>
          <w:sz w:val="24"/>
          <w:highlight w:val="none"/>
        </w:rPr>
      </w:pPr>
    </w:p>
    <w:p w14:paraId="078997E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3.3装运标的物的要求和通知：</w:t>
      </w:r>
    </w:p>
    <w:p w14:paraId="37CA39B9">
      <w:pPr>
        <w:wordWrap w:val="0"/>
        <w:spacing w:line="360" w:lineRule="auto"/>
        <w:ind w:firstLine="480" w:firstLineChars="200"/>
        <w:rPr>
          <w:rFonts w:ascii="宋体" w:hAnsi="宋体" w:cs="宋体"/>
          <w:color w:val="auto"/>
          <w:sz w:val="24"/>
          <w:highlight w:val="none"/>
        </w:rPr>
      </w:pPr>
    </w:p>
    <w:p w14:paraId="12BF9854">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3.4</w:t>
      </w:r>
      <w:r>
        <w:rPr>
          <w:rFonts w:hint="eastAsia" w:ascii="宋体" w:hAnsi="宋体" w:cs="宋体"/>
          <w:b/>
          <w:color w:val="auto"/>
          <w:sz w:val="24"/>
          <w:highlight w:val="none"/>
        </w:rPr>
        <w:t>结算方式和付款条件</w:t>
      </w:r>
    </w:p>
    <w:p w14:paraId="13007E31">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本次项目合同总价为大写人民币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    元）。本项目采用以下勾选结算方式进行支付：</w:t>
      </w:r>
    </w:p>
    <w:p w14:paraId="726AA025">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□采用一次性支付方式，付款条件为：</w:t>
      </w:r>
      <w:r>
        <w:rPr>
          <w:rFonts w:hint="eastAsia" w:ascii="宋体" w:hAnsi="宋体" w:cs="宋体"/>
          <w:color w:val="auto"/>
          <w:kern w:val="0"/>
          <w:sz w:val="24"/>
          <w:highlight w:val="none"/>
          <w:u w:val="single"/>
        </w:rPr>
        <w:t xml:space="preserve">           </w:t>
      </w:r>
    </w:p>
    <w:p w14:paraId="33230B4E">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□采用分期付款方式，付款条件为</w:t>
      </w:r>
      <w:r>
        <w:rPr>
          <w:rFonts w:hint="eastAsia" w:ascii="宋体" w:hAnsi="宋体" w:cs="宋体"/>
          <w:color w:val="auto"/>
          <w:kern w:val="0"/>
          <w:sz w:val="24"/>
          <w:highlight w:val="none"/>
        </w:rPr>
        <w:t>：</w:t>
      </w:r>
    </w:p>
    <w:p w14:paraId="444F1B01">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第一期付款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42A309E1">
      <w:pPr>
        <w:wordWrap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lang w:val="zh-CN"/>
        </w:rPr>
        <w:t>第</w:t>
      </w:r>
      <w:r>
        <w:rPr>
          <w:rFonts w:hint="eastAsia" w:ascii="宋体" w:hAnsi="宋体" w:cs="宋体"/>
          <w:color w:val="auto"/>
          <w:kern w:val="0"/>
          <w:sz w:val="24"/>
          <w:highlight w:val="none"/>
        </w:rPr>
        <w:t>二</w:t>
      </w:r>
      <w:r>
        <w:rPr>
          <w:rFonts w:hint="eastAsia" w:ascii="宋体" w:hAnsi="宋体" w:cs="宋体"/>
          <w:color w:val="auto"/>
          <w:kern w:val="0"/>
          <w:sz w:val="24"/>
          <w:highlight w:val="none"/>
          <w:lang w:val="zh-CN"/>
        </w:rPr>
        <w:t>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03CF0B02">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p>
    <w:p w14:paraId="0D0C07E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甲方无故逾期支付服务费用的，按照每逾期一日支付欠付服务费额度的（根据项目实际填写，一般为万分之五）</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承担违约责任，违约金上限按照《合同书》约定执行。</w:t>
      </w:r>
    </w:p>
    <w:p w14:paraId="3DE27AAD">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3.5</w:t>
      </w:r>
      <w:r>
        <w:rPr>
          <w:rFonts w:hint="eastAsia" w:ascii="宋体" w:hAnsi="宋体" w:cs="宋体"/>
          <w:b/>
          <w:color w:val="auto"/>
          <w:sz w:val="24"/>
          <w:highlight w:val="none"/>
        </w:rPr>
        <w:t>标的物的风险负担</w:t>
      </w:r>
    </w:p>
    <w:p w14:paraId="1525774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w:t>
      </w:r>
    </w:p>
    <w:p w14:paraId="6728201A">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乙方                                                                       </w:t>
      </w:r>
    </w:p>
    <w:p w14:paraId="1708514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3.5.1受不可抗力影响的一方在不可抗力发生后，应在日内（根据项目实际填写）以书面形式通知对方当事人，并在日内，将有关部门出具的证明文件送达对方当事人。</w:t>
      </w:r>
    </w:p>
    <w:p w14:paraId="6042C94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3.5.2因不可抗力致使合同有变更必要的，双方当事人应在日内（根据项目实际填写）以书面形式变更合同；</w:t>
      </w:r>
    </w:p>
    <w:p w14:paraId="64CEABB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3.5.3标的物交付前，乙方应对标的物的质量、数量等方面进行详细、全面的检验，并向甲方出具证明标的物符合合同约定的文件；标的物交付时，乙方在日内发（根据项目实际填写）起验收，并可依法邀请相关方参加，验收应出具验收书。</w:t>
      </w:r>
    </w:p>
    <w:p w14:paraId="0F4C77D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3.5.4 检验和验收标准、程序等具体内容以及前述验收书的效力：</w:t>
      </w:r>
    </w:p>
    <w:p w14:paraId="13A6DC8B">
      <w:pPr>
        <w:wordWrap w:val="0"/>
        <w:spacing w:line="360" w:lineRule="auto"/>
        <w:ind w:firstLine="480" w:firstLineChars="200"/>
        <w:rPr>
          <w:rFonts w:ascii="宋体" w:hAnsi="宋体" w:cs="宋体"/>
          <w:color w:val="auto"/>
          <w:sz w:val="24"/>
          <w:highlight w:val="none"/>
        </w:rPr>
      </w:pPr>
    </w:p>
    <w:p w14:paraId="5A147E6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3.5.5 其他：</w:t>
      </w:r>
    </w:p>
    <w:p w14:paraId="60A470D7">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3.6</w:t>
      </w:r>
      <w:r>
        <w:rPr>
          <w:rFonts w:hint="eastAsia" w:ascii="宋体" w:hAnsi="宋体" w:cs="宋体"/>
          <w:b/>
          <w:color w:val="auto"/>
          <w:sz w:val="24"/>
          <w:highlight w:val="none"/>
        </w:rPr>
        <w:t>项目验收：</w:t>
      </w:r>
    </w:p>
    <w:p w14:paraId="2CDCD8B7">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4547BD24">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47C3BB7E">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4E538135">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3.6.4验收产生的费用首次验收费用由甲方承担，如首次验收不合格，后续验收费用由乙方支付。</w:t>
      </w:r>
    </w:p>
    <w:p w14:paraId="09345693">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3.6.5验收内容及资料要求：</w:t>
      </w:r>
    </w:p>
    <w:p w14:paraId="03F0A240">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根据采购文件确定的技术指标或者服务要求确定验收指标和标准。未进行相应约定的，应当符合国家强制性规定、政策要求、安全标准、行业或企业有关标准等。</w:t>
      </w:r>
    </w:p>
    <w:p w14:paraId="3695DA18">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3.6.6</w:t>
      </w:r>
      <w:r>
        <w:rPr>
          <w:rFonts w:hint="eastAsia" w:ascii="宋体" w:hAnsi="宋体" w:cs="宋体"/>
          <w:color w:val="auto"/>
          <w:sz w:val="24"/>
          <w:highlight w:val="none"/>
        </w:rPr>
        <w:t>验收内容</w:t>
      </w:r>
    </w:p>
    <w:tbl>
      <w:tblPr>
        <w:tblStyle w:val="19"/>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506E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vAlign w:val="center"/>
          </w:tcPr>
          <w:p w14:paraId="76EB9BA9">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序号</w:t>
            </w:r>
          </w:p>
        </w:tc>
        <w:tc>
          <w:tcPr>
            <w:tcW w:w="1914" w:type="dxa"/>
            <w:tcBorders>
              <w:top w:val="single" w:color="auto" w:sz="4" w:space="0"/>
              <w:left w:val="single" w:color="auto" w:sz="4" w:space="0"/>
              <w:bottom w:val="single" w:color="auto" w:sz="4" w:space="0"/>
              <w:right w:val="single" w:color="auto" w:sz="4" w:space="0"/>
            </w:tcBorders>
            <w:vAlign w:val="center"/>
          </w:tcPr>
          <w:p w14:paraId="5892E6B7">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验收内容</w:t>
            </w:r>
          </w:p>
        </w:tc>
        <w:tc>
          <w:tcPr>
            <w:tcW w:w="5930" w:type="dxa"/>
            <w:tcBorders>
              <w:top w:val="single" w:color="auto" w:sz="4" w:space="0"/>
              <w:left w:val="single" w:color="auto" w:sz="4" w:space="0"/>
              <w:bottom w:val="single" w:color="auto" w:sz="4" w:space="0"/>
              <w:right w:val="single" w:color="auto" w:sz="4" w:space="0"/>
            </w:tcBorders>
            <w:vAlign w:val="center"/>
          </w:tcPr>
          <w:p w14:paraId="0A7AAA20">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 xml:space="preserve"> 验收标准</w:t>
            </w:r>
          </w:p>
        </w:tc>
      </w:tr>
      <w:tr w14:paraId="49B22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08C71757">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1</w:t>
            </w:r>
          </w:p>
        </w:tc>
        <w:tc>
          <w:tcPr>
            <w:tcW w:w="1914" w:type="dxa"/>
            <w:tcBorders>
              <w:top w:val="single" w:color="auto" w:sz="4" w:space="0"/>
              <w:left w:val="single" w:color="auto" w:sz="4" w:space="0"/>
              <w:bottom w:val="single" w:color="auto" w:sz="4" w:space="0"/>
              <w:right w:val="single" w:color="auto" w:sz="4" w:space="0"/>
            </w:tcBorders>
            <w:vAlign w:val="center"/>
          </w:tcPr>
          <w:p w14:paraId="459257AB">
            <w:pPr>
              <w:widowControl/>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交付标的物数量</w:t>
            </w:r>
          </w:p>
        </w:tc>
        <w:tc>
          <w:tcPr>
            <w:tcW w:w="5930" w:type="dxa"/>
            <w:tcBorders>
              <w:top w:val="single" w:color="auto" w:sz="4" w:space="0"/>
              <w:left w:val="single" w:color="auto" w:sz="4" w:space="0"/>
              <w:bottom w:val="single" w:color="auto" w:sz="4" w:space="0"/>
              <w:right w:val="single" w:color="auto" w:sz="4" w:space="0"/>
            </w:tcBorders>
            <w:vAlign w:val="center"/>
          </w:tcPr>
          <w:p w14:paraId="1E0DD2E0">
            <w:pPr>
              <w:widowControl/>
              <w:wordWrap w:val="0"/>
              <w:spacing w:line="360" w:lineRule="auto"/>
              <w:ind w:firstLine="200"/>
              <w:jc w:val="center"/>
              <w:rPr>
                <w:rFonts w:ascii="宋体" w:hAnsi="宋体" w:cs="宋体"/>
                <w:color w:val="auto"/>
                <w:kern w:val="0"/>
                <w:sz w:val="24"/>
                <w:highlight w:val="none"/>
              </w:rPr>
            </w:pPr>
          </w:p>
        </w:tc>
      </w:tr>
      <w:tr w14:paraId="77D5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5A422B9A">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2</w:t>
            </w:r>
          </w:p>
        </w:tc>
        <w:tc>
          <w:tcPr>
            <w:tcW w:w="1914" w:type="dxa"/>
            <w:tcBorders>
              <w:top w:val="single" w:color="auto" w:sz="4" w:space="0"/>
              <w:left w:val="single" w:color="auto" w:sz="4" w:space="0"/>
              <w:bottom w:val="single" w:color="auto" w:sz="4" w:space="0"/>
              <w:right w:val="single" w:color="auto" w:sz="4" w:space="0"/>
            </w:tcBorders>
            <w:vAlign w:val="center"/>
          </w:tcPr>
          <w:p w14:paraId="777F3CA1">
            <w:pPr>
              <w:widowControl/>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交付标的物质量文件</w:t>
            </w:r>
          </w:p>
        </w:tc>
        <w:tc>
          <w:tcPr>
            <w:tcW w:w="5930" w:type="dxa"/>
            <w:tcBorders>
              <w:top w:val="single" w:color="auto" w:sz="4" w:space="0"/>
              <w:left w:val="single" w:color="auto" w:sz="4" w:space="0"/>
              <w:bottom w:val="single" w:color="auto" w:sz="4" w:space="0"/>
              <w:right w:val="single" w:color="auto" w:sz="4" w:space="0"/>
            </w:tcBorders>
            <w:vAlign w:val="center"/>
          </w:tcPr>
          <w:p w14:paraId="53335970">
            <w:pPr>
              <w:widowControl/>
              <w:wordWrap w:val="0"/>
              <w:spacing w:line="360" w:lineRule="auto"/>
              <w:ind w:firstLine="200"/>
              <w:jc w:val="center"/>
              <w:rPr>
                <w:rFonts w:ascii="宋体" w:hAnsi="宋体" w:cs="宋体"/>
                <w:color w:val="auto"/>
                <w:kern w:val="0"/>
                <w:sz w:val="24"/>
                <w:highlight w:val="none"/>
              </w:rPr>
            </w:pPr>
          </w:p>
        </w:tc>
      </w:tr>
      <w:tr w14:paraId="1AF7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2C88C2EF">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4</w:t>
            </w:r>
          </w:p>
        </w:tc>
        <w:tc>
          <w:tcPr>
            <w:tcW w:w="1914" w:type="dxa"/>
            <w:tcBorders>
              <w:top w:val="single" w:color="auto" w:sz="4" w:space="0"/>
              <w:left w:val="single" w:color="auto" w:sz="4" w:space="0"/>
              <w:bottom w:val="single" w:color="auto" w:sz="4" w:space="0"/>
              <w:right w:val="single" w:color="auto" w:sz="4" w:space="0"/>
            </w:tcBorders>
            <w:vAlign w:val="center"/>
          </w:tcPr>
          <w:p w14:paraId="331B24F3">
            <w:pPr>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 xml:space="preserve">交付标的物技术、性能指标 </w:t>
            </w:r>
          </w:p>
        </w:tc>
        <w:tc>
          <w:tcPr>
            <w:tcW w:w="5930" w:type="dxa"/>
            <w:tcBorders>
              <w:top w:val="single" w:color="auto" w:sz="4" w:space="0"/>
              <w:left w:val="single" w:color="auto" w:sz="4" w:space="0"/>
              <w:bottom w:val="single" w:color="auto" w:sz="4" w:space="0"/>
              <w:right w:val="single" w:color="auto" w:sz="4" w:space="0"/>
            </w:tcBorders>
            <w:vAlign w:val="center"/>
          </w:tcPr>
          <w:p w14:paraId="7B841800">
            <w:pPr>
              <w:pStyle w:val="9"/>
              <w:wordWrap w:val="0"/>
              <w:spacing w:after="0" w:line="360" w:lineRule="auto"/>
              <w:ind w:firstLine="200"/>
              <w:jc w:val="left"/>
              <w:rPr>
                <w:rFonts w:ascii="宋体" w:hAnsi="宋体" w:cs="宋体"/>
                <w:color w:val="auto"/>
                <w:highlight w:val="none"/>
              </w:rPr>
            </w:pPr>
          </w:p>
        </w:tc>
      </w:tr>
      <w:tr w14:paraId="1F62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186DB3DB">
            <w:pPr>
              <w:widowControl/>
              <w:wordWrap w:val="0"/>
              <w:spacing w:line="360" w:lineRule="auto"/>
              <w:ind w:firstLine="200"/>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914" w:type="dxa"/>
            <w:tcBorders>
              <w:top w:val="single" w:color="auto" w:sz="4" w:space="0"/>
              <w:left w:val="single" w:color="auto" w:sz="4" w:space="0"/>
              <w:bottom w:val="single" w:color="auto" w:sz="4" w:space="0"/>
              <w:right w:val="single" w:color="auto" w:sz="4" w:space="0"/>
            </w:tcBorders>
            <w:vAlign w:val="center"/>
          </w:tcPr>
          <w:p w14:paraId="57D79C50">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售后服务承诺</w:t>
            </w:r>
          </w:p>
        </w:tc>
        <w:tc>
          <w:tcPr>
            <w:tcW w:w="5930" w:type="dxa"/>
            <w:tcBorders>
              <w:top w:val="single" w:color="auto" w:sz="4" w:space="0"/>
              <w:left w:val="single" w:color="auto" w:sz="4" w:space="0"/>
              <w:bottom w:val="single" w:color="auto" w:sz="4" w:space="0"/>
              <w:right w:val="single" w:color="auto" w:sz="4" w:space="0"/>
            </w:tcBorders>
            <w:vAlign w:val="center"/>
          </w:tcPr>
          <w:p w14:paraId="7025B4AF">
            <w:pPr>
              <w:widowControl/>
              <w:wordWrap w:val="0"/>
              <w:spacing w:line="360" w:lineRule="auto"/>
              <w:ind w:firstLine="200"/>
              <w:jc w:val="center"/>
              <w:rPr>
                <w:rFonts w:ascii="宋体" w:hAnsi="宋体" w:cs="宋体"/>
                <w:color w:val="auto"/>
                <w:kern w:val="0"/>
                <w:sz w:val="24"/>
                <w:highlight w:val="none"/>
              </w:rPr>
            </w:pPr>
          </w:p>
        </w:tc>
      </w:tr>
      <w:tr w14:paraId="7D5D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7E7A143A">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6</w:t>
            </w:r>
          </w:p>
        </w:tc>
        <w:tc>
          <w:tcPr>
            <w:tcW w:w="1914" w:type="dxa"/>
            <w:tcBorders>
              <w:top w:val="single" w:color="auto" w:sz="4" w:space="0"/>
              <w:left w:val="single" w:color="auto" w:sz="4" w:space="0"/>
              <w:bottom w:val="single" w:color="auto" w:sz="4" w:space="0"/>
              <w:right w:val="single" w:color="auto" w:sz="4" w:space="0"/>
            </w:tcBorders>
            <w:vAlign w:val="center"/>
          </w:tcPr>
          <w:p w14:paraId="22DF2F3B">
            <w:pPr>
              <w:widowControl/>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其他工作</w:t>
            </w:r>
          </w:p>
        </w:tc>
        <w:tc>
          <w:tcPr>
            <w:tcW w:w="5930" w:type="dxa"/>
            <w:tcBorders>
              <w:top w:val="single" w:color="auto" w:sz="4" w:space="0"/>
              <w:left w:val="single" w:color="auto" w:sz="4" w:space="0"/>
              <w:bottom w:val="single" w:color="auto" w:sz="4" w:space="0"/>
              <w:right w:val="single" w:color="auto" w:sz="4" w:space="0"/>
            </w:tcBorders>
            <w:vAlign w:val="center"/>
          </w:tcPr>
          <w:p w14:paraId="573B74F9">
            <w:pPr>
              <w:widowControl/>
              <w:wordWrap w:val="0"/>
              <w:spacing w:line="360" w:lineRule="auto"/>
              <w:ind w:firstLine="200"/>
              <w:jc w:val="left"/>
              <w:rPr>
                <w:rFonts w:ascii="宋体" w:hAnsi="宋体" w:cs="宋体"/>
                <w:color w:val="auto"/>
                <w:kern w:val="0"/>
                <w:sz w:val="24"/>
                <w:highlight w:val="none"/>
              </w:rPr>
            </w:pPr>
          </w:p>
        </w:tc>
      </w:tr>
    </w:tbl>
    <w:p w14:paraId="48C7A014">
      <w:pPr>
        <w:tabs>
          <w:tab w:val="left" w:pos="904"/>
        </w:tabs>
        <w:wordWrap w:val="0"/>
        <w:snapToGrid w:val="0"/>
        <w:spacing w:line="360" w:lineRule="auto"/>
        <w:ind w:firstLine="480" w:firstLineChars="200"/>
        <w:jc w:val="left"/>
        <w:rPr>
          <w:rFonts w:ascii="宋体" w:hAnsi="宋体" w:cs="宋体"/>
          <w:color w:val="auto"/>
          <w:sz w:val="24"/>
          <w:highlight w:val="none"/>
        </w:rPr>
      </w:pPr>
    </w:p>
    <w:p w14:paraId="1EDA097A">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3.6.7验收资料要求</w:t>
      </w:r>
    </w:p>
    <w:p w14:paraId="309374E1">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验收资料要求包括（不限于）以下内容：</w:t>
      </w:r>
    </w:p>
    <w:p w14:paraId="0D603904">
      <w:pPr>
        <w:tabs>
          <w:tab w:val="left" w:pos="904"/>
        </w:tabs>
        <w:wordWrap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（1）采购文件；</w:t>
      </w:r>
    </w:p>
    <w:p w14:paraId="13F5E4C2">
      <w:pPr>
        <w:tabs>
          <w:tab w:val="left" w:pos="904"/>
        </w:tabs>
        <w:wordWrap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（2）投标文件；</w:t>
      </w:r>
    </w:p>
    <w:p w14:paraId="685DCD28">
      <w:pPr>
        <w:tabs>
          <w:tab w:val="left" w:pos="904"/>
        </w:tabs>
        <w:wordWrap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（3）采购合同；</w:t>
      </w:r>
    </w:p>
    <w:p w14:paraId="622E2E20">
      <w:pPr>
        <w:pageBreakBefore w:val="0"/>
        <w:tabs>
          <w:tab w:val="left" w:pos="904"/>
        </w:tabs>
        <w:wordWrap w:val="0"/>
        <w:overflowPunct/>
        <w:topLinePunct w:val="0"/>
        <w:bidi w:val="0"/>
        <w:adjustRightInd w:val="0"/>
        <w:snapToGrid w:val="0"/>
        <w:spacing w:line="360" w:lineRule="auto"/>
        <w:ind w:firstLine="240" w:firstLineChars="100"/>
        <w:jc w:val="left"/>
        <w:rPr>
          <w:rFonts w:ascii="宋体" w:hAnsi="宋体" w:cs="宋体"/>
          <w:b/>
          <w:color w:val="auto"/>
          <w:sz w:val="36"/>
          <w:szCs w:val="20"/>
          <w:highlight w:val="none"/>
        </w:rPr>
      </w:pPr>
      <w:r>
        <w:rPr>
          <w:rFonts w:hint="eastAsia" w:ascii="宋体" w:hAnsi="宋体" w:cs="宋体"/>
          <w:color w:val="auto"/>
          <w:sz w:val="24"/>
          <w:highlight w:val="none"/>
        </w:rPr>
        <w:t>（4）其他需提供的相关材料。</w:t>
      </w:r>
    </w:p>
    <w:p w14:paraId="2F5B7F06">
      <w:pPr>
        <w:pageBreakBefore w:val="0"/>
        <w:widowControl/>
        <w:wordWrap w:val="0"/>
        <w:overflowPunct/>
        <w:topLinePunct w:val="0"/>
        <w:bidi w:val="0"/>
        <w:spacing w:line="360" w:lineRule="auto"/>
        <w:jc w:val="left"/>
        <w:rPr>
          <w:rFonts w:ascii="宋体" w:hAnsi="宋体" w:cs="宋体"/>
          <w:color w:val="auto"/>
          <w:highlight w:val="none"/>
        </w:rPr>
        <w:sectPr>
          <w:pgSz w:w="11906" w:h="16838"/>
          <w:pgMar w:top="1440" w:right="1080" w:bottom="1440" w:left="1080" w:header="720" w:footer="720" w:gutter="0"/>
          <w:pgNumType w:fmt="decimal"/>
          <w:cols w:space="720" w:num="1"/>
          <w:docGrid w:type="lines" w:linePitch="331" w:charSpace="0"/>
        </w:sectPr>
      </w:pPr>
    </w:p>
    <w:p w14:paraId="7E86DA1F">
      <w:pPr>
        <w:pStyle w:val="12"/>
        <w:pageBreakBefore w:val="0"/>
        <w:tabs>
          <w:tab w:val="left" w:pos="2472"/>
        </w:tabs>
        <w:wordWrap w:val="0"/>
        <w:overflowPunct/>
        <w:topLinePunct w:val="0"/>
        <w:bidi w:val="0"/>
        <w:spacing w:line="360" w:lineRule="auto"/>
        <w:rPr>
          <w:rFonts w:hAnsi="宋体" w:cs="宋体"/>
          <w:b/>
          <w:color w:val="auto"/>
          <w:sz w:val="36"/>
          <w:highlight w:val="none"/>
        </w:rPr>
      </w:pPr>
    </w:p>
    <w:p w14:paraId="2770C14A">
      <w:pPr>
        <w:pStyle w:val="12"/>
        <w:pageBreakBefore w:val="0"/>
        <w:tabs>
          <w:tab w:val="left" w:pos="2472"/>
        </w:tabs>
        <w:wordWrap w:val="0"/>
        <w:overflowPunct/>
        <w:topLinePunct w:val="0"/>
        <w:bidi w:val="0"/>
        <w:spacing w:line="360" w:lineRule="auto"/>
        <w:rPr>
          <w:rFonts w:hAnsi="宋体" w:cs="宋体"/>
          <w:b/>
          <w:color w:val="auto"/>
          <w:sz w:val="36"/>
          <w:highlight w:val="none"/>
        </w:rPr>
      </w:pPr>
    </w:p>
    <w:p w14:paraId="6468CB27">
      <w:pPr>
        <w:pStyle w:val="12"/>
        <w:pageBreakBefore w:val="0"/>
        <w:tabs>
          <w:tab w:val="left" w:pos="2472"/>
        </w:tabs>
        <w:wordWrap w:val="0"/>
        <w:overflowPunct/>
        <w:topLinePunct w:val="0"/>
        <w:bidi w:val="0"/>
        <w:spacing w:line="360" w:lineRule="auto"/>
        <w:rPr>
          <w:rFonts w:hAnsi="宋体" w:cs="宋体"/>
          <w:b/>
          <w:color w:val="auto"/>
          <w:sz w:val="36"/>
          <w:highlight w:val="none"/>
        </w:rPr>
      </w:pPr>
    </w:p>
    <w:p w14:paraId="6026013D">
      <w:pPr>
        <w:pStyle w:val="12"/>
        <w:pageBreakBefore w:val="0"/>
        <w:tabs>
          <w:tab w:val="left" w:pos="2472"/>
        </w:tabs>
        <w:wordWrap w:val="0"/>
        <w:overflowPunct/>
        <w:topLinePunct w:val="0"/>
        <w:bidi w:val="0"/>
        <w:spacing w:line="360" w:lineRule="auto"/>
        <w:rPr>
          <w:rFonts w:hAnsi="宋体" w:cs="宋体"/>
          <w:b/>
          <w:color w:val="auto"/>
          <w:sz w:val="36"/>
          <w:highlight w:val="none"/>
        </w:rPr>
      </w:pPr>
    </w:p>
    <w:p w14:paraId="2113F188">
      <w:pPr>
        <w:pStyle w:val="12"/>
        <w:pageBreakBefore w:val="0"/>
        <w:tabs>
          <w:tab w:val="left" w:pos="2472"/>
        </w:tabs>
        <w:wordWrap w:val="0"/>
        <w:overflowPunct/>
        <w:topLinePunct w:val="0"/>
        <w:bidi w:val="0"/>
        <w:spacing w:line="360" w:lineRule="auto"/>
        <w:rPr>
          <w:rFonts w:hAnsi="宋体" w:cs="宋体"/>
          <w:b/>
          <w:color w:val="auto"/>
          <w:sz w:val="36"/>
          <w:highlight w:val="none"/>
        </w:rPr>
      </w:pPr>
    </w:p>
    <w:p w14:paraId="750636AB">
      <w:pPr>
        <w:pStyle w:val="12"/>
        <w:pageBreakBefore w:val="0"/>
        <w:tabs>
          <w:tab w:val="left" w:pos="2472"/>
        </w:tabs>
        <w:wordWrap w:val="0"/>
        <w:overflowPunct/>
        <w:topLinePunct w:val="0"/>
        <w:bidi w:val="0"/>
        <w:spacing w:line="360" w:lineRule="auto"/>
        <w:rPr>
          <w:rFonts w:hAnsi="宋体" w:cs="宋体"/>
          <w:b/>
          <w:color w:val="auto"/>
          <w:sz w:val="36"/>
          <w:highlight w:val="none"/>
        </w:rPr>
      </w:pPr>
    </w:p>
    <w:p w14:paraId="2A8C4815">
      <w:pPr>
        <w:pStyle w:val="12"/>
        <w:pageBreakBefore w:val="0"/>
        <w:tabs>
          <w:tab w:val="left" w:pos="2472"/>
        </w:tabs>
        <w:wordWrap w:val="0"/>
        <w:overflowPunct/>
        <w:topLinePunct w:val="0"/>
        <w:bidi w:val="0"/>
        <w:spacing w:line="360" w:lineRule="auto"/>
        <w:rPr>
          <w:rFonts w:hAnsi="宋体" w:cs="宋体"/>
          <w:b/>
          <w:color w:val="auto"/>
          <w:sz w:val="36"/>
          <w:highlight w:val="none"/>
        </w:rPr>
      </w:pPr>
    </w:p>
    <w:p w14:paraId="6EDC72C3">
      <w:pPr>
        <w:pStyle w:val="12"/>
        <w:pageBreakBefore w:val="0"/>
        <w:tabs>
          <w:tab w:val="left" w:pos="2472"/>
        </w:tabs>
        <w:wordWrap w:val="0"/>
        <w:overflowPunct/>
        <w:topLinePunct w:val="0"/>
        <w:bidi w:val="0"/>
        <w:spacing w:line="360" w:lineRule="auto"/>
        <w:jc w:val="center"/>
        <w:outlineLvl w:val="0"/>
        <w:rPr>
          <w:rFonts w:hAnsi="宋体" w:cs="宋体"/>
          <w:b/>
          <w:color w:val="auto"/>
          <w:sz w:val="36"/>
          <w:highlight w:val="none"/>
        </w:rPr>
      </w:pPr>
      <w:bookmarkStart w:id="272" w:name="_Toc2856"/>
      <w:r>
        <w:rPr>
          <w:rFonts w:hint="eastAsia" w:hAnsi="宋体" w:cs="宋体"/>
          <w:b/>
          <w:color w:val="auto"/>
          <w:sz w:val="36"/>
          <w:highlight w:val="none"/>
        </w:rPr>
        <w:t>第六章 投标文件格式</w:t>
      </w:r>
      <w:bookmarkEnd w:id="272"/>
    </w:p>
    <w:p w14:paraId="30B57B48">
      <w:pPr>
        <w:pageBreakBefore w:val="0"/>
        <w:widowControl/>
        <w:wordWrap w:val="0"/>
        <w:overflowPunct/>
        <w:topLinePunct w:val="0"/>
        <w:bidi w:val="0"/>
        <w:spacing w:line="360" w:lineRule="auto"/>
        <w:jc w:val="left"/>
        <w:rPr>
          <w:rFonts w:ascii="宋体" w:hAnsi="宋体" w:cs="宋体"/>
          <w:color w:val="auto"/>
          <w:szCs w:val="20"/>
          <w:highlight w:val="none"/>
        </w:rPr>
        <w:sectPr>
          <w:pgSz w:w="11906" w:h="16838"/>
          <w:pgMar w:top="1440" w:right="1080" w:bottom="1440" w:left="1080" w:header="720" w:footer="720" w:gutter="0"/>
          <w:pgNumType w:fmt="decimal"/>
          <w:cols w:space="720" w:num="1"/>
          <w:docGrid w:type="lines" w:linePitch="331" w:charSpace="0"/>
        </w:sectPr>
      </w:pPr>
    </w:p>
    <w:p w14:paraId="44E72A62">
      <w:pPr>
        <w:pStyle w:val="12"/>
        <w:pageBreakBefore w:val="0"/>
        <w:wordWrap w:val="0"/>
        <w:overflowPunct/>
        <w:topLinePunct w:val="0"/>
        <w:bidi w:val="0"/>
        <w:spacing w:line="360" w:lineRule="auto"/>
        <w:ind w:firstLine="551" w:firstLineChars="196"/>
        <w:jc w:val="center"/>
        <w:outlineLvl w:val="1"/>
        <w:rPr>
          <w:rFonts w:hAnsi="宋体" w:cs="宋体"/>
          <w:b/>
          <w:bCs/>
          <w:color w:val="auto"/>
          <w:sz w:val="28"/>
          <w:szCs w:val="28"/>
          <w:highlight w:val="none"/>
        </w:rPr>
      </w:pPr>
      <w:bookmarkStart w:id="273" w:name="_Toc13658"/>
      <w:r>
        <w:rPr>
          <w:rFonts w:hint="eastAsia" w:hAnsi="宋体" w:cs="宋体"/>
          <w:b/>
          <w:bCs/>
          <w:color w:val="auto"/>
          <w:sz w:val="28"/>
          <w:szCs w:val="28"/>
          <w:highlight w:val="none"/>
        </w:rPr>
        <w:t>第一节 投标文件外层包装封面</w:t>
      </w:r>
      <w:bookmarkEnd w:id="273"/>
    </w:p>
    <w:p w14:paraId="1316C817">
      <w:pPr>
        <w:pageBreakBefore w:val="0"/>
        <w:wordWrap w:val="0"/>
        <w:overflowPunct/>
        <w:topLinePunct w:val="0"/>
        <w:bidi w:val="0"/>
        <w:spacing w:line="360" w:lineRule="auto"/>
        <w:jc w:val="center"/>
        <w:rPr>
          <w:rFonts w:ascii="宋体" w:hAnsi="宋体" w:cs="宋体"/>
          <w:color w:val="auto"/>
          <w:spacing w:val="20"/>
          <w:sz w:val="44"/>
          <w:szCs w:val="44"/>
          <w:highlight w:val="none"/>
        </w:rPr>
      </w:pPr>
    </w:p>
    <w:p w14:paraId="2F9BDFD9">
      <w:pPr>
        <w:pageBreakBefore w:val="0"/>
        <w:wordWrap w:val="0"/>
        <w:overflowPunct/>
        <w:topLinePunct w:val="0"/>
        <w:bidi w:val="0"/>
        <w:spacing w:line="360" w:lineRule="auto"/>
        <w:jc w:val="center"/>
        <w:rPr>
          <w:rFonts w:ascii="宋体" w:hAnsi="宋体" w:cs="宋体"/>
          <w:color w:val="auto"/>
          <w:spacing w:val="20"/>
          <w:sz w:val="44"/>
          <w:szCs w:val="44"/>
          <w:highlight w:val="none"/>
        </w:rPr>
      </w:pPr>
    </w:p>
    <w:p w14:paraId="6C56326A">
      <w:pPr>
        <w:pageBreakBefore w:val="0"/>
        <w:wordWrap w:val="0"/>
        <w:overflowPunct/>
        <w:topLinePunct w:val="0"/>
        <w:bidi w:val="0"/>
        <w:spacing w:line="360" w:lineRule="auto"/>
        <w:jc w:val="center"/>
        <w:rPr>
          <w:rFonts w:ascii="宋体" w:hAnsi="宋体" w:cs="宋体"/>
          <w:color w:val="auto"/>
          <w:spacing w:val="20"/>
          <w:sz w:val="44"/>
          <w:szCs w:val="44"/>
          <w:highlight w:val="none"/>
        </w:rPr>
      </w:pPr>
    </w:p>
    <w:p w14:paraId="28159763">
      <w:pPr>
        <w:pageBreakBefore w:val="0"/>
        <w:wordWrap w:val="0"/>
        <w:overflowPunct/>
        <w:topLinePunct w:val="0"/>
        <w:bidi w:val="0"/>
        <w:spacing w:line="360" w:lineRule="auto"/>
        <w:jc w:val="center"/>
        <w:rPr>
          <w:rFonts w:ascii="宋体" w:hAnsi="宋体" w:cs="宋体"/>
          <w:color w:val="auto"/>
          <w:spacing w:val="20"/>
          <w:sz w:val="44"/>
          <w:szCs w:val="44"/>
          <w:highlight w:val="none"/>
        </w:rPr>
      </w:pPr>
    </w:p>
    <w:p w14:paraId="1795A479">
      <w:pPr>
        <w:pageBreakBefore w:val="0"/>
        <w:wordWrap w:val="0"/>
        <w:overflowPunct/>
        <w:topLinePunct w:val="0"/>
        <w:bidi w:val="0"/>
        <w:spacing w:line="360" w:lineRule="auto"/>
        <w:jc w:val="center"/>
        <w:rPr>
          <w:rFonts w:ascii="宋体" w:hAnsi="宋体" w:cs="宋体"/>
          <w:color w:val="auto"/>
          <w:spacing w:val="20"/>
          <w:sz w:val="44"/>
          <w:szCs w:val="44"/>
          <w:highlight w:val="none"/>
        </w:rPr>
      </w:pPr>
      <w:r>
        <w:rPr>
          <w:rFonts w:hint="eastAsia" w:ascii="宋体" w:hAnsi="宋体" w:cs="宋体"/>
          <w:color w:val="auto"/>
          <w:spacing w:val="20"/>
          <w:sz w:val="44"/>
          <w:szCs w:val="44"/>
          <w:highlight w:val="none"/>
          <w:u w:val="single"/>
        </w:rPr>
        <w:t xml:space="preserve">             </w:t>
      </w:r>
      <w:r>
        <w:rPr>
          <w:rFonts w:hint="eastAsia" w:ascii="宋体" w:hAnsi="宋体" w:cs="宋体"/>
          <w:color w:val="auto"/>
          <w:spacing w:val="20"/>
          <w:sz w:val="44"/>
          <w:szCs w:val="44"/>
          <w:highlight w:val="none"/>
        </w:rPr>
        <w:t>项目</w:t>
      </w:r>
    </w:p>
    <w:p w14:paraId="0546398D">
      <w:pPr>
        <w:pageBreakBefore w:val="0"/>
        <w:wordWrap w:val="0"/>
        <w:overflowPunct/>
        <w:topLinePunct w:val="0"/>
        <w:bidi w:val="0"/>
        <w:spacing w:line="360" w:lineRule="auto"/>
        <w:jc w:val="center"/>
        <w:rPr>
          <w:rFonts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投标文件</w:t>
      </w:r>
    </w:p>
    <w:p w14:paraId="435A5EB7">
      <w:pPr>
        <w:pageBreakBefore w:val="0"/>
        <w:wordWrap w:val="0"/>
        <w:overflowPunct/>
        <w:topLinePunct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（电子投标文件）</w:t>
      </w:r>
    </w:p>
    <w:tbl>
      <w:tblPr>
        <w:tblStyle w:val="19"/>
        <w:tblW w:w="7773" w:type="dxa"/>
        <w:jc w:val="center"/>
        <w:tblLayout w:type="fixed"/>
        <w:tblCellMar>
          <w:top w:w="0" w:type="dxa"/>
          <w:left w:w="108" w:type="dxa"/>
          <w:bottom w:w="0" w:type="dxa"/>
          <w:right w:w="108" w:type="dxa"/>
        </w:tblCellMar>
      </w:tblPr>
      <w:tblGrid>
        <w:gridCol w:w="1601"/>
        <w:gridCol w:w="6172"/>
      </w:tblGrid>
      <w:tr w14:paraId="51C75CF7">
        <w:tblPrEx>
          <w:tblCellMar>
            <w:top w:w="0" w:type="dxa"/>
            <w:left w:w="108" w:type="dxa"/>
            <w:bottom w:w="0" w:type="dxa"/>
            <w:right w:w="108" w:type="dxa"/>
          </w:tblCellMar>
        </w:tblPrEx>
        <w:trPr>
          <w:jc w:val="center"/>
        </w:trPr>
        <w:tc>
          <w:tcPr>
            <w:tcW w:w="1601" w:type="dxa"/>
            <w:vAlign w:val="bottom"/>
          </w:tcPr>
          <w:p w14:paraId="427E3DC5">
            <w:pPr>
              <w:pageBreakBefore w:val="0"/>
              <w:wordWrap w:val="0"/>
              <w:overflowPunct/>
              <w:topLinePunct w:val="0"/>
              <w:bidi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项目名称：</w:t>
            </w:r>
          </w:p>
        </w:tc>
        <w:tc>
          <w:tcPr>
            <w:tcW w:w="6172" w:type="dxa"/>
            <w:tcBorders>
              <w:top w:val="nil"/>
              <w:left w:val="nil"/>
              <w:bottom w:val="single" w:color="000000" w:sz="4" w:space="0"/>
              <w:right w:val="nil"/>
            </w:tcBorders>
            <w:vAlign w:val="bottom"/>
          </w:tcPr>
          <w:p w14:paraId="4F51C884">
            <w:pPr>
              <w:pageBreakBefore w:val="0"/>
              <w:wordWrap w:val="0"/>
              <w:overflowPunct/>
              <w:topLinePunct w:val="0"/>
              <w:bidi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tc>
      </w:tr>
      <w:tr w14:paraId="3A68EB11">
        <w:tblPrEx>
          <w:tblCellMar>
            <w:top w:w="0" w:type="dxa"/>
            <w:left w:w="108" w:type="dxa"/>
            <w:bottom w:w="0" w:type="dxa"/>
            <w:right w:w="108" w:type="dxa"/>
          </w:tblCellMar>
        </w:tblPrEx>
        <w:trPr>
          <w:jc w:val="center"/>
        </w:trPr>
        <w:tc>
          <w:tcPr>
            <w:tcW w:w="1601" w:type="dxa"/>
            <w:vAlign w:val="bottom"/>
          </w:tcPr>
          <w:p w14:paraId="321A634D">
            <w:pPr>
              <w:pageBreakBefore w:val="0"/>
              <w:wordWrap w:val="0"/>
              <w:overflowPunct/>
              <w:topLinePunct w:val="0"/>
              <w:bidi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采购人式：</w:t>
            </w:r>
          </w:p>
        </w:tc>
        <w:tc>
          <w:tcPr>
            <w:tcW w:w="6172" w:type="dxa"/>
            <w:tcBorders>
              <w:top w:val="single" w:color="000000" w:sz="4" w:space="0"/>
              <w:left w:val="nil"/>
              <w:bottom w:val="single" w:color="000000" w:sz="4" w:space="0"/>
              <w:right w:val="nil"/>
            </w:tcBorders>
            <w:vAlign w:val="bottom"/>
          </w:tcPr>
          <w:p w14:paraId="4EC0C7FA">
            <w:pPr>
              <w:pageBreakBefore w:val="0"/>
              <w:wordWrap w:val="0"/>
              <w:overflowPunct/>
              <w:topLinePunct w:val="0"/>
              <w:bidi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tc>
      </w:tr>
      <w:tr w14:paraId="27293204">
        <w:tblPrEx>
          <w:tblCellMar>
            <w:top w:w="0" w:type="dxa"/>
            <w:left w:w="108" w:type="dxa"/>
            <w:bottom w:w="0" w:type="dxa"/>
            <w:right w:w="108" w:type="dxa"/>
          </w:tblCellMar>
        </w:tblPrEx>
        <w:trPr>
          <w:jc w:val="center"/>
        </w:trPr>
        <w:tc>
          <w:tcPr>
            <w:tcW w:w="1601" w:type="dxa"/>
            <w:vAlign w:val="bottom"/>
          </w:tcPr>
          <w:p w14:paraId="5EACC412">
            <w:pPr>
              <w:pageBreakBefore w:val="0"/>
              <w:wordWrap w:val="0"/>
              <w:overflowPunct/>
              <w:topLinePunct w:val="0"/>
              <w:bidi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项目编号：</w:t>
            </w:r>
          </w:p>
        </w:tc>
        <w:tc>
          <w:tcPr>
            <w:tcW w:w="6172" w:type="dxa"/>
            <w:tcBorders>
              <w:top w:val="single" w:color="000000" w:sz="4" w:space="0"/>
              <w:left w:val="nil"/>
              <w:bottom w:val="single" w:color="000000" w:sz="4" w:space="0"/>
              <w:right w:val="nil"/>
            </w:tcBorders>
            <w:vAlign w:val="bottom"/>
          </w:tcPr>
          <w:p w14:paraId="155F19C1">
            <w:pPr>
              <w:pageBreakBefore w:val="0"/>
              <w:wordWrap w:val="0"/>
              <w:overflowPunct/>
              <w:topLinePunct w:val="0"/>
              <w:bidi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tc>
      </w:tr>
      <w:tr w14:paraId="0CD90B21">
        <w:tblPrEx>
          <w:tblCellMar>
            <w:top w:w="0" w:type="dxa"/>
            <w:left w:w="108" w:type="dxa"/>
            <w:bottom w:w="0" w:type="dxa"/>
            <w:right w:w="108" w:type="dxa"/>
          </w:tblCellMar>
        </w:tblPrEx>
        <w:trPr>
          <w:jc w:val="center"/>
        </w:trPr>
        <w:tc>
          <w:tcPr>
            <w:tcW w:w="1601" w:type="dxa"/>
            <w:vAlign w:val="bottom"/>
          </w:tcPr>
          <w:p w14:paraId="44F17FD1">
            <w:pPr>
              <w:pageBreakBefore w:val="0"/>
              <w:wordWrap w:val="0"/>
              <w:overflowPunct/>
              <w:topLinePunct w:val="0"/>
              <w:bidi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所投分标：</w:t>
            </w:r>
          </w:p>
        </w:tc>
        <w:tc>
          <w:tcPr>
            <w:tcW w:w="6172" w:type="dxa"/>
            <w:tcBorders>
              <w:top w:val="single" w:color="000000" w:sz="4" w:space="0"/>
              <w:left w:val="nil"/>
              <w:bottom w:val="single" w:color="000000" w:sz="4" w:space="0"/>
              <w:right w:val="nil"/>
            </w:tcBorders>
            <w:vAlign w:val="bottom"/>
          </w:tcPr>
          <w:p w14:paraId="7BC9A468">
            <w:pPr>
              <w:pageBreakBefore w:val="0"/>
              <w:wordWrap w:val="0"/>
              <w:overflowPunct/>
              <w:topLinePunct w:val="0"/>
              <w:bidi w:val="0"/>
              <w:spacing w:line="360" w:lineRule="auto"/>
              <w:jc w:val="left"/>
              <w:rPr>
                <w:rFonts w:ascii="宋体" w:hAnsi="宋体" w:cs="宋体"/>
                <w:color w:val="auto"/>
                <w:sz w:val="24"/>
                <w:highlight w:val="none"/>
              </w:rPr>
            </w:pPr>
          </w:p>
        </w:tc>
      </w:tr>
      <w:tr w14:paraId="761196B0">
        <w:tblPrEx>
          <w:tblCellMar>
            <w:top w:w="0" w:type="dxa"/>
            <w:left w:w="108" w:type="dxa"/>
            <w:bottom w:w="0" w:type="dxa"/>
            <w:right w:w="108" w:type="dxa"/>
          </w:tblCellMar>
        </w:tblPrEx>
        <w:trPr>
          <w:jc w:val="center"/>
        </w:trPr>
        <w:tc>
          <w:tcPr>
            <w:tcW w:w="1601" w:type="dxa"/>
            <w:vAlign w:val="bottom"/>
          </w:tcPr>
          <w:p w14:paraId="3710180E">
            <w:pPr>
              <w:pageBreakBefore w:val="0"/>
              <w:wordWrap w:val="0"/>
              <w:overflowPunct/>
              <w:topLinePunct w:val="0"/>
              <w:bidi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投标人名称：</w:t>
            </w:r>
          </w:p>
        </w:tc>
        <w:tc>
          <w:tcPr>
            <w:tcW w:w="6172" w:type="dxa"/>
            <w:tcBorders>
              <w:top w:val="single" w:color="000000" w:sz="4" w:space="0"/>
              <w:left w:val="nil"/>
              <w:bottom w:val="single" w:color="000000" w:sz="4" w:space="0"/>
              <w:right w:val="nil"/>
            </w:tcBorders>
            <w:vAlign w:val="bottom"/>
          </w:tcPr>
          <w:p w14:paraId="4110EF85">
            <w:pPr>
              <w:pageBreakBefore w:val="0"/>
              <w:wordWrap w:val="0"/>
              <w:overflowPunct/>
              <w:topLinePunct w:val="0"/>
              <w:bidi w:val="0"/>
              <w:spacing w:line="360" w:lineRule="auto"/>
              <w:jc w:val="left"/>
              <w:rPr>
                <w:rFonts w:ascii="宋体" w:hAnsi="宋体" w:cs="宋体"/>
                <w:color w:val="auto"/>
                <w:sz w:val="24"/>
                <w:highlight w:val="none"/>
              </w:rPr>
            </w:pPr>
          </w:p>
        </w:tc>
      </w:tr>
      <w:tr w14:paraId="21541CDC">
        <w:tblPrEx>
          <w:tblCellMar>
            <w:top w:w="0" w:type="dxa"/>
            <w:left w:w="108" w:type="dxa"/>
            <w:bottom w:w="0" w:type="dxa"/>
            <w:right w:w="108" w:type="dxa"/>
          </w:tblCellMar>
        </w:tblPrEx>
        <w:trPr>
          <w:jc w:val="center"/>
        </w:trPr>
        <w:tc>
          <w:tcPr>
            <w:tcW w:w="1601" w:type="dxa"/>
            <w:vAlign w:val="bottom"/>
          </w:tcPr>
          <w:p w14:paraId="1A9774B1">
            <w:pPr>
              <w:pageBreakBefore w:val="0"/>
              <w:wordWrap w:val="0"/>
              <w:overflowPunct/>
              <w:topLinePunct w:val="0"/>
              <w:bidi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投标人地址：</w:t>
            </w:r>
          </w:p>
        </w:tc>
        <w:tc>
          <w:tcPr>
            <w:tcW w:w="6172" w:type="dxa"/>
            <w:tcBorders>
              <w:top w:val="single" w:color="000000" w:sz="4" w:space="0"/>
              <w:left w:val="nil"/>
              <w:bottom w:val="single" w:color="000000" w:sz="4" w:space="0"/>
              <w:right w:val="nil"/>
            </w:tcBorders>
            <w:vAlign w:val="bottom"/>
          </w:tcPr>
          <w:p w14:paraId="3343EE36">
            <w:pPr>
              <w:pageBreakBefore w:val="0"/>
              <w:wordWrap w:val="0"/>
              <w:overflowPunct/>
              <w:topLinePunct w:val="0"/>
              <w:bidi w:val="0"/>
              <w:spacing w:line="360" w:lineRule="auto"/>
              <w:jc w:val="left"/>
              <w:rPr>
                <w:rFonts w:ascii="宋体" w:hAnsi="宋体" w:cs="宋体"/>
                <w:color w:val="auto"/>
                <w:sz w:val="24"/>
                <w:highlight w:val="none"/>
              </w:rPr>
            </w:pPr>
          </w:p>
        </w:tc>
      </w:tr>
    </w:tbl>
    <w:p w14:paraId="1F98426F">
      <w:pPr>
        <w:pageBreakBefore w:val="0"/>
        <w:wordWrap w:val="0"/>
        <w:overflowPunct/>
        <w:topLinePunct w:val="0"/>
        <w:bidi w:val="0"/>
        <w:spacing w:line="360" w:lineRule="auto"/>
        <w:ind w:firstLine="4200" w:firstLineChars="1750"/>
        <w:rPr>
          <w:rFonts w:ascii="宋体" w:hAnsi="宋体" w:cs="宋体"/>
          <w:color w:val="auto"/>
          <w:sz w:val="24"/>
          <w:highlight w:val="none"/>
        </w:rPr>
      </w:pPr>
    </w:p>
    <w:p w14:paraId="182CED33">
      <w:pPr>
        <w:pageBreakBefore w:val="0"/>
        <w:wordWrap w:val="0"/>
        <w:overflowPunct/>
        <w:topLinePunct w:val="0"/>
        <w:bidi w:val="0"/>
        <w:spacing w:line="360" w:lineRule="auto"/>
        <w:ind w:firstLine="4200" w:firstLineChars="1750"/>
        <w:rPr>
          <w:rFonts w:ascii="宋体" w:hAnsi="宋体" w:cs="宋体"/>
          <w:color w:val="auto"/>
          <w:sz w:val="24"/>
          <w:highlight w:val="none"/>
        </w:rPr>
      </w:pPr>
    </w:p>
    <w:p w14:paraId="2A6B19B5">
      <w:pPr>
        <w:pageBreakBefore w:val="0"/>
        <w:wordWrap w:val="0"/>
        <w:overflowPunct/>
        <w:topLinePunct w:val="0"/>
        <w:bidi w:val="0"/>
        <w:spacing w:line="360" w:lineRule="auto"/>
        <w:ind w:firstLine="4200" w:firstLineChars="1750"/>
        <w:rPr>
          <w:rFonts w:ascii="宋体" w:hAnsi="宋体" w:cs="宋体"/>
          <w:color w:val="auto"/>
          <w:sz w:val="24"/>
          <w:highlight w:val="none"/>
        </w:rPr>
      </w:pPr>
    </w:p>
    <w:p w14:paraId="679A5D40">
      <w:pPr>
        <w:pageBreakBefore w:val="0"/>
        <w:wordWrap w:val="0"/>
        <w:overflowPunct/>
        <w:topLinePunct w:val="0"/>
        <w:bidi w:val="0"/>
        <w:spacing w:line="360" w:lineRule="auto"/>
        <w:ind w:firstLine="5880" w:firstLineChars="2450"/>
        <w:rPr>
          <w:rFonts w:ascii="宋体" w:hAnsi="宋体" w:cs="宋体"/>
          <w:color w:val="auto"/>
          <w:sz w:val="24"/>
          <w:highlight w:val="none"/>
        </w:rPr>
      </w:pPr>
      <w:r>
        <w:rPr>
          <w:rFonts w:hint="eastAsia" w:ascii="宋体" w:hAnsi="宋体" w:cs="宋体"/>
          <w:color w:val="auto"/>
          <w:sz w:val="24"/>
          <w:highlight w:val="none"/>
        </w:rPr>
        <w:t>投标截止时间前不得解密</w:t>
      </w:r>
    </w:p>
    <w:p w14:paraId="5732DDF0">
      <w:pPr>
        <w:pageBreakBefore w:val="0"/>
        <w:wordWrap w:val="0"/>
        <w:overflowPunct/>
        <w:topLinePunct w:val="0"/>
        <w:bidi w:val="0"/>
        <w:spacing w:line="360" w:lineRule="auto"/>
        <w:ind w:firstLine="6480" w:firstLineChars="2700"/>
        <w:rPr>
          <w:rFonts w:ascii="宋体" w:hAnsi="宋体" w:cs="宋体"/>
          <w:color w:val="auto"/>
          <w:sz w:val="24"/>
          <w:highlight w:val="none"/>
        </w:rPr>
      </w:pPr>
      <w:r>
        <w:rPr>
          <w:rFonts w:hint="eastAsia" w:ascii="宋体" w:hAnsi="宋体" w:cs="宋体"/>
          <w:color w:val="auto"/>
          <w:sz w:val="24"/>
          <w:highlight w:val="none"/>
        </w:rPr>
        <w:t>年   月   日</w:t>
      </w:r>
    </w:p>
    <w:p w14:paraId="68C1864B">
      <w:pPr>
        <w:pageBreakBefore w:val="0"/>
        <w:widowControl/>
        <w:wordWrap w:val="0"/>
        <w:overflowPunct/>
        <w:topLinePunct w:val="0"/>
        <w:bidi w:val="0"/>
        <w:spacing w:line="360" w:lineRule="auto"/>
        <w:jc w:val="left"/>
        <w:rPr>
          <w:rFonts w:ascii="宋体" w:hAnsi="宋体" w:cs="宋体"/>
          <w:color w:val="auto"/>
          <w:sz w:val="24"/>
          <w:highlight w:val="none"/>
        </w:rPr>
        <w:sectPr>
          <w:pgSz w:w="11907" w:h="16840"/>
          <w:pgMar w:top="1440" w:right="1080" w:bottom="1440" w:left="1080" w:header="720" w:footer="720" w:gutter="0"/>
          <w:pgNumType w:fmt="decimal"/>
          <w:cols w:space="720" w:num="1"/>
        </w:sectPr>
      </w:pPr>
    </w:p>
    <w:p w14:paraId="3C8D8786">
      <w:pPr>
        <w:pStyle w:val="12"/>
        <w:pageBreakBefore w:val="0"/>
        <w:wordWrap w:val="0"/>
        <w:overflowPunct/>
        <w:topLinePunct w:val="0"/>
        <w:bidi w:val="0"/>
        <w:spacing w:line="360" w:lineRule="auto"/>
        <w:jc w:val="center"/>
        <w:outlineLvl w:val="1"/>
        <w:rPr>
          <w:rFonts w:hAnsi="宋体" w:cs="宋体"/>
          <w:b/>
          <w:bCs/>
          <w:color w:val="auto"/>
          <w:sz w:val="28"/>
          <w:szCs w:val="28"/>
          <w:highlight w:val="none"/>
        </w:rPr>
      </w:pPr>
      <w:bookmarkStart w:id="274" w:name="_Toc20946"/>
      <w:r>
        <w:rPr>
          <w:rFonts w:hint="eastAsia" w:hAnsi="宋体" w:cs="宋体"/>
          <w:b/>
          <w:bCs/>
          <w:color w:val="auto"/>
          <w:sz w:val="28"/>
          <w:szCs w:val="28"/>
          <w:highlight w:val="none"/>
        </w:rPr>
        <w:t>第二节 资格证明文件格式</w:t>
      </w:r>
      <w:bookmarkEnd w:id="274"/>
    </w:p>
    <w:p w14:paraId="0CD6A8CC">
      <w:pPr>
        <w:pStyle w:val="12"/>
        <w:pageBreakBefore w:val="0"/>
        <w:wordWrap w:val="0"/>
        <w:overflowPunct/>
        <w:topLinePunct w:val="0"/>
        <w:bidi w:val="0"/>
        <w:spacing w:line="360" w:lineRule="auto"/>
        <w:ind w:firstLine="420"/>
        <w:rPr>
          <w:rFonts w:hAnsi="宋体" w:cs="宋体"/>
          <w:color w:val="auto"/>
          <w:sz w:val="30"/>
          <w:highlight w:val="none"/>
        </w:rPr>
      </w:pPr>
    </w:p>
    <w:p w14:paraId="6B28A896">
      <w:pPr>
        <w:pageBreakBefore w:val="0"/>
        <w:wordWrap w:val="0"/>
        <w:overflowPunct/>
        <w:topLinePunct w:val="0"/>
        <w:bidi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52A6A8F2">
      <w:pPr>
        <w:pageBreakBefore w:val="0"/>
        <w:wordWrap w:val="0"/>
        <w:overflowPunct/>
        <w:topLinePunct w:val="0"/>
        <w:bidi w:val="0"/>
        <w:snapToGrid w:val="0"/>
        <w:spacing w:line="360" w:lineRule="auto"/>
        <w:rPr>
          <w:rFonts w:ascii="宋体" w:hAnsi="宋体" w:cs="宋体"/>
          <w:color w:val="auto"/>
          <w:sz w:val="24"/>
          <w:szCs w:val="20"/>
          <w:highlight w:val="none"/>
        </w:rPr>
      </w:pPr>
    </w:p>
    <w:p w14:paraId="5111F2CB">
      <w:pPr>
        <w:pageBreakBefore w:val="0"/>
        <w:wordWrap w:val="0"/>
        <w:overflowPunct/>
        <w:topLinePunct w:val="0"/>
        <w:bidi w:val="0"/>
        <w:snapToGrid w:val="0"/>
        <w:spacing w:line="360" w:lineRule="auto"/>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资格证明文件（封面）</w:t>
      </w:r>
    </w:p>
    <w:p w14:paraId="00C1FF43">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4720C4B1">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3F4FA719">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3B57B95C">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55E38A17">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5F09DC4E">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03CD4BAD">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5FBFF008">
      <w:pPr>
        <w:pageBreakBefore w:val="0"/>
        <w:wordWrap w:val="0"/>
        <w:overflowPunct/>
        <w:topLinePunct w:val="0"/>
        <w:bidi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3DDFB934">
      <w:pPr>
        <w:pageBreakBefore w:val="0"/>
        <w:wordWrap w:val="0"/>
        <w:overflowPunct/>
        <w:topLinePunct w:val="0"/>
        <w:bidi w:val="0"/>
        <w:snapToGrid w:val="0"/>
        <w:spacing w:line="360" w:lineRule="auto"/>
        <w:ind w:firstLine="540" w:firstLineChars="225"/>
        <w:rPr>
          <w:rFonts w:ascii="宋体" w:hAnsi="宋体" w:cs="宋体"/>
          <w:bCs/>
          <w:color w:val="auto"/>
          <w:sz w:val="24"/>
          <w:szCs w:val="20"/>
          <w:highlight w:val="none"/>
        </w:rPr>
      </w:pPr>
    </w:p>
    <w:p w14:paraId="3DBE748F">
      <w:pPr>
        <w:pageBreakBefore w:val="0"/>
        <w:wordWrap w:val="0"/>
        <w:overflowPunct/>
        <w:topLinePunct w:val="0"/>
        <w:bidi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r>
        <w:rPr>
          <w:rFonts w:hint="eastAsia" w:ascii="宋体" w:hAnsi="宋体" w:cs="宋体"/>
          <w:color w:val="auto"/>
          <w:sz w:val="24"/>
          <w:highlight w:val="none"/>
        </w:rPr>
        <w:t xml:space="preserve"> </w:t>
      </w:r>
    </w:p>
    <w:p w14:paraId="6ECAA643">
      <w:pPr>
        <w:pageBreakBefore w:val="0"/>
        <w:wordWrap w:val="0"/>
        <w:overflowPunct/>
        <w:topLinePunct w:val="0"/>
        <w:bidi w:val="0"/>
        <w:snapToGrid w:val="0"/>
        <w:spacing w:line="360" w:lineRule="auto"/>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5A827858">
      <w:pPr>
        <w:pageBreakBefore w:val="0"/>
        <w:wordWrap w:val="0"/>
        <w:overflowPunct/>
        <w:topLinePunct w:val="0"/>
        <w:bidi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w:t>
      </w:r>
    </w:p>
    <w:p w14:paraId="14CEE210">
      <w:pPr>
        <w:pStyle w:val="2"/>
        <w:pageBreakBefore w:val="0"/>
        <w:wordWrap w:val="0"/>
        <w:overflowPunct/>
        <w:topLinePunct w:val="0"/>
        <w:bidi w:val="0"/>
        <w:snapToGrid w:val="0"/>
        <w:spacing w:line="360" w:lineRule="auto"/>
        <w:ind w:firstLine="540" w:firstLineChars="225"/>
        <w:rPr>
          <w:rFonts w:ascii="宋体" w:hAnsi="宋体" w:cs="宋体"/>
          <w:bCs/>
          <w:color w:val="auto"/>
          <w:sz w:val="24"/>
          <w:szCs w:val="24"/>
          <w:highlight w:val="none"/>
        </w:rPr>
      </w:pPr>
    </w:p>
    <w:p w14:paraId="425087F3">
      <w:pPr>
        <w:pStyle w:val="2"/>
        <w:pageBreakBefore w:val="0"/>
        <w:wordWrap w:val="0"/>
        <w:overflowPunct/>
        <w:topLinePunct w:val="0"/>
        <w:bidi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639C32EF">
      <w:pPr>
        <w:pStyle w:val="2"/>
        <w:pageBreakBefore w:val="0"/>
        <w:wordWrap w:val="0"/>
        <w:overflowPunct/>
        <w:topLinePunct w:val="0"/>
        <w:bidi w:val="0"/>
        <w:snapToGrid w:val="0"/>
        <w:spacing w:line="360" w:lineRule="auto"/>
        <w:ind w:firstLine="540" w:firstLineChars="225"/>
        <w:rPr>
          <w:rFonts w:ascii="宋体" w:hAnsi="宋体" w:cs="宋体"/>
          <w:bCs/>
          <w:color w:val="auto"/>
          <w:sz w:val="24"/>
          <w:szCs w:val="24"/>
          <w:highlight w:val="none"/>
        </w:rPr>
      </w:pPr>
    </w:p>
    <w:p w14:paraId="272C4F79">
      <w:pPr>
        <w:pStyle w:val="2"/>
        <w:pageBreakBefore w:val="0"/>
        <w:wordWrap w:val="0"/>
        <w:overflowPunct/>
        <w:topLinePunct w:val="0"/>
        <w:bidi w:val="0"/>
        <w:snapToGrid w:val="0"/>
        <w:spacing w:line="360" w:lineRule="auto"/>
        <w:ind w:firstLine="960" w:firstLineChars="400"/>
        <w:rPr>
          <w:rFonts w:ascii="宋体" w:hAnsi="宋体" w:cs="宋体"/>
          <w:bCs/>
          <w:color w:val="auto"/>
          <w:sz w:val="24"/>
          <w:szCs w:val="24"/>
          <w:highlight w:val="none"/>
        </w:rPr>
      </w:pPr>
    </w:p>
    <w:p w14:paraId="14AE99FF">
      <w:pPr>
        <w:pageBreakBefore w:val="0"/>
        <w:wordWrap w:val="0"/>
        <w:overflowPunct/>
        <w:topLinePunct w:val="0"/>
        <w:bidi w:val="0"/>
        <w:snapToGrid w:val="0"/>
        <w:spacing w:line="360" w:lineRule="auto"/>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14:paraId="339E8964">
      <w:pPr>
        <w:pageBreakBefore w:val="0"/>
        <w:widowControl/>
        <w:wordWrap w:val="0"/>
        <w:overflowPunct/>
        <w:topLinePunct w:val="0"/>
        <w:bidi w:val="0"/>
        <w:spacing w:line="360" w:lineRule="auto"/>
        <w:jc w:val="left"/>
        <w:rPr>
          <w:rFonts w:ascii="宋体" w:hAnsi="宋体" w:cs="宋体"/>
          <w:color w:val="auto"/>
          <w:sz w:val="30"/>
          <w:szCs w:val="20"/>
          <w:highlight w:val="none"/>
        </w:rPr>
        <w:sectPr>
          <w:pgSz w:w="11906" w:h="16838"/>
          <w:pgMar w:top="1440" w:right="1080" w:bottom="1440" w:left="1080" w:header="720" w:footer="720" w:gutter="0"/>
          <w:pgNumType w:fmt="decimal"/>
          <w:cols w:space="720" w:num="1"/>
          <w:docGrid w:type="lines" w:linePitch="331" w:charSpace="0"/>
        </w:sectPr>
      </w:pPr>
    </w:p>
    <w:p w14:paraId="555CE49C">
      <w:pPr>
        <w:pageBreakBefore w:val="0"/>
        <w:wordWrap w:val="0"/>
        <w:overflowPunct/>
        <w:topLinePunct w:val="0"/>
        <w:bidi w:val="0"/>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资格证明文件目录</w:t>
      </w:r>
    </w:p>
    <w:p w14:paraId="1C2B4C0C">
      <w:pPr>
        <w:pageBreakBefore w:val="0"/>
        <w:wordWrap w:val="0"/>
        <w:overflowPunct/>
        <w:topLinePunct w:val="0"/>
        <w:bidi w:val="0"/>
        <w:snapToGrid w:val="0"/>
        <w:spacing w:line="360" w:lineRule="auto"/>
        <w:rPr>
          <w:rFonts w:ascii="宋体" w:hAnsi="宋体" w:cs="宋体"/>
          <w:color w:val="auto"/>
          <w:kern w:val="0"/>
          <w:sz w:val="24"/>
          <w:highlight w:val="none"/>
        </w:rPr>
      </w:pPr>
    </w:p>
    <w:p w14:paraId="3AEC5A6C">
      <w:pPr>
        <w:pageBreakBefore w:val="0"/>
        <w:wordWrap w:val="0"/>
        <w:overflowPunct/>
        <w:topLinePunct w:val="0"/>
        <w:bidi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营业执照(或事业法人登记证或其他工商等登记证明材料)复印件（投标人为自然人的，须提供</w:t>
      </w:r>
      <w:r>
        <w:rPr>
          <w:rFonts w:hint="eastAsia" w:ascii="宋体" w:hAnsi="宋体" w:cs="宋体"/>
          <w:color w:val="auto"/>
          <w:kern w:val="0"/>
          <w:sz w:val="24"/>
          <w:highlight w:val="none"/>
        </w:rPr>
        <w:t>自然人的身份证明</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14:paraId="0FD99C7D">
      <w:pPr>
        <w:pageBreakBefore w:val="0"/>
        <w:wordWrap w:val="0"/>
        <w:overflowPunct/>
        <w:topLinePunct w:val="0"/>
        <w:bidi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二、符合参与政府采购活动的资格条件依法缴纳税收、社会保障资金等方面的材料…………………………………………………………………………………………（页码）</w:t>
      </w:r>
    </w:p>
    <w:p w14:paraId="14669DB9">
      <w:pPr>
        <w:pageBreakBefore w:val="0"/>
        <w:wordWrap w:val="0"/>
        <w:overflowPunct/>
        <w:topLinePunct w:val="0"/>
        <w:bidi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三、财务状况报告方面的材料…………………………………………………………（页码）</w:t>
      </w:r>
    </w:p>
    <w:p w14:paraId="68D5F56E">
      <w:pPr>
        <w:pageBreakBefore w:val="0"/>
        <w:wordWrap w:val="0"/>
        <w:overflowPunct/>
        <w:topLinePunct w:val="0"/>
        <w:bidi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四、投标人直接控股股东信息</w:t>
      </w:r>
      <w:r>
        <w:rPr>
          <w:rFonts w:hint="eastAsia" w:ascii="宋体" w:hAnsi="宋体" w:cs="宋体"/>
          <w:color w:val="auto"/>
          <w:sz w:val="24"/>
          <w:highlight w:val="none"/>
          <w:lang w:val="en-US" w:eastAsia="zh-CN"/>
        </w:rPr>
        <w:t>表</w:t>
      </w:r>
      <w:r>
        <w:rPr>
          <w:rFonts w:hint="eastAsia" w:ascii="宋体" w:hAnsi="宋体" w:cs="宋体"/>
          <w:color w:val="auto"/>
          <w:kern w:val="0"/>
          <w:sz w:val="24"/>
          <w:highlight w:val="none"/>
        </w:rPr>
        <w:t>…………………………………………………………（页码）</w:t>
      </w:r>
    </w:p>
    <w:p w14:paraId="039AF394">
      <w:pPr>
        <w:pageBreakBefore w:val="0"/>
        <w:wordWrap w:val="0"/>
        <w:overflowPunct/>
        <w:topLinePunct w:val="0"/>
        <w:bidi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五、投标人直接管理关系信息表</w:t>
      </w:r>
      <w:r>
        <w:rPr>
          <w:rFonts w:hint="eastAsia" w:ascii="宋体" w:hAnsi="宋体" w:cs="宋体"/>
          <w:color w:val="auto"/>
          <w:kern w:val="0"/>
          <w:sz w:val="24"/>
          <w:highlight w:val="none"/>
        </w:rPr>
        <w:t>………………………………………………………（页码）</w:t>
      </w:r>
    </w:p>
    <w:p w14:paraId="43B80EA0">
      <w:pPr>
        <w:pageBreakBefore w:val="0"/>
        <w:wordWrap w:val="0"/>
        <w:overflowPunct/>
        <w:topLinePunct w:val="0"/>
        <w:bidi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六、投标资格声明函……………………………………………………………………（页码）</w:t>
      </w:r>
    </w:p>
    <w:p w14:paraId="07985FD9">
      <w:pPr>
        <w:pageBreakBefore w:val="0"/>
        <w:wordWrap w:val="0"/>
        <w:overflowPunct/>
        <w:topLinePunct w:val="0"/>
        <w:bidi w:val="0"/>
        <w:snapToGrid w:val="0"/>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七、</w:t>
      </w:r>
      <w:r>
        <w:rPr>
          <w:rFonts w:hint="eastAsia" w:ascii="宋体" w:hAnsi="宋体" w:cs="宋体"/>
          <w:color w:val="auto"/>
          <w:kern w:val="0"/>
          <w:sz w:val="24"/>
          <w:highlight w:val="none"/>
        </w:rPr>
        <w:t>中小企业声明函……………………………………………………………………（页码）</w:t>
      </w:r>
    </w:p>
    <w:p w14:paraId="46D5F4A9">
      <w:pPr>
        <w:pageBreakBefore w:val="0"/>
        <w:wordWrap w:val="0"/>
        <w:overflowPunct/>
        <w:topLinePunct w:val="0"/>
        <w:bidi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八、</w:t>
      </w:r>
      <w:r>
        <w:rPr>
          <w:rFonts w:hint="eastAsia" w:ascii="宋体" w:hAnsi="宋体" w:cs="宋体"/>
          <w:color w:val="auto"/>
          <w:kern w:val="0"/>
          <w:sz w:val="24"/>
          <w:highlight w:val="none"/>
        </w:rPr>
        <w:t>联合体协议书（</w:t>
      </w:r>
      <w:r>
        <w:rPr>
          <w:rFonts w:hint="eastAsia" w:ascii="宋体" w:hAnsi="宋体" w:cs="宋体"/>
          <w:color w:val="auto"/>
          <w:sz w:val="24"/>
          <w:highlight w:val="none"/>
        </w:rPr>
        <w:t>以联合体形式投标的，提供联合体协议；本项目不接受联合体投标或者投标人不以联合体形式投标的，则不需要提供</w:t>
      </w:r>
      <w:r>
        <w:rPr>
          <w:rFonts w:hint="eastAsia" w:ascii="宋体" w:hAnsi="宋体" w:cs="宋体"/>
          <w:color w:val="auto"/>
          <w:kern w:val="0"/>
          <w:sz w:val="24"/>
          <w:highlight w:val="none"/>
        </w:rPr>
        <w:t>）………………………………………（页码）</w:t>
      </w:r>
    </w:p>
    <w:p w14:paraId="6C42F336">
      <w:pPr>
        <w:keepLines/>
        <w:pageBreakBefore w:val="0"/>
        <w:numPr>
          <w:ilvl w:val="0"/>
          <w:numId w:val="0"/>
        </w:numPr>
        <w:wordWrap w:val="0"/>
        <w:overflowPunct/>
        <w:topLinePunct w:val="0"/>
        <w:bidi w:val="0"/>
        <w:snapToGrid w:val="0"/>
        <w:spacing w:line="360" w:lineRule="auto"/>
        <w:jc w:val="left"/>
        <w:rPr>
          <w:rFonts w:hint="eastAsia" w:ascii="宋体" w:hAnsi="宋体"/>
          <w:color w:val="auto"/>
          <w:sz w:val="24"/>
          <w:highlight w:val="none"/>
        </w:rPr>
      </w:pPr>
      <w:r>
        <w:rPr>
          <w:rFonts w:hint="eastAsia" w:ascii="宋体" w:hAnsi="宋体"/>
          <w:color w:val="auto"/>
          <w:sz w:val="24"/>
          <w:highlight w:val="none"/>
          <w:lang w:val="en-US" w:eastAsia="zh-CN"/>
        </w:rPr>
        <w:t>九、</w:t>
      </w:r>
      <w:r>
        <w:rPr>
          <w:rFonts w:hint="eastAsia" w:ascii="宋体" w:hAnsi="宋体"/>
          <w:color w:val="auto"/>
          <w:sz w:val="24"/>
          <w:highlight w:val="none"/>
        </w:rPr>
        <w:t>除招标文件规定必须提供以外，投标人认为需要提供的其他证明材料</w:t>
      </w:r>
      <w:r>
        <w:rPr>
          <w:rFonts w:hint="eastAsia" w:ascii="宋体" w:hAnsi="宋体" w:cs="宋体"/>
          <w:color w:val="auto"/>
          <w:kern w:val="0"/>
          <w:sz w:val="24"/>
          <w:highlight w:val="none"/>
        </w:rPr>
        <w:t>………（页码）</w:t>
      </w:r>
    </w:p>
    <w:p w14:paraId="4020A018">
      <w:pPr>
        <w:keepLines/>
        <w:pageBreakBefore w:val="0"/>
        <w:numPr>
          <w:ilvl w:val="0"/>
          <w:numId w:val="0"/>
        </w:numPr>
        <w:wordWrap w:val="0"/>
        <w:overflowPunct/>
        <w:topLinePunct w:val="0"/>
        <w:bidi w:val="0"/>
        <w:snapToGri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30FB20B9">
      <w:pPr>
        <w:pageBreakBefore w:val="0"/>
        <w:widowControl/>
        <w:wordWrap w:val="0"/>
        <w:overflowPunct/>
        <w:topLinePunct w:val="0"/>
        <w:bidi w:val="0"/>
        <w:spacing w:line="360" w:lineRule="auto"/>
        <w:jc w:val="left"/>
        <w:rPr>
          <w:rFonts w:ascii="宋体" w:hAnsi="宋体" w:cs="宋体"/>
          <w:color w:val="auto"/>
          <w:sz w:val="30"/>
          <w:szCs w:val="20"/>
          <w:highlight w:val="none"/>
        </w:rPr>
        <w:sectPr>
          <w:pgSz w:w="11906" w:h="16838"/>
          <w:pgMar w:top="1440" w:right="1080" w:bottom="1440" w:left="1080" w:header="720" w:footer="720" w:gutter="0"/>
          <w:pgNumType w:fmt="decimal"/>
          <w:cols w:space="720" w:num="1"/>
          <w:docGrid w:type="lines" w:linePitch="331" w:charSpace="0"/>
        </w:sectPr>
      </w:pPr>
    </w:p>
    <w:p w14:paraId="43EDB227">
      <w:pPr>
        <w:pageBreakBefore w:val="0"/>
        <w:wordWrap w:val="0"/>
        <w:overflowPunct/>
        <w:topLinePunct w:val="0"/>
        <w:bidi w:val="0"/>
        <w:snapToGrid w:val="0"/>
        <w:spacing w:line="360" w:lineRule="auto"/>
        <w:rPr>
          <w:rFonts w:ascii="宋体" w:hAnsi="宋体" w:cs="宋体"/>
          <w:b/>
          <w:color w:val="auto"/>
          <w:kern w:val="0"/>
          <w:sz w:val="32"/>
          <w:szCs w:val="32"/>
          <w:highlight w:val="none"/>
          <w:lang w:val="zh-CN"/>
        </w:rPr>
      </w:pPr>
    </w:p>
    <w:p w14:paraId="32519D10">
      <w:pPr>
        <w:pageBreakBefore w:val="0"/>
        <w:wordWrap w:val="0"/>
        <w:overflowPunct/>
        <w:topLinePunct w:val="0"/>
        <w:bidi w:val="0"/>
        <w:spacing w:line="360" w:lineRule="auto"/>
        <w:jc w:val="center"/>
        <w:rPr>
          <w:rFonts w:ascii="宋体" w:hAnsi="宋体" w:cs="宋体"/>
          <w:b/>
          <w:color w:val="auto"/>
          <w:sz w:val="30"/>
          <w:szCs w:val="30"/>
          <w:highlight w:val="none"/>
        </w:rPr>
      </w:pPr>
      <w:r>
        <w:rPr>
          <w:rFonts w:hint="eastAsia" w:ascii="宋体" w:hAnsi="宋体" w:cs="宋体"/>
          <w:b/>
          <w:color w:val="auto"/>
          <w:kern w:val="0"/>
          <w:sz w:val="32"/>
          <w:szCs w:val="32"/>
          <w:highlight w:val="none"/>
          <w:lang w:val="zh-CN"/>
        </w:rPr>
        <w:t>一、</w:t>
      </w:r>
      <w:r>
        <w:rPr>
          <w:rFonts w:hint="eastAsia" w:ascii="宋体" w:hAnsi="宋体" w:cs="宋体"/>
          <w:b/>
          <w:color w:val="auto"/>
          <w:sz w:val="30"/>
          <w:szCs w:val="30"/>
          <w:highlight w:val="none"/>
        </w:rPr>
        <w:t>营业执照(或事业法人登记证或其他工商等登记证明材料)复印件（投标人为自然人的，提供自然人的身份证明）</w:t>
      </w:r>
    </w:p>
    <w:p w14:paraId="789F2ECB">
      <w:pPr>
        <w:pageBreakBefore w:val="0"/>
        <w:wordWrap w:val="0"/>
        <w:overflowPunct/>
        <w:topLinePunct w:val="0"/>
        <w:bidi w:val="0"/>
        <w:spacing w:line="360" w:lineRule="auto"/>
        <w:rPr>
          <w:rFonts w:ascii="宋体" w:hAnsi="宋体" w:cs="宋体"/>
          <w:b/>
          <w:color w:val="auto"/>
          <w:sz w:val="30"/>
          <w:szCs w:val="30"/>
          <w:highlight w:val="none"/>
        </w:rPr>
      </w:pPr>
    </w:p>
    <w:p w14:paraId="34CD461F">
      <w:pPr>
        <w:pageBreakBefore w:val="0"/>
        <w:wordWrap w:val="0"/>
        <w:overflowPunct/>
        <w:topLinePunct w:val="0"/>
        <w:bidi w:val="0"/>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投标人名称(电子签章)：                              </w:t>
      </w:r>
    </w:p>
    <w:p w14:paraId="622C5A53">
      <w:pPr>
        <w:pageBreakBefore w:val="0"/>
        <w:wordWrap w:val="0"/>
        <w:overflowPunct/>
        <w:topLinePunct w:val="0"/>
        <w:bidi w:val="0"/>
        <w:spacing w:line="360" w:lineRule="auto"/>
        <w:jc w:val="center"/>
        <w:rPr>
          <w:rFonts w:ascii="宋体" w:hAnsi="宋体" w:cs="宋体"/>
          <w:b/>
          <w:color w:val="auto"/>
          <w:sz w:val="30"/>
          <w:szCs w:val="30"/>
          <w:highlight w:val="none"/>
        </w:rPr>
      </w:pPr>
      <w:r>
        <w:rPr>
          <w:rFonts w:hint="eastAsia" w:ascii="宋体" w:hAnsi="宋体" w:cs="宋体"/>
          <w:color w:val="auto"/>
          <w:kern w:val="0"/>
          <w:sz w:val="24"/>
          <w:highlight w:val="none"/>
          <w:lang w:val="zh-CN"/>
        </w:rPr>
        <w:t xml:space="preserve">                   日期：  年  月</w:t>
      </w:r>
    </w:p>
    <w:p w14:paraId="0EE43178">
      <w:pPr>
        <w:pageBreakBefore w:val="0"/>
        <w:wordWrap w:val="0"/>
        <w:overflowPunct/>
        <w:topLinePunct w:val="0"/>
        <w:bidi w:val="0"/>
        <w:spacing w:line="360" w:lineRule="auto"/>
        <w:jc w:val="center"/>
        <w:rPr>
          <w:rFonts w:ascii="宋体" w:hAnsi="宋体" w:cs="宋体"/>
          <w:b/>
          <w:color w:val="auto"/>
          <w:sz w:val="30"/>
          <w:szCs w:val="30"/>
          <w:highlight w:val="none"/>
        </w:rPr>
      </w:pPr>
    </w:p>
    <w:p w14:paraId="4F9AE1C7">
      <w:pPr>
        <w:pageBreakBefore w:val="0"/>
        <w:wordWrap w:val="0"/>
        <w:overflowPunct/>
        <w:topLinePunct w:val="0"/>
        <w:bidi w:val="0"/>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sz w:val="30"/>
          <w:szCs w:val="30"/>
          <w:highlight w:val="none"/>
        </w:rPr>
        <w:t>二、</w:t>
      </w:r>
      <w:r>
        <w:rPr>
          <w:rFonts w:hint="eastAsia" w:ascii="宋体" w:hAnsi="宋体" w:cs="宋体"/>
          <w:b/>
          <w:color w:val="auto"/>
          <w:kern w:val="0"/>
          <w:sz w:val="32"/>
          <w:szCs w:val="32"/>
          <w:highlight w:val="none"/>
        </w:rPr>
        <w:t>符合参与政府采购活动的资格条件依法缴纳税收、社会保障资金等方面的材料</w:t>
      </w:r>
    </w:p>
    <w:p w14:paraId="7013B145">
      <w:pPr>
        <w:pageBreakBefore w:val="0"/>
        <w:wordWrap w:val="0"/>
        <w:overflowPunct/>
        <w:topLinePunct w:val="0"/>
        <w:bidi w:val="0"/>
        <w:snapToGrid w:val="0"/>
        <w:spacing w:line="360" w:lineRule="auto"/>
        <w:ind w:firstLine="480" w:firstLineChars="200"/>
        <w:rPr>
          <w:rFonts w:ascii="宋体" w:hAnsi="宋体" w:cs="宋体"/>
          <w:color w:val="auto"/>
          <w:sz w:val="24"/>
          <w:highlight w:val="none"/>
        </w:rPr>
      </w:pPr>
    </w:p>
    <w:p w14:paraId="64A8D0A8">
      <w:pPr>
        <w:pageBreakBefore w:val="0"/>
        <w:wordWrap w:val="0"/>
        <w:overflowPunct/>
        <w:topLinePunct w:val="0"/>
        <w:bidi w:val="0"/>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59ECD6C">
      <w:pPr>
        <w:pageBreakBefore w:val="0"/>
        <w:wordWrap w:val="0"/>
        <w:overflowPunct/>
        <w:topLinePunct w:val="0"/>
        <w:bidi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w:t>
      </w:r>
    </w:p>
    <w:p w14:paraId="325AA5DA">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2714029">
      <w:pPr>
        <w:pageBreakBefore w:val="0"/>
        <w:wordWrap w:val="0"/>
        <w:overflowPunct/>
        <w:topLinePunct w:val="0"/>
        <w:bidi w:val="0"/>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sz w:val="30"/>
          <w:szCs w:val="30"/>
          <w:highlight w:val="none"/>
        </w:rPr>
        <w:t>三、</w:t>
      </w:r>
      <w:r>
        <w:rPr>
          <w:rFonts w:hint="eastAsia" w:ascii="宋体" w:hAnsi="宋体" w:cs="宋体"/>
          <w:b/>
          <w:color w:val="auto"/>
          <w:kern w:val="0"/>
          <w:sz w:val="32"/>
          <w:szCs w:val="32"/>
          <w:highlight w:val="none"/>
        </w:rPr>
        <w:t>财务状况报告方面的材料</w:t>
      </w:r>
    </w:p>
    <w:p w14:paraId="36C1786D">
      <w:pPr>
        <w:pageBreakBefore w:val="0"/>
        <w:wordWrap w:val="0"/>
        <w:overflowPunct/>
        <w:topLinePunct w:val="0"/>
        <w:bidi w:val="0"/>
        <w:snapToGrid w:val="0"/>
        <w:spacing w:line="360" w:lineRule="auto"/>
        <w:ind w:firstLine="480" w:firstLineChars="200"/>
        <w:rPr>
          <w:rFonts w:ascii="宋体" w:hAnsi="宋体" w:cs="宋体"/>
          <w:color w:val="auto"/>
          <w:sz w:val="24"/>
          <w:highlight w:val="none"/>
        </w:rPr>
      </w:pPr>
    </w:p>
    <w:p w14:paraId="7C046CB5">
      <w:pPr>
        <w:pageBreakBefore w:val="0"/>
        <w:wordWrap w:val="0"/>
        <w:overflowPunct/>
        <w:topLinePunct w:val="0"/>
        <w:bidi w:val="0"/>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BDD0A01">
      <w:pPr>
        <w:pageBreakBefore w:val="0"/>
        <w:wordWrap w:val="0"/>
        <w:overflowPunct/>
        <w:topLinePunct w:val="0"/>
        <w:bidi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w:t>
      </w:r>
    </w:p>
    <w:p w14:paraId="38653FDD">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790DC4D">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p>
    <w:p w14:paraId="5AFA61A0">
      <w:pPr>
        <w:pageBreakBefore w:val="0"/>
        <w:wordWrap w:val="0"/>
        <w:overflowPunct/>
        <w:topLinePunct w:val="0"/>
        <w:bidi w:val="0"/>
        <w:snapToGrid w:val="0"/>
        <w:spacing w:line="360" w:lineRule="auto"/>
        <w:ind w:right="480"/>
        <w:jc w:val="center"/>
        <w:rPr>
          <w:rFonts w:ascii="宋体" w:hAnsi="宋体" w:cs="宋体"/>
          <w:b/>
          <w:color w:val="auto"/>
          <w:kern w:val="0"/>
          <w:sz w:val="32"/>
          <w:szCs w:val="32"/>
          <w:highlight w:val="none"/>
          <w:lang w:val="zh-CN"/>
        </w:rPr>
      </w:pPr>
    </w:p>
    <w:p w14:paraId="7D3B3848">
      <w:pPr>
        <w:pageBreakBefore w:val="0"/>
        <w:wordWrap w:val="0"/>
        <w:overflowPunct/>
        <w:topLinePunct w:val="0"/>
        <w:bidi w:val="0"/>
        <w:snapToGrid w:val="0"/>
        <w:spacing w:line="360" w:lineRule="auto"/>
        <w:ind w:right="480"/>
        <w:jc w:val="center"/>
        <w:rPr>
          <w:rFonts w:ascii="宋体" w:hAnsi="宋体" w:cs="宋体"/>
          <w:b/>
          <w:color w:val="auto"/>
          <w:sz w:val="28"/>
          <w:szCs w:val="28"/>
          <w:highlight w:val="none"/>
        </w:rPr>
      </w:pPr>
      <w:r>
        <w:rPr>
          <w:rFonts w:hint="eastAsia" w:ascii="宋体" w:hAnsi="宋体" w:cs="宋体"/>
          <w:b/>
          <w:color w:val="auto"/>
          <w:kern w:val="0"/>
          <w:sz w:val="32"/>
          <w:szCs w:val="32"/>
          <w:highlight w:val="none"/>
        </w:rPr>
        <w:br w:type="page"/>
      </w:r>
    </w:p>
    <w:p w14:paraId="730CADF5">
      <w:pPr>
        <w:pageBreakBefore w:val="0"/>
        <w:wordWrap w:val="0"/>
        <w:overflowPunct/>
        <w:topLinePunct w:val="0"/>
        <w:bidi w:val="0"/>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四、投标人直接控股股东信息表</w:t>
      </w:r>
    </w:p>
    <w:tbl>
      <w:tblPr>
        <w:tblStyle w:val="19"/>
        <w:tblW w:w="9476" w:type="dxa"/>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601CBD28">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182AB82">
            <w:pPr>
              <w:pageBreakBefore w:val="0"/>
              <w:wordWrap w:val="0"/>
              <w:overflowPunct/>
              <w:topLinePunct w:val="0"/>
              <w:bidi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DEFE225">
            <w:pPr>
              <w:pageBreakBefore w:val="0"/>
              <w:wordWrap w:val="0"/>
              <w:overflowPunct/>
              <w:topLinePunct w:val="0"/>
              <w:bidi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34A150E">
            <w:pPr>
              <w:pageBreakBefore w:val="0"/>
              <w:wordWrap w:val="0"/>
              <w:overflowPunct/>
              <w:topLinePunct w:val="0"/>
              <w:bidi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F4361EC">
            <w:pPr>
              <w:pageBreakBefore w:val="0"/>
              <w:wordWrap w:val="0"/>
              <w:overflowPunct/>
              <w:topLinePunct w:val="0"/>
              <w:bidi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8FE5A03">
            <w:pPr>
              <w:pageBreakBefore w:val="0"/>
              <w:wordWrap w:val="0"/>
              <w:overflowPunct/>
              <w:topLinePunct w:val="0"/>
              <w:bidi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F71556A">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70A731">
            <w:pPr>
              <w:pageBreakBefore w:val="0"/>
              <w:wordWrap w:val="0"/>
              <w:overflowPunct/>
              <w:topLinePunct w:val="0"/>
              <w:bidi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1C6829">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5090E2">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F0EDF9">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0913E6">
            <w:pPr>
              <w:pageBreakBefore w:val="0"/>
              <w:wordWrap w:val="0"/>
              <w:overflowPunct/>
              <w:topLinePunct w:val="0"/>
              <w:bidi w:val="0"/>
              <w:spacing w:line="360" w:lineRule="auto"/>
              <w:jc w:val="center"/>
              <w:rPr>
                <w:rFonts w:ascii="宋体" w:hAnsi="宋体" w:cs="宋体"/>
                <w:color w:val="auto"/>
                <w:kern w:val="0"/>
                <w:sz w:val="24"/>
                <w:highlight w:val="none"/>
              </w:rPr>
            </w:pPr>
          </w:p>
        </w:tc>
      </w:tr>
      <w:tr w14:paraId="7F55E6C0">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52DDD8">
            <w:pPr>
              <w:pageBreakBefore w:val="0"/>
              <w:wordWrap w:val="0"/>
              <w:overflowPunct/>
              <w:topLinePunct w:val="0"/>
              <w:bidi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C8442F">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43A0CC">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145A9B">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2898F7">
            <w:pPr>
              <w:pageBreakBefore w:val="0"/>
              <w:wordWrap w:val="0"/>
              <w:overflowPunct/>
              <w:topLinePunct w:val="0"/>
              <w:bidi w:val="0"/>
              <w:spacing w:line="360" w:lineRule="auto"/>
              <w:jc w:val="center"/>
              <w:rPr>
                <w:rFonts w:ascii="宋体" w:hAnsi="宋体" w:cs="宋体"/>
                <w:color w:val="auto"/>
                <w:kern w:val="0"/>
                <w:sz w:val="24"/>
                <w:highlight w:val="none"/>
              </w:rPr>
            </w:pPr>
          </w:p>
        </w:tc>
      </w:tr>
      <w:tr w14:paraId="1E1C2B02">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B38052">
            <w:pPr>
              <w:pageBreakBefore w:val="0"/>
              <w:wordWrap w:val="0"/>
              <w:overflowPunct/>
              <w:topLinePunct w:val="0"/>
              <w:bidi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6524D5">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1F18E9">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F97FBB">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6039EE">
            <w:pPr>
              <w:pageBreakBefore w:val="0"/>
              <w:wordWrap w:val="0"/>
              <w:overflowPunct/>
              <w:topLinePunct w:val="0"/>
              <w:bidi w:val="0"/>
              <w:spacing w:line="360" w:lineRule="auto"/>
              <w:jc w:val="center"/>
              <w:rPr>
                <w:rFonts w:ascii="宋体" w:hAnsi="宋体" w:cs="宋体"/>
                <w:color w:val="auto"/>
                <w:kern w:val="0"/>
                <w:sz w:val="24"/>
                <w:highlight w:val="none"/>
              </w:rPr>
            </w:pPr>
          </w:p>
        </w:tc>
      </w:tr>
      <w:tr w14:paraId="459CB69B">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1D972B">
            <w:pPr>
              <w:pageBreakBefore w:val="0"/>
              <w:wordWrap w:val="0"/>
              <w:overflowPunct/>
              <w:topLinePunct w:val="0"/>
              <w:bidi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54F046">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A021BC">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4AC461">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D73965">
            <w:pPr>
              <w:pageBreakBefore w:val="0"/>
              <w:wordWrap w:val="0"/>
              <w:overflowPunct/>
              <w:topLinePunct w:val="0"/>
              <w:bidi w:val="0"/>
              <w:spacing w:line="360" w:lineRule="auto"/>
              <w:jc w:val="center"/>
              <w:rPr>
                <w:rFonts w:ascii="宋体" w:hAnsi="宋体" w:cs="宋体"/>
                <w:color w:val="auto"/>
                <w:kern w:val="0"/>
                <w:sz w:val="24"/>
                <w:highlight w:val="none"/>
              </w:rPr>
            </w:pPr>
          </w:p>
        </w:tc>
      </w:tr>
    </w:tbl>
    <w:p w14:paraId="182559D3">
      <w:pPr>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6BECE4D8">
      <w:pPr>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38B458D">
      <w:pPr>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2CAC32C1">
      <w:pPr>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3BC7A6AB">
      <w:pPr>
        <w:pageBreakBefore w:val="0"/>
        <w:wordWrap w:val="0"/>
        <w:overflowPunct/>
        <w:topLinePunct w:val="0"/>
        <w:bidi w:val="0"/>
        <w:snapToGrid w:val="0"/>
        <w:spacing w:line="360" w:lineRule="auto"/>
        <w:jc w:val="left"/>
        <w:rPr>
          <w:rFonts w:ascii="宋体" w:hAnsi="宋体" w:cs="宋体"/>
          <w:color w:val="auto"/>
          <w:sz w:val="24"/>
          <w:highlight w:val="none"/>
        </w:rPr>
      </w:pPr>
    </w:p>
    <w:p w14:paraId="6E57D7A5">
      <w:pPr>
        <w:pageBreakBefore w:val="0"/>
        <w:wordWrap w:val="0"/>
        <w:overflowPunct/>
        <w:topLinePunct w:val="0"/>
        <w:bidi w:val="0"/>
        <w:snapToGrid w:val="0"/>
        <w:spacing w:line="360" w:lineRule="auto"/>
        <w:jc w:val="left"/>
        <w:rPr>
          <w:rFonts w:ascii="宋体" w:hAnsi="宋体" w:cs="宋体"/>
          <w:color w:val="auto"/>
          <w:sz w:val="24"/>
          <w:highlight w:val="none"/>
        </w:rPr>
      </w:pPr>
    </w:p>
    <w:p w14:paraId="140E86D8">
      <w:pPr>
        <w:pageBreakBefore w:val="0"/>
        <w:wordWrap w:val="0"/>
        <w:overflowPunct/>
        <w:topLinePunct w:val="0"/>
        <w:bidi w:val="0"/>
        <w:snapToGrid w:val="0"/>
        <w:spacing w:line="360" w:lineRule="auto"/>
        <w:jc w:val="left"/>
        <w:rPr>
          <w:rFonts w:ascii="宋体" w:hAnsi="宋体" w:cs="宋体"/>
          <w:color w:val="auto"/>
          <w:sz w:val="24"/>
          <w:highlight w:val="none"/>
        </w:rPr>
      </w:pPr>
    </w:p>
    <w:p w14:paraId="5CF373D8">
      <w:pPr>
        <w:pageBreakBefore w:val="0"/>
        <w:wordWrap w:val="0"/>
        <w:overflowPunct/>
        <w:topLinePunct w:val="0"/>
        <w:bidi w:val="0"/>
        <w:snapToGrid w:val="0"/>
        <w:spacing w:line="360" w:lineRule="auto"/>
        <w:jc w:val="left"/>
        <w:rPr>
          <w:rFonts w:ascii="宋体" w:hAnsi="宋体" w:cs="宋体"/>
          <w:color w:val="auto"/>
          <w:sz w:val="24"/>
          <w:highlight w:val="none"/>
        </w:rPr>
      </w:pPr>
    </w:p>
    <w:p w14:paraId="2C1981C5">
      <w:pPr>
        <w:pageBreakBefore w:val="0"/>
        <w:wordWrap w:val="0"/>
        <w:overflowPunct/>
        <w:topLinePunct w:val="0"/>
        <w:bidi w:val="0"/>
        <w:snapToGrid w:val="0"/>
        <w:spacing w:line="360" w:lineRule="auto"/>
        <w:jc w:val="left"/>
        <w:rPr>
          <w:rFonts w:ascii="宋体" w:hAnsi="宋体" w:cs="宋体"/>
          <w:color w:val="auto"/>
          <w:sz w:val="24"/>
          <w:highlight w:val="none"/>
        </w:rPr>
      </w:pPr>
    </w:p>
    <w:p w14:paraId="2EB744A5">
      <w:pPr>
        <w:pageBreakBefore w:val="0"/>
        <w:wordWrap w:val="0"/>
        <w:overflowPunct/>
        <w:topLinePunct w:val="0"/>
        <w:bidi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186E5494">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19BFF17">
      <w:pPr>
        <w:pageBreakBefore w:val="0"/>
        <w:wordWrap w:val="0"/>
        <w:overflowPunct/>
        <w:topLinePunct w:val="0"/>
        <w:bidi w:val="0"/>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091D8D14">
      <w:pPr>
        <w:pageBreakBefore w:val="0"/>
        <w:wordWrap w:val="0"/>
        <w:overflowPunct/>
        <w:topLinePunct w:val="0"/>
        <w:bidi w:val="0"/>
        <w:snapToGrid w:val="0"/>
        <w:spacing w:line="360" w:lineRule="auto"/>
        <w:jc w:val="center"/>
        <w:rPr>
          <w:rFonts w:ascii="宋体" w:hAnsi="宋体" w:cs="宋体"/>
          <w:color w:val="auto"/>
          <w:sz w:val="32"/>
          <w:szCs w:val="32"/>
          <w:highlight w:val="none"/>
        </w:rPr>
      </w:pPr>
      <w:r>
        <w:rPr>
          <w:rFonts w:hint="eastAsia" w:ascii="宋体" w:hAnsi="宋体" w:cs="宋体"/>
          <w:b/>
          <w:color w:val="auto"/>
          <w:sz w:val="32"/>
          <w:szCs w:val="32"/>
          <w:highlight w:val="none"/>
        </w:rPr>
        <w:t>五、投标人直接管理关系信息表</w:t>
      </w:r>
    </w:p>
    <w:tbl>
      <w:tblPr>
        <w:tblStyle w:val="19"/>
        <w:tblW w:w="9652" w:type="dxa"/>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5E520BE6">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6824498">
            <w:pPr>
              <w:pageBreakBefore w:val="0"/>
              <w:wordWrap w:val="0"/>
              <w:overflowPunct/>
              <w:topLinePunct w:val="0"/>
              <w:bidi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3583A8C">
            <w:pPr>
              <w:pageBreakBefore w:val="0"/>
              <w:wordWrap w:val="0"/>
              <w:overflowPunct/>
              <w:topLinePunct w:val="0"/>
              <w:bidi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9164EB0">
            <w:pPr>
              <w:pageBreakBefore w:val="0"/>
              <w:wordWrap w:val="0"/>
              <w:overflowPunct/>
              <w:topLinePunct w:val="0"/>
              <w:bidi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778DFE6">
            <w:pPr>
              <w:pageBreakBefore w:val="0"/>
              <w:wordWrap w:val="0"/>
              <w:overflowPunct/>
              <w:topLinePunct w:val="0"/>
              <w:bidi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DFB70E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A2E639">
            <w:pPr>
              <w:pageBreakBefore w:val="0"/>
              <w:wordWrap w:val="0"/>
              <w:overflowPunct/>
              <w:topLinePunct w:val="0"/>
              <w:bidi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1BED8F">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4AFC8C">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ED2259">
            <w:pPr>
              <w:pageBreakBefore w:val="0"/>
              <w:wordWrap w:val="0"/>
              <w:overflowPunct/>
              <w:topLinePunct w:val="0"/>
              <w:bidi w:val="0"/>
              <w:spacing w:line="360" w:lineRule="auto"/>
              <w:jc w:val="center"/>
              <w:rPr>
                <w:rFonts w:ascii="宋体" w:hAnsi="宋体" w:cs="宋体"/>
                <w:color w:val="auto"/>
                <w:kern w:val="0"/>
                <w:sz w:val="24"/>
                <w:highlight w:val="none"/>
              </w:rPr>
            </w:pPr>
          </w:p>
        </w:tc>
      </w:tr>
      <w:tr w14:paraId="176F8DA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4910E9">
            <w:pPr>
              <w:pageBreakBefore w:val="0"/>
              <w:wordWrap w:val="0"/>
              <w:overflowPunct/>
              <w:topLinePunct w:val="0"/>
              <w:bidi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501D89">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92F76B">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A51A57">
            <w:pPr>
              <w:pageBreakBefore w:val="0"/>
              <w:wordWrap w:val="0"/>
              <w:overflowPunct/>
              <w:topLinePunct w:val="0"/>
              <w:bidi w:val="0"/>
              <w:spacing w:line="360" w:lineRule="auto"/>
              <w:jc w:val="center"/>
              <w:rPr>
                <w:rFonts w:ascii="宋体" w:hAnsi="宋体" w:cs="宋体"/>
                <w:color w:val="auto"/>
                <w:kern w:val="0"/>
                <w:sz w:val="24"/>
                <w:highlight w:val="none"/>
              </w:rPr>
            </w:pPr>
          </w:p>
        </w:tc>
      </w:tr>
      <w:tr w14:paraId="5563B78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83AF98">
            <w:pPr>
              <w:pageBreakBefore w:val="0"/>
              <w:wordWrap w:val="0"/>
              <w:overflowPunct/>
              <w:topLinePunct w:val="0"/>
              <w:bidi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7CA0E0">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9E94BB">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4F01E1">
            <w:pPr>
              <w:pageBreakBefore w:val="0"/>
              <w:wordWrap w:val="0"/>
              <w:overflowPunct/>
              <w:topLinePunct w:val="0"/>
              <w:bidi w:val="0"/>
              <w:spacing w:line="360" w:lineRule="auto"/>
              <w:jc w:val="center"/>
              <w:rPr>
                <w:rFonts w:ascii="宋体" w:hAnsi="宋体" w:cs="宋体"/>
                <w:color w:val="auto"/>
                <w:kern w:val="0"/>
                <w:sz w:val="24"/>
                <w:highlight w:val="none"/>
              </w:rPr>
            </w:pPr>
          </w:p>
        </w:tc>
      </w:tr>
      <w:tr w14:paraId="1D4D062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39BEA9">
            <w:pPr>
              <w:pageBreakBefore w:val="0"/>
              <w:wordWrap w:val="0"/>
              <w:overflowPunct/>
              <w:topLinePunct w:val="0"/>
              <w:bidi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CFE7C0">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9BB215">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E08C5C">
            <w:pPr>
              <w:pageBreakBefore w:val="0"/>
              <w:wordWrap w:val="0"/>
              <w:overflowPunct/>
              <w:topLinePunct w:val="0"/>
              <w:bidi w:val="0"/>
              <w:spacing w:line="360" w:lineRule="auto"/>
              <w:jc w:val="center"/>
              <w:rPr>
                <w:rFonts w:ascii="宋体" w:hAnsi="宋体" w:cs="宋体"/>
                <w:color w:val="auto"/>
                <w:kern w:val="0"/>
                <w:sz w:val="24"/>
                <w:highlight w:val="none"/>
              </w:rPr>
            </w:pPr>
          </w:p>
        </w:tc>
      </w:tr>
    </w:tbl>
    <w:p w14:paraId="65B3ED66">
      <w:pPr>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3C043A26">
      <w:pPr>
        <w:pageBreakBefore w:val="0"/>
        <w:wordWrap w:val="0"/>
        <w:overflowPunct/>
        <w:topLinePunct w:val="0"/>
        <w:bidi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60570901">
      <w:pPr>
        <w:pageBreakBefore w:val="0"/>
        <w:wordWrap w:val="0"/>
        <w:overflowPunct/>
        <w:topLinePunct w:val="0"/>
        <w:bidi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0ED1ADC3">
      <w:pPr>
        <w:pageBreakBefore w:val="0"/>
        <w:wordWrap w:val="0"/>
        <w:overflowPunct/>
        <w:topLinePunct w:val="0"/>
        <w:bidi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3.供应商不存在直接管理关系的，则填“无”。</w:t>
      </w:r>
    </w:p>
    <w:p w14:paraId="12241FD2">
      <w:pPr>
        <w:pageBreakBefore w:val="0"/>
        <w:wordWrap w:val="0"/>
        <w:overflowPunct/>
        <w:topLinePunct w:val="0"/>
        <w:bidi w:val="0"/>
        <w:snapToGrid w:val="0"/>
        <w:spacing w:line="360" w:lineRule="auto"/>
        <w:jc w:val="left"/>
        <w:rPr>
          <w:rFonts w:ascii="宋体" w:hAnsi="宋体" w:cs="宋体"/>
          <w:color w:val="auto"/>
          <w:sz w:val="24"/>
          <w:highlight w:val="none"/>
        </w:rPr>
      </w:pPr>
    </w:p>
    <w:p w14:paraId="013EB32F">
      <w:pPr>
        <w:pageBreakBefore w:val="0"/>
        <w:wordWrap w:val="0"/>
        <w:overflowPunct/>
        <w:topLinePunct w:val="0"/>
        <w:bidi w:val="0"/>
        <w:snapToGrid w:val="0"/>
        <w:spacing w:line="360" w:lineRule="auto"/>
        <w:jc w:val="left"/>
        <w:rPr>
          <w:rFonts w:ascii="宋体" w:hAnsi="宋体" w:cs="宋体"/>
          <w:color w:val="auto"/>
          <w:sz w:val="24"/>
          <w:highlight w:val="none"/>
        </w:rPr>
      </w:pPr>
    </w:p>
    <w:p w14:paraId="6BA0F74C">
      <w:pPr>
        <w:pageBreakBefore w:val="0"/>
        <w:wordWrap w:val="0"/>
        <w:overflowPunct/>
        <w:topLinePunct w:val="0"/>
        <w:bidi w:val="0"/>
        <w:snapToGrid w:val="0"/>
        <w:spacing w:line="360" w:lineRule="auto"/>
        <w:jc w:val="left"/>
        <w:rPr>
          <w:rFonts w:ascii="宋体" w:hAnsi="宋体" w:cs="宋体"/>
          <w:color w:val="auto"/>
          <w:sz w:val="24"/>
          <w:highlight w:val="none"/>
        </w:rPr>
      </w:pPr>
    </w:p>
    <w:p w14:paraId="243E2C61">
      <w:pPr>
        <w:pageBreakBefore w:val="0"/>
        <w:wordWrap w:val="0"/>
        <w:overflowPunct/>
        <w:topLinePunct w:val="0"/>
        <w:bidi w:val="0"/>
        <w:snapToGrid w:val="0"/>
        <w:spacing w:line="360" w:lineRule="auto"/>
        <w:jc w:val="left"/>
        <w:rPr>
          <w:rFonts w:ascii="宋体" w:hAnsi="宋体" w:cs="宋体"/>
          <w:color w:val="auto"/>
          <w:sz w:val="24"/>
          <w:highlight w:val="none"/>
        </w:rPr>
      </w:pPr>
    </w:p>
    <w:p w14:paraId="6653D353">
      <w:pPr>
        <w:pageBreakBefore w:val="0"/>
        <w:wordWrap w:val="0"/>
        <w:overflowPunct/>
        <w:topLinePunct w:val="0"/>
        <w:bidi w:val="0"/>
        <w:snapToGrid w:val="0"/>
        <w:spacing w:line="360" w:lineRule="auto"/>
        <w:jc w:val="left"/>
        <w:rPr>
          <w:rFonts w:ascii="宋体" w:hAnsi="宋体" w:cs="宋体"/>
          <w:color w:val="auto"/>
          <w:sz w:val="24"/>
          <w:highlight w:val="none"/>
        </w:rPr>
      </w:pPr>
    </w:p>
    <w:p w14:paraId="21866B12">
      <w:pPr>
        <w:pageBreakBefore w:val="0"/>
        <w:wordWrap w:val="0"/>
        <w:overflowPunct/>
        <w:topLinePunct w:val="0"/>
        <w:bidi w:val="0"/>
        <w:snapToGrid w:val="0"/>
        <w:spacing w:line="360" w:lineRule="auto"/>
        <w:jc w:val="left"/>
        <w:rPr>
          <w:rFonts w:ascii="宋体" w:hAnsi="宋体" w:cs="宋体"/>
          <w:color w:val="auto"/>
          <w:sz w:val="24"/>
          <w:highlight w:val="none"/>
        </w:rPr>
      </w:pPr>
    </w:p>
    <w:p w14:paraId="414154D8">
      <w:pPr>
        <w:pageBreakBefore w:val="0"/>
        <w:wordWrap w:val="0"/>
        <w:overflowPunct/>
        <w:topLinePunct w:val="0"/>
        <w:bidi w:val="0"/>
        <w:snapToGrid w:val="0"/>
        <w:spacing w:line="360" w:lineRule="auto"/>
        <w:jc w:val="left"/>
        <w:rPr>
          <w:rFonts w:ascii="宋体" w:hAnsi="宋体" w:cs="宋体"/>
          <w:color w:val="auto"/>
          <w:sz w:val="24"/>
          <w:highlight w:val="none"/>
        </w:rPr>
      </w:pPr>
    </w:p>
    <w:p w14:paraId="22BCF4AD">
      <w:pPr>
        <w:pageBreakBefore w:val="0"/>
        <w:wordWrap w:val="0"/>
        <w:overflowPunct/>
        <w:topLinePunct w:val="0"/>
        <w:bidi w:val="0"/>
        <w:snapToGrid w:val="0"/>
        <w:spacing w:line="360" w:lineRule="auto"/>
        <w:jc w:val="left"/>
        <w:rPr>
          <w:rFonts w:ascii="宋体" w:hAnsi="宋体" w:cs="宋体"/>
          <w:color w:val="auto"/>
          <w:sz w:val="24"/>
          <w:highlight w:val="none"/>
        </w:rPr>
      </w:pPr>
    </w:p>
    <w:p w14:paraId="0C26F341">
      <w:pPr>
        <w:pageBreakBefore w:val="0"/>
        <w:wordWrap w:val="0"/>
        <w:overflowPunct/>
        <w:topLinePunct w:val="0"/>
        <w:bidi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50544251">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143C34B">
      <w:pPr>
        <w:pageBreakBefore w:val="0"/>
        <w:wordWrap w:val="0"/>
        <w:overflowPunct/>
        <w:topLinePunct w:val="0"/>
        <w:bidi w:val="0"/>
        <w:snapToGrid w:val="0"/>
        <w:spacing w:line="360" w:lineRule="auto"/>
        <w:jc w:val="left"/>
        <w:rPr>
          <w:rFonts w:ascii="宋体" w:hAnsi="宋体" w:cs="宋体"/>
          <w:color w:val="auto"/>
          <w:szCs w:val="21"/>
          <w:highlight w:val="none"/>
        </w:rPr>
      </w:pPr>
    </w:p>
    <w:p w14:paraId="6317866A">
      <w:pPr>
        <w:pageBreakBefore w:val="0"/>
        <w:wordWrap w:val="0"/>
        <w:overflowPunct/>
        <w:topLinePunct w:val="0"/>
        <w:bidi w:val="0"/>
        <w:snapToGrid w:val="0"/>
        <w:spacing w:line="360" w:lineRule="auto"/>
        <w:jc w:val="left"/>
        <w:rPr>
          <w:rFonts w:ascii="宋体" w:hAnsi="宋体" w:cs="宋体"/>
          <w:b/>
          <w:color w:val="auto"/>
          <w:sz w:val="24"/>
          <w:szCs w:val="20"/>
          <w:highlight w:val="none"/>
        </w:rPr>
      </w:pPr>
    </w:p>
    <w:p w14:paraId="4B10D7E2">
      <w:pPr>
        <w:pageBreakBefore w:val="0"/>
        <w:wordWrap w:val="0"/>
        <w:overflowPunct/>
        <w:topLinePunct w:val="0"/>
        <w:bidi w:val="0"/>
        <w:snapToGrid w:val="0"/>
        <w:spacing w:line="360" w:lineRule="auto"/>
        <w:jc w:val="left"/>
        <w:rPr>
          <w:rFonts w:ascii="宋体" w:hAnsi="宋体" w:cs="宋体"/>
          <w:b/>
          <w:color w:val="auto"/>
          <w:sz w:val="24"/>
          <w:highlight w:val="none"/>
        </w:rPr>
      </w:pPr>
    </w:p>
    <w:p w14:paraId="5FEEEE36">
      <w:pPr>
        <w:pageBreakBefore w:val="0"/>
        <w:wordWrap w:val="0"/>
        <w:overflowPunct/>
        <w:topLinePunct w:val="0"/>
        <w:bidi w:val="0"/>
        <w:snapToGrid w:val="0"/>
        <w:spacing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xml:space="preserve"> </w:t>
      </w:r>
    </w:p>
    <w:p w14:paraId="0E0239A0">
      <w:pPr>
        <w:pageBreakBefore w:val="0"/>
        <w:wordWrap w:val="0"/>
        <w:overflowPunct/>
        <w:topLinePunct w:val="0"/>
        <w:bidi w:val="0"/>
        <w:snapToGrid w:val="0"/>
        <w:spacing w:line="360" w:lineRule="auto"/>
        <w:jc w:val="left"/>
        <w:rPr>
          <w:rFonts w:ascii="宋体" w:hAnsi="宋体" w:cs="宋体"/>
          <w:b/>
          <w:color w:val="auto"/>
          <w:sz w:val="24"/>
          <w:szCs w:val="20"/>
          <w:highlight w:val="none"/>
        </w:rPr>
      </w:pPr>
    </w:p>
    <w:p w14:paraId="55C7C60E">
      <w:pPr>
        <w:pageBreakBefore w:val="0"/>
        <w:wordWrap w:val="0"/>
        <w:overflowPunct/>
        <w:topLinePunct w:val="0"/>
        <w:bidi w:val="0"/>
        <w:snapToGrid w:val="0"/>
        <w:spacing w:line="360" w:lineRule="auto"/>
        <w:jc w:val="left"/>
        <w:rPr>
          <w:rFonts w:ascii="宋体" w:hAnsi="宋体" w:cs="宋体"/>
          <w:color w:val="auto"/>
          <w:highlight w:val="none"/>
        </w:rPr>
      </w:pPr>
    </w:p>
    <w:p w14:paraId="4BC1DFA8">
      <w:pPr>
        <w:pageBreakBefore w:val="0"/>
        <w:wordWrap w:val="0"/>
        <w:overflowPunct/>
        <w:topLinePunct w:val="0"/>
        <w:bidi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六、投标资格声明函</w:t>
      </w:r>
    </w:p>
    <w:p w14:paraId="37BE04AE">
      <w:pPr>
        <w:pageBreakBefore w:val="0"/>
        <w:tabs>
          <w:tab w:val="left" w:pos="7200"/>
        </w:tabs>
        <w:wordWrap w:val="0"/>
        <w:overflowPunct/>
        <w:topLinePunct w:val="0"/>
        <w:bidi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致：</w:t>
      </w:r>
      <w:bookmarkStart w:id="275" w:name="PO_3000001866_PM031_5"/>
      <w:r>
        <w:rPr>
          <w:rFonts w:hint="eastAsia" w:ascii="宋体" w:hAnsi="宋体" w:cs="宋体"/>
          <w:color w:val="auto"/>
          <w:szCs w:val="21"/>
          <w:highlight w:val="none"/>
          <w:u w:val="single"/>
        </w:rPr>
        <w:t>广西邕政采购代理有限公司</w:t>
      </w:r>
      <w:bookmarkEnd w:id="275"/>
      <w:r>
        <w:rPr>
          <w:rFonts w:hint="eastAsia" w:ascii="宋体" w:hAnsi="宋体" w:cs="宋体"/>
          <w:color w:val="auto"/>
          <w:szCs w:val="21"/>
          <w:highlight w:val="none"/>
          <w:u w:val="single"/>
        </w:rPr>
        <w:t xml:space="preserve"> </w:t>
      </w:r>
    </w:p>
    <w:p w14:paraId="121FBDB9">
      <w:pPr>
        <w:pageBreakBefore w:val="0"/>
        <w:wordWrap w:val="0"/>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我方愿意参加贵方组织的_</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（项目编号：         ）项目的投标，为便于贵方公正、择优地确定中标供应商，我方就本次投标有关事项郑重声明如下：</w:t>
      </w:r>
    </w:p>
    <w:p w14:paraId="34DA6D54">
      <w:pPr>
        <w:pageBreakBefore w:val="0"/>
        <w:wordWrap w:val="0"/>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229BDBE4">
      <w:pPr>
        <w:pageBreakBefore w:val="0"/>
        <w:wordWrap w:val="0"/>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DBF7E9A">
      <w:pPr>
        <w:pageBreakBefore w:val="0"/>
        <w:wordWrap w:val="0"/>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3.经查询，在“信用中国”和“中国政府采购网”网站我方未被列入失信被执行人、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w:t>
      </w:r>
    </w:p>
    <w:p w14:paraId="25073992">
      <w:pPr>
        <w:pageBreakBefore w:val="0"/>
        <w:wordWrap w:val="0"/>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4.以上事项如有虚假或隐瞒，我方愿意承担一切后果，并不再寻求任何旨在减轻或免除法律责任的辩解。 </w:t>
      </w:r>
    </w:p>
    <w:p w14:paraId="18A04C80">
      <w:pPr>
        <w:pageBreakBefore w:val="0"/>
        <w:tabs>
          <w:tab w:val="left" w:pos="7200"/>
        </w:tabs>
        <w:wordWrap w:val="0"/>
        <w:overflowPunct/>
        <w:topLinePunct w:val="0"/>
        <w:bidi w:val="0"/>
        <w:spacing w:line="360" w:lineRule="auto"/>
        <w:ind w:firstLine="270" w:firstLineChars="150"/>
        <w:rPr>
          <w:rFonts w:ascii="宋体" w:hAnsi="宋体" w:cs="宋体"/>
          <w:color w:val="auto"/>
          <w:sz w:val="18"/>
          <w:szCs w:val="18"/>
          <w:highlight w:val="none"/>
        </w:rPr>
      </w:pPr>
      <w:r>
        <w:rPr>
          <w:rFonts w:hint="eastAsia" w:ascii="宋体" w:hAnsi="宋体" w:cs="宋体"/>
          <w:color w:val="auto"/>
          <w:sz w:val="18"/>
          <w:szCs w:val="18"/>
          <w:highlight w:val="none"/>
        </w:rPr>
        <w:t>说明：</w:t>
      </w:r>
    </w:p>
    <w:p w14:paraId="4740CD21">
      <w:pPr>
        <w:pageBreakBefore w:val="0"/>
        <w:wordWrap w:val="0"/>
        <w:overflowPunct/>
        <w:topLinePunct w:val="0"/>
        <w:bidi w:val="0"/>
        <w:spacing w:line="360" w:lineRule="auto"/>
        <w:ind w:firstLine="360" w:firstLineChars="200"/>
        <w:jc w:val="left"/>
        <w:rPr>
          <w:rFonts w:ascii="宋体" w:hAnsi="宋体" w:cs="宋体"/>
          <w:color w:val="auto"/>
          <w:sz w:val="18"/>
          <w:szCs w:val="18"/>
          <w:highlight w:val="none"/>
        </w:rPr>
      </w:pPr>
      <w:r>
        <w:rPr>
          <w:rFonts w:hint="eastAsia" w:ascii="宋体" w:hAnsi="宋体" w:cs="宋体"/>
          <w:color w:val="auto"/>
          <w:sz w:val="18"/>
          <w:szCs w:val="18"/>
          <w:highlight w:val="none"/>
        </w:rPr>
        <w:t>1.投标人应当通过 “信用中国”（www.creditchina.gov.cn）和“中国政府采购网”网站（www.ccgp.gov.cn）查询投标人相关主体的信用记录。查询时间为本项目投标截止时间前10日至投标截止时间中任意一天。对列入失信被执行人、</w:t>
      </w:r>
      <w:r>
        <w:rPr>
          <w:rFonts w:hint="eastAsia" w:ascii="宋体" w:hAnsi="宋体" w:cs="宋体"/>
          <w:color w:val="auto"/>
          <w:sz w:val="18"/>
          <w:szCs w:val="18"/>
          <w:highlight w:val="none"/>
          <w:lang w:eastAsia="zh-CN"/>
        </w:rPr>
        <w:t>重大税收违法失信主体</w:t>
      </w:r>
      <w:r>
        <w:rPr>
          <w:rFonts w:hint="eastAsia" w:ascii="宋体" w:hAnsi="宋体" w:cs="宋体"/>
          <w:color w:val="auto"/>
          <w:sz w:val="18"/>
          <w:szCs w:val="18"/>
          <w:highlight w:val="none"/>
        </w:rPr>
        <w:t>、政府采购严重违法失信行为记录名单的投标人，将被拒绝参与本项目政府采购活动。</w:t>
      </w:r>
    </w:p>
    <w:p w14:paraId="6704FB6C">
      <w:pPr>
        <w:pageBreakBefore w:val="0"/>
        <w:wordWrap w:val="0"/>
        <w:overflowPunct/>
        <w:topLinePunct w:val="0"/>
        <w:bidi w:val="0"/>
        <w:spacing w:line="360" w:lineRule="auto"/>
        <w:ind w:firstLine="360" w:firstLineChars="200"/>
        <w:jc w:val="left"/>
        <w:rPr>
          <w:rFonts w:ascii="宋体" w:hAnsi="宋体" w:cs="宋体"/>
          <w:color w:val="auto"/>
          <w:sz w:val="18"/>
          <w:szCs w:val="18"/>
          <w:highlight w:val="none"/>
        </w:rPr>
      </w:pPr>
      <w:r>
        <w:rPr>
          <w:rFonts w:hint="eastAsia" w:ascii="宋体" w:hAnsi="宋体" w:cs="宋体"/>
          <w:color w:val="auto"/>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948A4BE">
      <w:pPr>
        <w:pageBreakBefore w:val="0"/>
        <w:wordWrap w:val="0"/>
        <w:overflowPunct/>
        <w:topLinePunct w:val="0"/>
        <w:bidi w:val="0"/>
        <w:snapToGrid w:val="0"/>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 xml:space="preserve"> </w:t>
      </w:r>
      <w:r>
        <w:rPr>
          <w:rFonts w:hint="eastAsia" w:ascii="宋体" w:hAnsi="宋体" w:cs="宋体"/>
          <w:b/>
          <w:color w:val="auto"/>
          <w:sz w:val="18"/>
          <w:szCs w:val="18"/>
          <w:highlight w:val="none"/>
        </w:rPr>
        <w:t xml:space="preserve">  3.如为联合体投标，盖章处须加盖联合体各方公章并由联合体各方法定代表人分别签署，否则投标无效。</w:t>
      </w:r>
    </w:p>
    <w:p w14:paraId="40CB7979">
      <w:pPr>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p w14:paraId="3D17C50C">
      <w:pPr>
        <w:pageBreakBefore w:val="0"/>
        <w:wordWrap w:val="0"/>
        <w:overflowPunct/>
        <w:topLinePunct w:val="0"/>
        <w:bidi w:val="0"/>
        <w:snapToGrid w:val="0"/>
        <w:spacing w:line="360" w:lineRule="auto"/>
        <w:ind w:left="7428" w:leftChars="2223" w:hanging="2760" w:hangingChars="1150"/>
        <w:jc w:val="left"/>
        <w:rPr>
          <w:rFonts w:ascii="宋体" w:hAnsi="宋体" w:cs="宋体"/>
          <w:color w:val="auto"/>
          <w:kern w:val="0"/>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投标人名称(电子签章)：</w:t>
      </w:r>
      <w:r>
        <w:rPr>
          <w:rFonts w:hint="eastAsia" w:ascii="宋体" w:hAnsi="宋体" w:cs="宋体"/>
          <w:color w:val="auto"/>
          <w:szCs w:val="21"/>
          <w:highlight w:val="none"/>
        </w:rPr>
        <w:t xml:space="preserve">                       年    月    日</w:t>
      </w:r>
    </w:p>
    <w:p w14:paraId="4D9C00D6">
      <w:pPr>
        <w:pStyle w:val="12"/>
        <w:wordWrap w:val="0"/>
        <w:spacing w:line="360" w:lineRule="auto"/>
        <w:jc w:val="center"/>
        <w:rPr>
          <w:rFonts w:hint="eastAsia" w:hAnsi="宋体" w:cs="宋体"/>
          <w:b/>
          <w:color w:val="auto"/>
          <w:sz w:val="30"/>
          <w:szCs w:val="30"/>
          <w:highlight w:val="none"/>
        </w:rPr>
        <w:sectPr>
          <w:pgSz w:w="11906" w:h="16838"/>
          <w:pgMar w:top="1440" w:right="1080" w:bottom="1440" w:left="1080" w:header="720" w:footer="720" w:gutter="0"/>
          <w:pgNumType w:fmt="decimal"/>
          <w:cols w:space="720" w:num="1"/>
          <w:docGrid w:type="lines" w:linePitch="331" w:charSpace="0"/>
        </w:sectPr>
      </w:pPr>
    </w:p>
    <w:p w14:paraId="543291A1">
      <w:pPr>
        <w:pStyle w:val="12"/>
        <w:wordWrap w:val="0"/>
        <w:spacing w:line="360" w:lineRule="auto"/>
        <w:jc w:val="center"/>
        <w:rPr>
          <w:rFonts w:hAnsi="宋体" w:cs="宋体"/>
          <w:b/>
          <w:color w:val="auto"/>
          <w:sz w:val="30"/>
          <w:szCs w:val="30"/>
          <w:highlight w:val="none"/>
        </w:rPr>
      </w:pPr>
      <w:r>
        <w:rPr>
          <w:rFonts w:hint="eastAsia" w:hAnsi="宋体" w:cs="宋体"/>
          <w:b/>
          <w:color w:val="auto"/>
          <w:sz w:val="30"/>
          <w:szCs w:val="30"/>
          <w:highlight w:val="none"/>
          <w:lang w:val="en-US" w:eastAsia="zh-CN"/>
        </w:rPr>
        <w:t>七</w:t>
      </w:r>
      <w:r>
        <w:rPr>
          <w:rFonts w:hint="eastAsia" w:hAnsi="宋体" w:cs="宋体"/>
          <w:b/>
          <w:color w:val="auto"/>
          <w:sz w:val="30"/>
          <w:szCs w:val="30"/>
          <w:highlight w:val="none"/>
        </w:rPr>
        <w:t>、中小企业声明函</w:t>
      </w:r>
    </w:p>
    <w:p w14:paraId="00B67EFF">
      <w:pPr>
        <w:pStyle w:val="10"/>
        <w:wordWrap w:val="0"/>
        <w:spacing w:line="360" w:lineRule="auto"/>
        <w:ind w:firstLine="0"/>
        <w:rPr>
          <w:rFonts w:hAnsi="宋体" w:cs="宋体"/>
          <w:color w:val="auto"/>
          <w:sz w:val="21"/>
          <w:szCs w:val="21"/>
          <w:highlight w:val="none"/>
        </w:rPr>
      </w:pPr>
      <w:r>
        <w:rPr>
          <w:rFonts w:hint="eastAsia" w:hAnsi="宋体" w:cs="宋体"/>
          <w:color w:val="auto"/>
          <w:sz w:val="21"/>
          <w:szCs w:val="21"/>
          <w:highlight w:val="none"/>
        </w:rPr>
        <w:t>说明：</w:t>
      </w:r>
    </w:p>
    <w:p w14:paraId="56A03BFA">
      <w:pPr>
        <w:pStyle w:val="10"/>
        <w:wordWrap w:val="0"/>
        <w:spacing w:line="360" w:lineRule="auto"/>
        <w:ind w:firstLine="404" w:firstLineChars="200"/>
        <w:rPr>
          <w:rFonts w:hAnsi="宋体" w:cs="宋体"/>
          <w:color w:val="auto"/>
          <w:sz w:val="21"/>
          <w:szCs w:val="21"/>
          <w:highlight w:val="none"/>
        </w:rPr>
      </w:pPr>
      <w:r>
        <w:rPr>
          <w:rFonts w:hint="eastAsia" w:hAnsi="宋体" w:cs="宋体"/>
          <w:color w:val="auto"/>
          <w:sz w:val="21"/>
          <w:szCs w:val="21"/>
          <w:highlight w:val="none"/>
        </w:rPr>
        <w:t>1、本声明函主要供参加政府采购活动的中小企业填写，非中小企业无需填写。</w:t>
      </w:r>
    </w:p>
    <w:p w14:paraId="16770FD8">
      <w:pPr>
        <w:pStyle w:val="10"/>
        <w:wordWrap w:val="0"/>
        <w:spacing w:line="360" w:lineRule="auto"/>
        <w:ind w:firstLine="404" w:firstLineChars="200"/>
        <w:rPr>
          <w:rFonts w:hAnsi="宋体" w:cs="宋体"/>
          <w:color w:val="auto"/>
          <w:sz w:val="21"/>
          <w:szCs w:val="21"/>
          <w:highlight w:val="none"/>
        </w:rPr>
      </w:pPr>
      <w:r>
        <w:rPr>
          <w:rFonts w:hint="eastAsia" w:hAnsi="宋体" w:cs="宋体"/>
          <w:color w:val="auto"/>
          <w:sz w:val="21"/>
          <w:szCs w:val="21"/>
          <w:highlight w:val="none"/>
        </w:rPr>
        <w:t>2、小型、微型企业提供中型企业提供的服务的，视同为中型企业。</w:t>
      </w:r>
    </w:p>
    <w:p w14:paraId="455DE61D">
      <w:pPr>
        <w:pStyle w:val="10"/>
        <w:wordWrap w:val="0"/>
        <w:spacing w:line="360" w:lineRule="auto"/>
        <w:ind w:firstLine="404" w:firstLineChars="200"/>
        <w:rPr>
          <w:rFonts w:hAnsi="宋体" w:cs="宋体"/>
          <w:color w:val="auto"/>
          <w:sz w:val="21"/>
          <w:szCs w:val="21"/>
          <w:highlight w:val="none"/>
        </w:rPr>
      </w:pPr>
    </w:p>
    <w:p w14:paraId="72D002D8">
      <w:pPr>
        <w:pStyle w:val="9"/>
        <w:wordWrap w:val="0"/>
        <w:spacing w:after="0" w:line="360" w:lineRule="auto"/>
        <w:ind w:right="142" w:firstLine="420" w:firstLineChars="200"/>
        <w:rPr>
          <w:rFonts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本公司（联合体）郑重声明，根据《政府采购促进中小企业发展管理办法》（财库﹝2020﹞46号）的规定，本公司（联合体）参加</w:t>
      </w:r>
      <w:r>
        <w:rPr>
          <w:rFonts w:hint="eastAsia" w:ascii="宋体" w:hAnsi="宋体" w:cs="宋体"/>
          <w:color w:val="auto"/>
          <w:highlight w:val="none"/>
          <w:u w:val="single"/>
        </w:rPr>
        <w:t xml:space="preserve">   （采购人名称）           </w:t>
      </w:r>
      <w:r>
        <w:rPr>
          <w:rFonts w:hint="eastAsia" w:ascii="宋体" w:hAnsi="宋体" w:cs="宋体"/>
          <w:color w:val="auto"/>
          <w:highlight w:val="none"/>
        </w:rPr>
        <w:t>的</w:t>
      </w:r>
      <w:r>
        <w:rPr>
          <w:rFonts w:hint="eastAsia" w:ascii="宋体" w:hAnsi="宋体" w:cs="宋体"/>
          <w:color w:val="auto"/>
          <w:highlight w:val="none"/>
          <w:u w:val="single"/>
        </w:rPr>
        <w:t>（项目名称）</w:t>
      </w:r>
      <w:r>
        <w:rPr>
          <w:rFonts w:hint="eastAsia" w:ascii="宋体" w:hAnsi="宋体" w:cs="宋体"/>
          <w:color w:val="auto"/>
          <w:highlight w:val="none"/>
        </w:rPr>
        <w:t>采购活动，服务全部由符合政策要求的中小企业承接。相关企业（含联合体中的中小企业、签订分包意向协议的中小企业）的具体情况如下：</w:t>
      </w:r>
    </w:p>
    <w:p w14:paraId="53F1E506">
      <w:pPr>
        <w:tabs>
          <w:tab w:val="left" w:pos="1384"/>
          <w:tab w:val="left" w:pos="4562"/>
          <w:tab w:val="left" w:pos="6803"/>
        </w:tabs>
        <w:wordWrap w:val="0"/>
        <w:spacing w:line="360" w:lineRule="auto"/>
        <w:ind w:right="142" w:firstLine="630" w:firstLineChars="3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 xml:space="preserve">       （中型企业、小型企业、微型企业）</w:t>
      </w:r>
      <w:r>
        <w:rPr>
          <w:rFonts w:hint="eastAsia" w:ascii="宋体" w:hAnsi="宋体" w:cs="宋体"/>
          <w:color w:val="auto"/>
          <w:szCs w:val="21"/>
          <w:highlight w:val="none"/>
        </w:rPr>
        <w:t>；</w:t>
      </w:r>
    </w:p>
    <w:p w14:paraId="17E69DE5">
      <w:pPr>
        <w:pStyle w:val="9"/>
        <w:wordWrap w:val="0"/>
        <w:spacing w:after="0" w:line="360" w:lineRule="auto"/>
        <w:ind w:left="765" w:right="142" w:hanging="5"/>
        <w:rPr>
          <w:color w:val="auto"/>
          <w:highlight w:val="none"/>
        </w:rPr>
      </w:pPr>
      <w:r>
        <w:rPr>
          <w:rFonts w:hint="eastAsia" w:ascii="宋体" w:hAnsi="宋体" w:cs="宋体"/>
          <w:color w:val="auto"/>
          <w:highlight w:val="none"/>
        </w:rPr>
        <w:t xml:space="preserve">…… </w:t>
      </w:r>
    </w:p>
    <w:p w14:paraId="61886CAF">
      <w:pPr>
        <w:pStyle w:val="9"/>
        <w:wordWrap w:val="0"/>
        <w:spacing w:after="0" w:line="360" w:lineRule="auto"/>
        <w:ind w:right="142" w:firstLine="420" w:firstLineChars="200"/>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135C4EC7">
      <w:pPr>
        <w:pStyle w:val="9"/>
        <w:wordWrap w:val="0"/>
        <w:spacing w:after="0" w:line="360" w:lineRule="auto"/>
        <w:ind w:right="142" w:firstLine="420" w:firstLineChars="200"/>
        <w:rPr>
          <w:rFonts w:hAnsi="宋体" w:cs="宋体"/>
          <w:color w:val="auto"/>
          <w:szCs w:val="21"/>
          <w:highlight w:val="none"/>
        </w:rPr>
      </w:pPr>
      <w:r>
        <w:rPr>
          <w:rFonts w:hint="eastAsia" w:ascii="宋体" w:hAnsi="宋体" w:cs="宋体"/>
          <w:color w:val="auto"/>
          <w:highlight w:val="none"/>
        </w:rPr>
        <w:t>本企业对上述声明内容的真实性负责。如有虚假，将依法承担相应责任。</w:t>
      </w:r>
    </w:p>
    <w:p w14:paraId="29983441">
      <w:pPr>
        <w:pStyle w:val="12"/>
        <w:wordWrap w:val="0"/>
        <w:spacing w:line="360" w:lineRule="auto"/>
        <w:ind w:firstLine="420" w:firstLineChars="200"/>
        <w:rPr>
          <w:rFonts w:hAnsi="宋体" w:cs="宋体"/>
          <w:color w:val="auto"/>
          <w:szCs w:val="21"/>
          <w:highlight w:val="none"/>
        </w:rPr>
      </w:pPr>
    </w:p>
    <w:p w14:paraId="571023D0">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1AA62DAF">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B76FC0D">
      <w:pPr>
        <w:pStyle w:val="12"/>
        <w:wordWrap w:val="0"/>
        <w:spacing w:line="360" w:lineRule="auto"/>
        <w:ind w:firstLine="420" w:firstLineChars="200"/>
        <w:rPr>
          <w:rFonts w:hAnsi="宋体" w:cs="宋体"/>
          <w:color w:val="auto"/>
          <w:szCs w:val="21"/>
          <w:highlight w:val="none"/>
        </w:rPr>
      </w:pPr>
    </w:p>
    <w:p w14:paraId="5A1AF77A">
      <w:pPr>
        <w:wordWrap w:val="0"/>
        <w:snapToGrid w:val="0"/>
        <w:spacing w:line="360" w:lineRule="auto"/>
        <w:jc w:val="left"/>
        <w:rPr>
          <w:rFonts w:ascii="宋体" w:hAnsi="宋体" w:cs="宋体"/>
          <w:color w:val="auto"/>
          <w:sz w:val="20"/>
          <w:highlight w:val="none"/>
        </w:rPr>
      </w:pPr>
      <w:r>
        <w:rPr>
          <w:rFonts w:hint="eastAsia" w:ascii="宋体" w:hAnsi="宋体" w:cs="宋体"/>
          <w:color w:val="auto"/>
          <w:sz w:val="20"/>
          <w:highlight w:val="none"/>
        </w:rPr>
        <w:t>注：</w:t>
      </w:r>
    </w:p>
    <w:p w14:paraId="4CCA102E">
      <w:pPr>
        <w:numPr>
          <w:ilvl w:val="0"/>
          <w:numId w:val="8"/>
        </w:numPr>
        <w:wordWrap w:val="0"/>
        <w:snapToGrid w:val="0"/>
        <w:spacing w:line="360" w:lineRule="auto"/>
        <w:jc w:val="left"/>
        <w:rPr>
          <w:rFonts w:ascii="宋体" w:hAnsi="宋体" w:cs="宋体"/>
          <w:color w:val="auto"/>
          <w:sz w:val="20"/>
          <w:highlight w:val="none"/>
        </w:rPr>
      </w:pPr>
      <w:r>
        <w:rPr>
          <w:rFonts w:hint="eastAsia" w:ascii="宋体" w:hAnsi="宋体" w:cs="宋体"/>
          <w:color w:val="auto"/>
          <w:sz w:val="20"/>
          <w:highlight w:val="none"/>
        </w:rPr>
        <w:t>从业人员、营业收入、资产总额填报上一年度数据，无上一年度数据的新成立企业可不填报。</w:t>
      </w:r>
    </w:p>
    <w:p w14:paraId="5867E078">
      <w:pPr>
        <w:pageBreakBefore w:val="0"/>
        <w:wordWrap w:val="0"/>
        <w:overflowPunct/>
        <w:topLinePunct w:val="0"/>
        <w:bidi w:val="0"/>
        <w:spacing w:line="360" w:lineRule="auto"/>
        <w:ind w:firstLine="200" w:firstLineChars="100"/>
        <w:rPr>
          <w:rFonts w:hint="eastAsia" w:hAnsi="宋体" w:cs="宋体"/>
          <w:color w:val="auto"/>
          <w:sz w:val="20"/>
          <w:highlight w:val="none"/>
        </w:rPr>
      </w:pPr>
      <w:r>
        <w:rPr>
          <w:rFonts w:hint="eastAsia" w:hAnsi="宋体" w:cs="宋体"/>
          <w:color w:val="auto"/>
          <w:sz w:val="20"/>
          <w:highlight w:val="none"/>
        </w:rPr>
        <w:t>2、请根据自己的真实情况出具《中小企业声明函》。依法享受中小企业优惠政策的，采购人或者采购代理机构在公告中标结果时，同时公告其《中小企业声明函》，接受社会监督。</w:t>
      </w:r>
    </w:p>
    <w:p w14:paraId="224BFD10">
      <w:pPr>
        <w:rPr>
          <w:rFonts w:hint="eastAsia" w:hAnsi="宋体" w:cs="宋体"/>
          <w:color w:val="auto"/>
          <w:sz w:val="20"/>
          <w:highlight w:val="none"/>
        </w:rPr>
      </w:pPr>
      <w:r>
        <w:rPr>
          <w:rFonts w:hint="eastAsia" w:hAnsi="宋体" w:cs="宋体"/>
          <w:color w:val="auto"/>
          <w:sz w:val="20"/>
          <w:highlight w:val="none"/>
        </w:rPr>
        <w:br w:type="page"/>
      </w:r>
    </w:p>
    <w:p w14:paraId="6C1C1224">
      <w:pPr>
        <w:pStyle w:val="12"/>
        <w:pageBreakBefore w:val="0"/>
        <w:wordWrap w:val="0"/>
        <w:overflowPunct/>
        <w:topLinePunct w:val="0"/>
        <w:bidi w:val="0"/>
        <w:spacing w:line="360" w:lineRule="auto"/>
        <w:jc w:val="center"/>
        <w:rPr>
          <w:rFonts w:hAnsi="宋体" w:cs="宋体"/>
          <w:color w:val="auto"/>
          <w:highlight w:val="none"/>
        </w:rPr>
      </w:pPr>
      <w:r>
        <w:rPr>
          <w:rFonts w:hint="eastAsia" w:hAnsi="宋体" w:cs="宋体"/>
          <w:b/>
          <w:bCs/>
          <w:color w:val="auto"/>
          <w:sz w:val="30"/>
          <w:szCs w:val="30"/>
          <w:highlight w:val="none"/>
          <w:lang w:val="en-US" w:eastAsia="zh-CN"/>
        </w:rPr>
        <w:t>八</w:t>
      </w:r>
      <w:r>
        <w:rPr>
          <w:rFonts w:hint="eastAsia" w:hAnsi="宋体" w:cs="宋体"/>
          <w:b/>
          <w:bCs/>
          <w:color w:val="auto"/>
          <w:sz w:val="30"/>
          <w:szCs w:val="30"/>
          <w:highlight w:val="none"/>
        </w:rPr>
        <w:t>、联合体协议书</w:t>
      </w:r>
    </w:p>
    <w:p w14:paraId="4058B244">
      <w:pPr>
        <w:pageBreakBefore w:val="0"/>
        <w:wordWrap w:val="0"/>
        <w:overflowPunct/>
        <w:topLinePunct w:val="0"/>
        <w:autoSpaceDE w:val="0"/>
        <w:autoSpaceDN w:val="0"/>
        <w:bidi w:val="0"/>
        <w:adjustRightInd w:val="0"/>
        <w:spacing w:line="360" w:lineRule="auto"/>
        <w:jc w:val="left"/>
        <w:rPr>
          <w:rFonts w:ascii="宋体" w:hAnsi="宋体" w:cs="宋体"/>
          <w:color w:val="auto"/>
          <w:kern w:val="0"/>
          <w:szCs w:val="21"/>
          <w:highlight w:val="none"/>
          <w:u w:val="single"/>
        </w:rPr>
      </w:pPr>
    </w:p>
    <w:p w14:paraId="6D2B1694">
      <w:pPr>
        <w:pageBreakBefore w:val="0"/>
        <w:wordWrap w:val="0"/>
        <w:overflowPunct/>
        <w:topLinePunct w:val="0"/>
        <w:autoSpaceDE w:val="0"/>
        <w:autoSpaceDN w:val="0"/>
        <w:bidi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（所有成员单位名称）自愿组成联合体，共同参加</w:t>
      </w:r>
      <w:r>
        <w:rPr>
          <w:rFonts w:hint="eastAsia" w:ascii="宋体" w:hAnsi="宋体" w:cs="宋体"/>
          <w:color w:val="auto"/>
          <w:kern w:val="0"/>
          <w:szCs w:val="21"/>
          <w:highlight w:val="none"/>
          <w:u w:val="single"/>
        </w:rPr>
        <w:t xml:space="preserve">     </w:t>
      </w:r>
      <w:bookmarkStart w:id="276" w:name="PO_3000001866_PM031_6"/>
      <w:r>
        <w:rPr>
          <w:rFonts w:hint="eastAsia" w:ascii="宋体" w:hAnsi="宋体" w:cs="宋体"/>
          <w:color w:val="auto"/>
          <w:kern w:val="0"/>
          <w:szCs w:val="21"/>
          <w:highlight w:val="none"/>
          <w:u w:val="single"/>
        </w:rPr>
        <w:t>广西邕政采购代理有限公司</w:t>
      </w:r>
      <w:bookmarkEnd w:id="276"/>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组织的</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（项目名称）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）投标。现就联合体投标事宜订立如下协议：</w:t>
      </w:r>
    </w:p>
    <w:p w14:paraId="65A9A87E">
      <w:pPr>
        <w:pageBreakBefore w:val="0"/>
        <w:wordWrap w:val="0"/>
        <w:overflowPunct/>
        <w:topLinePunct w:val="0"/>
        <w:autoSpaceDE w:val="0"/>
        <w:autoSpaceDN w:val="0"/>
        <w:bidi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highlight w:val="none"/>
        </w:rPr>
        <w:t>________________________</w:t>
      </w:r>
      <w:r>
        <w:rPr>
          <w:rFonts w:hint="eastAsia" w:ascii="宋体" w:hAnsi="宋体" w:cs="宋体"/>
          <w:color w:val="auto"/>
          <w:kern w:val="0"/>
          <w:szCs w:val="21"/>
          <w:highlight w:val="none"/>
        </w:rPr>
        <w:t>（某成员单位名称）为联合体名称牵头人。</w:t>
      </w:r>
    </w:p>
    <w:p w14:paraId="771C614F">
      <w:pPr>
        <w:pageBreakBefore w:val="0"/>
        <w:wordWrap w:val="0"/>
        <w:overflowPunct/>
        <w:topLinePunct w:val="0"/>
        <w:autoSpaceDE w:val="0"/>
        <w:autoSpaceDN w:val="0"/>
        <w:bidi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0A72534E">
      <w:pPr>
        <w:pageBreakBefore w:val="0"/>
        <w:wordWrap w:val="0"/>
        <w:overflowPunct/>
        <w:topLinePunct w:val="0"/>
        <w:autoSpaceDE w:val="0"/>
        <w:autoSpaceDN w:val="0"/>
        <w:bidi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2350A463">
      <w:pPr>
        <w:pageBreakBefore w:val="0"/>
        <w:wordWrap w:val="0"/>
        <w:overflowPunct/>
        <w:topLinePunct w:val="0"/>
        <w:autoSpaceDE w:val="0"/>
        <w:autoSpaceDN w:val="0"/>
        <w:bidi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4、联合体各成员单位内部的职责分工如下</w:t>
      </w:r>
      <w:r>
        <w:rPr>
          <w:rFonts w:hint="eastAsia" w:ascii="宋体" w:hAnsi="宋体" w:cs="宋体"/>
          <w:color w:val="auto"/>
          <w:kern w:val="0"/>
          <w:szCs w:val="21"/>
          <w:highlight w:val="none"/>
          <w:u w:val="single"/>
        </w:rPr>
        <w:t>：</w:t>
      </w:r>
      <w:r>
        <w:rPr>
          <w:rFonts w:hint="eastAsia" w:ascii="宋体" w:hAnsi="宋体" w:cs="宋体"/>
          <w:color w:val="auto"/>
          <w:szCs w:val="21"/>
          <w:highlight w:val="none"/>
          <w:u w:val="single"/>
        </w:rPr>
        <w:t>________________________________________________</w:t>
      </w:r>
      <w:r>
        <w:rPr>
          <w:rFonts w:hint="eastAsia" w:ascii="宋体" w:hAnsi="宋体" w:cs="宋体"/>
          <w:color w:val="auto"/>
          <w:kern w:val="0"/>
          <w:szCs w:val="21"/>
          <w:highlight w:val="none"/>
        </w:rPr>
        <w:t>。</w:t>
      </w:r>
    </w:p>
    <w:p w14:paraId="061D0761">
      <w:pPr>
        <w:pStyle w:val="12"/>
        <w:pageBreakBefore w:val="0"/>
        <w:wordWrap w:val="0"/>
        <w:overflowPunct/>
        <w:topLinePunct w:val="0"/>
        <w:bidi w:val="0"/>
        <w:spacing w:line="360" w:lineRule="auto"/>
        <w:ind w:firstLine="420" w:firstLineChars="200"/>
        <w:rPr>
          <w:rFonts w:hAnsi="宋体" w:cs="宋体"/>
          <w:color w:val="auto"/>
          <w:szCs w:val="21"/>
          <w:highlight w:val="none"/>
        </w:rPr>
      </w:pPr>
      <w:r>
        <w:rPr>
          <w:rFonts w:hint="eastAsia" w:hAnsi="宋体" w:cs="宋体"/>
          <w:color w:val="auto"/>
          <w:kern w:val="0"/>
          <w:highlight w:val="none"/>
        </w:rPr>
        <w:t>5、本联合体中</w:t>
      </w:r>
      <w:r>
        <w:rPr>
          <w:rFonts w:hint="eastAsia" w:hAnsi="宋体" w:cs="宋体"/>
          <w:color w:val="auto"/>
          <w:kern w:val="0"/>
          <w:highlight w:val="none"/>
          <w:u w:val="single"/>
        </w:rPr>
        <w:t>，</w:t>
      </w:r>
      <w:r>
        <w:rPr>
          <w:rFonts w:hint="eastAsia" w:hAnsi="宋体" w:cs="宋体"/>
          <w:color w:val="auto"/>
          <w:highlight w:val="none"/>
          <w:u w:val="single"/>
        </w:rPr>
        <w:t>________________________</w:t>
      </w:r>
      <w:r>
        <w:rPr>
          <w:rFonts w:hint="eastAsia" w:hAnsi="宋体" w:cs="宋体"/>
          <w:color w:val="auto"/>
          <w:kern w:val="0"/>
          <w:highlight w:val="none"/>
          <w:u w:val="single"/>
        </w:rPr>
        <w:t>（某成员单位名称）为</w:t>
      </w:r>
      <w:r>
        <w:rPr>
          <w:rFonts w:hint="eastAsia" w:hAnsi="宋体" w:cs="宋体"/>
          <w:color w:val="auto"/>
          <w:highlight w:val="none"/>
          <w:u w:val="single"/>
        </w:rPr>
        <w:t>______</w:t>
      </w:r>
      <w:r>
        <w:rPr>
          <w:rFonts w:hint="eastAsia" w:hAnsi="宋体" w:cs="宋体"/>
          <w:color w:val="auto"/>
          <w:highlight w:val="none"/>
        </w:rPr>
        <w:t>（请填写：中型、小型、微型）企业，其协议合同金额占联合体协议合同总金额的</w:t>
      </w:r>
      <w:r>
        <w:rPr>
          <w:rFonts w:hint="eastAsia" w:hAnsi="宋体" w:cs="宋体"/>
          <w:color w:val="auto"/>
          <w:highlight w:val="none"/>
          <w:u w:val="single"/>
        </w:rPr>
        <w:t>______</w:t>
      </w:r>
      <w:r>
        <w:rPr>
          <w:rFonts w:hint="eastAsia" w:hAnsi="宋体" w:cs="宋体"/>
          <w:color w:val="auto"/>
          <w:highlight w:val="none"/>
        </w:rPr>
        <w:t>%。【如联合体成员中有小型、微型企业的，请填写此条，否则无需填写；如联合体成员中有多个小型、微型企业的，请逐一列出。】</w:t>
      </w:r>
    </w:p>
    <w:p w14:paraId="27710916">
      <w:pPr>
        <w:pageBreakBefore w:val="0"/>
        <w:wordWrap w:val="0"/>
        <w:overflowPunct/>
        <w:topLinePunct w:val="0"/>
        <w:autoSpaceDE w:val="0"/>
        <w:autoSpaceDN w:val="0"/>
        <w:bidi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6、本协议书自签署之日起生效，合同履行完毕后自动失效。</w:t>
      </w:r>
    </w:p>
    <w:p w14:paraId="78E321ED">
      <w:pPr>
        <w:pageBreakBefore w:val="0"/>
        <w:wordWrap w:val="0"/>
        <w:overflowPunct/>
        <w:topLinePunct w:val="0"/>
        <w:autoSpaceDE w:val="0"/>
        <w:autoSpaceDN w:val="0"/>
        <w:bidi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7、本协议书一式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14:paraId="6CDBE372">
      <w:pPr>
        <w:pageBreakBefore w:val="0"/>
        <w:wordWrap w:val="0"/>
        <w:overflowPunct/>
        <w:topLinePunct w:val="0"/>
        <w:autoSpaceDE w:val="0"/>
        <w:autoSpaceDN w:val="0"/>
        <w:bidi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注：本协议书由法定代表人签字的，应附法定代表人身份证明；本协议书由委托代理人签字的，应附法定代表人授权委托书。</w:t>
      </w:r>
    </w:p>
    <w:p w14:paraId="65BD7385">
      <w:pPr>
        <w:pageBreakBefore w:val="0"/>
        <w:wordWrap w:val="0"/>
        <w:overflowPunct/>
        <w:topLinePunct w:val="0"/>
        <w:autoSpaceDE w:val="0"/>
        <w:autoSpaceDN w:val="0"/>
        <w:bidi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牵头人名称：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0609BDE1">
      <w:pPr>
        <w:pageBreakBefore w:val="0"/>
        <w:wordWrap w:val="0"/>
        <w:overflowPunct/>
        <w:topLinePunct w:val="0"/>
        <w:autoSpaceDE w:val="0"/>
        <w:autoSpaceDN w:val="0"/>
        <w:bidi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（手写签名/电子签名）</w:t>
      </w:r>
    </w:p>
    <w:p w14:paraId="4937C9C3">
      <w:pPr>
        <w:pageBreakBefore w:val="0"/>
        <w:wordWrap w:val="0"/>
        <w:overflowPunct/>
        <w:topLinePunct w:val="0"/>
        <w:autoSpaceDE w:val="0"/>
        <w:autoSpaceDN w:val="0"/>
        <w:bidi w:val="0"/>
        <w:adjustRightInd w:val="0"/>
        <w:spacing w:line="360" w:lineRule="auto"/>
        <w:jc w:val="left"/>
        <w:rPr>
          <w:rFonts w:ascii="宋体" w:hAnsi="宋体" w:cs="宋体"/>
          <w:color w:val="auto"/>
          <w:kern w:val="0"/>
          <w:szCs w:val="21"/>
          <w:highlight w:val="none"/>
        </w:rPr>
      </w:pPr>
    </w:p>
    <w:p w14:paraId="4BCA2BF5">
      <w:pPr>
        <w:pageBreakBefore w:val="0"/>
        <w:wordWrap w:val="0"/>
        <w:overflowPunct/>
        <w:topLinePunct w:val="0"/>
        <w:autoSpaceDE w:val="0"/>
        <w:autoSpaceDN w:val="0"/>
        <w:bidi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成员一名称：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6FE349CA">
      <w:pPr>
        <w:pageBreakBefore w:val="0"/>
        <w:wordWrap w:val="0"/>
        <w:overflowPunct/>
        <w:topLinePunct w:val="0"/>
        <w:autoSpaceDE w:val="0"/>
        <w:autoSpaceDN w:val="0"/>
        <w:bidi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（手写签名/电子签名）</w:t>
      </w:r>
    </w:p>
    <w:p w14:paraId="7226252B">
      <w:pPr>
        <w:pageBreakBefore w:val="0"/>
        <w:wordWrap w:val="0"/>
        <w:overflowPunct/>
        <w:topLinePunct w:val="0"/>
        <w:autoSpaceDE w:val="0"/>
        <w:autoSpaceDN w:val="0"/>
        <w:bidi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53345637">
      <w:pPr>
        <w:pStyle w:val="12"/>
        <w:pageBreakBefore w:val="0"/>
        <w:wordWrap w:val="0"/>
        <w:overflowPunct/>
        <w:topLinePunct w:val="0"/>
        <w:bidi w:val="0"/>
        <w:spacing w:line="360" w:lineRule="auto"/>
        <w:rPr>
          <w:rFonts w:hAnsi="宋体" w:cs="宋体"/>
          <w:color w:val="auto"/>
          <w:szCs w:val="21"/>
          <w:highlight w:val="none"/>
        </w:rPr>
      </w:pPr>
      <w:r>
        <w:rPr>
          <w:rFonts w:hint="eastAsia" w:hAnsi="宋体" w:cs="宋体"/>
          <w:color w:val="auto"/>
          <w:kern w:val="0"/>
          <w:szCs w:val="21"/>
          <w:highlight w:val="none"/>
        </w:rPr>
        <w:t>法定代表人或其委托代理人：</w:t>
      </w:r>
      <w:r>
        <w:rPr>
          <w:rFonts w:hint="eastAsia" w:hAnsi="宋体" w:cs="宋体"/>
          <w:color w:val="auto"/>
          <w:kern w:val="0"/>
          <w:szCs w:val="21"/>
          <w:highlight w:val="none"/>
          <w:u w:val="single"/>
        </w:rPr>
        <w:t xml:space="preserve">                         </w:t>
      </w:r>
      <w:r>
        <w:rPr>
          <w:rFonts w:hint="eastAsia" w:hAnsi="宋体" w:cs="宋体"/>
          <w:color w:val="auto"/>
          <w:kern w:val="0"/>
          <w:szCs w:val="21"/>
          <w:highlight w:val="none"/>
        </w:rPr>
        <w:t>（手写签名/电子签名）</w:t>
      </w:r>
    </w:p>
    <w:p w14:paraId="67724E7F">
      <w:pPr>
        <w:pageBreakBefore w:val="0"/>
        <w:wordWrap w:val="0"/>
        <w:overflowPunct/>
        <w:topLinePunct w:val="0"/>
        <w:bidi w:val="0"/>
        <w:spacing w:line="360" w:lineRule="auto"/>
        <w:rPr>
          <w:color w:val="auto"/>
          <w:highlight w:val="none"/>
        </w:rPr>
      </w:pPr>
    </w:p>
    <w:p w14:paraId="0B6E3474">
      <w:pPr>
        <w:pageBreakBefore w:val="0"/>
        <w:wordWrap w:val="0"/>
        <w:overflowPunct/>
        <w:topLinePunct w:val="0"/>
        <w:bidi w:val="0"/>
        <w:spacing w:line="360" w:lineRule="auto"/>
        <w:rPr>
          <w:color w:val="auto"/>
          <w:highlight w:val="none"/>
        </w:rPr>
      </w:pPr>
      <w:bookmarkStart w:id="277" w:name="_Toc19686838"/>
    </w:p>
    <w:p w14:paraId="5BE5CD72">
      <w:pPr>
        <w:pStyle w:val="9"/>
        <w:pageBreakBefore w:val="0"/>
        <w:wordWrap w:val="0"/>
        <w:overflowPunct/>
        <w:topLinePunct w:val="0"/>
        <w:bidi w:val="0"/>
        <w:spacing w:after="0" w:line="360" w:lineRule="auto"/>
        <w:rPr>
          <w:rFonts w:hAnsi="宋体" w:cs="宋体"/>
          <w:b/>
          <w:bCs/>
          <w:color w:val="auto"/>
          <w:sz w:val="28"/>
          <w:szCs w:val="28"/>
          <w:highlight w:val="none"/>
        </w:rPr>
      </w:pPr>
    </w:p>
    <w:p w14:paraId="158CB01D">
      <w:pPr>
        <w:pStyle w:val="12"/>
        <w:pageBreakBefore w:val="0"/>
        <w:wordWrap w:val="0"/>
        <w:overflowPunct/>
        <w:topLinePunct w:val="0"/>
        <w:bidi w:val="0"/>
        <w:spacing w:line="360" w:lineRule="auto"/>
        <w:jc w:val="center"/>
        <w:outlineLvl w:val="1"/>
        <w:rPr>
          <w:rFonts w:hAnsi="宋体" w:cs="宋体"/>
          <w:b/>
          <w:bCs/>
          <w:color w:val="auto"/>
          <w:sz w:val="28"/>
          <w:szCs w:val="28"/>
          <w:highlight w:val="none"/>
        </w:rPr>
      </w:pPr>
      <w:bookmarkStart w:id="278" w:name="_Toc30766"/>
      <w:r>
        <w:rPr>
          <w:rFonts w:hint="eastAsia" w:hAnsi="宋体" w:cs="宋体"/>
          <w:b/>
          <w:bCs/>
          <w:color w:val="auto"/>
          <w:sz w:val="28"/>
          <w:szCs w:val="28"/>
          <w:highlight w:val="none"/>
        </w:rPr>
        <w:t>第三节 商务文件格式</w:t>
      </w:r>
      <w:bookmarkEnd w:id="277"/>
      <w:bookmarkEnd w:id="278"/>
    </w:p>
    <w:p w14:paraId="7180CEC8">
      <w:pPr>
        <w:pageBreakBefore w:val="0"/>
        <w:wordWrap w:val="0"/>
        <w:overflowPunct/>
        <w:topLinePunct w:val="0"/>
        <w:bidi w:val="0"/>
        <w:snapToGrid w:val="0"/>
        <w:spacing w:line="360" w:lineRule="auto"/>
        <w:rPr>
          <w:rFonts w:ascii="宋体" w:hAnsi="宋体" w:cs="宋体"/>
          <w:color w:val="auto"/>
          <w:sz w:val="30"/>
          <w:szCs w:val="20"/>
          <w:highlight w:val="none"/>
        </w:rPr>
      </w:pPr>
    </w:p>
    <w:p w14:paraId="035CF442">
      <w:pPr>
        <w:pageBreakBefore w:val="0"/>
        <w:wordWrap w:val="0"/>
        <w:overflowPunct/>
        <w:topLinePunct w:val="0"/>
        <w:bidi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 xml:space="preserve">             电子投标文件</w:t>
      </w:r>
    </w:p>
    <w:p w14:paraId="72D837EA">
      <w:pPr>
        <w:pageBreakBefore w:val="0"/>
        <w:wordWrap w:val="0"/>
        <w:overflowPunct/>
        <w:topLinePunct w:val="0"/>
        <w:bidi w:val="0"/>
        <w:snapToGrid w:val="0"/>
        <w:spacing w:line="360" w:lineRule="auto"/>
        <w:rPr>
          <w:rFonts w:ascii="宋体" w:hAnsi="宋体" w:cs="宋体"/>
          <w:color w:val="auto"/>
          <w:sz w:val="24"/>
          <w:szCs w:val="20"/>
          <w:highlight w:val="none"/>
        </w:rPr>
      </w:pPr>
    </w:p>
    <w:p w14:paraId="5A2B706A">
      <w:pPr>
        <w:pageBreakBefore w:val="0"/>
        <w:wordWrap w:val="0"/>
        <w:overflowPunct/>
        <w:topLinePunct w:val="0"/>
        <w:bidi w:val="0"/>
        <w:snapToGrid w:val="0"/>
        <w:spacing w:line="360" w:lineRule="auto"/>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商务文件（封面）</w:t>
      </w:r>
    </w:p>
    <w:p w14:paraId="63AEB84E">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6810F923">
      <w:pPr>
        <w:pageBreakBefore w:val="0"/>
        <w:wordWrap w:val="0"/>
        <w:overflowPunct/>
        <w:topLinePunct w:val="0"/>
        <w:bidi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335EDEB9">
      <w:pPr>
        <w:pageBreakBefore w:val="0"/>
        <w:wordWrap w:val="0"/>
        <w:overflowPunct/>
        <w:topLinePunct w:val="0"/>
        <w:bidi w:val="0"/>
        <w:snapToGrid w:val="0"/>
        <w:spacing w:line="360" w:lineRule="auto"/>
        <w:ind w:firstLine="540" w:firstLineChars="225"/>
        <w:rPr>
          <w:rFonts w:ascii="宋体" w:hAnsi="宋体" w:cs="宋体"/>
          <w:bCs/>
          <w:color w:val="auto"/>
          <w:sz w:val="24"/>
          <w:szCs w:val="20"/>
          <w:highlight w:val="none"/>
        </w:rPr>
      </w:pPr>
    </w:p>
    <w:p w14:paraId="157A8987">
      <w:pPr>
        <w:pageBreakBefore w:val="0"/>
        <w:wordWrap w:val="0"/>
        <w:overflowPunct/>
        <w:topLinePunct w:val="0"/>
        <w:bidi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项目编号： </w:t>
      </w:r>
      <w:r>
        <w:rPr>
          <w:rFonts w:hint="eastAsia" w:ascii="宋体" w:hAnsi="宋体" w:cs="宋体"/>
          <w:color w:val="auto"/>
          <w:sz w:val="24"/>
          <w:highlight w:val="none"/>
        </w:rPr>
        <w:t xml:space="preserve"> </w:t>
      </w:r>
    </w:p>
    <w:p w14:paraId="372BD6B4">
      <w:pPr>
        <w:pageBreakBefore w:val="0"/>
        <w:wordWrap w:val="0"/>
        <w:overflowPunct/>
        <w:topLinePunct w:val="0"/>
        <w:bidi w:val="0"/>
        <w:snapToGrid w:val="0"/>
        <w:spacing w:line="360" w:lineRule="auto"/>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6CC8C68F">
      <w:pPr>
        <w:pageBreakBefore w:val="0"/>
        <w:wordWrap w:val="0"/>
        <w:overflowPunct/>
        <w:topLinePunct w:val="0"/>
        <w:bidi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w:t>
      </w:r>
    </w:p>
    <w:p w14:paraId="2EA613FE">
      <w:pPr>
        <w:pageBreakBefore w:val="0"/>
        <w:wordWrap w:val="0"/>
        <w:overflowPunct/>
        <w:topLinePunct w:val="0"/>
        <w:bidi w:val="0"/>
        <w:snapToGrid w:val="0"/>
        <w:spacing w:line="360" w:lineRule="auto"/>
        <w:ind w:firstLine="540" w:firstLineChars="225"/>
        <w:rPr>
          <w:rFonts w:ascii="宋体" w:hAnsi="宋体" w:cs="宋体"/>
          <w:bCs/>
          <w:color w:val="auto"/>
          <w:sz w:val="24"/>
          <w:szCs w:val="20"/>
          <w:highlight w:val="none"/>
        </w:rPr>
      </w:pPr>
    </w:p>
    <w:p w14:paraId="26A2808E">
      <w:pPr>
        <w:pStyle w:val="2"/>
        <w:pageBreakBefore w:val="0"/>
        <w:wordWrap w:val="0"/>
        <w:overflowPunct/>
        <w:topLinePunct w:val="0"/>
        <w:bidi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58125218">
      <w:pPr>
        <w:pStyle w:val="2"/>
        <w:pageBreakBefore w:val="0"/>
        <w:wordWrap w:val="0"/>
        <w:overflowPunct/>
        <w:topLinePunct w:val="0"/>
        <w:bidi w:val="0"/>
        <w:snapToGrid w:val="0"/>
        <w:spacing w:line="360" w:lineRule="auto"/>
        <w:ind w:firstLine="540" w:firstLineChars="225"/>
        <w:rPr>
          <w:rFonts w:ascii="宋体" w:hAnsi="宋体" w:cs="宋体"/>
          <w:bCs/>
          <w:color w:val="auto"/>
          <w:sz w:val="24"/>
          <w:szCs w:val="24"/>
          <w:highlight w:val="none"/>
        </w:rPr>
      </w:pPr>
    </w:p>
    <w:p w14:paraId="28977C37">
      <w:pPr>
        <w:pStyle w:val="2"/>
        <w:pageBreakBefore w:val="0"/>
        <w:wordWrap w:val="0"/>
        <w:overflowPunct/>
        <w:topLinePunct w:val="0"/>
        <w:bidi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投标人地址：</w:t>
      </w:r>
    </w:p>
    <w:p w14:paraId="7F0F0F4E">
      <w:pPr>
        <w:pStyle w:val="2"/>
        <w:pageBreakBefore w:val="0"/>
        <w:wordWrap w:val="0"/>
        <w:overflowPunct/>
        <w:topLinePunct w:val="0"/>
        <w:bidi w:val="0"/>
        <w:snapToGrid w:val="0"/>
        <w:spacing w:line="360" w:lineRule="auto"/>
        <w:ind w:firstLine="960" w:firstLineChars="400"/>
        <w:rPr>
          <w:rFonts w:ascii="宋体" w:hAnsi="宋体" w:cs="宋体"/>
          <w:bCs/>
          <w:color w:val="auto"/>
          <w:sz w:val="24"/>
          <w:szCs w:val="24"/>
          <w:highlight w:val="none"/>
        </w:rPr>
      </w:pPr>
    </w:p>
    <w:p w14:paraId="544320DE">
      <w:pPr>
        <w:pageBreakBefore w:val="0"/>
        <w:wordWrap w:val="0"/>
        <w:overflowPunct/>
        <w:topLinePunct w:val="0"/>
        <w:bidi w:val="0"/>
        <w:snapToGrid w:val="0"/>
        <w:spacing w:line="360" w:lineRule="auto"/>
        <w:ind w:firstLine="645"/>
        <w:rPr>
          <w:rFonts w:ascii="宋体" w:hAnsi="宋体" w:cs="宋体"/>
          <w:color w:val="auto"/>
          <w:sz w:val="24"/>
          <w:highlight w:val="none"/>
        </w:rPr>
      </w:pPr>
      <w:r>
        <w:rPr>
          <w:rFonts w:hint="eastAsia" w:ascii="宋体" w:hAnsi="宋体" w:cs="宋体"/>
          <w:color w:val="auto"/>
          <w:sz w:val="24"/>
          <w:highlight w:val="none"/>
        </w:rPr>
        <w:t xml:space="preserve">                        年  月  日</w:t>
      </w:r>
    </w:p>
    <w:p w14:paraId="1C43221C">
      <w:pPr>
        <w:pageBreakBefore w:val="0"/>
        <w:wordWrap w:val="0"/>
        <w:overflowPunct/>
        <w:topLinePunct w:val="0"/>
        <w:bidi w:val="0"/>
        <w:snapToGrid w:val="0"/>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14:paraId="2FFAD02E">
      <w:pPr>
        <w:pageBreakBefore w:val="0"/>
        <w:wordWrap w:val="0"/>
        <w:overflowPunct/>
        <w:topLinePunct w:val="0"/>
        <w:bidi w:val="0"/>
        <w:spacing w:line="360" w:lineRule="auto"/>
        <w:ind w:right="420"/>
        <w:rPr>
          <w:rFonts w:ascii="宋体" w:hAnsi="宋体" w:cs="宋体"/>
          <w:color w:val="auto"/>
          <w:sz w:val="24"/>
          <w:szCs w:val="20"/>
          <w:highlight w:val="none"/>
        </w:rPr>
      </w:pPr>
    </w:p>
    <w:p w14:paraId="23D14FB4">
      <w:pPr>
        <w:pageBreakBefore w:val="0"/>
        <w:wordWrap w:val="0"/>
        <w:overflowPunct/>
        <w:topLinePunct w:val="0"/>
        <w:bidi w:val="0"/>
        <w:spacing w:line="360" w:lineRule="auto"/>
        <w:ind w:right="420"/>
        <w:rPr>
          <w:rFonts w:ascii="宋体" w:hAnsi="宋体" w:cs="宋体"/>
          <w:color w:val="auto"/>
          <w:sz w:val="24"/>
          <w:szCs w:val="20"/>
          <w:highlight w:val="none"/>
        </w:rPr>
      </w:pPr>
    </w:p>
    <w:p w14:paraId="746BECB4">
      <w:pPr>
        <w:pageBreakBefore w:val="0"/>
        <w:wordWrap w:val="0"/>
        <w:overflowPunct/>
        <w:topLinePunct w:val="0"/>
        <w:bidi w:val="0"/>
        <w:spacing w:line="360" w:lineRule="auto"/>
        <w:ind w:right="420"/>
        <w:rPr>
          <w:rFonts w:ascii="宋体" w:hAnsi="宋体" w:cs="宋体"/>
          <w:color w:val="auto"/>
          <w:sz w:val="24"/>
          <w:szCs w:val="20"/>
          <w:highlight w:val="none"/>
        </w:rPr>
      </w:pPr>
    </w:p>
    <w:p w14:paraId="3CA81616">
      <w:pPr>
        <w:pageBreakBefore w:val="0"/>
        <w:wordWrap w:val="0"/>
        <w:overflowPunct/>
        <w:topLinePunct w:val="0"/>
        <w:bidi w:val="0"/>
        <w:spacing w:line="360" w:lineRule="auto"/>
        <w:ind w:right="420"/>
        <w:rPr>
          <w:rFonts w:ascii="宋体" w:hAnsi="宋体" w:cs="宋体"/>
          <w:color w:val="auto"/>
          <w:sz w:val="24"/>
          <w:szCs w:val="20"/>
          <w:highlight w:val="none"/>
        </w:rPr>
      </w:pPr>
    </w:p>
    <w:p w14:paraId="3F3D1FE8">
      <w:pPr>
        <w:pageBreakBefore w:val="0"/>
        <w:wordWrap w:val="0"/>
        <w:overflowPunct/>
        <w:topLinePunct w:val="0"/>
        <w:bidi w:val="0"/>
        <w:spacing w:line="360" w:lineRule="auto"/>
        <w:ind w:right="420"/>
        <w:rPr>
          <w:rFonts w:ascii="宋体" w:hAnsi="宋体" w:cs="宋体"/>
          <w:color w:val="auto"/>
          <w:sz w:val="24"/>
          <w:szCs w:val="20"/>
          <w:highlight w:val="none"/>
        </w:rPr>
      </w:pPr>
    </w:p>
    <w:p w14:paraId="3CBCFFF4">
      <w:pPr>
        <w:pageBreakBefore w:val="0"/>
        <w:wordWrap w:val="0"/>
        <w:overflowPunct/>
        <w:topLinePunct w:val="0"/>
        <w:bidi w:val="0"/>
        <w:spacing w:line="360" w:lineRule="auto"/>
        <w:ind w:right="420"/>
        <w:rPr>
          <w:rFonts w:ascii="宋体" w:hAnsi="宋体" w:cs="宋体"/>
          <w:color w:val="auto"/>
          <w:sz w:val="24"/>
          <w:szCs w:val="20"/>
          <w:highlight w:val="none"/>
        </w:rPr>
      </w:pPr>
    </w:p>
    <w:p w14:paraId="1AB7ADB2">
      <w:pPr>
        <w:pageBreakBefore w:val="0"/>
        <w:wordWrap w:val="0"/>
        <w:overflowPunct/>
        <w:topLinePunct w:val="0"/>
        <w:bidi w:val="0"/>
        <w:spacing w:line="360" w:lineRule="auto"/>
        <w:ind w:right="420"/>
        <w:rPr>
          <w:rFonts w:ascii="宋体" w:hAnsi="宋体" w:cs="宋体"/>
          <w:color w:val="auto"/>
          <w:sz w:val="24"/>
          <w:szCs w:val="20"/>
          <w:highlight w:val="none"/>
        </w:rPr>
      </w:pPr>
    </w:p>
    <w:p w14:paraId="5DCE4227">
      <w:pPr>
        <w:pageBreakBefore w:val="0"/>
        <w:wordWrap w:val="0"/>
        <w:overflowPunct/>
        <w:topLinePunct w:val="0"/>
        <w:bidi w:val="0"/>
        <w:spacing w:line="360" w:lineRule="auto"/>
        <w:ind w:right="420"/>
        <w:rPr>
          <w:rFonts w:ascii="宋体" w:hAnsi="宋体" w:cs="宋体"/>
          <w:color w:val="auto"/>
          <w:sz w:val="24"/>
          <w:szCs w:val="20"/>
          <w:highlight w:val="none"/>
        </w:rPr>
      </w:pPr>
    </w:p>
    <w:p w14:paraId="598AD41F">
      <w:pPr>
        <w:pageBreakBefore w:val="0"/>
        <w:wordWrap w:val="0"/>
        <w:overflowPunct/>
        <w:topLinePunct w:val="0"/>
        <w:bidi w:val="0"/>
        <w:spacing w:line="360" w:lineRule="auto"/>
        <w:ind w:right="420"/>
        <w:rPr>
          <w:rFonts w:ascii="宋体" w:hAnsi="宋体" w:cs="宋体"/>
          <w:color w:val="auto"/>
          <w:sz w:val="24"/>
          <w:szCs w:val="20"/>
          <w:highlight w:val="none"/>
        </w:rPr>
      </w:pPr>
    </w:p>
    <w:p w14:paraId="419E4030">
      <w:pPr>
        <w:pageBreakBefore w:val="0"/>
        <w:wordWrap w:val="0"/>
        <w:overflowPunct/>
        <w:topLinePunct w:val="0"/>
        <w:bidi w:val="0"/>
        <w:spacing w:line="360" w:lineRule="auto"/>
        <w:ind w:right="42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 xml:space="preserve"> </w:t>
      </w:r>
    </w:p>
    <w:p w14:paraId="587FC91F">
      <w:pPr>
        <w:pageBreakBefore w:val="0"/>
        <w:wordWrap w:val="0"/>
        <w:overflowPunct/>
        <w:topLinePunct w:val="0"/>
        <w:bidi w:val="0"/>
        <w:spacing w:line="360" w:lineRule="auto"/>
        <w:rPr>
          <w:rFonts w:ascii="宋体" w:hAnsi="宋体" w:cs="宋体"/>
          <w:b/>
          <w:color w:val="auto"/>
          <w:kern w:val="0"/>
          <w:sz w:val="24"/>
          <w:highlight w:val="none"/>
        </w:rPr>
      </w:pPr>
    </w:p>
    <w:p w14:paraId="77B65EB1">
      <w:pPr>
        <w:pageBreakBefore w:val="0"/>
        <w:wordWrap w:val="0"/>
        <w:overflowPunct/>
        <w:topLinePunct w:val="0"/>
        <w:bidi w:val="0"/>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商务文件目录</w:t>
      </w:r>
    </w:p>
    <w:p w14:paraId="07AA1935">
      <w:pPr>
        <w:pStyle w:val="30"/>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一、无串通投标行为的承诺函……………………………………………………………（页码）</w:t>
      </w:r>
    </w:p>
    <w:p w14:paraId="79B661EE">
      <w:pPr>
        <w:pStyle w:val="30"/>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336DBAC1">
      <w:pPr>
        <w:pStyle w:val="30"/>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三、法定代表人授权委托书及委托代理人有效身份证正反面复印件（如有委托时）……………………………………………………………………………………………（页码）</w:t>
      </w:r>
    </w:p>
    <w:p w14:paraId="56CCAFBB">
      <w:pPr>
        <w:pStyle w:val="30"/>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37400781">
      <w:pPr>
        <w:pStyle w:val="30"/>
        <w:pageBreakBefore w:val="0"/>
        <w:wordWrap w:val="0"/>
        <w:overflowPunct/>
        <w:topLinePunct w:val="0"/>
        <w:bidi w:val="0"/>
        <w:spacing w:line="360" w:lineRule="auto"/>
        <w:rPr>
          <w:rFonts w:ascii="宋体" w:hAnsi="宋体" w:eastAsia="宋体" w:cs="宋体"/>
          <w:color w:val="auto"/>
          <w:highlight w:val="none"/>
        </w:rPr>
      </w:pPr>
      <w:bookmarkStart w:id="279" w:name="OLE_LINK7"/>
      <w:bookmarkStart w:id="280" w:name="OLE_LINK6"/>
      <w:bookmarkStart w:id="281" w:name="OLE_LINK5"/>
      <w:r>
        <w:rPr>
          <w:rFonts w:hint="eastAsia" w:ascii="宋体" w:hAnsi="宋体" w:eastAsia="宋体" w:cs="宋体"/>
          <w:color w:val="auto"/>
          <w:highlight w:val="none"/>
        </w:rPr>
        <w:t>五、投标人情况介绍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A13EF1A">
      <w:pPr>
        <w:pStyle w:val="30"/>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六、投标人类似业绩的证明文件（如有要求）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279"/>
      <w:bookmarkEnd w:id="280"/>
    </w:p>
    <w:p w14:paraId="14DEC7DC">
      <w:pPr>
        <w:pStyle w:val="30"/>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七、其他商务文件或说明</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bookmarkEnd w:id="281"/>
    <w:p w14:paraId="504A43DA">
      <w:pPr>
        <w:pageBreakBefore w:val="0"/>
        <w:wordWrap w:val="0"/>
        <w:overflowPunct/>
        <w:topLinePunct w:val="0"/>
        <w:bidi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0A4D4934">
      <w:pPr>
        <w:pageBreakBefore w:val="0"/>
        <w:widowControl/>
        <w:wordWrap w:val="0"/>
        <w:overflowPunct/>
        <w:topLinePunct w:val="0"/>
        <w:bidi w:val="0"/>
        <w:spacing w:line="360" w:lineRule="auto"/>
        <w:jc w:val="left"/>
        <w:rPr>
          <w:rFonts w:ascii="宋体" w:hAnsi="宋体" w:cs="宋体"/>
          <w:color w:val="auto"/>
          <w:highlight w:val="none"/>
        </w:rPr>
        <w:sectPr>
          <w:pgSz w:w="11906" w:h="16838"/>
          <w:pgMar w:top="1440" w:right="1080" w:bottom="1440" w:left="1080" w:header="720" w:footer="720" w:gutter="0"/>
          <w:pgNumType w:fmt="decimal"/>
          <w:cols w:space="720" w:num="1"/>
          <w:docGrid w:type="lines" w:linePitch="331" w:charSpace="0"/>
        </w:sectPr>
      </w:pPr>
    </w:p>
    <w:p w14:paraId="7B478D8E">
      <w:pPr>
        <w:pageBreakBefore w:val="0"/>
        <w:wordWrap w:val="0"/>
        <w:overflowPunct/>
        <w:topLinePunct w:val="0"/>
        <w:bidi w:val="0"/>
        <w:snapToGrid w:val="0"/>
        <w:spacing w:line="360" w:lineRule="auto"/>
        <w:ind w:left="42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一、无串通投标行为的承诺函</w:t>
      </w:r>
    </w:p>
    <w:p w14:paraId="32E51602">
      <w:pPr>
        <w:pageBreakBefore w:val="0"/>
        <w:wordWrap w:val="0"/>
        <w:overflowPunct/>
        <w:topLinePunct w:val="0"/>
        <w:bidi w:val="0"/>
        <w:snapToGrid w:val="0"/>
        <w:spacing w:line="360" w:lineRule="auto"/>
        <w:ind w:left="42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投标人参加本项目无串通投标行为的承诺函</w:t>
      </w:r>
    </w:p>
    <w:p w14:paraId="266A362F">
      <w:pPr>
        <w:pageBreakBefore w:val="0"/>
        <w:wordWrap w:val="0"/>
        <w:overflowPunct/>
        <w:topLinePunct w:val="0"/>
        <w:bidi w:val="0"/>
        <w:snapToGrid w:val="0"/>
        <w:spacing w:line="360" w:lineRule="auto"/>
        <w:rPr>
          <w:rFonts w:ascii="宋体" w:hAnsi="宋体" w:cs="宋体"/>
          <w:b/>
          <w:color w:val="auto"/>
          <w:szCs w:val="21"/>
          <w:highlight w:val="none"/>
        </w:rPr>
      </w:pPr>
    </w:p>
    <w:p w14:paraId="2D41FF9E">
      <w:pPr>
        <w:pageBreakBefore w:val="0"/>
        <w:wordWrap w:val="0"/>
        <w:overflowPunct/>
        <w:topLinePunct w:val="0"/>
        <w:bidi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一、我方承诺无下列相互串通投标的情形：</w:t>
      </w:r>
    </w:p>
    <w:p w14:paraId="0114B1A1">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1.不同投标人的投标文件由同一单位或者个人编制；或者不同投标人报名的IP地址一致的；或者编制标书硬件设备CPU编号、硬盘编号、网卡地址一致的情况。</w:t>
      </w:r>
    </w:p>
    <w:p w14:paraId="436BF43D">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5E36EEF9">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14:paraId="4C5FB4E5">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2B0BCA4F">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096BA797">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6.不同投标人的投标保证金从同一单位或者个人账户转出。</w:t>
      </w:r>
    </w:p>
    <w:p w14:paraId="433A94EC">
      <w:pPr>
        <w:pageBreakBefore w:val="0"/>
        <w:wordWrap w:val="0"/>
        <w:overflowPunct/>
        <w:topLinePunct w:val="0"/>
        <w:bidi w:val="0"/>
        <w:snapToGrid w:val="0"/>
        <w:spacing w:line="360" w:lineRule="auto"/>
        <w:jc w:val="left"/>
        <w:rPr>
          <w:rFonts w:ascii="宋体" w:hAnsi="宋体" w:cs="宋体"/>
          <w:color w:val="auto"/>
          <w:szCs w:val="21"/>
          <w:highlight w:val="none"/>
        </w:rPr>
      </w:pPr>
      <w:r>
        <w:rPr>
          <w:rFonts w:hint="eastAsia" w:ascii="宋体" w:hAnsi="宋体" w:cs="宋体"/>
          <w:b/>
          <w:color w:val="auto"/>
          <w:szCs w:val="21"/>
          <w:highlight w:val="none"/>
        </w:rPr>
        <w:t>二、我方承诺无下列恶意串通的情形：</w:t>
      </w:r>
    </w:p>
    <w:p w14:paraId="2D13AB98">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1.投标人直接或者间接从采购人或者采购代理机构处获得其他投标人的相关信息并修改其投标文件或者投标文件；</w:t>
      </w:r>
    </w:p>
    <w:p w14:paraId="560C61CF">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2.投标人按照采购人或者采购代理机构的授意撤换、修改投标文件或者投标文件；</w:t>
      </w:r>
    </w:p>
    <w:p w14:paraId="1DB3A38A">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3.投标人之间协商报价、技术方案等投标文件或者投标文件的实质性内容；</w:t>
      </w:r>
    </w:p>
    <w:p w14:paraId="35D6A845">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14:paraId="02ED4167">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0B917D49">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w:t>
      </w:r>
    </w:p>
    <w:p w14:paraId="2FD40C36">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7.投标人与采购人或者采购代理机构之间、投标人相互之间，为谋求特定投标人中标或者排斥其他投标人的其他串通行为。</w:t>
      </w:r>
    </w:p>
    <w:p w14:paraId="4A0A1A99">
      <w:pPr>
        <w:pageBreakBefore w:val="0"/>
        <w:wordWrap w:val="0"/>
        <w:overflowPunct/>
        <w:topLinePunct w:val="0"/>
        <w:bidi w:val="0"/>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以上情形一经核查属实，我方愿意承担一切后果，接受政府采购监管部门对我方认定存在围标串标行为，并不再寻求任何旨在减轻或者免除法律责任的辩解。</w:t>
      </w:r>
    </w:p>
    <w:p w14:paraId="77C581A8">
      <w:pPr>
        <w:pageBreakBefore w:val="0"/>
        <w:wordWrap w:val="0"/>
        <w:overflowPunct/>
        <w:topLinePunct w:val="0"/>
        <w:bidi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3B5A6353">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9DB3F5F">
      <w:pPr>
        <w:pStyle w:val="12"/>
        <w:pageBreakBefore w:val="0"/>
        <w:wordWrap w:val="0"/>
        <w:overflowPunct/>
        <w:topLinePunct w:val="0"/>
        <w:bidi w:val="0"/>
        <w:snapToGrid w:val="0"/>
        <w:spacing w:line="360" w:lineRule="auto"/>
        <w:jc w:val="center"/>
        <w:rPr>
          <w:rFonts w:hAnsi="宋体" w:cs="宋体"/>
          <w:b/>
          <w:color w:val="auto"/>
          <w:sz w:val="24"/>
          <w:highlight w:val="none"/>
        </w:rPr>
      </w:pPr>
      <w:r>
        <w:rPr>
          <w:rFonts w:hint="eastAsia" w:hAnsi="宋体" w:cs="宋体"/>
          <w:b/>
          <w:color w:val="auto"/>
          <w:sz w:val="24"/>
          <w:highlight w:val="none"/>
        </w:rPr>
        <w:br w:type="page"/>
      </w:r>
      <w:r>
        <w:rPr>
          <w:rFonts w:hint="eastAsia" w:hAnsi="宋体" w:cs="宋体"/>
          <w:b/>
          <w:bCs/>
          <w:color w:val="auto"/>
          <w:sz w:val="30"/>
          <w:szCs w:val="30"/>
          <w:highlight w:val="none"/>
        </w:rPr>
        <w:t>二、法定代表人身份证明及法定代表人有效身份证正反面复印件</w:t>
      </w:r>
    </w:p>
    <w:p w14:paraId="6BCE2AFB">
      <w:pPr>
        <w:pageBreakBefore w:val="0"/>
        <w:wordWrap w:val="0"/>
        <w:overflowPunct/>
        <w:topLinePunct w:val="0"/>
        <w:bidi w:val="0"/>
        <w:spacing w:line="360" w:lineRule="auto"/>
        <w:ind w:left="540"/>
        <w:jc w:val="center"/>
        <w:rPr>
          <w:rFonts w:ascii="宋体" w:hAnsi="宋体" w:cs="宋体"/>
          <w:b/>
          <w:color w:val="auto"/>
          <w:sz w:val="32"/>
          <w:szCs w:val="32"/>
          <w:highlight w:val="none"/>
        </w:rPr>
      </w:pPr>
    </w:p>
    <w:p w14:paraId="37A2B5A1">
      <w:pPr>
        <w:pageBreakBefore w:val="0"/>
        <w:wordWrap w:val="0"/>
        <w:overflowPunct/>
        <w:topLinePunct w:val="0"/>
        <w:bidi w:val="0"/>
        <w:spacing w:line="360" w:lineRule="auto"/>
        <w:ind w:left="540"/>
        <w:jc w:val="center"/>
        <w:rPr>
          <w:rFonts w:ascii="宋体" w:hAnsi="宋体" w:cs="宋体"/>
          <w:color w:val="auto"/>
          <w:sz w:val="32"/>
          <w:szCs w:val="32"/>
          <w:highlight w:val="none"/>
        </w:rPr>
      </w:pPr>
      <w:r>
        <w:rPr>
          <w:rFonts w:hint="eastAsia" w:ascii="宋体" w:hAnsi="宋体" w:cs="宋体"/>
          <w:b/>
          <w:color w:val="auto"/>
          <w:sz w:val="32"/>
          <w:szCs w:val="32"/>
          <w:highlight w:val="none"/>
        </w:rPr>
        <w:t>法定代表人身份证明</w:t>
      </w:r>
    </w:p>
    <w:p w14:paraId="4E1A4B76">
      <w:pPr>
        <w:pageBreakBefore w:val="0"/>
        <w:wordWrap w:val="0"/>
        <w:overflowPunct/>
        <w:topLinePunct w:val="0"/>
        <w:bidi w:val="0"/>
        <w:spacing w:line="360" w:lineRule="auto"/>
        <w:ind w:left="540"/>
        <w:rPr>
          <w:rFonts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                                                        </w:t>
      </w:r>
    </w:p>
    <w:p w14:paraId="4429FC21">
      <w:pPr>
        <w:pageBreakBefore w:val="0"/>
        <w:wordWrap w:val="0"/>
        <w:overflowPunct/>
        <w:topLinePunct w:val="0"/>
        <w:bidi w:val="0"/>
        <w:spacing w:line="360" w:lineRule="auto"/>
        <w:ind w:left="54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267BCD38">
      <w:pPr>
        <w:pageBreakBefore w:val="0"/>
        <w:wordWrap w:val="0"/>
        <w:overflowPunct/>
        <w:topLinePunct w:val="0"/>
        <w:bidi w:val="0"/>
        <w:spacing w:line="360" w:lineRule="auto"/>
        <w:ind w:left="54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3768EEB3">
      <w:pPr>
        <w:pageBreakBefore w:val="0"/>
        <w:wordWrap w:val="0"/>
        <w:overflowPunct/>
        <w:topLinePunct w:val="0"/>
        <w:bidi w:val="0"/>
        <w:spacing w:line="360" w:lineRule="auto"/>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44C87A56">
      <w:pPr>
        <w:pageBreakBefore w:val="0"/>
        <w:wordWrap w:val="0"/>
        <w:overflowPunct/>
        <w:topLinePunct w:val="0"/>
        <w:bidi w:val="0"/>
        <w:spacing w:line="360" w:lineRule="auto"/>
        <w:ind w:left="54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3E990BBD">
      <w:pPr>
        <w:pageBreakBefore w:val="0"/>
        <w:wordWrap w:val="0"/>
        <w:overflowPunct/>
        <w:topLinePunct w:val="0"/>
        <w:bidi w:val="0"/>
        <w:spacing w:line="360" w:lineRule="auto"/>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w:t>
      </w:r>
    </w:p>
    <w:p w14:paraId="652D75AA">
      <w:pPr>
        <w:pageBreakBefore w:val="0"/>
        <w:wordWrap w:val="0"/>
        <w:overflowPunct/>
        <w:topLinePunct w:val="0"/>
        <w:bidi w:val="0"/>
        <w:spacing w:line="360" w:lineRule="auto"/>
        <w:ind w:left="540"/>
        <w:rPr>
          <w:rFonts w:ascii="宋体" w:hAnsi="宋体" w:cs="宋体"/>
          <w:color w:val="auto"/>
          <w:sz w:val="24"/>
          <w:highlight w:val="none"/>
        </w:rPr>
      </w:pPr>
      <w:r>
        <w:rPr>
          <w:rFonts w:hint="eastAsia" w:ascii="宋体" w:hAnsi="宋体" w:cs="宋体"/>
          <w:color w:val="auto"/>
          <w:sz w:val="24"/>
          <w:highlight w:val="none"/>
        </w:rPr>
        <w:t>特此证明。</w:t>
      </w:r>
    </w:p>
    <w:p w14:paraId="629DFAA1">
      <w:pPr>
        <w:pageBreakBefore w:val="0"/>
        <w:wordWrap w:val="0"/>
        <w:overflowPunct/>
        <w:topLinePunct w:val="0"/>
        <w:bidi w:val="0"/>
        <w:spacing w:line="360" w:lineRule="auto"/>
        <w:ind w:left="540"/>
        <w:rPr>
          <w:rFonts w:ascii="宋体" w:hAnsi="宋体" w:cs="宋体"/>
          <w:color w:val="auto"/>
          <w:sz w:val="24"/>
          <w:highlight w:val="none"/>
        </w:rPr>
      </w:pPr>
    </w:p>
    <w:p w14:paraId="28C29342">
      <w:pPr>
        <w:pageBreakBefore w:val="0"/>
        <w:wordWrap w:val="0"/>
        <w:overflowPunct/>
        <w:topLinePunct w:val="0"/>
        <w:bidi w:val="0"/>
        <w:spacing w:line="360" w:lineRule="auto"/>
        <w:ind w:left="540"/>
        <w:rPr>
          <w:rFonts w:ascii="宋体" w:hAnsi="宋体" w:cs="宋体"/>
          <w:color w:val="auto"/>
          <w:sz w:val="24"/>
          <w:highlight w:val="none"/>
        </w:rPr>
      </w:pPr>
    </w:p>
    <w:p w14:paraId="35E019B4">
      <w:pPr>
        <w:pageBreakBefore w:val="0"/>
        <w:wordWrap w:val="0"/>
        <w:overflowPunct/>
        <w:topLinePunct w:val="0"/>
        <w:bidi w:val="0"/>
        <w:spacing w:line="360" w:lineRule="auto"/>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0FF51E60">
      <w:pPr>
        <w:pageBreakBefore w:val="0"/>
        <w:wordWrap w:val="0"/>
        <w:overflowPunct/>
        <w:topLinePunct w:val="0"/>
        <w:bidi w:val="0"/>
        <w:spacing w:line="360" w:lineRule="auto"/>
        <w:ind w:left="540"/>
        <w:rPr>
          <w:rFonts w:ascii="宋体" w:hAnsi="宋体" w:cs="宋体"/>
          <w:color w:val="auto"/>
          <w:sz w:val="24"/>
          <w:highlight w:val="none"/>
        </w:rPr>
      </w:pPr>
    </w:p>
    <w:p w14:paraId="4F3AB295">
      <w:pPr>
        <w:pageBreakBefore w:val="0"/>
        <w:wordWrap w:val="0"/>
        <w:overflowPunct/>
        <w:topLinePunct w:val="0"/>
        <w:bidi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58493A83">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A5BB987">
      <w:pPr>
        <w:pageBreakBefore w:val="0"/>
        <w:wordWrap w:val="0"/>
        <w:overflowPunct/>
        <w:topLinePunct w:val="0"/>
        <w:bidi w:val="0"/>
        <w:snapToGrid w:val="0"/>
        <w:spacing w:line="360" w:lineRule="auto"/>
        <w:jc w:val="center"/>
        <w:rPr>
          <w:rFonts w:ascii="宋体" w:hAnsi="宋体" w:cs="宋体"/>
          <w:b/>
          <w:color w:val="auto"/>
          <w:sz w:val="24"/>
          <w:highlight w:val="none"/>
        </w:rPr>
      </w:pPr>
    </w:p>
    <w:p w14:paraId="7866B69A">
      <w:pPr>
        <w:pageBreakBefore w:val="0"/>
        <w:wordWrap w:val="0"/>
        <w:overflowPunct/>
        <w:topLinePunct w:val="0"/>
        <w:bidi w:val="0"/>
        <w:snapToGrid w:val="0"/>
        <w:spacing w:line="360" w:lineRule="auto"/>
        <w:ind w:firstLine="600" w:firstLineChars="250"/>
        <w:jc w:val="left"/>
        <w:rPr>
          <w:rFonts w:ascii="宋体" w:hAnsi="宋体" w:cs="宋体"/>
          <w:color w:val="auto"/>
          <w:sz w:val="24"/>
          <w:highlight w:val="none"/>
        </w:rPr>
      </w:pPr>
      <w:r>
        <w:rPr>
          <w:rFonts w:hint="eastAsia" w:ascii="宋体" w:hAnsi="宋体" w:cs="宋体"/>
          <w:color w:val="auto"/>
          <w:sz w:val="24"/>
          <w:highlight w:val="none"/>
        </w:rPr>
        <w:t>注：自然人投标的无需提供</w:t>
      </w:r>
    </w:p>
    <w:p w14:paraId="6CD6303C">
      <w:pPr>
        <w:pageBreakBefore w:val="0"/>
        <w:wordWrap w:val="0"/>
        <w:overflowPunct/>
        <w:topLinePunct w:val="0"/>
        <w:bidi w:val="0"/>
        <w:snapToGrid w:val="0"/>
        <w:spacing w:line="360" w:lineRule="auto"/>
        <w:ind w:firstLine="600" w:firstLineChars="250"/>
        <w:jc w:val="left"/>
        <w:rPr>
          <w:rFonts w:ascii="宋体" w:hAnsi="宋体" w:cs="宋体"/>
          <w:color w:val="auto"/>
          <w:sz w:val="24"/>
          <w:highlight w:val="none"/>
        </w:rPr>
      </w:pPr>
    </w:p>
    <w:p w14:paraId="6FE7E4AF">
      <w:pPr>
        <w:pageBreakBefore w:val="0"/>
        <w:wordWrap w:val="0"/>
        <w:overflowPunct/>
        <w:topLinePunct w:val="0"/>
        <w:bidi w:val="0"/>
        <w:snapToGrid w:val="0"/>
        <w:spacing w:line="360" w:lineRule="auto"/>
        <w:ind w:firstLine="602" w:firstLineChars="250"/>
        <w:jc w:val="left"/>
        <w:rPr>
          <w:rFonts w:ascii="宋体" w:hAnsi="宋体" w:cs="宋体"/>
          <w:b/>
          <w:color w:val="auto"/>
          <w:sz w:val="24"/>
          <w:szCs w:val="20"/>
          <w:highlight w:val="none"/>
        </w:rPr>
      </w:pPr>
    </w:p>
    <w:tbl>
      <w:tblPr>
        <w:tblStyle w:val="19"/>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37623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7DBB88B7">
            <w:pPr>
              <w:pageBreakBefore w:val="0"/>
              <w:wordWrap w:val="0"/>
              <w:overflowPunct/>
              <w:topLinePunct w:val="0"/>
              <w:bidi w:val="0"/>
              <w:spacing w:line="360" w:lineRule="auto"/>
              <w:rPr>
                <w:rFonts w:ascii="宋体" w:hAnsi="宋体" w:cs="宋体"/>
                <w:b/>
                <w:color w:val="auto"/>
                <w:sz w:val="24"/>
                <w:highlight w:val="none"/>
              </w:rPr>
            </w:pPr>
          </w:p>
          <w:p w14:paraId="7E711B3A">
            <w:pPr>
              <w:pageBreakBefore w:val="0"/>
              <w:wordWrap w:val="0"/>
              <w:overflowPunct/>
              <w:topLinePunct w:val="0"/>
              <w:bidi w:val="0"/>
              <w:spacing w:line="360" w:lineRule="auto"/>
              <w:rPr>
                <w:rFonts w:ascii="宋体" w:hAnsi="宋体" w:cs="宋体"/>
                <w:b/>
                <w:color w:val="auto"/>
                <w:sz w:val="24"/>
                <w:highlight w:val="none"/>
              </w:rPr>
            </w:pPr>
            <w:r>
              <w:rPr>
                <w:rFonts w:hint="eastAsia" w:ascii="宋体" w:hAnsi="宋体" w:cs="宋体"/>
                <w:b/>
                <w:color w:val="auto"/>
                <w:sz w:val="24"/>
                <w:highlight w:val="none"/>
              </w:rPr>
              <w:t>法定代表身份证复印件粘帖处（正、反面）</w:t>
            </w:r>
          </w:p>
        </w:tc>
      </w:tr>
    </w:tbl>
    <w:p w14:paraId="3AE64B75">
      <w:pPr>
        <w:pStyle w:val="12"/>
        <w:pageBreakBefore w:val="0"/>
        <w:wordWrap w:val="0"/>
        <w:overflowPunct/>
        <w:topLinePunct w:val="0"/>
        <w:bidi w:val="0"/>
        <w:snapToGrid w:val="0"/>
        <w:spacing w:line="360" w:lineRule="auto"/>
        <w:jc w:val="center"/>
        <w:rPr>
          <w:rFonts w:hAnsi="宋体" w:cs="宋体"/>
          <w:b/>
          <w:color w:val="auto"/>
          <w:sz w:val="24"/>
          <w:highlight w:val="none"/>
        </w:rPr>
      </w:pPr>
      <w:r>
        <w:rPr>
          <w:rFonts w:hint="eastAsia" w:hAnsi="宋体" w:cs="宋体"/>
          <w:b/>
          <w:color w:val="auto"/>
          <w:sz w:val="24"/>
          <w:highlight w:val="none"/>
        </w:rPr>
        <w:t>附件：</w:t>
      </w:r>
      <w:r>
        <w:rPr>
          <w:rFonts w:hint="eastAsia" w:hAnsi="宋体" w:cs="宋体"/>
          <w:b/>
          <w:color w:val="auto"/>
          <w:sz w:val="24"/>
          <w:highlight w:val="none"/>
        </w:rPr>
        <w:br w:type="page"/>
      </w:r>
      <w:r>
        <w:rPr>
          <w:rFonts w:hint="eastAsia" w:hAnsi="宋体" w:cs="宋体"/>
          <w:b/>
          <w:bCs/>
          <w:color w:val="auto"/>
          <w:sz w:val="30"/>
          <w:szCs w:val="30"/>
          <w:highlight w:val="none"/>
        </w:rPr>
        <w:t>三、法定代表人授权委托书及委托代理人有效身份证正反面复印件（如有委托时）</w:t>
      </w:r>
    </w:p>
    <w:p w14:paraId="6662BC48">
      <w:pPr>
        <w:pageBreakBefore w:val="0"/>
        <w:wordWrap w:val="0"/>
        <w:overflowPunct/>
        <w:topLinePunct w:val="0"/>
        <w:bidi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14F42436">
      <w:pPr>
        <w:pageBreakBefore w:val="0"/>
        <w:wordWrap w:val="0"/>
        <w:overflowPunct/>
        <w:topLinePunct w:val="0"/>
        <w:bidi w:val="0"/>
        <w:snapToGrid w:val="0"/>
        <w:spacing w:line="360" w:lineRule="auto"/>
        <w:jc w:val="center"/>
        <w:rPr>
          <w:rFonts w:ascii="宋体" w:hAnsi="宋体" w:cs="宋体"/>
          <w:b/>
          <w:color w:val="auto"/>
          <w:sz w:val="24"/>
          <w:highlight w:val="none"/>
        </w:rPr>
      </w:pPr>
    </w:p>
    <w:p w14:paraId="1BCA5DFA">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 xml:space="preserve"> </w:t>
      </w:r>
      <w:bookmarkStart w:id="282" w:name="PO_3000001866_PM031_7"/>
      <w:r>
        <w:rPr>
          <w:rFonts w:hint="eastAsia" w:hAnsi="宋体" w:cs="宋体"/>
          <w:color w:val="auto"/>
          <w:highlight w:val="none"/>
          <w:u w:val="single"/>
        </w:rPr>
        <w:t>广西邕政采购代理有限公司</w:t>
      </w:r>
      <w:bookmarkEnd w:id="282"/>
      <w:r>
        <w:rPr>
          <w:rFonts w:hint="eastAsia" w:hAnsi="宋体" w:cs="宋体"/>
          <w:color w:val="auto"/>
          <w:highlight w:val="none"/>
          <w:u w:val="single"/>
        </w:rPr>
        <w:t xml:space="preserve"> </w:t>
      </w:r>
    </w:p>
    <w:p w14:paraId="37F5C1E1">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本人</w:t>
      </w:r>
      <w:r>
        <w:rPr>
          <w:rFonts w:hint="eastAsia" w:hAnsi="宋体" w:cs="宋体"/>
          <w:color w:val="auto"/>
          <w:highlight w:val="none"/>
          <w:u w:val="single"/>
        </w:rPr>
        <w:t xml:space="preserve">        </w:t>
      </w:r>
      <w:r>
        <w:rPr>
          <w:rFonts w:hint="eastAsia" w:hAnsi="宋体" w:cs="宋体"/>
          <w:color w:val="auto"/>
          <w:highlight w:val="none"/>
        </w:rPr>
        <w:t>（姓名）系</w:t>
      </w:r>
      <w:r>
        <w:rPr>
          <w:rFonts w:hint="eastAsia" w:hAnsi="宋体" w:cs="宋体"/>
          <w:color w:val="auto"/>
          <w:highlight w:val="none"/>
          <w:u w:val="single"/>
        </w:rPr>
        <w:t xml:space="preserve">                 </w:t>
      </w:r>
      <w:r>
        <w:rPr>
          <w:rFonts w:hint="eastAsia" w:hAnsi="宋体" w:cs="宋体"/>
          <w:color w:val="auto"/>
          <w:highlight w:val="none"/>
        </w:rPr>
        <w:t>（投标人名称）的法定代表人，现授权我单位在职正式员工</w:t>
      </w:r>
      <w:r>
        <w:rPr>
          <w:rFonts w:hint="eastAsia" w:hAnsi="宋体" w:cs="宋体"/>
          <w:color w:val="auto"/>
          <w:highlight w:val="none"/>
          <w:u w:val="single"/>
        </w:rPr>
        <w:t xml:space="preserve">        </w:t>
      </w:r>
      <w:r>
        <w:rPr>
          <w:rFonts w:hint="eastAsia" w:hAnsi="宋体" w:cs="宋体"/>
          <w:color w:val="auto"/>
          <w:highlight w:val="none"/>
        </w:rPr>
        <w:t>（姓名和职务）为我方代理人。代理人根据授权，以我方名义签署、澄清、说明、补正、递交、撤回、修改贵方组织的</w:t>
      </w:r>
      <w:r>
        <w:rPr>
          <w:rFonts w:hint="eastAsia" w:hAnsi="宋体" w:cs="宋体"/>
          <w:color w:val="auto"/>
          <w:highlight w:val="none"/>
          <w:u w:val="single"/>
        </w:rPr>
        <w:t xml:space="preserve"> </w:t>
      </w:r>
      <w:r>
        <w:rPr>
          <w:rFonts w:hint="eastAsia" w:hAnsi="宋体" w:cs="宋体"/>
          <w:color w:val="auto"/>
          <w:szCs w:val="21"/>
          <w:highlight w:val="none"/>
          <w:u w:val="single"/>
        </w:rPr>
        <w:t xml:space="preserve">（项目名称） </w:t>
      </w:r>
      <w:r>
        <w:rPr>
          <w:rFonts w:hint="eastAsia" w:hAnsi="宋体" w:cs="宋体"/>
          <w:color w:val="auto"/>
          <w:highlight w:val="none"/>
          <w:u w:val="single"/>
        </w:rPr>
        <w:t xml:space="preserve"> </w:t>
      </w:r>
      <w:r>
        <w:rPr>
          <w:rFonts w:hint="eastAsia" w:hAnsi="宋体" w:cs="宋体"/>
          <w:color w:val="auto"/>
          <w:highlight w:val="none"/>
        </w:rPr>
        <w:t>项目（项目编号</w:t>
      </w:r>
      <w:r>
        <w:rPr>
          <w:rFonts w:hint="eastAsia" w:hAnsi="宋体" w:cs="宋体"/>
          <w:color w:val="auto"/>
          <w:highlight w:val="none"/>
          <w:u w:val="single"/>
        </w:rPr>
        <w:t xml:space="preserve">：             </w:t>
      </w:r>
      <w:r>
        <w:rPr>
          <w:rFonts w:hint="eastAsia" w:hAnsi="宋体" w:cs="宋体"/>
          <w:color w:val="auto"/>
          <w:highlight w:val="none"/>
        </w:rPr>
        <w:t>）的投标文件、签订合同和处理一切有关事宜，其法律后果由我方承担。</w:t>
      </w:r>
    </w:p>
    <w:p w14:paraId="34582C67">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本授权书于</w:t>
      </w:r>
      <w:r>
        <w:rPr>
          <w:rFonts w:hint="eastAsia" w:hAnsi="宋体" w:cs="宋体"/>
          <w:color w:val="auto"/>
          <w:spacing w:val="10"/>
          <w:sz w:val="24"/>
          <w:highlight w:val="none"/>
          <w:u w:val="single"/>
        </w:rPr>
        <w:t xml:space="preserve">    </w:t>
      </w:r>
      <w:r>
        <w:rPr>
          <w:rFonts w:hint="eastAsia" w:hAnsi="宋体" w:cs="宋体"/>
          <w:color w:val="auto"/>
          <w:highlight w:val="none"/>
        </w:rPr>
        <w:t>年</w:t>
      </w:r>
      <w:r>
        <w:rPr>
          <w:rFonts w:hint="eastAsia" w:hAnsi="宋体" w:cs="宋体"/>
          <w:color w:val="auto"/>
          <w:spacing w:val="10"/>
          <w:sz w:val="24"/>
          <w:highlight w:val="none"/>
          <w:u w:val="single"/>
        </w:rPr>
        <w:t xml:space="preserve">    </w:t>
      </w:r>
      <w:r>
        <w:rPr>
          <w:rFonts w:hint="eastAsia" w:hAnsi="宋体" w:cs="宋体"/>
          <w:color w:val="auto"/>
          <w:highlight w:val="none"/>
        </w:rPr>
        <w:t>月</w:t>
      </w:r>
      <w:r>
        <w:rPr>
          <w:rFonts w:hint="eastAsia" w:hAnsi="宋体" w:cs="宋体"/>
          <w:color w:val="auto"/>
          <w:spacing w:val="10"/>
          <w:sz w:val="24"/>
          <w:highlight w:val="none"/>
          <w:u w:val="single"/>
        </w:rPr>
        <w:t xml:space="preserve">    </w:t>
      </w:r>
      <w:r>
        <w:rPr>
          <w:rFonts w:hint="eastAsia" w:hAnsi="宋体" w:cs="宋体"/>
          <w:color w:val="auto"/>
          <w:highlight w:val="none"/>
        </w:rPr>
        <w:t>日签字生效，委托期限：</w:t>
      </w:r>
      <w:r>
        <w:rPr>
          <w:rFonts w:hint="eastAsia" w:hAnsi="宋体" w:cs="宋体"/>
          <w:color w:val="auto"/>
          <w:spacing w:val="10"/>
          <w:sz w:val="24"/>
          <w:highlight w:val="none"/>
          <w:u w:val="single"/>
        </w:rPr>
        <w:t xml:space="preserve">    </w:t>
      </w:r>
      <w:r>
        <w:rPr>
          <w:rFonts w:hint="eastAsia" w:hAnsi="宋体" w:cs="宋体"/>
          <w:color w:val="auto"/>
          <w:highlight w:val="none"/>
        </w:rPr>
        <w:t>。</w:t>
      </w:r>
    </w:p>
    <w:p w14:paraId="0BBED829">
      <w:pPr>
        <w:pStyle w:val="12"/>
        <w:pageBreakBefore w:val="0"/>
        <w:wordWrap w:val="0"/>
        <w:overflowPunct/>
        <w:topLinePunct w:val="0"/>
        <w:bidi w:val="0"/>
        <w:spacing w:line="360" w:lineRule="auto"/>
        <w:ind w:firstLine="420"/>
        <w:rPr>
          <w:rFonts w:hAnsi="宋体" w:cs="宋体"/>
          <w:color w:val="auto"/>
          <w:highlight w:val="none"/>
        </w:rPr>
      </w:pPr>
      <w:r>
        <w:rPr>
          <w:rFonts w:hint="eastAsia" w:hAnsi="宋体" w:cs="宋体"/>
          <w:color w:val="auto"/>
          <w:highlight w:val="none"/>
        </w:rPr>
        <w:t>代理人无转委托权。</w:t>
      </w:r>
    </w:p>
    <w:p w14:paraId="05455613">
      <w:pPr>
        <w:pStyle w:val="12"/>
        <w:pageBreakBefore w:val="0"/>
        <w:wordWrap w:val="0"/>
        <w:overflowPunct/>
        <w:topLinePunct w:val="0"/>
        <w:bidi w:val="0"/>
        <w:spacing w:line="360" w:lineRule="auto"/>
        <w:ind w:firstLine="420"/>
        <w:rPr>
          <w:rFonts w:hAnsi="宋体" w:cs="宋体"/>
          <w:color w:val="auto"/>
          <w:highlight w:val="none"/>
        </w:rPr>
      </w:pPr>
    </w:p>
    <w:p w14:paraId="7DF31614">
      <w:pPr>
        <w:pStyle w:val="12"/>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投标人（或联合体投标</w:t>
      </w:r>
      <w:r>
        <w:rPr>
          <w:rFonts w:hint="eastAsia" w:hAnsi="宋体" w:cs="宋体"/>
          <w:color w:val="auto"/>
          <w:kern w:val="0"/>
          <w:szCs w:val="21"/>
          <w:highlight w:val="none"/>
        </w:rPr>
        <w:t>牵头人名称</w:t>
      </w:r>
      <w:r>
        <w:rPr>
          <w:rFonts w:hint="eastAsia" w:hAnsi="宋体" w:cs="宋体"/>
          <w:color w:val="auto"/>
          <w:highlight w:val="none"/>
        </w:rPr>
        <w:t>）（盖单位公章）：</w:t>
      </w:r>
      <w:r>
        <w:rPr>
          <w:rFonts w:hint="eastAsia" w:hAnsi="宋体" w:cs="宋体"/>
          <w:color w:val="auto"/>
          <w:highlight w:val="none"/>
          <w:u w:val="single"/>
        </w:rPr>
        <w:t xml:space="preserve">                                    </w:t>
      </w:r>
    </w:p>
    <w:p w14:paraId="5A23901C">
      <w:pPr>
        <w:pStyle w:val="12"/>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0988F45C">
      <w:pPr>
        <w:pStyle w:val="12"/>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法定代表人身份证号码：</w:t>
      </w:r>
      <w:r>
        <w:rPr>
          <w:rFonts w:hint="eastAsia" w:hAnsi="宋体" w:cs="宋体"/>
          <w:color w:val="auto"/>
          <w:highlight w:val="none"/>
          <w:u w:val="single"/>
        </w:rPr>
        <w:t xml:space="preserve">                                   </w:t>
      </w:r>
    </w:p>
    <w:p w14:paraId="0928C8DA">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委托代理人（签字）：</w:t>
      </w:r>
      <w:r>
        <w:rPr>
          <w:rFonts w:hint="eastAsia" w:hAnsi="宋体" w:cs="宋体"/>
          <w:color w:val="auto"/>
          <w:highlight w:val="none"/>
          <w:u w:val="single"/>
        </w:rPr>
        <w:t xml:space="preserve">                                </w:t>
      </w:r>
    </w:p>
    <w:p w14:paraId="13D7EB04">
      <w:pPr>
        <w:pStyle w:val="12"/>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委托代理人身份证号码：</w:t>
      </w:r>
      <w:r>
        <w:rPr>
          <w:rFonts w:hint="eastAsia" w:hAnsi="宋体" w:cs="宋体"/>
          <w:color w:val="auto"/>
          <w:highlight w:val="none"/>
          <w:u w:val="single"/>
        </w:rPr>
        <w:t xml:space="preserve">                                   </w:t>
      </w:r>
    </w:p>
    <w:p w14:paraId="6E1C5DA3">
      <w:pPr>
        <w:pStyle w:val="12"/>
        <w:pageBreakBefore w:val="0"/>
        <w:wordWrap w:val="0"/>
        <w:overflowPunct/>
        <w:topLinePunct w:val="0"/>
        <w:bidi w:val="0"/>
        <w:spacing w:line="360" w:lineRule="auto"/>
        <w:ind w:firstLine="420"/>
        <w:rPr>
          <w:rFonts w:hAnsi="宋体" w:cs="宋体"/>
          <w:color w:val="auto"/>
          <w:highlight w:val="none"/>
          <w:u w:val="single"/>
        </w:rPr>
      </w:pPr>
    </w:p>
    <w:p w14:paraId="2E729A3D">
      <w:pPr>
        <w:pStyle w:val="12"/>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kern w:val="0"/>
          <w:szCs w:val="21"/>
          <w:highlight w:val="none"/>
        </w:rPr>
        <w:t>成员一名称：</w:t>
      </w:r>
      <w:r>
        <w:rPr>
          <w:rFonts w:hint="eastAsia" w:hAnsi="宋体" w:cs="宋体"/>
          <w:color w:val="auto"/>
          <w:highlight w:val="none"/>
        </w:rPr>
        <w:t>（盖单位公章）：</w:t>
      </w:r>
      <w:r>
        <w:rPr>
          <w:rFonts w:hint="eastAsia" w:hAnsi="宋体" w:cs="宋体"/>
          <w:color w:val="auto"/>
          <w:highlight w:val="none"/>
          <w:u w:val="single"/>
        </w:rPr>
        <w:t xml:space="preserve">                                    </w:t>
      </w:r>
    </w:p>
    <w:p w14:paraId="77EEE60F">
      <w:pPr>
        <w:pStyle w:val="12"/>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41DFE919">
      <w:pPr>
        <w:pStyle w:val="12"/>
        <w:pageBreakBefore w:val="0"/>
        <w:wordWrap w:val="0"/>
        <w:overflowPunct/>
        <w:topLinePunct w:val="0"/>
        <w:bidi w:val="0"/>
        <w:spacing w:line="360" w:lineRule="auto"/>
        <w:ind w:firstLine="420"/>
        <w:rPr>
          <w:rFonts w:hAnsi="宋体" w:cs="宋体"/>
          <w:color w:val="auto"/>
          <w:highlight w:val="none"/>
          <w:u w:val="single"/>
        </w:rPr>
      </w:pPr>
    </w:p>
    <w:p w14:paraId="0EA2C028">
      <w:pPr>
        <w:pageBreakBefore w:val="0"/>
        <w:wordWrap w:val="0"/>
        <w:overflowPunct/>
        <w:topLinePunct w:val="0"/>
        <w:autoSpaceDE w:val="0"/>
        <w:autoSpaceDN w:val="0"/>
        <w:bidi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（盖单位公章）</w:t>
      </w:r>
    </w:p>
    <w:p w14:paraId="1F6A5D00">
      <w:pPr>
        <w:pageBreakBefore w:val="0"/>
        <w:wordWrap w:val="0"/>
        <w:overflowPunct/>
        <w:topLinePunct w:val="0"/>
        <w:autoSpaceDE w:val="0"/>
        <w:autoSpaceDN w:val="0"/>
        <w:bidi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14:paraId="087C5216">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w:t>
      </w:r>
    </w:p>
    <w:p w14:paraId="20501F07">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注：</w:t>
      </w:r>
    </w:p>
    <w:p w14:paraId="7CA04CCE">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1.法定代表人和委托代理人必须在授权委托书上亲笔签名，不得使用印章、签名章或者其他电子制版签名代替，</w:t>
      </w:r>
      <w:r>
        <w:rPr>
          <w:rFonts w:hint="eastAsia" w:ascii="宋体" w:hAnsi="宋体" w:cs="宋体"/>
          <w:b/>
          <w:bCs/>
          <w:color w:val="auto"/>
          <w:szCs w:val="21"/>
          <w:highlight w:val="none"/>
        </w:rPr>
        <w:t>否则作无效投标处理</w:t>
      </w:r>
      <w:r>
        <w:rPr>
          <w:rFonts w:hint="eastAsia" w:ascii="宋体" w:hAnsi="宋体" w:cs="宋体"/>
          <w:color w:val="auto"/>
          <w:szCs w:val="21"/>
          <w:highlight w:val="none"/>
        </w:rPr>
        <w:t>；</w:t>
      </w:r>
    </w:p>
    <w:p w14:paraId="461FD329">
      <w:pPr>
        <w:pageBreakBefore w:val="0"/>
        <w:wordWrap w:val="0"/>
        <w:overflowPunct/>
        <w:topLinePunct w:val="0"/>
        <w:bidi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2.以联合体形式投标的，本授权委托书应由联合体牵头人的法定代表人按上述规定签署。</w:t>
      </w:r>
    </w:p>
    <w:p w14:paraId="7520175C">
      <w:pPr>
        <w:pageBreakBefore w:val="0"/>
        <w:wordWrap w:val="0"/>
        <w:overflowPunct/>
        <w:topLinePunct w:val="0"/>
        <w:bidi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6FA939A7">
      <w:pPr>
        <w:pageBreakBefore w:val="0"/>
        <w:wordWrap w:val="0"/>
        <w:overflowPunct/>
        <w:topLinePunct w:val="0"/>
        <w:bidi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 若为联合体投标须各方签字或盖章。</w:t>
      </w:r>
    </w:p>
    <w:p w14:paraId="63426761">
      <w:pPr>
        <w:pageBreakBefore w:val="0"/>
        <w:wordWrap w:val="0"/>
        <w:overflowPunct/>
        <w:topLinePunct w:val="0"/>
        <w:bidi w:val="0"/>
        <w:spacing w:line="360" w:lineRule="auto"/>
        <w:rPr>
          <w:rFonts w:ascii="宋体" w:hAnsi="宋体" w:cs="宋体"/>
          <w:b/>
          <w:color w:val="auto"/>
          <w:sz w:val="24"/>
          <w:highlight w:val="none"/>
        </w:rPr>
      </w:pPr>
    </w:p>
    <w:p w14:paraId="226885FE">
      <w:pPr>
        <w:pageBreakBefore w:val="0"/>
        <w:wordWrap w:val="0"/>
        <w:overflowPunct/>
        <w:topLinePunct w:val="0"/>
        <w:bidi w:val="0"/>
        <w:spacing w:line="360" w:lineRule="auto"/>
        <w:rPr>
          <w:rFonts w:ascii="宋体" w:hAnsi="宋体" w:cs="宋体"/>
          <w:b/>
          <w:color w:val="auto"/>
          <w:sz w:val="24"/>
          <w:highlight w:val="none"/>
        </w:rPr>
      </w:pPr>
      <w:r>
        <w:rPr>
          <w:rFonts w:hint="eastAsia" w:ascii="宋体" w:hAnsi="宋体" w:cs="宋体"/>
          <w:b/>
          <w:color w:val="auto"/>
          <w:sz w:val="24"/>
          <w:highlight w:val="none"/>
        </w:rPr>
        <w:t>附件：</w:t>
      </w:r>
    </w:p>
    <w:tbl>
      <w:tblPr>
        <w:tblStyle w:val="19"/>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6F607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90" w:type="dxa"/>
            <w:tcBorders>
              <w:top w:val="single" w:color="auto" w:sz="4" w:space="0"/>
              <w:left w:val="single" w:color="auto" w:sz="4" w:space="0"/>
              <w:bottom w:val="single" w:color="auto" w:sz="4" w:space="0"/>
              <w:right w:val="single" w:color="auto" w:sz="4" w:space="0"/>
            </w:tcBorders>
          </w:tcPr>
          <w:p w14:paraId="1C666442">
            <w:pPr>
              <w:pageBreakBefore w:val="0"/>
              <w:wordWrap w:val="0"/>
              <w:overflowPunct/>
              <w:topLinePunct w:val="0"/>
              <w:bidi w:val="0"/>
              <w:spacing w:line="360" w:lineRule="auto"/>
              <w:rPr>
                <w:rFonts w:ascii="宋体" w:hAnsi="宋体" w:cs="宋体"/>
                <w:b/>
                <w:color w:val="auto"/>
                <w:sz w:val="24"/>
                <w:highlight w:val="none"/>
              </w:rPr>
            </w:pPr>
          </w:p>
          <w:p w14:paraId="7D1E9B26">
            <w:pPr>
              <w:pageBreakBefore w:val="0"/>
              <w:wordWrap w:val="0"/>
              <w:overflowPunct/>
              <w:topLinePunct w:val="0"/>
              <w:bidi w:val="0"/>
              <w:spacing w:line="360" w:lineRule="auto"/>
              <w:rPr>
                <w:rFonts w:ascii="宋体" w:hAnsi="宋体" w:cs="宋体"/>
                <w:b/>
                <w:color w:val="auto"/>
                <w:sz w:val="24"/>
                <w:highlight w:val="none"/>
              </w:rPr>
            </w:pPr>
            <w:r>
              <w:rPr>
                <w:rFonts w:hint="eastAsia" w:ascii="宋体" w:hAnsi="宋体" w:cs="宋体"/>
                <w:b/>
                <w:color w:val="auto"/>
                <w:sz w:val="24"/>
                <w:highlight w:val="none"/>
              </w:rPr>
              <w:t>全权代表身份证复印件粘帖处（正、反面）</w:t>
            </w:r>
          </w:p>
        </w:tc>
      </w:tr>
    </w:tbl>
    <w:p w14:paraId="63FB99D7">
      <w:pPr>
        <w:pageBreakBefore w:val="0"/>
        <w:wordWrap w:val="0"/>
        <w:overflowPunct/>
        <w:topLinePunct w:val="0"/>
        <w:bidi w:val="0"/>
        <w:snapToGrid w:val="0"/>
        <w:spacing w:line="360" w:lineRule="auto"/>
        <w:jc w:val="left"/>
        <w:rPr>
          <w:rFonts w:ascii="宋体" w:hAnsi="宋体" w:cs="宋体"/>
          <w:color w:val="auto"/>
          <w:szCs w:val="21"/>
          <w:highlight w:val="none"/>
        </w:rPr>
      </w:pPr>
    </w:p>
    <w:p w14:paraId="4F7966C6">
      <w:pPr>
        <w:pageBreakBefore w:val="0"/>
        <w:wordWrap w:val="0"/>
        <w:overflowPunct/>
        <w:topLinePunct w:val="0"/>
        <w:bidi w:val="0"/>
        <w:snapToGrid w:val="0"/>
        <w:spacing w:line="360" w:lineRule="auto"/>
        <w:ind w:firstLine="566" w:firstLineChars="236"/>
        <w:jc w:val="center"/>
        <w:rPr>
          <w:rFonts w:ascii="宋体" w:hAnsi="宋体" w:cs="宋体"/>
          <w:color w:val="auto"/>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br w:type="page"/>
      </w:r>
    </w:p>
    <w:p w14:paraId="241D069E">
      <w:pPr>
        <w:pageBreakBefore w:val="0"/>
        <w:wordWrap w:val="0"/>
        <w:overflowPunct/>
        <w:topLinePunct w:val="0"/>
        <w:bidi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四、商务条款偏离表</w:t>
      </w:r>
    </w:p>
    <w:p w14:paraId="5A211853">
      <w:pPr>
        <w:pageBreakBefore w:val="0"/>
        <w:wordWrap w:val="0"/>
        <w:overflowPunct/>
        <w:topLinePunct w:val="0"/>
        <w:bidi w:val="0"/>
        <w:spacing w:line="360" w:lineRule="auto"/>
        <w:jc w:val="center"/>
        <w:rPr>
          <w:rFonts w:ascii="宋体" w:hAnsi="宋体" w:cs="宋体"/>
          <w:b/>
          <w:color w:val="auto"/>
          <w:sz w:val="24"/>
          <w:szCs w:val="20"/>
          <w:highlight w:val="none"/>
        </w:rPr>
      </w:pPr>
      <w:r>
        <w:rPr>
          <w:rFonts w:hint="eastAsia" w:ascii="宋体" w:hAnsi="宋体" w:cs="宋体"/>
          <w:color w:val="auto"/>
          <w:sz w:val="30"/>
          <w:szCs w:val="20"/>
          <w:highlight w:val="none"/>
        </w:rPr>
        <w:t>(注：按项目需求表具体项目修改)</w:t>
      </w:r>
    </w:p>
    <w:p w14:paraId="6069A756">
      <w:pPr>
        <w:pageBreakBefore w:val="0"/>
        <w:wordWrap w:val="0"/>
        <w:overflowPunct/>
        <w:topLinePunct w:val="0"/>
        <w:bidi w:val="0"/>
        <w:snapToGrid w:val="0"/>
        <w:spacing w:line="360" w:lineRule="auto"/>
        <w:jc w:val="left"/>
        <w:rPr>
          <w:rFonts w:ascii="宋体" w:hAnsi="宋体" w:cs="宋体"/>
          <w:color w:val="auto"/>
          <w:sz w:val="24"/>
          <w:highlight w:val="none"/>
        </w:rPr>
      </w:pPr>
    </w:p>
    <w:p w14:paraId="552F3313">
      <w:pPr>
        <w:pStyle w:val="12"/>
        <w:pageBreakBefore w:val="0"/>
        <w:wordWrap w:val="0"/>
        <w:overflowPunct/>
        <w:topLinePunct w:val="0"/>
        <w:bidi w:val="0"/>
        <w:spacing w:line="360" w:lineRule="auto"/>
        <w:ind w:left="-424" w:leftChars="-202" w:firstLine="846"/>
        <w:rPr>
          <w:rFonts w:hAnsi="宋体" w:cs="宋体"/>
          <w:color w:val="auto"/>
          <w:sz w:val="24"/>
          <w:szCs w:val="24"/>
          <w:highlight w:val="none"/>
        </w:rPr>
      </w:pPr>
      <w:r>
        <w:rPr>
          <w:rFonts w:hint="eastAsia" w:hAnsi="宋体" w:cs="宋体"/>
          <w:color w:val="auto"/>
          <w:highlight w:val="none"/>
        </w:rPr>
        <w:t>请逐条对应本项目招标文件第二章“服务需求一览表”中“商务条款”的要求，详细填写相应的具体内容。“偏离说明”一栏应当选择“正偏离”、“负偏离”或“无偏离”进行填写。</w:t>
      </w:r>
    </w:p>
    <w:tbl>
      <w:tblPr>
        <w:tblStyle w:val="19"/>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30EA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tcPr>
          <w:p w14:paraId="4C51C813">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noWrap/>
          </w:tcPr>
          <w:p w14:paraId="1084DBC1">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招标文件的商务需求</w:t>
            </w:r>
          </w:p>
        </w:tc>
        <w:tc>
          <w:tcPr>
            <w:tcW w:w="2516" w:type="dxa"/>
            <w:tcBorders>
              <w:top w:val="single" w:color="auto" w:sz="4" w:space="0"/>
              <w:left w:val="single" w:color="auto" w:sz="4" w:space="0"/>
              <w:right w:val="single" w:color="auto" w:sz="4" w:space="0"/>
            </w:tcBorders>
          </w:tcPr>
          <w:p w14:paraId="699F8496">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投标文件承诺的商务条款</w:t>
            </w:r>
          </w:p>
        </w:tc>
        <w:tc>
          <w:tcPr>
            <w:tcW w:w="2516" w:type="dxa"/>
            <w:tcBorders>
              <w:top w:val="single" w:color="auto" w:sz="4" w:space="0"/>
              <w:left w:val="single" w:color="auto" w:sz="4" w:space="0"/>
              <w:right w:val="single" w:color="auto" w:sz="4" w:space="0"/>
            </w:tcBorders>
          </w:tcPr>
          <w:p w14:paraId="3E8E6C0A">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06FC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642DD5A5">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一</w:t>
            </w:r>
          </w:p>
        </w:tc>
        <w:tc>
          <w:tcPr>
            <w:tcW w:w="3757" w:type="dxa"/>
            <w:tcBorders>
              <w:top w:val="single" w:color="auto" w:sz="4" w:space="0"/>
              <w:left w:val="single" w:color="auto" w:sz="4" w:space="0"/>
              <w:bottom w:val="single" w:color="auto" w:sz="4" w:space="0"/>
              <w:right w:val="single" w:color="auto" w:sz="4" w:space="0"/>
            </w:tcBorders>
            <w:noWrap/>
          </w:tcPr>
          <w:p w14:paraId="25D098EC">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1F296F30">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1DD1F9C4">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5F6BBF1F">
            <w:pPr>
              <w:pageBreakBefore w:val="0"/>
              <w:wordWrap w:val="0"/>
              <w:overflowPunct/>
              <w:topLinePunct w:val="0"/>
              <w:bidi w:val="0"/>
              <w:spacing w:line="360" w:lineRule="auto"/>
              <w:rPr>
                <w:rFonts w:ascii="宋体" w:hAnsi="宋体" w:cs="宋体"/>
                <w:color w:val="auto"/>
                <w:szCs w:val="21"/>
                <w:highlight w:val="none"/>
              </w:rPr>
            </w:pPr>
          </w:p>
        </w:tc>
      </w:tr>
      <w:tr w14:paraId="07A6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0573CCF6">
            <w:pPr>
              <w:pageBreakBefore w:val="0"/>
              <w:wordWrap w:val="0"/>
              <w:overflowPunct/>
              <w:topLinePunct w:val="0"/>
              <w:bidi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37E70651">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336A95C1">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4CC0C92C">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5112903C">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446C4145">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3A706139">
            <w:pPr>
              <w:pageBreakBefore w:val="0"/>
              <w:wordWrap w:val="0"/>
              <w:overflowPunct/>
              <w:topLinePunct w:val="0"/>
              <w:bidi w:val="0"/>
              <w:spacing w:line="360" w:lineRule="auto"/>
              <w:rPr>
                <w:rFonts w:ascii="宋体" w:hAnsi="宋体" w:cs="宋体"/>
                <w:color w:val="auto"/>
                <w:szCs w:val="21"/>
                <w:highlight w:val="none"/>
              </w:rPr>
            </w:pPr>
          </w:p>
        </w:tc>
      </w:tr>
      <w:tr w14:paraId="4453C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61464957">
            <w:pPr>
              <w:pageBreakBefore w:val="0"/>
              <w:wordWrap w:val="0"/>
              <w:overflowPunct/>
              <w:topLinePunct w:val="0"/>
              <w:bidi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48446662">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09F2C3C3">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3E7E6A13">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58608FE7">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20A5631A">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778F1017">
            <w:pPr>
              <w:pageBreakBefore w:val="0"/>
              <w:wordWrap w:val="0"/>
              <w:overflowPunct/>
              <w:topLinePunct w:val="0"/>
              <w:bidi w:val="0"/>
              <w:spacing w:line="360" w:lineRule="auto"/>
              <w:rPr>
                <w:rFonts w:ascii="宋体" w:hAnsi="宋体" w:cs="宋体"/>
                <w:color w:val="auto"/>
                <w:szCs w:val="21"/>
                <w:highlight w:val="none"/>
              </w:rPr>
            </w:pPr>
          </w:p>
        </w:tc>
      </w:tr>
      <w:tr w14:paraId="1397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455606CD">
            <w:pPr>
              <w:pageBreakBefore w:val="0"/>
              <w:wordWrap w:val="0"/>
              <w:overflowPunct/>
              <w:topLinePunct w:val="0"/>
              <w:bidi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770DD3D0">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771B1977">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02B03B84">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01028C82">
            <w:pPr>
              <w:pageBreakBefore w:val="0"/>
              <w:wordWrap w:val="0"/>
              <w:overflowPunct/>
              <w:topLinePunct w:val="0"/>
              <w:bidi w:val="0"/>
              <w:spacing w:line="360" w:lineRule="auto"/>
              <w:rPr>
                <w:rFonts w:ascii="宋体" w:hAnsi="宋体" w:cs="宋体"/>
                <w:color w:val="auto"/>
                <w:szCs w:val="21"/>
                <w:highlight w:val="none"/>
              </w:rPr>
            </w:pPr>
          </w:p>
        </w:tc>
      </w:tr>
      <w:tr w14:paraId="6F879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28F6DDAE">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二</w:t>
            </w:r>
          </w:p>
        </w:tc>
        <w:tc>
          <w:tcPr>
            <w:tcW w:w="3757" w:type="dxa"/>
            <w:tcBorders>
              <w:top w:val="single" w:color="auto" w:sz="4" w:space="0"/>
              <w:left w:val="single" w:color="auto" w:sz="4" w:space="0"/>
              <w:bottom w:val="single" w:color="auto" w:sz="4" w:space="0"/>
              <w:right w:val="single" w:color="auto" w:sz="4" w:space="0"/>
            </w:tcBorders>
            <w:noWrap/>
          </w:tcPr>
          <w:p w14:paraId="37510B8E">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5D526C7B">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4DC1B5A9">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59CABA72">
            <w:pPr>
              <w:pageBreakBefore w:val="0"/>
              <w:wordWrap w:val="0"/>
              <w:overflowPunct/>
              <w:topLinePunct w:val="0"/>
              <w:bidi w:val="0"/>
              <w:spacing w:line="360" w:lineRule="auto"/>
              <w:rPr>
                <w:rFonts w:ascii="宋体" w:hAnsi="宋体" w:cs="宋体"/>
                <w:color w:val="auto"/>
                <w:szCs w:val="21"/>
                <w:highlight w:val="none"/>
              </w:rPr>
            </w:pPr>
          </w:p>
        </w:tc>
      </w:tr>
      <w:tr w14:paraId="01BF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167E983F">
            <w:pPr>
              <w:pageBreakBefore w:val="0"/>
              <w:wordWrap w:val="0"/>
              <w:overflowPunct/>
              <w:topLinePunct w:val="0"/>
              <w:bidi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6B00F5F7">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3082F749">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2BD0BFB5">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09945E99">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2E2B7322">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4E8B072C">
            <w:pPr>
              <w:pageBreakBefore w:val="0"/>
              <w:wordWrap w:val="0"/>
              <w:overflowPunct/>
              <w:topLinePunct w:val="0"/>
              <w:bidi w:val="0"/>
              <w:spacing w:line="360" w:lineRule="auto"/>
              <w:rPr>
                <w:rFonts w:ascii="宋体" w:hAnsi="宋体" w:cs="宋体"/>
                <w:color w:val="auto"/>
                <w:szCs w:val="21"/>
                <w:highlight w:val="none"/>
              </w:rPr>
            </w:pPr>
          </w:p>
        </w:tc>
      </w:tr>
      <w:tr w14:paraId="2AB16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0EFD9997">
            <w:pPr>
              <w:pageBreakBefore w:val="0"/>
              <w:wordWrap w:val="0"/>
              <w:overflowPunct/>
              <w:topLinePunct w:val="0"/>
              <w:bidi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2F90DB01">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3090D31D">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08EF5A06">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4F39C62F">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0A174D83">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3A29FF4B">
            <w:pPr>
              <w:pageBreakBefore w:val="0"/>
              <w:wordWrap w:val="0"/>
              <w:overflowPunct/>
              <w:topLinePunct w:val="0"/>
              <w:bidi w:val="0"/>
              <w:spacing w:line="360" w:lineRule="auto"/>
              <w:rPr>
                <w:rFonts w:ascii="宋体" w:hAnsi="宋体" w:cs="宋体"/>
                <w:color w:val="auto"/>
                <w:szCs w:val="21"/>
                <w:highlight w:val="none"/>
              </w:rPr>
            </w:pPr>
          </w:p>
        </w:tc>
      </w:tr>
      <w:tr w14:paraId="6560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4FB10EDE">
            <w:pPr>
              <w:pageBreakBefore w:val="0"/>
              <w:wordWrap w:val="0"/>
              <w:overflowPunct/>
              <w:topLinePunct w:val="0"/>
              <w:bidi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2F6B9F17">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4D15A8D7">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4414D0AC">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08A79298">
            <w:pPr>
              <w:pageBreakBefore w:val="0"/>
              <w:wordWrap w:val="0"/>
              <w:overflowPunct/>
              <w:topLinePunct w:val="0"/>
              <w:bidi w:val="0"/>
              <w:spacing w:line="360" w:lineRule="auto"/>
              <w:rPr>
                <w:rFonts w:ascii="宋体" w:hAnsi="宋体" w:cs="宋体"/>
                <w:color w:val="auto"/>
                <w:szCs w:val="21"/>
                <w:highlight w:val="none"/>
              </w:rPr>
            </w:pPr>
          </w:p>
        </w:tc>
      </w:tr>
      <w:tr w14:paraId="0EF72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68B51F2E">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757" w:type="dxa"/>
            <w:tcBorders>
              <w:top w:val="single" w:color="auto" w:sz="4" w:space="0"/>
              <w:left w:val="single" w:color="auto" w:sz="4" w:space="0"/>
              <w:bottom w:val="single" w:color="auto" w:sz="4" w:space="0"/>
              <w:right w:val="single" w:color="auto" w:sz="4" w:space="0"/>
            </w:tcBorders>
            <w:noWrap/>
          </w:tcPr>
          <w:p w14:paraId="3E96552E">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42560804">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2F13CC29">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24670B0C">
            <w:pPr>
              <w:pageBreakBefore w:val="0"/>
              <w:wordWrap w:val="0"/>
              <w:overflowPunct/>
              <w:topLinePunct w:val="0"/>
              <w:bidi w:val="0"/>
              <w:spacing w:line="360" w:lineRule="auto"/>
              <w:rPr>
                <w:rFonts w:ascii="宋体" w:hAnsi="宋体" w:cs="宋体"/>
                <w:color w:val="auto"/>
                <w:szCs w:val="21"/>
                <w:highlight w:val="none"/>
              </w:rPr>
            </w:pPr>
          </w:p>
        </w:tc>
      </w:tr>
      <w:tr w14:paraId="46AC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63975D02">
            <w:pPr>
              <w:pageBreakBefore w:val="0"/>
              <w:wordWrap w:val="0"/>
              <w:overflowPunct/>
              <w:topLinePunct w:val="0"/>
              <w:bidi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6097F46C">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089E3055">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76CFA21A">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157721E8">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621AC7D6">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3DBF1592">
            <w:pPr>
              <w:pageBreakBefore w:val="0"/>
              <w:wordWrap w:val="0"/>
              <w:overflowPunct/>
              <w:topLinePunct w:val="0"/>
              <w:bidi w:val="0"/>
              <w:spacing w:line="360" w:lineRule="auto"/>
              <w:rPr>
                <w:rFonts w:ascii="宋体" w:hAnsi="宋体" w:cs="宋体"/>
                <w:color w:val="auto"/>
                <w:szCs w:val="21"/>
                <w:highlight w:val="none"/>
              </w:rPr>
            </w:pPr>
          </w:p>
        </w:tc>
      </w:tr>
      <w:tr w14:paraId="2CC66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49FC61CB">
            <w:pPr>
              <w:pageBreakBefore w:val="0"/>
              <w:wordWrap w:val="0"/>
              <w:overflowPunct/>
              <w:topLinePunct w:val="0"/>
              <w:bidi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1C2DA221">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50181AFB">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12306DFC">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3D071D48">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62090ED5">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4D60292D">
            <w:pPr>
              <w:pageBreakBefore w:val="0"/>
              <w:wordWrap w:val="0"/>
              <w:overflowPunct/>
              <w:topLinePunct w:val="0"/>
              <w:bidi w:val="0"/>
              <w:spacing w:line="360" w:lineRule="auto"/>
              <w:rPr>
                <w:rFonts w:ascii="宋体" w:hAnsi="宋体" w:cs="宋体"/>
                <w:color w:val="auto"/>
                <w:szCs w:val="21"/>
                <w:highlight w:val="none"/>
              </w:rPr>
            </w:pPr>
          </w:p>
        </w:tc>
      </w:tr>
      <w:tr w14:paraId="2EA3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35615B95">
            <w:pPr>
              <w:pageBreakBefore w:val="0"/>
              <w:wordWrap w:val="0"/>
              <w:overflowPunct/>
              <w:topLinePunct w:val="0"/>
              <w:bidi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484683C5">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77E8A41A">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0656FFBA">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6A009993">
            <w:pPr>
              <w:pageBreakBefore w:val="0"/>
              <w:wordWrap w:val="0"/>
              <w:overflowPunct/>
              <w:topLinePunct w:val="0"/>
              <w:bidi w:val="0"/>
              <w:spacing w:line="360" w:lineRule="auto"/>
              <w:rPr>
                <w:rFonts w:ascii="宋体" w:hAnsi="宋体" w:cs="宋体"/>
                <w:color w:val="auto"/>
                <w:szCs w:val="21"/>
                <w:highlight w:val="none"/>
              </w:rPr>
            </w:pPr>
          </w:p>
        </w:tc>
      </w:tr>
      <w:tr w14:paraId="1C0E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tcPr>
          <w:p w14:paraId="39610497">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01958E56">
      <w:pPr>
        <w:pStyle w:val="12"/>
        <w:pageBreakBefore w:val="0"/>
        <w:wordWrap w:val="0"/>
        <w:overflowPunct/>
        <w:topLinePunct w:val="0"/>
        <w:bidi w:val="0"/>
        <w:spacing w:line="360" w:lineRule="auto"/>
        <w:ind w:left="-708" w:leftChars="-337"/>
        <w:rPr>
          <w:rFonts w:hAnsi="宋体" w:cs="宋体"/>
          <w:color w:val="auto"/>
          <w:highlight w:val="none"/>
        </w:rPr>
      </w:pPr>
    </w:p>
    <w:p w14:paraId="7E18FDAA">
      <w:pPr>
        <w:pStyle w:val="12"/>
        <w:pageBreakBefore w:val="0"/>
        <w:wordWrap w:val="0"/>
        <w:overflowPunct/>
        <w:topLinePunct w:val="0"/>
        <w:bidi w:val="0"/>
        <w:spacing w:line="360" w:lineRule="auto"/>
        <w:ind w:left="-708" w:leftChars="-337"/>
        <w:rPr>
          <w:rFonts w:hAnsi="宋体" w:cs="宋体"/>
          <w:color w:val="auto"/>
          <w:highlight w:val="none"/>
        </w:rPr>
      </w:pPr>
      <w:r>
        <w:rPr>
          <w:rFonts w:hint="eastAsia" w:hAnsi="宋体" w:cs="宋体"/>
          <w:color w:val="auto"/>
          <w:highlight w:val="none"/>
        </w:rPr>
        <w:t>注：</w:t>
      </w:r>
    </w:p>
    <w:p w14:paraId="4727D7AB">
      <w:pPr>
        <w:pStyle w:val="12"/>
        <w:pageBreakBefore w:val="0"/>
        <w:wordWrap w:val="0"/>
        <w:overflowPunct/>
        <w:topLinePunct w:val="0"/>
        <w:bidi w:val="0"/>
        <w:spacing w:line="360" w:lineRule="auto"/>
        <w:ind w:left="-708" w:leftChars="-337" w:firstLine="420" w:firstLineChars="200"/>
        <w:rPr>
          <w:rFonts w:hAnsi="宋体" w:cs="宋体"/>
          <w:color w:val="auto"/>
          <w:highlight w:val="none"/>
        </w:rPr>
      </w:pPr>
      <w:r>
        <w:rPr>
          <w:rFonts w:hint="eastAsia" w:hAnsi="宋体" w:cs="宋体"/>
          <w:color w:val="auto"/>
          <w:highlight w:val="none"/>
        </w:rPr>
        <w:t>1.表格内容均需按要求填写并盖章，不得留空，否则按投标无效处理。</w:t>
      </w:r>
    </w:p>
    <w:p w14:paraId="6D50A7D2">
      <w:pPr>
        <w:pStyle w:val="12"/>
        <w:pageBreakBefore w:val="0"/>
        <w:wordWrap w:val="0"/>
        <w:overflowPunct/>
        <w:topLinePunct w:val="0"/>
        <w:bidi w:val="0"/>
        <w:spacing w:line="360" w:lineRule="auto"/>
        <w:ind w:left="-603" w:leftChars="-287" w:firstLine="316" w:firstLineChars="150"/>
        <w:rPr>
          <w:rFonts w:hAnsi="宋体" w:cs="宋体"/>
          <w:color w:val="auto"/>
          <w:highlight w:val="none"/>
        </w:rPr>
      </w:pPr>
      <w:r>
        <w:rPr>
          <w:rFonts w:hint="eastAsia" w:hAnsi="宋体" w:cs="宋体"/>
          <w:b/>
          <w:bCs/>
          <w:color w:val="auto"/>
          <w:highlight w:val="none"/>
        </w:rPr>
        <w:t>2.如果招标文件需求为小于或大于某个数值标准时，投标文件承诺不得直接复制招标文件需求，投标文件承诺内容应当写明投标货物具体参数或商务响应承诺的具体数值，否则按投标无效处理。</w:t>
      </w:r>
      <w:r>
        <w:rPr>
          <w:rFonts w:hint="eastAsia" w:hAnsi="宋体" w:cs="宋体"/>
          <w:color w:val="auto"/>
          <w:highlight w:val="none"/>
        </w:rPr>
        <w:t>如该采购需求属于不能明确具体数值的，采购人应在此采购需求的数值后标注◆号，对标注◆号的采购需求不适用上述“竞标无效”条款。</w:t>
      </w:r>
    </w:p>
    <w:p w14:paraId="00525F73">
      <w:pPr>
        <w:pStyle w:val="12"/>
        <w:pageBreakBefore w:val="0"/>
        <w:wordWrap w:val="0"/>
        <w:overflowPunct/>
        <w:topLinePunct w:val="0"/>
        <w:bidi w:val="0"/>
        <w:spacing w:line="360" w:lineRule="auto"/>
        <w:ind w:left="-603" w:leftChars="-287" w:firstLine="315" w:firstLineChars="150"/>
        <w:rPr>
          <w:rFonts w:hAnsi="宋体" w:cs="宋体"/>
          <w:color w:val="auto"/>
          <w:highlight w:val="none"/>
        </w:rPr>
      </w:pPr>
      <w:r>
        <w:rPr>
          <w:rFonts w:hint="eastAsia" w:hAnsi="宋体" w:cs="宋体"/>
          <w:color w:val="auto"/>
          <w:highlight w:val="none"/>
        </w:rPr>
        <w:t>3.当投标文件的商务内容低于招标文件要求时，投标人应当如实写明“负偏离”，否则视为虚假应标。</w:t>
      </w:r>
    </w:p>
    <w:p w14:paraId="5AC5CC56">
      <w:pPr>
        <w:pStyle w:val="12"/>
        <w:pageBreakBefore w:val="0"/>
        <w:wordWrap w:val="0"/>
        <w:overflowPunct/>
        <w:topLinePunct w:val="0"/>
        <w:bidi w:val="0"/>
        <w:spacing w:line="360" w:lineRule="auto"/>
        <w:ind w:left="-708" w:leftChars="-337" w:firstLine="420" w:firstLineChars="200"/>
        <w:rPr>
          <w:rFonts w:hAnsi="宋体" w:cs="宋体"/>
          <w:color w:val="auto"/>
          <w:highlight w:val="none"/>
        </w:rPr>
      </w:pPr>
      <w:r>
        <w:rPr>
          <w:rFonts w:hint="eastAsia" w:hAnsi="宋体" w:cs="宋体"/>
          <w:color w:val="auto"/>
          <w:szCs w:val="21"/>
          <w:highlight w:val="none"/>
        </w:rPr>
        <w:t>4.采购需求中带“▲”及“★”的条款，也要分别在本表“投标文件的商务需求”、“投标文件承诺的商务条款”中标记。</w:t>
      </w:r>
    </w:p>
    <w:p w14:paraId="0B1AE051">
      <w:pPr>
        <w:pageBreakBefore w:val="0"/>
        <w:wordWrap w:val="0"/>
        <w:overflowPunct/>
        <w:topLinePunct w:val="0"/>
        <w:bidi w:val="0"/>
        <w:snapToGrid w:val="0"/>
        <w:spacing w:line="360" w:lineRule="auto"/>
        <w:rPr>
          <w:rFonts w:ascii="宋体" w:hAnsi="宋体" w:cs="宋体"/>
          <w:color w:val="auto"/>
          <w:sz w:val="24"/>
          <w:highlight w:val="none"/>
        </w:rPr>
      </w:pPr>
    </w:p>
    <w:p w14:paraId="1FEA728B">
      <w:pPr>
        <w:pageBreakBefore w:val="0"/>
        <w:wordWrap w:val="0"/>
        <w:overflowPunct/>
        <w:topLinePunct w:val="0"/>
        <w:bidi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40E94780">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4084">
      <w:pPr>
        <w:pageBreakBefore w:val="0"/>
        <w:widowControl/>
        <w:wordWrap w:val="0"/>
        <w:overflowPunct/>
        <w:topLinePunct w:val="0"/>
        <w:bidi w:val="0"/>
        <w:spacing w:line="360" w:lineRule="auto"/>
        <w:jc w:val="left"/>
        <w:rPr>
          <w:rFonts w:ascii="宋体" w:hAnsi="宋体" w:cs="宋体"/>
          <w:color w:val="auto"/>
          <w:szCs w:val="21"/>
          <w:highlight w:val="none"/>
        </w:rPr>
        <w:sectPr>
          <w:pgSz w:w="11906" w:h="16838"/>
          <w:pgMar w:top="1440" w:right="1080" w:bottom="1440" w:left="1080" w:header="851" w:footer="992" w:gutter="0"/>
          <w:pgNumType w:fmt="decimal"/>
          <w:cols w:space="720" w:num="1"/>
        </w:sectPr>
      </w:pPr>
    </w:p>
    <w:p w14:paraId="3A3749EE">
      <w:pPr>
        <w:pageBreakBefore w:val="0"/>
        <w:wordWrap w:val="0"/>
        <w:overflowPunct/>
        <w:topLinePunct w:val="0"/>
        <w:bidi w:val="0"/>
        <w:snapToGrid w:val="0"/>
        <w:spacing w:line="360" w:lineRule="auto"/>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五、投标人情况介绍</w:t>
      </w:r>
    </w:p>
    <w:p w14:paraId="36BC25A9">
      <w:pPr>
        <w:pageBreakBefore w:val="0"/>
        <w:wordWrap w:val="0"/>
        <w:overflowPunct/>
        <w:topLinePunct w:val="0"/>
        <w:bidi w:val="0"/>
        <w:spacing w:line="360" w:lineRule="auto"/>
        <w:ind w:firstLine="4048" w:firstLineChars="1687"/>
        <w:rPr>
          <w:rFonts w:ascii="宋体" w:hAnsi="宋体" w:cs="宋体"/>
          <w:color w:val="auto"/>
          <w:kern w:val="0"/>
          <w:sz w:val="24"/>
          <w:highlight w:val="none"/>
        </w:rPr>
      </w:pPr>
      <w:r>
        <w:rPr>
          <w:rFonts w:hint="eastAsia" w:ascii="宋体" w:hAnsi="宋体" w:cs="宋体"/>
          <w:color w:val="auto"/>
          <w:sz w:val="24"/>
          <w:highlight w:val="none"/>
        </w:rPr>
        <w:t>（格式自拟）</w:t>
      </w:r>
    </w:p>
    <w:p w14:paraId="285E851F">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1C67A801">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p>
    <w:p w14:paraId="07B9C513">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p>
    <w:p w14:paraId="6F4653A5">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p>
    <w:p w14:paraId="7E4606BE">
      <w:pPr>
        <w:pageBreakBefore w:val="0"/>
        <w:wordWrap w:val="0"/>
        <w:overflowPunct/>
        <w:topLinePunct w:val="0"/>
        <w:bidi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3B997FEE">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5BF1C9A">
      <w:pPr>
        <w:pageBreakBefore w:val="0"/>
        <w:wordWrap w:val="0"/>
        <w:overflowPunct/>
        <w:topLinePunct w:val="0"/>
        <w:bidi w:val="0"/>
        <w:snapToGrid w:val="0"/>
        <w:spacing w:line="360" w:lineRule="auto"/>
        <w:ind w:firstLine="602" w:firstLineChars="200"/>
        <w:jc w:val="center"/>
        <w:rPr>
          <w:rFonts w:ascii="宋体" w:hAnsi="宋体" w:cs="宋体"/>
          <w:b/>
          <w:bCs/>
          <w:color w:val="auto"/>
          <w:sz w:val="30"/>
          <w:szCs w:val="30"/>
          <w:highlight w:val="none"/>
        </w:rPr>
      </w:pPr>
    </w:p>
    <w:p w14:paraId="29CE0829">
      <w:pPr>
        <w:pageBreakBefore w:val="0"/>
        <w:widowControl/>
        <w:wordWrap w:val="0"/>
        <w:overflowPunct/>
        <w:topLinePunct w:val="0"/>
        <w:bidi w:val="0"/>
        <w:spacing w:line="360" w:lineRule="auto"/>
        <w:jc w:val="left"/>
        <w:rPr>
          <w:rFonts w:ascii="宋体" w:hAnsi="宋体" w:cs="宋体"/>
          <w:b/>
          <w:bCs/>
          <w:color w:val="auto"/>
          <w:sz w:val="30"/>
          <w:szCs w:val="30"/>
          <w:highlight w:val="none"/>
        </w:rPr>
        <w:sectPr>
          <w:pgSz w:w="11906" w:h="16838"/>
          <w:pgMar w:top="1440" w:right="1080" w:bottom="1440" w:left="1080" w:header="720" w:footer="720" w:gutter="0"/>
          <w:pgNumType w:fmt="decimal"/>
          <w:cols w:space="720" w:num="1"/>
          <w:docGrid w:type="lines" w:linePitch="331" w:charSpace="0"/>
        </w:sectPr>
      </w:pPr>
    </w:p>
    <w:p w14:paraId="5B1106F3">
      <w:pPr>
        <w:pageBreakBefore w:val="0"/>
        <w:wordWrap w:val="0"/>
        <w:overflowPunct/>
        <w:topLinePunct w:val="0"/>
        <w:bidi w:val="0"/>
        <w:snapToGrid w:val="0"/>
        <w:spacing w:line="360" w:lineRule="auto"/>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六、投标人业绩证明文件（如有要求）</w:t>
      </w:r>
    </w:p>
    <w:p w14:paraId="2BD0C2AC">
      <w:pPr>
        <w:pStyle w:val="16"/>
        <w:pageBreakBefore w:val="0"/>
        <w:wordWrap w:val="0"/>
        <w:overflowPunct/>
        <w:topLinePunct w:val="0"/>
        <w:bidi w:val="0"/>
        <w:snapToGrid w:val="0"/>
        <w:spacing w:line="360" w:lineRule="auto"/>
        <w:ind w:left="480" w:hanging="480"/>
        <w:rPr>
          <w:rFonts w:ascii="宋体" w:hAnsi="宋体" w:cs="宋体"/>
          <w:color w:val="auto"/>
          <w:sz w:val="24"/>
          <w:highlight w:val="none"/>
        </w:rPr>
      </w:pPr>
    </w:p>
    <w:p w14:paraId="3E46ECB2">
      <w:pPr>
        <w:pStyle w:val="16"/>
        <w:pageBreakBefore w:val="0"/>
        <w:wordWrap w:val="0"/>
        <w:overflowPunct/>
        <w:topLinePunct w:val="0"/>
        <w:bidi w:val="0"/>
        <w:snapToGrid w:val="0"/>
        <w:spacing w:line="360" w:lineRule="auto"/>
        <w:ind w:left="480" w:hanging="480"/>
        <w:rPr>
          <w:rFonts w:ascii="宋体" w:hAnsi="宋体" w:cs="宋体"/>
          <w:color w:val="auto"/>
          <w:sz w:val="24"/>
          <w:highlight w:val="none"/>
        </w:rPr>
      </w:pPr>
    </w:p>
    <w:p w14:paraId="2777284D">
      <w:pPr>
        <w:pStyle w:val="16"/>
        <w:pageBreakBefore w:val="0"/>
        <w:wordWrap w:val="0"/>
        <w:overflowPunct/>
        <w:topLinePunct w:val="0"/>
        <w:bidi w:val="0"/>
        <w:snapToGrid w:val="0"/>
        <w:spacing w:line="360" w:lineRule="auto"/>
        <w:ind w:left="480" w:hanging="480"/>
        <w:rPr>
          <w:rFonts w:ascii="宋体" w:hAnsi="宋体" w:cs="宋体"/>
          <w:color w:val="auto"/>
          <w:sz w:val="24"/>
          <w:highlight w:val="none"/>
        </w:rPr>
      </w:pPr>
    </w:p>
    <w:p w14:paraId="03F0C095">
      <w:pPr>
        <w:pageBreakBefore w:val="0"/>
        <w:wordWrap w:val="0"/>
        <w:overflowPunct/>
        <w:topLinePunct w:val="0"/>
        <w:autoSpaceDE w:val="0"/>
        <w:autoSpaceDN w:val="0"/>
        <w:bidi w:val="0"/>
        <w:spacing w:line="360" w:lineRule="auto"/>
        <w:ind w:firstLine="120"/>
        <w:rPr>
          <w:rFonts w:ascii="宋体" w:hAnsi="宋体" w:cs="宋体"/>
          <w:color w:val="auto"/>
          <w:sz w:val="24"/>
          <w:highlight w:val="none"/>
        </w:rPr>
      </w:pPr>
      <w:r>
        <w:rPr>
          <w:rFonts w:hint="eastAsia" w:ascii="宋体" w:hAnsi="宋体" w:cs="宋体"/>
          <w:b/>
          <w:color w:val="auto"/>
          <w:sz w:val="24"/>
          <w:highlight w:val="none"/>
        </w:rPr>
        <w:t>附表 :相关项目业绩一览表（投标人培训项目合同复印件、用户验收报告、用户评价意见格式自拟）</w:t>
      </w:r>
    </w:p>
    <w:tbl>
      <w:tblPr>
        <w:tblStyle w:val="19"/>
        <w:tblW w:w="14567"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4B6C4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63EA05C6">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08131327">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1DF28BB0">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w:t>
            </w:r>
          </w:p>
          <w:p w14:paraId="6188289E">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金额</w:t>
            </w:r>
          </w:p>
          <w:p w14:paraId="6CCAF461">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0962B43F">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5BDA1388">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采购人联系人及</w:t>
            </w:r>
          </w:p>
          <w:p w14:paraId="1F3E1ECE">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6E885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1BFF54E8">
            <w:pPr>
              <w:pageBreakBefore w:val="0"/>
              <w:widowControl/>
              <w:wordWrap w:val="0"/>
              <w:overflowPunct/>
              <w:topLinePunct w:val="0"/>
              <w:bidi w:val="0"/>
              <w:spacing w:line="360" w:lineRule="auto"/>
              <w:jc w:val="left"/>
              <w:rPr>
                <w:rFonts w:ascii="宋体" w:hAnsi="宋体" w:cs="宋体"/>
                <w:color w:val="auto"/>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7C415741">
            <w:pPr>
              <w:pageBreakBefore w:val="0"/>
              <w:widowControl/>
              <w:wordWrap w:val="0"/>
              <w:overflowPunct/>
              <w:topLinePunct w:val="0"/>
              <w:bidi w:val="0"/>
              <w:spacing w:line="360" w:lineRule="auto"/>
              <w:jc w:val="left"/>
              <w:rPr>
                <w:rFonts w:ascii="宋体" w:hAnsi="宋体" w:cs="宋体"/>
                <w:color w:val="auto"/>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7DE43545">
            <w:pPr>
              <w:pageBreakBefore w:val="0"/>
              <w:widowControl/>
              <w:wordWrap w:val="0"/>
              <w:overflowPunct/>
              <w:topLinePunct w:val="0"/>
              <w:bidi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39DA5F2B">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3B6B9C0A">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验收报告</w:t>
            </w:r>
          </w:p>
        </w:tc>
        <w:tc>
          <w:tcPr>
            <w:tcW w:w="1418" w:type="dxa"/>
            <w:tcBorders>
              <w:top w:val="single" w:color="auto" w:sz="4" w:space="0"/>
              <w:left w:val="single" w:color="auto" w:sz="4" w:space="0"/>
              <w:bottom w:val="single" w:color="auto" w:sz="4" w:space="0"/>
              <w:right w:val="single" w:color="auto" w:sz="4" w:space="0"/>
            </w:tcBorders>
            <w:vAlign w:val="center"/>
          </w:tcPr>
          <w:p w14:paraId="2ED53CB1">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0A778B74">
            <w:pPr>
              <w:pageBreakBefore w:val="0"/>
              <w:widowControl/>
              <w:wordWrap w:val="0"/>
              <w:overflowPunct/>
              <w:topLinePunct w:val="0"/>
              <w:bidi w:val="0"/>
              <w:spacing w:line="360" w:lineRule="auto"/>
              <w:jc w:val="left"/>
              <w:rPr>
                <w:rFonts w:ascii="宋体" w:hAnsi="宋体" w:cs="宋体"/>
                <w:color w:val="auto"/>
                <w:sz w:val="24"/>
                <w:highlight w:val="none"/>
              </w:rPr>
            </w:pPr>
          </w:p>
        </w:tc>
      </w:tr>
      <w:tr w14:paraId="7DA88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3368D161">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0A6E3A79">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7B814E67">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2584C86D">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E9BA6A5">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2D4DFD0A">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17A94C19">
            <w:pPr>
              <w:pageBreakBefore w:val="0"/>
              <w:wordWrap w:val="0"/>
              <w:overflowPunct/>
              <w:topLinePunct w:val="0"/>
              <w:bidi w:val="0"/>
              <w:snapToGrid w:val="0"/>
              <w:spacing w:line="360" w:lineRule="auto"/>
              <w:jc w:val="left"/>
              <w:rPr>
                <w:rFonts w:ascii="宋体" w:hAnsi="宋体" w:cs="宋体"/>
                <w:color w:val="auto"/>
                <w:sz w:val="24"/>
                <w:highlight w:val="none"/>
              </w:rPr>
            </w:pPr>
          </w:p>
        </w:tc>
      </w:tr>
      <w:tr w14:paraId="2835C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48C796C">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625A1876">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77D43878">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1FD95969">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1E22CA20">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3EC2AD3B">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19628A70">
            <w:pPr>
              <w:pageBreakBefore w:val="0"/>
              <w:wordWrap w:val="0"/>
              <w:overflowPunct/>
              <w:topLinePunct w:val="0"/>
              <w:bidi w:val="0"/>
              <w:snapToGrid w:val="0"/>
              <w:spacing w:line="360" w:lineRule="auto"/>
              <w:jc w:val="left"/>
              <w:rPr>
                <w:rFonts w:ascii="宋体" w:hAnsi="宋体" w:cs="宋体"/>
                <w:color w:val="auto"/>
                <w:sz w:val="24"/>
                <w:highlight w:val="none"/>
              </w:rPr>
            </w:pPr>
          </w:p>
        </w:tc>
      </w:tr>
      <w:tr w14:paraId="1AB52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5055C2D6">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5AF4C22A">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4EC9AC93">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4C8FCEC2">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2CB98803">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1D65966F">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191D95F9">
            <w:pPr>
              <w:pageBreakBefore w:val="0"/>
              <w:wordWrap w:val="0"/>
              <w:overflowPunct/>
              <w:topLinePunct w:val="0"/>
              <w:bidi w:val="0"/>
              <w:snapToGrid w:val="0"/>
              <w:spacing w:line="360" w:lineRule="auto"/>
              <w:jc w:val="left"/>
              <w:rPr>
                <w:rFonts w:ascii="宋体" w:hAnsi="宋体" w:cs="宋体"/>
                <w:color w:val="auto"/>
                <w:sz w:val="24"/>
                <w:highlight w:val="none"/>
              </w:rPr>
            </w:pPr>
          </w:p>
        </w:tc>
      </w:tr>
      <w:tr w14:paraId="1BB4C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AA0C3E7">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3F258FE9">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59F0B264">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4FABC0FA">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463FD474">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2EF93765">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786824D5">
            <w:pPr>
              <w:pageBreakBefore w:val="0"/>
              <w:wordWrap w:val="0"/>
              <w:overflowPunct/>
              <w:topLinePunct w:val="0"/>
              <w:bidi w:val="0"/>
              <w:snapToGrid w:val="0"/>
              <w:spacing w:line="360" w:lineRule="auto"/>
              <w:jc w:val="left"/>
              <w:rPr>
                <w:rFonts w:ascii="宋体" w:hAnsi="宋体" w:cs="宋体"/>
                <w:color w:val="auto"/>
                <w:sz w:val="24"/>
                <w:highlight w:val="none"/>
              </w:rPr>
            </w:pPr>
          </w:p>
        </w:tc>
      </w:tr>
      <w:tr w14:paraId="51A86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A50954C">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3FEC6198">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233DC81F">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25841D5B">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EB60C76">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2612AA0F">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691196B6">
            <w:pPr>
              <w:pageBreakBefore w:val="0"/>
              <w:wordWrap w:val="0"/>
              <w:overflowPunct/>
              <w:topLinePunct w:val="0"/>
              <w:bidi w:val="0"/>
              <w:snapToGrid w:val="0"/>
              <w:spacing w:line="360" w:lineRule="auto"/>
              <w:jc w:val="left"/>
              <w:rPr>
                <w:rFonts w:ascii="宋体" w:hAnsi="宋体" w:cs="宋体"/>
                <w:color w:val="auto"/>
                <w:sz w:val="24"/>
                <w:highlight w:val="none"/>
              </w:rPr>
            </w:pPr>
          </w:p>
        </w:tc>
      </w:tr>
    </w:tbl>
    <w:p w14:paraId="46C17DBA">
      <w:pPr>
        <w:pStyle w:val="12"/>
        <w:pageBreakBefore w:val="0"/>
        <w:wordWrap w:val="0"/>
        <w:overflowPunct/>
        <w:topLinePunct w:val="0"/>
        <w:bidi w:val="0"/>
        <w:spacing w:line="360" w:lineRule="auto"/>
        <w:ind w:left="72"/>
        <w:rPr>
          <w:rFonts w:hAnsi="宋体" w:cs="宋体"/>
          <w:color w:val="auto"/>
          <w:highlight w:val="none"/>
        </w:rPr>
      </w:pPr>
      <w:r>
        <w:rPr>
          <w:rFonts w:hint="eastAsia" w:hAnsi="宋体" w:cs="宋体"/>
          <w:color w:val="auto"/>
          <w:highlight w:val="none"/>
        </w:rPr>
        <w:t>注：投标人可按上述的格式自行编制，须随表提交相应的合同复印件和用户单位验收证明并注明所在投标人商务技术文件页码。</w:t>
      </w:r>
    </w:p>
    <w:p w14:paraId="41B60650">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772843AC">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p>
    <w:p w14:paraId="1C5ED243">
      <w:pPr>
        <w:pageBreakBefore w:val="0"/>
        <w:wordWrap w:val="0"/>
        <w:overflowPunct/>
        <w:topLinePunct w:val="0"/>
        <w:bidi w:val="0"/>
        <w:snapToGrid w:val="0"/>
        <w:spacing w:line="360" w:lineRule="auto"/>
        <w:ind w:firstLine="10080" w:firstLineChars="480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219F629E">
      <w:pPr>
        <w:pageBreakBefore w:val="0"/>
        <w:wordWrap w:val="0"/>
        <w:overflowPunct/>
        <w:topLinePunct w:val="0"/>
        <w:bidi w:val="0"/>
        <w:snapToGrid w:val="0"/>
        <w:spacing w:line="360" w:lineRule="auto"/>
        <w:ind w:firstLine="10080" w:firstLineChars="4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AB74DBC">
      <w:pPr>
        <w:pageBreakBefore w:val="0"/>
        <w:widowControl/>
        <w:wordWrap w:val="0"/>
        <w:overflowPunct/>
        <w:topLinePunct w:val="0"/>
        <w:bidi w:val="0"/>
        <w:spacing w:line="360" w:lineRule="auto"/>
        <w:jc w:val="left"/>
        <w:rPr>
          <w:rFonts w:ascii="宋体" w:hAnsi="宋体" w:cs="宋体"/>
          <w:color w:val="auto"/>
          <w:kern w:val="0"/>
          <w:sz w:val="24"/>
          <w:highlight w:val="none"/>
          <w:lang w:val="zh-CN"/>
        </w:rPr>
        <w:sectPr>
          <w:pgSz w:w="16838" w:h="11906" w:orient="landscape"/>
          <w:pgMar w:top="1440" w:right="1080" w:bottom="1440" w:left="1080" w:header="720" w:footer="720" w:gutter="0"/>
          <w:pgNumType w:fmt="decimal"/>
          <w:cols w:space="720" w:num="1"/>
          <w:docGrid w:type="lines" w:linePitch="331" w:charSpace="0"/>
        </w:sectPr>
      </w:pPr>
    </w:p>
    <w:p w14:paraId="71618F05">
      <w:pPr>
        <w:pStyle w:val="12"/>
        <w:pageBreakBefore w:val="0"/>
        <w:wordWrap w:val="0"/>
        <w:overflowPunct/>
        <w:topLinePunct w:val="0"/>
        <w:bidi w:val="0"/>
        <w:spacing w:line="360" w:lineRule="auto"/>
        <w:jc w:val="center"/>
        <w:outlineLvl w:val="1"/>
        <w:rPr>
          <w:rFonts w:hAnsi="宋体" w:cs="宋体"/>
          <w:b/>
          <w:bCs/>
          <w:color w:val="auto"/>
          <w:sz w:val="28"/>
          <w:szCs w:val="28"/>
          <w:highlight w:val="none"/>
        </w:rPr>
      </w:pPr>
      <w:bookmarkStart w:id="283" w:name="_Toc19686839"/>
      <w:bookmarkStart w:id="284" w:name="_Toc27389"/>
      <w:r>
        <w:rPr>
          <w:rFonts w:hint="eastAsia" w:hAnsi="宋体" w:cs="宋体"/>
          <w:b/>
          <w:bCs/>
          <w:color w:val="auto"/>
          <w:sz w:val="28"/>
          <w:szCs w:val="28"/>
          <w:highlight w:val="none"/>
        </w:rPr>
        <w:t>第四节 技术文件格式</w:t>
      </w:r>
      <w:bookmarkEnd w:id="283"/>
      <w:bookmarkEnd w:id="284"/>
    </w:p>
    <w:p w14:paraId="45A9F3B8">
      <w:pPr>
        <w:pageBreakBefore w:val="0"/>
        <w:wordWrap w:val="0"/>
        <w:overflowPunct/>
        <w:topLinePunct w:val="0"/>
        <w:bidi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63DC8130">
      <w:pPr>
        <w:pageBreakBefore w:val="0"/>
        <w:wordWrap w:val="0"/>
        <w:overflowPunct/>
        <w:topLinePunct w:val="0"/>
        <w:bidi w:val="0"/>
        <w:snapToGrid w:val="0"/>
        <w:spacing w:line="360" w:lineRule="auto"/>
        <w:rPr>
          <w:rFonts w:ascii="宋体" w:hAnsi="宋体" w:cs="宋体"/>
          <w:color w:val="auto"/>
          <w:sz w:val="24"/>
          <w:szCs w:val="20"/>
          <w:highlight w:val="none"/>
        </w:rPr>
      </w:pPr>
    </w:p>
    <w:p w14:paraId="6497840D">
      <w:pPr>
        <w:pageBreakBefore w:val="0"/>
        <w:wordWrap w:val="0"/>
        <w:overflowPunct/>
        <w:topLinePunct w:val="0"/>
        <w:bidi w:val="0"/>
        <w:snapToGrid w:val="0"/>
        <w:spacing w:line="360" w:lineRule="auto"/>
        <w:jc w:val="center"/>
        <w:rPr>
          <w:rFonts w:ascii="宋体" w:hAnsi="宋体" w:cs="宋体"/>
          <w:b/>
          <w:bCs/>
          <w:color w:val="auto"/>
          <w:sz w:val="32"/>
          <w:szCs w:val="32"/>
          <w:highlight w:val="none"/>
        </w:rPr>
      </w:pPr>
    </w:p>
    <w:p w14:paraId="21B4E47C">
      <w:pPr>
        <w:pageBreakBefore w:val="0"/>
        <w:wordWrap w:val="0"/>
        <w:overflowPunct/>
        <w:topLinePunct w:val="0"/>
        <w:bidi w:val="0"/>
        <w:snapToGrid w:val="0"/>
        <w:spacing w:line="360" w:lineRule="auto"/>
        <w:jc w:val="center"/>
        <w:rPr>
          <w:rFonts w:ascii="宋体" w:hAnsi="宋体" w:cs="宋体"/>
          <w:b/>
          <w:bCs/>
          <w:color w:val="auto"/>
          <w:sz w:val="32"/>
          <w:szCs w:val="32"/>
          <w:highlight w:val="none"/>
        </w:rPr>
      </w:pPr>
    </w:p>
    <w:p w14:paraId="40C588FE">
      <w:pPr>
        <w:pageBreakBefore w:val="0"/>
        <w:wordWrap w:val="0"/>
        <w:overflowPunct/>
        <w:topLinePunct w:val="0"/>
        <w:bidi w:val="0"/>
        <w:snapToGrid w:val="0"/>
        <w:spacing w:line="360" w:lineRule="auto"/>
        <w:jc w:val="center"/>
        <w:rPr>
          <w:rFonts w:ascii="宋体" w:hAnsi="宋体" w:cs="宋体"/>
          <w:b/>
          <w:bCs/>
          <w:color w:val="auto"/>
          <w:sz w:val="32"/>
          <w:szCs w:val="32"/>
          <w:highlight w:val="none"/>
        </w:rPr>
      </w:pPr>
    </w:p>
    <w:p w14:paraId="08875F30">
      <w:pPr>
        <w:pageBreakBefore w:val="0"/>
        <w:wordWrap w:val="0"/>
        <w:overflowPunct/>
        <w:topLinePunct w:val="0"/>
        <w:bidi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技术文件（封面）</w:t>
      </w:r>
    </w:p>
    <w:p w14:paraId="58BF072C">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486BD7AA">
      <w:pPr>
        <w:pageBreakBefore w:val="0"/>
        <w:wordWrap w:val="0"/>
        <w:overflowPunct/>
        <w:topLinePunct w:val="0"/>
        <w:bidi w:val="0"/>
        <w:snapToGrid w:val="0"/>
        <w:spacing w:line="360" w:lineRule="auto"/>
        <w:ind w:left="599" w:leftChars="228" w:hanging="120" w:hangingChars="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12A03B65">
      <w:pPr>
        <w:pageBreakBefore w:val="0"/>
        <w:wordWrap w:val="0"/>
        <w:overflowPunct/>
        <w:topLinePunct w:val="0"/>
        <w:bidi w:val="0"/>
        <w:snapToGrid w:val="0"/>
        <w:spacing w:line="360" w:lineRule="auto"/>
        <w:ind w:left="599" w:leftChars="228" w:hanging="120" w:hangingChars="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26AAD3A4">
      <w:pPr>
        <w:pageBreakBefore w:val="0"/>
        <w:wordWrap w:val="0"/>
        <w:overflowPunct/>
        <w:topLinePunct w:val="0"/>
        <w:bidi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所投分标：</w:t>
      </w:r>
    </w:p>
    <w:p w14:paraId="2B13C4A5">
      <w:pPr>
        <w:pageBreakBefore w:val="0"/>
        <w:wordWrap w:val="0"/>
        <w:overflowPunct/>
        <w:topLinePunct w:val="0"/>
        <w:bidi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投标人名称：</w:t>
      </w:r>
    </w:p>
    <w:p w14:paraId="50816280">
      <w:pPr>
        <w:pageBreakBefore w:val="0"/>
        <w:wordWrap w:val="0"/>
        <w:overflowPunct/>
        <w:topLinePunct w:val="0"/>
        <w:bidi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投标人地址：</w:t>
      </w:r>
    </w:p>
    <w:p w14:paraId="094CB981">
      <w:pPr>
        <w:pageBreakBefore w:val="0"/>
        <w:wordWrap w:val="0"/>
        <w:overflowPunct/>
        <w:topLinePunct w:val="0"/>
        <w:bidi w:val="0"/>
        <w:snapToGrid w:val="0"/>
        <w:spacing w:line="360" w:lineRule="auto"/>
        <w:ind w:firstLine="645"/>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09550A0D">
      <w:pPr>
        <w:pageBreakBefore w:val="0"/>
        <w:wordWrap w:val="0"/>
        <w:overflowPunct/>
        <w:topLinePunct w:val="0"/>
        <w:bidi w:val="0"/>
        <w:snapToGrid w:val="0"/>
        <w:spacing w:line="360" w:lineRule="auto"/>
        <w:ind w:firstLine="645"/>
        <w:jc w:val="center"/>
        <w:rPr>
          <w:rFonts w:ascii="宋体" w:hAnsi="宋体" w:cs="宋体"/>
          <w:color w:val="auto"/>
          <w:sz w:val="24"/>
          <w:szCs w:val="20"/>
          <w:highlight w:val="none"/>
        </w:rPr>
      </w:pPr>
    </w:p>
    <w:p w14:paraId="0AA61D81">
      <w:pPr>
        <w:pageBreakBefore w:val="0"/>
        <w:wordWrap w:val="0"/>
        <w:overflowPunct/>
        <w:topLinePunct w:val="0"/>
        <w:bidi w:val="0"/>
        <w:spacing w:line="360" w:lineRule="auto"/>
        <w:jc w:val="center"/>
        <w:rPr>
          <w:rFonts w:ascii="宋体" w:hAnsi="宋体" w:cs="宋体"/>
          <w:b/>
          <w:color w:val="auto"/>
          <w:kern w:val="0"/>
          <w:sz w:val="28"/>
          <w:szCs w:val="28"/>
          <w:highlight w:val="none"/>
        </w:rPr>
      </w:pPr>
      <w:r>
        <w:rPr>
          <w:rFonts w:hint="eastAsia" w:ascii="宋体" w:hAnsi="宋体" w:cs="宋体"/>
          <w:b/>
          <w:bCs/>
          <w:color w:val="auto"/>
          <w:sz w:val="24"/>
          <w:highlight w:val="none"/>
        </w:rPr>
        <w:br w:type="page"/>
      </w:r>
      <w:r>
        <w:rPr>
          <w:rFonts w:hint="eastAsia" w:ascii="宋体" w:hAnsi="宋体" w:cs="宋体"/>
          <w:b/>
          <w:color w:val="auto"/>
          <w:kern w:val="0"/>
          <w:sz w:val="28"/>
          <w:szCs w:val="28"/>
          <w:highlight w:val="none"/>
        </w:rPr>
        <w:t>技术文件目录</w:t>
      </w:r>
    </w:p>
    <w:p w14:paraId="4D0A8910">
      <w:pPr>
        <w:pStyle w:val="30"/>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一、服务需求、技术需求偏离表…………………………………………………（页码）</w:t>
      </w:r>
    </w:p>
    <w:p w14:paraId="0F035854">
      <w:pPr>
        <w:pStyle w:val="30"/>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二、组织服务方案（如有）…………………………………………………………（页码）</w:t>
      </w:r>
    </w:p>
    <w:p w14:paraId="67B79A2D">
      <w:pPr>
        <w:pStyle w:val="30"/>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三、售后服务方案 ………………………………</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7A98A3CA">
      <w:pPr>
        <w:pStyle w:val="30"/>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rPr>
        <w:t>（如有）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228C248">
      <w:pPr>
        <w:pStyle w:val="30"/>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五、投标人对项目的合理化建议和改进措施（如有）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1023F100">
      <w:pPr>
        <w:pStyle w:val="30"/>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六、优惠条件及特殊承诺（如有）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27AABC7B">
      <w:pPr>
        <w:pStyle w:val="30"/>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七、备品备件及供选择的配套零部件清单（如有）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5BD8F493">
      <w:pPr>
        <w:pStyle w:val="30"/>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八、培训计划（如有）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B1D2F8E">
      <w:pPr>
        <w:pStyle w:val="30"/>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九、认为需要的其他技术文件或说明（如有）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2DE5FDF">
      <w:pPr>
        <w:pageBreakBefore w:val="0"/>
        <w:wordWrap w:val="0"/>
        <w:overflowPunct/>
        <w:topLinePunct w:val="0"/>
        <w:bidi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050C90D1">
      <w:pPr>
        <w:pageBreakBefore w:val="0"/>
        <w:wordWrap w:val="0"/>
        <w:overflowPunct/>
        <w:topLinePunct w:val="0"/>
        <w:bidi w:val="0"/>
        <w:snapToGrid w:val="0"/>
        <w:spacing w:line="360" w:lineRule="auto"/>
        <w:ind w:left="143" w:leftChars="68" w:firstLine="472" w:firstLineChars="196"/>
        <w:jc w:val="left"/>
        <w:rPr>
          <w:rFonts w:ascii="宋体" w:hAnsi="宋体" w:cs="宋体"/>
          <w:b/>
          <w:color w:val="auto"/>
          <w:sz w:val="24"/>
          <w:highlight w:val="none"/>
        </w:rPr>
      </w:pPr>
    </w:p>
    <w:p w14:paraId="6CD54FFD">
      <w:pPr>
        <w:pageBreakBefore w:val="0"/>
        <w:wordWrap w:val="0"/>
        <w:overflowPunct/>
        <w:topLinePunct w:val="0"/>
        <w:bidi w:val="0"/>
        <w:snapToGrid w:val="0"/>
        <w:spacing w:line="360" w:lineRule="auto"/>
        <w:ind w:left="143" w:leftChars="68" w:firstLine="472" w:firstLineChars="196"/>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 xml:space="preserve"> </w:t>
      </w:r>
    </w:p>
    <w:p w14:paraId="741068A5">
      <w:pPr>
        <w:pStyle w:val="12"/>
        <w:pageBreakBefore w:val="0"/>
        <w:wordWrap w:val="0"/>
        <w:overflowPunct/>
        <w:topLinePunct w:val="0"/>
        <w:bidi w:val="0"/>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一、服务需求、技术需求偏离表</w:t>
      </w:r>
    </w:p>
    <w:p w14:paraId="0BDACD22">
      <w:pPr>
        <w:pStyle w:val="12"/>
        <w:pageBreakBefore w:val="0"/>
        <w:wordWrap w:val="0"/>
        <w:overflowPunct/>
        <w:topLinePunct w:val="0"/>
        <w:bidi w:val="0"/>
        <w:spacing w:line="360" w:lineRule="auto"/>
        <w:ind w:firstLine="420" w:firstLineChars="200"/>
        <w:rPr>
          <w:rFonts w:hAnsi="宋体" w:cs="宋体"/>
          <w:color w:val="auto"/>
          <w:highlight w:val="none"/>
        </w:rPr>
      </w:pPr>
    </w:p>
    <w:p w14:paraId="51F6983B">
      <w:pPr>
        <w:pStyle w:val="12"/>
        <w:pageBreakBefore w:val="0"/>
        <w:wordWrap w:val="0"/>
        <w:overflowPunct/>
        <w:topLinePunct w:val="0"/>
        <w:bidi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请根据所投服务的实际技术参数，</w:t>
      </w:r>
      <w:r>
        <w:rPr>
          <w:rFonts w:hint="eastAsia" w:hAnsi="宋体" w:cs="宋体"/>
          <w:b/>
          <w:color w:val="auto"/>
          <w:sz w:val="28"/>
          <w:szCs w:val="28"/>
          <w:highlight w:val="none"/>
        </w:rPr>
        <w:t>逐条对应</w:t>
      </w:r>
      <w:r>
        <w:rPr>
          <w:rFonts w:hint="eastAsia" w:hAnsi="宋体" w:cs="宋体"/>
          <w:color w:val="auto"/>
          <w:sz w:val="24"/>
          <w:szCs w:val="24"/>
          <w:highlight w:val="none"/>
        </w:rPr>
        <w:t>本项目招标文件第二章“服务需求一览表”中的</w:t>
      </w:r>
      <w:r>
        <w:rPr>
          <w:rFonts w:hint="eastAsia" w:hAnsi="宋体" w:cs="宋体"/>
          <w:b/>
          <w:color w:val="auto"/>
          <w:sz w:val="28"/>
          <w:szCs w:val="28"/>
          <w:highlight w:val="none"/>
        </w:rPr>
        <w:t>采购清单及服务参数</w:t>
      </w:r>
      <w:r>
        <w:rPr>
          <w:rFonts w:hint="eastAsia" w:hAnsi="宋体" w:cs="宋体"/>
          <w:color w:val="auto"/>
          <w:sz w:val="24"/>
          <w:szCs w:val="24"/>
          <w:highlight w:val="none"/>
        </w:rPr>
        <w:t>详细填写相应的具体内容。“偏离说明”一栏应当选择“正偏离”、“负偏离”或“无偏离”进行填写。</w:t>
      </w:r>
    </w:p>
    <w:tbl>
      <w:tblPr>
        <w:tblStyle w:val="19"/>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4E5F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08F8D85D">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43A408E6">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6765BCC5">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0CAAEC50">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偏离说明</w:t>
            </w:r>
          </w:p>
        </w:tc>
      </w:tr>
      <w:tr w14:paraId="67139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2AFC2AB4">
            <w:pPr>
              <w:pageBreakBefore w:val="0"/>
              <w:widowControl/>
              <w:wordWrap w:val="0"/>
              <w:overflowPunct/>
              <w:topLinePunct w:val="0"/>
              <w:bidi w:val="0"/>
              <w:spacing w:line="360" w:lineRule="auto"/>
              <w:jc w:val="left"/>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37B2C33">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14:paraId="0E5A7F02">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14:paraId="041F21CE">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14:paraId="22D4BC42">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51ECE8E2">
            <w:pPr>
              <w:pageBreakBefore w:val="0"/>
              <w:widowControl/>
              <w:wordWrap w:val="0"/>
              <w:overflowPunct/>
              <w:topLinePunct w:val="0"/>
              <w:bidi w:val="0"/>
              <w:spacing w:line="360" w:lineRule="auto"/>
              <w:jc w:val="left"/>
              <w:rPr>
                <w:rFonts w:ascii="宋体" w:hAnsi="宋体" w:cs="宋体"/>
                <w:color w:val="auto"/>
                <w:szCs w:val="21"/>
                <w:highlight w:val="none"/>
              </w:rPr>
            </w:pPr>
          </w:p>
        </w:tc>
      </w:tr>
      <w:tr w14:paraId="38CA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31253A86">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08ECE8F2">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20D1B7A5">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6E643BA6">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42C2BA43">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0F5D55D0">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2EC6E758">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4B06C385">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67876C78">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0D01EC1E">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146E6599">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5A183D4C">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69CF5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71AD94E9">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75ACA6FB">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0A54C52D">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09891361">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771BF9AF">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747BF586">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49930896">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11302452">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6B4E1D9D">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2E9F52A5">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7302E932">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52BB4CFC">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6B52C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0DE3E314">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712AB9F8">
            <w:pPr>
              <w:pageBreakBefore w:val="0"/>
              <w:wordWrap w:val="0"/>
              <w:overflowPunct/>
              <w:topLinePunct w:val="0"/>
              <w:bidi w:val="0"/>
              <w:spacing w:line="360" w:lineRule="auto"/>
              <w:rPr>
                <w:rFonts w:ascii="宋体" w:hAnsi="宋体" w:cs="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14:paraId="5F3DEAD2">
            <w:pPr>
              <w:pageBreakBefore w:val="0"/>
              <w:wordWrap w:val="0"/>
              <w:overflowPunct/>
              <w:topLinePunct w:val="0"/>
              <w:bidi w:val="0"/>
              <w:spacing w:line="360" w:lineRule="auto"/>
              <w:rPr>
                <w:rFonts w:ascii="宋体" w:hAnsi="宋体" w:cs="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6353E20A">
            <w:pPr>
              <w:pageBreakBefore w:val="0"/>
              <w:wordWrap w:val="0"/>
              <w:overflowPunct/>
              <w:topLinePunct w:val="0"/>
              <w:bidi w:val="0"/>
              <w:spacing w:line="360" w:lineRule="auto"/>
              <w:rPr>
                <w:rFonts w:ascii="宋体" w:hAnsi="宋体" w:cs="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14:paraId="28158F67">
            <w:pPr>
              <w:pageBreakBefore w:val="0"/>
              <w:wordWrap w:val="0"/>
              <w:overflowPunct/>
              <w:topLinePunct w:val="0"/>
              <w:bidi w:val="0"/>
              <w:spacing w:line="360" w:lineRule="auto"/>
              <w:rPr>
                <w:rFonts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713AC56A">
            <w:pPr>
              <w:pageBreakBefore w:val="0"/>
              <w:wordWrap w:val="0"/>
              <w:overflowPunct/>
              <w:topLinePunct w:val="0"/>
              <w:bidi w:val="0"/>
              <w:spacing w:line="360" w:lineRule="auto"/>
              <w:rPr>
                <w:rFonts w:ascii="宋体" w:hAnsi="宋体" w:cs="宋体"/>
                <w:color w:val="auto"/>
                <w:szCs w:val="21"/>
                <w:highlight w:val="none"/>
              </w:rPr>
            </w:pPr>
          </w:p>
        </w:tc>
      </w:tr>
      <w:tr w14:paraId="6522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0EC95178">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54961E6F">
      <w:pPr>
        <w:pStyle w:val="12"/>
        <w:pageBreakBefore w:val="0"/>
        <w:wordWrap w:val="0"/>
        <w:overflowPunct/>
        <w:topLinePunct w:val="0"/>
        <w:bidi w:val="0"/>
        <w:spacing w:line="360" w:lineRule="auto"/>
        <w:rPr>
          <w:rFonts w:hAnsi="宋体" w:cs="宋体"/>
          <w:color w:val="auto"/>
          <w:szCs w:val="21"/>
          <w:highlight w:val="none"/>
        </w:rPr>
      </w:pPr>
      <w:r>
        <w:rPr>
          <w:rFonts w:hint="eastAsia" w:hAnsi="宋体" w:cs="宋体"/>
          <w:color w:val="auto"/>
          <w:szCs w:val="21"/>
          <w:highlight w:val="none"/>
        </w:rPr>
        <w:t>注：</w:t>
      </w:r>
    </w:p>
    <w:p w14:paraId="68AA69C1">
      <w:pPr>
        <w:pStyle w:val="12"/>
        <w:pageBreakBefore w:val="0"/>
        <w:wordWrap w:val="0"/>
        <w:overflowPunct/>
        <w:topLinePunct w:val="0"/>
        <w:bidi w:val="0"/>
        <w:spacing w:line="360" w:lineRule="auto"/>
        <w:rPr>
          <w:rFonts w:hAnsi="宋体" w:cs="宋体"/>
          <w:color w:val="auto"/>
          <w:szCs w:val="21"/>
          <w:highlight w:val="none"/>
        </w:rPr>
      </w:pPr>
      <w:r>
        <w:rPr>
          <w:rFonts w:hint="eastAsia" w:hAnsi="宋体" w:cs="宋体"/>
          <w:color w:val="auto"/>
          <w:szCs w:val="21"/>
          <w:highlight w:val="none"/>
        </w:rPr>
        <w:t>1.表格内容均需按要求填写并盖章，不得留空，</w:t>
      </w:r>
      <w:r>
        <w:rPr>
          <w:rFonts w:hint="eastAsia" w:hAnsi="宋体" w:cs="宋体"/>
          <w:bCs/>
          <w:color w:val="auto"/>
          <w:szCs w:val="21"/>
          <w:highlight w:val="none"/>
        </w:rPr>
        <w:t>否则按投标无效处理</w:t>
      </w:r>
      <w:r>
        <w:rPr>
          <w:rFonts w:hint="eastAsia" w:hAnsi="宋体" w:cs="宋体"/>
          <w:color w:val="auto"/>
          <w:szCs w:val="21"/>
          <w:highlight w:val="none"/>
        </w:rPr>
        <w:t>。</w:t>
      </w:r>
    </w:p>
    <w:p w14:paraId="374422A0">
      <w:pPr>
        <w:pStyle w:val="12"/>
        <w:pageBreakBefore w:val="0"/>
        <w:wordWrap w:val="0"/>
        <w:overflowPunct/>
        <w:topLinePunct w:val="0"/>
        <w:bidi w:val="0"/>
        <w:spacing w:line="360" w:lineRule="auto"/>
        <w:rPr>
          <w:rFonts w:hAnsi="宋体" w:cs="宋体"/>
          <w:color w:val="auto"/>
          <w:szCs w:val="21"/>
          <w:highlight w:val="none"/>
        </w:rPr>
      </w:pPr>
      <w:r>
        <w:rPr>
          <w:rFonts w:hint="eastAsia" w:hAnsi="宋体" w:cs="宋体"/>
          <w:bCs/>
          <w:color w:val="auto"/>
          <w:szCs w:val="21"/>
          <w:highlight w:val="none"/>
        </w:rPr>
        <w:t>2.当投标文件的服务内容低于招标文件要求时，投标人应当如实写明“负偏离”，否则视为虚假应标。</w:t>
      </w:r>
    </w:p>
    <w:p w14:paraId="1BEF5372">
      <w:pPr>
        <w:pStyle w:val="12"/>
        <w:pageBreakBefore w:val="0"/>
        <w:wordWrap w:val="0"/>
        <w:overflowPunct/>
        <w:topLinePunct w:val="0"/>
        <w:bidi w:val="0"/>
        <w:spacing w:line="360" w:lineRule="auto"/>
        <w:rPr>
          <w:rFonts w:hAnsi="宋体" w:cs="宋体"/>
          <w:color w:val="auto"/>
          <w:highlight w:val="none"/>
        </w:rPr>
      </w:pPr>
      <w:r>
        <w:rPr>
          <w:rFonts w:hint="eastAsia" w:hAnsi="宋体" w:cs="宋体"/>
          <w:color w:val="auto"/>
          <w:highlight w:val="none"/>
        </w:rPr>
        <w:t>3.</w:t>
      </w:r>
      <w:r>
        <w:rPr>
          <w:rFonts w:hint="eastAsia" w:hAnsi="宋体" w:cs="宋体"/>
          <w:color w:val="auto"/>
          <w:szCs w:val="21"/>
          <w:highlight w:val="none"/>
        </w:rPr>
        <w:t>采购需求中带“▲”及“★”的条款，也要分别在本表“服务参数”、“所提供服务的内容”中标记。</w:t>
      </w:r>
    </w:p>
    <w:p w14:paraId="2B282901">
      <w:pPr>
        <w:pageBreakBefore w:val="0"/>
        <w:wordWrap w:val="0"/>
        <w:overflowPunct/>
        <w:topLinePunct w:val="0"/>
        <w:bidi w:val="0"/>
        <w:snapToGrid w:val="0"/>
        <w:spacing w:line="360" w:lineRule="auto"/>
        <w:ind w:firstLine="5640" w:firstLineChars="2350"/>
        <w:rPr>
          <w:rFonts w:ascii="宋体" w:hAnsi="宋体" w:cs="宋体"/>
          <w:color w:val="auto"/>
          <w:kern w:val="0"/>
          <w:sz w:val="24"/>
          <w:highlight w:val="none"/>
          <w:lang w:val="zh-CN"/>
        </w:rPr>
      </w:pPr>
    </w:p>
    <w:p w14:paraId="67A33C61">
      <w:pPr>
        <w:pageBreakBefore w:val="0"/>
        <w:wordWrap w:val="0"/>
        <w:overflowPunct/>
        <w:topLinePunct w:val="0"/>
        <w:bidi w:val="0"/>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30B9C277">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A8690E4">
      <w:pPr>
        <w:pageBreakBefore w:val="0"/>
        <w:widowControl/>
        <w:wordWrap w:val="0"/>
        <w:overflowPunct/>
        <w:topLinePunct w:val="0"/>
        <w:bidi w:val="0"/>
        <w:spacing w:line="360" w:lineRule="auto"/>
        <w:jc w:val="left"/>
        <w:rPr>
          <w:rFonts w:ascii="宋体" w:hAnsi="宋体" w:cs="宋体"/>
          <w:color w:val="auto"/>
          <w:sz w:val="30"/>
          <w:szCs w:val="20"/>
          <w:highlight w:val="none"/>
        </w:rPr>
        <w:sectPr>
          <w:pgSz w:w="11906" w:h="16838"/>
          <w:pgMar w:top="1440" w:right="1080" w:bottom="1440" w:left="1080" w:header="720" w:footer="720" w:gutter="0"/>
          <w:pgNumType w:fmt="decimal"/>
          <w:cols w:space="720" w:num="1"/>
          <w:docGrid w:type="lines" w:linePitch="331" w:charSpace="0"/>
        </w:sectPr>
      </w:pPr>
    </w:p>
    <w:p w14:paraId="53902EAC">
      <w:pPr>
        <w:pageBreakBefore w:val="0"/>
        <w:wordWrap w:val="0"/>
        <w:overflowPunct/>
        <w:topLinePunct w:val="0"/>
        <w:bidi w:val="0"/>
        <w:snapToGrid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二、组织服务方案（如有）</w:t>
      </w:r>
    </w:p>
    <w:p w14:paraId="12D849D4">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2951E8CF">
      <w:pPr>
        <w:pageBreakBefore w:val="0"/>
        <w:wordWrap w:val="0"/>
        <w:overflowPunct/>
        <w:topLinePunct w:val="0"/>
        <w:bidi w:val="0"/>
        <w:spacing w:line="360" w:lineRule="auto"/>
        <w:rPr>
          <w:rFonts w:ascii="宋体" w:hAnsi="宋体" w:cs="宋体"/>
          <w:b/>
          <w:bCs/>
          <w:color w:val="auto"/>
          <w:kern w:val="0"/>
          <w:sz w:val="24"/>
          <w:highlight w:val="none"/>
          <w:lang w:val="zh-CN"/>
        </w:rPr>
      </w:pPr>
    </w:p>
    <w:p w14:paraId="1E1B285E">
      <w:pPr>
        <w:pageBreakBefore w:val="0"/>
        <w:wordWrap w:val="0"/>
        <w:overflowPunct/>
        <w:topLinePunct w:val="0"/>
        <w:bidi w:val="0"/>
        <w:spacing w:line="360" w:lineRule="auto"/>
        <w:rPr>
          <w:rFonts w:ascii="宋体" w:hAnsi="宋体" w:cs="宋体"/>
          <w:b/>
          <w:bCs/>
          <w:color w:val="auto"/>
          <w:kern w:val="0"/>
          <w:sz w:val="24"/>
          <w:highlight w:val="none"/>
          <w:lang w:val="zh-CN"/>
        </w:rPr>
      </w:pPr>
    </w:p>
    <w:p w14:paraId="62D0BBC3">
      <w:pPr>
        <w:pageBreakBefore w:val="0"/>
        <w:wordWrap w:val="0"/>
        <w:overflowPunct/>
        <w:topLinePunct w:val="0"/>
        <w:bidi w:val="0"/>
        <w:spacing w:line="360" w:lineRule="auto"/>
        <w:rPr>
          <w:rFonts w:ascii="宋体" w:hAnsi="宋体" w:cs="宋体"/>
          <w:b/>
          <w:bCs/>
          <w:color w:val="auto"/>
          <w:kern w:val="0"/>
          <w:sz w:val="24"/>
          <w:highlight w:val="none"/>
          <w:lang w:val="zh-CN"/>
        </w:rPr>
      </w:pPr>
    </w:p>
    <w:p w14:paraId="71066E84">
      <w:pPr>
        <w:pageBreakBefore w:val="0"/>
        <w:wordWrap w:val="0"/>
        <w:overflowPunct/>
        <w:topLinePunct w:val="0"/>
        <w:bidi w:val="0"/>
        <w:spacing w:line="360" w:lineRule="auto"/>
        <w:rPr>
          <w:rFonts w:ascii="宋体" w:hAnsi="宋体" w:cs="宋体"/>
          <w:b/>
          <w:bCs/>
          <w:color w:val="auto"/>
          <w:kern w:val="0"/>
          <w:sz w:val="24"/>
          <w:highlight w:val="none"/>
          <w:lang w:val="zh-CN"/>
        </w:rPr>
      </w:pPr>
      <w:bookmarkStart w:id="285" w:name="_Toc78473822"/>
      <w:r>
        <w:rPr>
          <w:rFonts w:hint="eastAsia" w:ascii="宋体" w:hAnsi="宋体" w:cs="宋体"/>
          <w:b/>
          <w:bCs/>
          <w:color w:val="auto"/>
          <w:kern w:val="0"/>
          <w:sz w:val="24"/>
          <w:highlight w:val="none"/>
          <w:lang w:val="zh-CN"/>
        </w:rPr>
        <w:t>附表:项目实施进度计划表</w:t>
      </w:r>
      <w:r>
        <w:rPr>
          <w:rFonts w:hint="eastAsia" w:ascii="宋体" w:hAnsi="宋体" w:cs="宋体"/>
          <w:b/>
          <w:color w:val="auto"/>
          <w:sz w:val="24"/>
          <w:highlight w:val="none"/>
        </w:rPr>
        <w:t>(以生效日算起)</w:t>
      </w:r>
      <w:bookmarkEnd w:id="285"/>
      <w:r>
        <w:rPr>
          <w:rFonts w:hint="eastAsia" w:ascii="宋体" w:hAnsi="宋体" w:cs="宋体"/>
          <w:b/>
          <w:color w:val="auto"/>
          <w:sz w:val="24"/>
          <w:highlight w:val="none"/>
        </w:rPr>
        <w:t xml:space="preserve"> </w:t>
      </w:r>
    </w:p>
    <w:tbl>
      <w:tblPr>
        <w:tblStyle w:val="19"/>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5F97D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14:paraId="3607FB26">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highlight w:val="none"/>
              </w:rPr>
              <mc:AlternateContent>
                <mc:Choice Requires="wpg">
                  <w:drawing>
                    <wp:anchor distT="0" distB="0" distL="114300" distR="114300" simplePos="0" relativeHeight="251662336"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1D1B5050">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23B6B231">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731DF8BB">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2336;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D1B5050">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3B6B231">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731DF8BB">
                              <w:pPr>
                                <w:snapToGrid w:val="0"/>
                              </w:pPr>
                              <w:r>
                                <w:rPr>
                                  <w:rFonts w:hint="eastAsia"/>
                                </w:rPr>
                                <w:t>日</w:t>
                              </w:r>
                            </w:p>
                          </w:txbxContent>
                        </v:textbox>
                      </v:shape>
                    </v:group>
                  </w:pict>
                </mc:Fallback>
              </mc:AlternateContent>
            </w:r>
          </w:p>
          <w:p w14:paraId="2938C53D">
            <w:pPr>
              <w:pageBreakBefore w:val="0"/>
              <w:wordWrap w:val="0"/>
              <w:overflowPunct/>
              <w:topLinePunct w:val="0"/>
              <w:bidi w:val="0"/>
              <w:spacing w:line="360" w:lineRule="auto"/>
              <w:rPr>
                <w:rFonts w:ascii="宋体" w:hAnsi="宋体" w:cs="宋体"/>
                <w:color w:val="auto"/>
                <w:sz w:val="24"/>
                <w:highlight w:val="none"/>
              </w:rPr>
            </w:pPr>
          </w:p>
          <w:p w14:paraId="4D8193E4">
            <w:pPr>
              <w:pageBreakBefore w:val="0"/>
              <w:wordWrap w:val="0"/>
              <w:overflowPunct/>
              <w:topLinePunct w:val="0"/>
              <w:bidi w:val="0"/>
              <w:spacing w:line="360" w:lineRule="auto"/>
              <w:rPr>
                <w:rFonts w:ascii="宋体" w:hAnsi="宋体" w:cs="宋体"/>
                <w:color w:val="auto"/>
                <w:sz w:val="24"/>
                <w:highlight w:val="none"/>
              </w:rPr>
            </w:pPr>
          </w:p>
          <w:p w14:paraId="2661E8E7">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内容</w:t>
            </w:r>
          </w:p>
        </w:tc>
        <w:tc>
          <w:tcPr>
            <w:tcW w:w="552" w:type="dxa"/>
            <w:tcBorders>
              <w:top w:val="single" w:color="auto" w:sz="4" w:space="0"/>
              <w:left w:val="single" w:color="auto" w:sz="4" w:space="0"/>
              <w:bottom w:val="single" w:color="auto" w:sz="4" w:space="0"/>
              <w:right w:val="single" w:color="auto" w:sz="4" w:space="0"/>
            </w:tcBorders>
            <w:vAlign w:val="center"/>
          </w:tcPr>
          <w:p w14:paraId="2A2D75C9">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552" w:type="dxa"/>
            <w:tcBorders>
              <w:top w:val="single" w:color="auto" w:sz="4" w:space="0"/>
              <w:left w:val="single" w:color="auto" w:sz="4" w:space="0"/>
              <w:bottom w:val="single" w:color="auto" w:sz="4" w:space="0"/>
              <w:right w:val="single" w:color="auto" w:sz="4" w:space="0"/>
            </w:tcBorders>
            <w:vAlign w:val="center"/>
          </w:tcPr>
          <w:p w14:paraId="61C953CD">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552" w:type="dxa"/>
            <w:tcBorders>
              <w:top w:val="single" w:color="auto" w:sz="4" w:space="0"/>
              <w:left w:val="single" w:color="auto" w:sz="4" w:space="0"/>
              <w:bottom w:val="single" w:color="auto" w:sz="4" w:space="0"/>
              <w:right w:val="single" w:color="auto" w:sz="4" w:space="0"/>
            </w:tcBorders>
            <w:vAlign w:val="center"/>
          </w:tcPr>
          <w:p w14:paraId="13C9580D">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3</w:t>
            </w:r>
          </w:p>
        </w:tc>
        <w:tc>
          <w:tcPr>
            <w:tcW w:w="552" w:type="dxa"/>
            <w:tcBorders>
              <w:top w:val="single" w:color="auto" w:sz="4" w:space="0"/>
              <w:left w:val="single" w:color="auto" w:sz="4" w:space="0"/>
              <w:bottom w:val="single" w:color="auto" w:sz="4" w:space="0"/>
              <w:right w:val="single" w:color="auto" w:sz="4" w:space="0"/>
            </w:tcBorders>
            <w:vAlign w:val="center"/>
          </w:tcPr>
          <w:p w14:paraId="19A8D92A">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4</w:t>
            </w:r>
          </w:p>
        </w:tc>
        <w:tc>
          <w:tcPr>
            <w:tcW w:w="552" w:type="dxa"/>
            <w:tcBorders>
              <w:top w:val="single" w:color="auto" w:sz="4" w:space="0"/>
              <w:left w:val="single" w:color="auto" w:sz="4" w:space="0"/>
              <w:bottom w:val="single" w:color="auto" w:sz="4" w:space="0"/>
              <w:right w:val="single" w:color="auto" w:sz="4" w:space="0"/>
            </w:tcBorders>
            <w:vAlign w:val="center"/>
          </w:tcPr>
          <w:p w14:paraId="24C4227E">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5</w:t>
            </w:r>
          </w:p>
        </w:tc>
        <w:tc>
          <w:tcPr>
            <w:tcW w:w="552" w:type="dxa"/>
            <w:tcBorders>
              <w:top w:val="single" w:color="auto" w:sz="4" w:space="0"/>
              <w:left w:val="single" w:color="auto" w:sz="4" w:space="0"/>
              <w:bottom w:val="single" w:color="auto" w:sz="4" w:space="0"/>
              <w:right w:val="single" w:color="auto" w:sz="4" w:space="0"/>
            </w:tcBorders>
            <w:vAlign w:val="center"/>
          </w:tcPr>
          <w:p w14:paraId="2A751738">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6</w:t>
            </w:r>
          </w:p>
        </w:tc>
        <w:tc>
          <w:tcPr>
            <w:tcW w:w="553" w:type="dxa"/>
            <w:tcBorders>
              <w:top w:val="single" w:color="auto" w:sz="4" w:space="0"/>
              <w:left w:val="single" w:color="auto" w:sz="4" w:space="0"/>
              <w:bottom w:val="single" w:color="auto" w:sz="4" w:space="0"/>
              <w:right w:val="single" w:color="auto" w:sz="4" w:space="0"/>
            </w:tcBorders>
            <w:vAlign w:val="center"/>
          </w:tcPr>
          <w:p w14:paraId="48F85A5E">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7</w:t>
            </w:r>
          </w:p>
        </w:tc>
        <w:tc>
          <w:tcPr>
            <w:tcW w:w="553" w:type="dxa"/>
            <w:tcBorders>
              <w:top w:val="single" w:color="auto" w:sz="4" w:space="0"/>
              <w:left w:val="single" w:color="auto" w:sz="4" w:space="0"/>
              <w:bottom w:val="single" w:color="auto" w:sz="4" w:space="0"/>
              <w:right w:val="single" w:color="auto" w:sz="4" w:space="0"/>
            </w:tcBorders>
            <w:vAlign w:val="center"/>
          </w:tcPr>
          <w:p w14:paraId="1F4442FA">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8</w:t>
            </w:r>
          </w:p>
        </w:tc>
        <w:tc>
          <w:tcPr>
            <w:tcW w:w="553" w:type="dxa"/>
            <w:tcBorders>
              <w:top w:val="single" w:color="auto" w:sz="4" w:space="0"/>
              <w:left w:val="single" w:color="auto" w:sz="4" w:space="0"/>
              <w:bottom w:val="single" w:color="auto" w:sz="4" w:space="0"/>
              <w:right w:val="single" w:color="auto" w:sz="4" w:space="0"/>
            </w:tcBorders>
            <w:vAlign w:val="center"/>
          </w:tcPr>
          <w:p w14:paraId="3A2509B4">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9</w:t>
            </w:r>
          </w:p>
        </w:tc>
        <w:tc>
          <w:tcPr>
            <w:tcW w:w="553" w:type="dxa"/>
            <w:tcBorders>
              <w:top w:val="single" w:color="auto" w:sz="4" w:space="0"/>
              <w:left w:val="single" w:color="auto" w:sz="4" w:space="0"/>
              <w:bottom w:val="single" w:color="auto" w:sz="4" w:space="0"/>
              <w:right w:val="single" w:color="auto" w:sz="4" w:space="0"/>
            </w:tcBorders>
            <w:vAlign w:val="center"/>
          </w:tcPr>
          <w:p w14:paraId="04AA982E">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10</w:t>
            </w:r>
          </w:p>
        </w:tc>
        <w:tc>
          <w:tcPr>
            <w:tcW w:w="553" w:type="dxa"/>
            <w:tcBorders>
              <w:top w:val="single" w:color="auto" w:sz="4" w:space="0"/>
              <w:left w:val="single" w:color="auto" w:sz="4" w:space="0"/>
              <w:bottom w:val="single" w:color="auto" w:sz="4" w:space="0"/>
              <w:right w:val="single" w:color="auto" w:sz="4" w:space="0"/>
            </w:tcBorders>
            <w:vAlign w:val="center"/>
          </w:tcPr>
          <w:p w14:paraId="58D6BCF5">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11</w:t>
            </w:r>
          </w:p>
        </w:tc>
        <w:tc>
          <w:tcPr>
            <w:tcW w:w="553" w:type="dxa"/>
            <w:tcBorders>
              <w:top w:val="single" w:color="auto" w:sz="4" w:space="0"/>
              <w:left w:val="single" w:color="auto" w:sz="4" w:space="0"/>
              <w:bottom w:val="single" w:color="auto" w:sz="4" w:space="0"/>
              <w:right w:val="single" w:color="auto" w:sz="4" w:space="0"/>
            </w:tcBorders>
            <w:vAlign w:val="center"/>
          </w:tcPr>
          <w:p w14:paraId="7A5535F1">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12</w:t>
            </w:r>
          </w:p>
        </w:tc>
        <w:tc>
          <w:tcPr>
            <w:tcW w:w="553" w:type="dxa"/>
            <w:tcBorders>
              <w:top w:val="single" w:color="auto" w:sz="4" w:space="0"/>
              <w:left w:val="single" w:color="auto" w:sz="4" w:space="0"/>
              <w:bottom w:val="single" w:color="auto" w:sz="4" w:space="0"/>
              <w:right w:val="single" w:color="auto" w:sz="4" w:space="0"/>
            </w:tcBorders>
            <w:vAlign w:val="center"/>
          </w:tcPr>
          <w:p w14:paraId="77F0FD35">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13</w:t>
            </w:r>
          </w:p>
        </w:tc>
        <w:tc>
          <w:tcPr>
            <w:tcW w:w="553" w:type="dxa"/>
            <w:tcBorders>
              <w:top w:val="single" w:color="auto" w:sz="4" w:space="0"/>
              <w:left w:val="single" w:color="auto" w:sz="4" w:space="0"/>
              <w:bottom w:val="single" w:color="auto" w:sz="4" w:space="0"/>
              <w:right w:val="single" w:color="auto" w:sz="4" w:space="0"/>
            </w:tcBorders>
            <w:vAlign w:val="center"/>
          </w:tcPr>
          <w:p w14:paraId="11271ECE">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553" w:type="dxa"/>
            <w:tcBorders>
              <w:top w:val="single" w:color="auto" w:sz="4" w:space="0"/>
              <w:left w:val="single" w:color="auto" w:sz="4" w:space="0"/>
              <w:bottom w:val="single" w:color="auto" w:sz="4" w:space="0"/>
              <w:right w:val="single" w:color="auto" w:sz="4" w:space="0"/>
            </w:tcBorders>
            <w:vAlign w:val="center"/>
          </w:tcPr>
          <w:p w14:paraId="34F57785">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15</w:t>
            </w:r>
          </w:p>
        </w:tc>
        <w:tc>
          <w:tcPr>
            <w:tcW w:w="553" w:type="dxa"/>
            <w:tcBorders>
              <w:top w:val="single" w:color="auto" w:sz="4" w:space="0"/>
              <w:left w:val="single" w:color="auto" w:sz="4" w:space="0"/>
              <w:bottom w:val="single" w:color="auto" w:sz="4" w:space="0"/>
              <w:right w:val="single" w:color="auto" w:sz="4" w:space="0"/>
            </w:tcBorders>
            <w:vAlign w:val="center"/>
          </w:tcPr>
          <w:p w14:paraId="1CAC398A">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7C423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2C460C40">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9B54E0F">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0A03A7D">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43DA3C0">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109FAF8">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BF6E8F6">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6C26274">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02ABDD7">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1ED0680">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2123C97">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1E1F0E6">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9F7BD55">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EDC0521">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82893E6">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174BD48">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7FBB712">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1388705">
            <w:pPr>
              <w:pageBreakBefore w:val="0"/>
              <w:wordWrap w:val="0"/>
              <w:overflowPunct/>
              <w:topLinePunct w:val="0"/>
              <w:bidi w:val="0"/>
              <w:spacing w:line="360" w:lineRule="auto"/>
              <w:rPr>
                <w:rFonts w:ascii="宋体" w:hAnsi="宋体" w:cs="宋体"/>
                <w:color w:val="auto"/>
                <w:sz w:val="24"/>
                <w:highlight w:val="none"/>
              </w:rPr>
            </w:pPr>
          </w:p>
        </w:tc>
      </w:tr>
      <w:tr w14:paraId="29EE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2849722">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21B0E58">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180285C">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C63B99A">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5F2841D">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E8D761B">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3CAE001">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49CE005">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9D60D5D">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EBB4DE2">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A7EA880">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CBCBD57">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7766E88">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87B2F8F">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ED1639D">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D7C1D7E">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9E5E80D">
            <w:pPr>
              <w:pageBreakBefore w:val="0"/>
              <w:wordWrap w:val="0"/>
              <w:overflowPunct/>
              <w:topLinePunct w:val="0"/>
              <w:bidi w:val="0"/>
              <w:spacing w:line="360" w:lineRule="auto"/>
              <w:rPr>
                <w:rFonts w:ascii="宋体" w:hAnsi="宋体" w:cs="宋体"/>
                <w:color w:val="auto"/>
                <w:sz w:val="24"/>
                <w:highlight w:val="none"/>
              </w:rPr>
            </w:pPr>
          </w:p>
        </w:tc>
      </w:tr>
      <w:tr w14:paraId="7756D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337FA8E1">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5CF59FA">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4359441">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7D00430">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87F0CF2">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E13BC15">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AEDA268">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F434A93">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8E06095">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F2C6098">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4A78621">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566ECBA">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F79F3A2">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8F2C79D">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FE91CAB">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5E32989">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93D1269">
            <w:pPr>
              <w:pageBreakBefore w:val="0"/>
              <w:wordWrap w:val="0"/>
              <w:overflowPunct/>
              <w:topLinePunct w:val="0"/>
              <w:bidi w:val="0"/>
              <w:spacing w:line="360" w:lineRule="auto"/>
              <w:rPr>
                <w:rFonts w:ascii="宋体" w:hAnsi="宋体" w:cs="宋体"/>
                <w:color w:val="auto"/>
                <w:sz w:val="24"/>
                <w:highlight w:val="none"/>
              </w:rPr>
            </w:pPr>
          </w:p>
        </w:tc>
      </w:tr>
      <w:tr w14:paraId="6C327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E8ADA2F">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1972065">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07E4B01">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A81321D">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2AF7AAF">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342A3E5">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1B2DC3B">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5F87237">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FA93C27">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EF32E0B">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62A71BE">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C237403">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47BEB57">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0736BF3">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9A385DC">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D6D2201">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8871204">
            <w:pPr>
              <w:pageBreakBefore w:val="0"/>
              <w:wordWrap w:val="0"/>
              <w:overflowPunct/>
              <w:topLinePunct w:val="0"/>
              <w:bidi w:val="0"/>
              <w:spacing w:line="360" w:lineRule="auto"/>
              <w:rPr>
                <w:rFonts w:ascii="宋体" w:hAnsi="宋体" w:cs="宋体"/>
                <w:color w:val="auto"/>
                <w:sz w:val="24"/>
                <w:highlight w:val="none"/>
              </w:rPr>
            </w:pPr>
          </w:p>
        </w:tc>
      </w:tr>
      <w:tr w14:paraId="19E3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02D615A">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16782EC">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184432C">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8093210">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9C051F2">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6BB9B6A">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3B189A6">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28A8A90">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AA60FA4">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82EF891">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43593B9">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6974235">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10AB1CC">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F08E8BD">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A09092A">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03B4B71">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C10C77B">
            <w:pPr>
              <w:pageBreakBefore w:val="0"/>
              <w:wordWrap w:val="0"/>
              <w:overflowPunct/>
              <w:topLinePunct w:val="0"/>
              <w:bidi w:val="0"/>
              <w:spacing w:line="360" w:lineRule="auto"/>
              <w:rPr>
                <w:rFonts w:ascii="宋体" w:hAnsi="宋体" w:cs="宋体"/>
                <w:color w:val="auto"/>
                <w:sz w:val="24"/>
                <w:highlight w:val="none"/>
              </w:rPr>
            </w:pPr>
          </w:p>
        </w:tc>
      </w:tr>
      <w:tr w14:paraId="76C4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FD508A7">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5D0EED3">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3075872">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1D415EE">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D99228A">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A367271">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455661A">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6C227CE">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014CB16">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40C1E75">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FA0631F">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4DE8AC4">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304DAA0">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56F1E1D">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57138F6">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49200D3">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DB05EBF">
            <w:pPr>
              <w:pageBreakBefore w:val="0"/>
              <w:wordWrap w:val="0"/>
              <w:overflowPunct/>
              <w:topLinePunct w:val="0"/>
              <w:bidi w:val="0"/>
              <w:spacing w:line="360" w:lineRule="auto"/>
              <w:rPr>
                <w:rFonts w:ascii="宋体" w:hAnsi="宋体" w:cs="宋体"/>
                <w:color w:val="auto"/>
                <w:sz w:val="24"/>
                <w:highlight w:val="none"/>
              </w:rPr>
            </w:pPr>
          </w:p>
        </w:tc>
      </w:tr>
      <w:tr w14:paraId="0655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AFC6008">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82A451A">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7A28D47">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2E89206">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22BA9E0">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4B1CCBF">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99DD0E6">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2D0607F">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090F0BC">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54662F5">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B782336">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4CC8E5B">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148849B">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CCFCCF8">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F20EF5F">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766D93A">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50A1ABE">
            <w:pPr>
              <w:pageBreakBefore w:val="0"/>
              <w:wordWrap w:val="0"/>
              <w:overflowPunct/>
              <w:topLinePunct w:val="0"/>
              <w:bidi w:val="0"/>
              <w:spacing w:line="360" w:lineRule="auto"/>
              <w:rPr>
                <w:rFonts w:ascii="宋体" w:hAnsi="宋体" w:cs="宋体"/>
                <w:color w:val="auto"/>
                <w:sz w:val="24"/>
                <w:highlight w:val="none"/>
              </w:rPr>
            </w:pPr>
          </w:p>
        </w:tc>
      </w:tr>
      <w:tr w14:paraId="2B5B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154F3F6">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45E7401">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CE55C85">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AF99C39">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A957840">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12CD03C">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02CAC7B">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95B083B">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022FF6B">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EE25175">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F32B2CA">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2A0235A">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80DFBAF">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4C8CA6A">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26DDB53">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976A2EF">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0FD5A06">
            <w:pPr>
              <w:pageBreakBefore w:val="0"/>
              <w:wordWrap w:val="0"/>
              <w:overflowPunct/>
              <w:topLinePunct w:val="0"/>
              <w:bidi w:val="0"/>
              <w:spacing w:line="360" w:lineRule="auto"/>
              <w:rPr>
                <w:rFonts w:ascii="宋体" w:hAnsi="宋体" w:cs="宋体"/>
                <w:color w:val="auto"/>
                <w:sz w:val="24"/>
                <w:highlight w:val="none"/>
              </w:rPr>
            </w:pPr>
          </w:p>
        </w:tc>
      </w:tr>
      <w:tr w14:paraId="6B18A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791CCB6">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E524C03">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6F23D1B">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D2CA2E8">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E6A3498">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7ACCEB8">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2D037D5">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08C3D91">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832E663">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5618533">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EF3EE4D">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DE251A9">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4EA897D">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42B9F1E">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1662754">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0369CC7">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CAC08D4">
            <w:pPr>
              <w:pageBreakBefore w:val="0"/>
              <w:wordWrap w:val="0"/>
              <w:overflowPunct/>
              <w:topLinePunct w:val="0"/>
              <w:bidi w:val="0"/>
              <w:spacing w:line="360" w:lineRule="auto"/>
              <w:rPr>
                <w:rFonts w:ascii="宋体" w:hAnsi="宋体" w:cs="宋体"/>
                <w:color w:val="auto"/>
                <w:sz w:val="24"/>
                <w:highlight w:val="none"/>
              </w:rPr>
            </w:pPr>
          </w:p>
        </w:tc>
      </w:tr>
    </w:tbl>
    <w:p w14:paraId="5F8C4118">
      <w:pPr>
        <w:pageBreakBefore w:val="0"/>
        <w:wordWrap w:val="0"/>
        <w:overflowPunct/>
        <w:topLinePunct w:val="0"/>
        <w:autoSpaceDE w:val="0"/>
        <w:autoSpaceDN w:val="0"/>
        <w:bidi w:val="0"/>
        <w:spacing w:line="360" w:lineRule="auto"/>
        <w:rPr>
          <w:rFonts w:ascii="宋体" w:hAnsi="宋体" w:cs="宋体"/>
          <w:color w:val="auto"/>
          <w:kern w:val="0"/>
          <w:sz w:val="24"/>
          <w:highlight w:val="none"/>
        </w:rPr>
      </w:pPr>
      <w:r>
        <w:rPr>
          <w:rFonts w:hint="eastAsia" w:ascii="宋体" w:hAnsi="宋体" w:cs="宋体"/>
          <w:b/>
          <w:color w:val="auto"/>
          <w:sz w:val="24"/>
          <w:highlight w:val="none"/>
        </w:rPr>
        <w:t>注：投标人可按上述时间表的格式自行编制切合实际的具体时间表。</w:t>
      </w:r>
    </w:p>
    <w:p w14:paraId="0ADB1BFA">
      <w:pPr>
        <w:pageBreakBefore w:val="0"/>
        <w:wordWrap w:val="0"/>
        <w:overflowPunct/>
        <w:topLinePunct w:val="0"/>
        <w:autoSpaceDE w:val="0"/>
        <w:autoSpaceDN w:val="0"/>
        <w:bidi w:val="0"/>
        <w:spacing w:line="360" w:lineRule="auto"/>
        <w:ind w:firstLine="4440" w:firstLineChars="1850"/>
        <w:rPr>
          <w:rFonts w:ascii="宋体" w:hAnsi="宋体" w:cs="宋体"/>
          <w:color w:val="auto"/>
          <w:kern w:val="0"/>
          <w:sz w:val="24"/>
          <w:highlight w:val="none"/>
        </w:rPr>
      </w:pPr>
      <w:r>
        <w:rPr>
          <w:rFonts w:hint="eastAsia" w:ascii="宋体" w:hAnsi="宋体" w:cs="宋体"/>
          <w:color w:val="auto"/>
          <w:kern w:val="0"/>
          <w:sz w:val="24"/>
          <w:highlight w:val="none"/>
        </w:rPr>
        <w:t>投标人名称（电子签章）：</w:t>
      </w:r>
    </w:p>
    <w:p w14:paraId="2C21456C">
      <w:pPr>
        <w:pageBreakBefore w:val="0"/>
        <w:wordWrap w:val="0"/>
        <w:overflowPunct/>
        <w:topLinePunct w:val="0"/>
        <w:autoSpaceDE w:val="0"/>
        <w:autoSpaceDN w:val="0"/>
        <w:bidi w:val="0"/>
        <w:spacing w:line="360" w:lineRule="auto"/>
        <w:rPr>
          <w:rFonts w:ascii="宋体" w:hAnsi="宋体" w:cs="宋体"/>
          <w:b/>
          <w:bCs/>
          <w:color w:val="auto"/>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5E3CF7CD">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6898E7C1">
      <w:pPr>
        <w:pageBreakBefore w:val="0"/>
        <w:wordWrap w:val="0"/>
        <w:overflowPunct/>
        <w:topLinePunct w:val="0"/>
        <w:bidi w:val="0"/>
        <w:snapToGrid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三、售后服务方案</w:t>
      </w:r>
    </w:p>
    <w:p w14:paraId="5E6B23E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57A128F3">
      <w:pPr>
        <w:pageBreakBefore w:val="0"/>
        <w:wordWrap w:val="0"/>
        <w:overflowPunct/>
        <w:topLinePunct w:val="0"/>
        <w:bidi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1、售后服务承诺</w:t>
      </w:r>
    </w:p>
    <w:p w14:paraId="534A8EBE">
      <w:pPr>
        <w:pageBreakBefore w:val="0"/>
        <w:wordWrap w:val="0"/>
        <w:overflowPunct/>
        <w:topLinePunct w:val="0"/>
        <w:autoSpaceDE w:val="0"/>
        <w:autoSpaceDN w:val="0"/>
        <w:bidi w:val="0"/>
        <w:spacing w:line="360" w:lineRule="auto"/>
        <w:rPr>
          <w:rFonts w:ascii="宋体" w:hAnsi="宋体" w:cs="宋体"/>
          <w:b/>
          <w:color w:val="auto"/>
          <w:sz w:val="24"/>
          <w:highlight w:val="none"/>
        </w:rPr>
      </w:pPr>
      <w:r>
        <w:rPr>
          <w:rFonts w:hint="eastAsia" w:ascii="宋体" w:hAnsi="宋体" w:cs="宋体"/>
          <w:b/>
          <w:color w:val="auto"/>
          <w:sz w:val="24"/>
          <w:highlight w:val="none"/>
        </w:rPr>
        <w:t>附表A:售后服务机构情况表</w:t>
      </w:r>
      <w:r>
        <w:rPr>
          <w:rFonts w:hint="eastAsia" w:ascii="宋体" w:hAnsi="宋体" w:cs="宋体"/>
          <w:color w:val="auto"/>
          <w:sz w:val="24"/>
          <w:highlight w:val="none"/>
        </w:rPr>
        <w:t>（按此格式自制）</w:t>
      </w:r>
    </w:p>
    <w:tbl>
      <w:tblPr>
        <w:tblStyle w:val="19"/>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59966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07E872FD">
            <w:pPr>
              <w:pageBreakBefore w:val="0"/>
              <w:wordWrap w:val="0"/>
              <w:overflowPunct/>
              <w:topLinePunct w:val="0"/>
              <w:autoSpaceDE w:val="0"/>
              <w:autoSpaceDN w:val="0"/>
              <w:bidi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tcPr>
          <w:p w14:paraId="25FDF908">
            <w:pPr>
              <w:pageBreakBefore w:val="0"/>
              <w:wordWrap w:val="0"/>
              <w:overflowPunct/>
              <w:topLinePunct w:val="0"/>
              <w:autoSpaceDE w:val="0"/>
              <w:autoSpaceDN w:val="0"/>
              <w:bidi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tcPr>
          <w:p w14:paraId="0E458019">
            <w:pPr>
              <w:pageBreakBefore w:val="0"/>
              <w:wordWrap w:val="0"/>
              <w:overflowPunct/>
              <w:topLinePunct w:val="0"/>
              <w:autoSpaceDE w:val="0"/>
              <w:autoSpaceDN w:val="0"/>
              <w:bidi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tcPr>
          <w:p w14:paraId="1D781862">
            <w:pPr>
              <w:pageBreakBefore w:val="0"/>
              <w:wordWrap w:val="0"/>
              <w:overflowPunct/>
              <w:topLinePunct w:val="0"/>
              <w:autoSpaceDE w:val="0"/>
              <w:autoSpaceDN w:val="0"/>
              <w:bidi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tcPr>
          <w:p w14:paraId="57DE3DDC">
            <w:pPr>
              <w:pageBreakBefore w:val="0"/>
              <w:wordWrap w:val="0"/>
              <w:overflowPunct/>
              <w:topLinePunct w:val="0"/>
              <w:autoSpaceDE w:val="0"/>
              <w:autoSpaceDN w:val="0"/>
              <w:bidi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tcPr>
          <w:p w14:paraId="5588C9A8">
            <w:pPr>
              <w:pageBreakBefore w:val="0"/>
              <w:wordWrap w:val="0"/>
              <w:overflowPunct/>
              <w:topLinePunct w:val="0"/>
              <w:autoSpaceDE w:val="0"/>
              <w:autoSpaceDN w:val="0"/>
              <w:bidi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联系电话</w:t>
            </w:r>
          </w:p>
        </w:tc>
      </w:tr>
      <w:tr w14:paraId="037DA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18C9C05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35A9343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1B7B305A">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0C0BE3FE">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1DC0C5BD">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FE6F1B1">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r>
      <w:tr w14:paraId="1F43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79DF718A">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7E1E2548">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48A19AA6">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2BAC6F0E">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452FCC2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C2740A1">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r>
      <w:tr w14:paraId="1704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23FBF5D3">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5B4447DD">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74155A1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19AB44E2">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44183E26">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B343B56">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r>
    </w:tbl>
    <w:p w14:paraId="0B189AB2">
      <w:pPr>
        <w:pageBreakBefore w:val="0"/>
        <w:wordWrap w:val="0"/>
        <w:overflowPunct/>
        <w:topLinePunct w:val="0"/>
        <w:autoSpaceDE w:val="0"/>
        <w:autoSpaceDN w:val="0"/>
        <w:bidi w:val="0"/>
        <w:spacing w:line="360" w:lineRule="auto"/>
        <w:rPr>
          <w:rFonts w:ascii="宋体" w:hAnsi="宋体" w:cs="宋体"/>
          <w:b/>
          <w:color w:val="auto"/>
          <w:sz w:val="24"/>
          <w:highlight w:val="none"/>
        </w:rPr>
      </w:pPr>
      <w:r>
        <w:rPr>
          <w:rFonts w:hint="eastAsia" w:ascii="宋体" w:hAnsi="宋体" w:cs="宋体"/>
          <w:b/>
          <w:color w:val="auto"/>
          <w:sz w:val="24"/>
          <w:highlight w:val="none"/>
        </w:rPr>
        <w:t>注：关于项目涉及的所有售后服务机构均在本表注明，包括投标人本单位和符合条件的第三方服务机构；</w:t>
      </w:r>
    </w:p>
    <w:p w14:paraId="522E6C99">
      <w:pPr>
        <w:pageBreakBefore w:val="0"/>
        <w:wordWrap w:val="0"/>
        <w:overflowPunct/>
        <w:topLinePunct w:val="0"/>
        <w:autoSpaceDE w:val="0"/>
        <w:autoSpaceDN w:val="0"/>
        <w:bidi w:val="0"/>
        <w:spacing w:line="360" w:lineRule="auto"/>
        <w:rPr>
          <w:rFonts w:ascii="宋体" w:hAnsi="宋体" w:cs="宋体"/>
          <w:color w:val="auto"/>
          <w:kern w:val="0"/>
          <w:sz w:val="24"/>
          <w:highlight w:val="none"/>
        </w:rPr>
      </w:pPr>
    </w:p>
    <w:p w14:paraId="71A768C5">
      <w:pPr>
        <w:pageBreakBefore w:val="0"/>
        <w:wordWrap w:val="0"/>
        <w:overflowPunct/>
        <w:topLinePunct w:val="0"/>
        <w:autoSpaceDE w:val="0"/>
        <w:autoSpaceDN w:val="0"/>
        <w:bidi w:val="0"/>
        <w:spacing w:line="360" w:lineRule="auto"/>
        <w:rPr>
          <w:rFonts w:ascii="宋体" w:hAnsi="宋体" w:cs="宋体"/>
          <w:color w:val="auto"/>
          <w:kern w:val="0"/>
          <w:sz w:val="24"/>
          <w:highlight w:val="none"/>
        </w:rPr>
      </w:pPr>
      <w:r>
        <w:rPr>
          <w:rFonts w:hint="eastAsia" w:ascii="宋体" w:hAnsi="宋体" w:cs="宋体"/>
          <w:b/>
          <w:color w:val="auto"/>
          <w:kern w:val="0"/>
          <w:sz w:val="24"/>
          <w:highlight w:val="none"/>
        </w:rPr>
        <w:t>附表B：售后服务人员情况表</w:t>
      </w:r>
      <w:r>
        <w:rPr>
          <w:rFonts w:hint="eastAsia" w:ascii="宋体" w:hAnsi="宋体" w:cs="宋体"/>
          <w:color w:val="auto"/>
          <w:sz w:val="24"/>
          <w:highlight w:val="none"/>
        </w:rPr>
        <w:t>（按此格式自制）</w:t>
      </w:r>
    </w:p>
    <w:tbl>
      <w:tblPr>
        <w:tblStyle w:val="19"/>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4628208B">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7ABB59DC">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p w14:paraId="5496CCC2">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03FC98D0">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483654AE">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42DBFC2">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43440F90">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062B3B13">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72FEAC0C">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14CFFEF7">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4826CA2A">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7BCC37E9">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412D234F">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到达现场时间</w:t>
            </w:r>
          </w:p>
        </w:tc>
      </w:tr>
      <w:tr w14:paraId="3FB0D2F6">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5AB3F0F3">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7E02DFC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2036A8EA">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47E7EAF">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6D8487E">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4C336B5">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771F6CA">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91CC32E">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A968E66">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FDE4EEB">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5ACBC80C">
            <w:pPr>
              <w:pageBreakBefore w:val="0"/>
              <w:wordWrap w:val="0"/>
              <w:overflowPunct/>
              <w:topLinePunct w:val="0"/>
              <w:autoSpaceDE w:val="0"/>
              <w:autoSpaceDN w:val="0"/>
              <w:bidi w:val="0"/>
              <w:spacing w:line="360" w:lineRule="auto"/>
              <w:rPr>
                <w:rFonts w:ascii="宋体" w:hAnsi="宋体" w:cs="宋体"/>
                <w:color w:val="auto"/>
                <w:sz w:val="24"/>
                <w:highlight w:val="none"/>
              </w:rPr>
            </w:pPr>
          </w:p>
        </w:tc>
      </w:tr>
      <w:tr w14:paraId="2FDCB1BD">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737B5C26">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245016F4">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2D0C2FAB">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D929BAD">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8DBA1DB">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34FC97A">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869EEDC">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77531D7">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49E8200">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08E1545">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5D83725F">
            <w:pPr>
              <w:pageBreakBefore w:val="0"/>
              <w:wordWrap w:val="0"/>
              <w:overflowPunct/>
              <w:topLinePunct w:val="0"/>
              <w:autoSpaceDE w:val="0"/>
              <w:autoSpaceDN w:val="0"/>
              <w:bidi w:val="0"/>
              <w:spacing w:line="360" w:lineRule="auto"/>
              <w:rPr>
                <w:rFonts w:ascii="宋体" w:hAnsi="宋体" w:cs="宋体"/>
                <w:color w:val="auto"/>
                <w:sz w:val="24"/>
                <w:highlight w:val="none"/>
              </w:rPr>
            </w:pPr>
          </w:p>
        </w:tc>
      </w:tr>
      <w:tr w14:paraId="71810E4E">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2051FA0A">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7C5EE467">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E1C250D">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CA65CDF">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0F9F8EB">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E448E37">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DFF1F11">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F99D277">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0A013A2">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9C526B6">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69653631">
            <w:pPr>
              <w:pageBreakBefore w:val="0"/>
              <w:wordWrap w:val="0"/>
              <w:overflowPunct/>
              <w:topLinePunct w:val="0"/>
              <w:autoSpaceDE w:val="0"/>
              <w:autoSpaceDN w:val="0"/>
              <w:bidi w:val="0"/>
              <w:spacing w:line="360" w:lineRule="auto"/>
              <w:rPr>
                <w:rFonts w:ascii="宋体" w:hAnsi="宋体" w:cs="宋体"/>
                <w:color w:val="auto"/>
                <w:sz w:val="24"/>
                <w:highlight w:val="none"/>
              </w:rPr>
            </w:pPr>
          </w:p>
        </w:tc>
      </w:tr>
      <w:tr w14:paraId="5DACEF17">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4C5542B3">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171B40FA">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31C79AD">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E127E22">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67972CC">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84D2937">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349E3B2">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A43EE0D">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6E03B1D">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1F27B3F">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45FC15A3">
            <w:pPr>
              <w:pageBreakBefore w:val="0"/>
              <w:wordWrap w:val="0"/>
              <w:overflowPunct/>
              <w:topLinePunct w:val="0"/>
              <w:autoSpaceDE w:val="0"/>
              <w:autoSpaceDN w:val="0"/>
              <w:bidi w:val="0"/>
              <w:spacing w:line="360" w:lineRule="auto"/>
              <w:rPr>
                <w:rFonts w:ascii="宋体" w:hAnsi="宋体" w:cs="宋体"/>
                <w:color w:val="auto"/>
                <w:sz w:val="24"/>
                <w:highlight w:val="none"/>
              </w:rPr>
            </w:pPr>
          </w:p>
        </w:tc>
      </w:tr>
    </w:tbl>
    <w:p w14:paraId="78D1DEB7">
      <w:pPr>
        <w:pageBreakBefore w:val="0"/>
        <w:wordWrap w:val="0"/>
        <w:overflowPunct/>
        <w:topLinePunct w:val="0"/>
        <w:bidi w:val="0"/>
        <w:snapToGrid w:val="0"/>
        <w:spacing w:line="360" w:lineRule="auto"/>
        <w:ind w:left="142"/>
        <w:jc w:val="center"/>
        <w:rPr>
          <w:rFonts w:ascii="宋体" w:hAnsi="宋体" w:cs="宋体"/>
          <w:b/>
          <w:color w:val="auto"/>
          <w:sz w:val="32"/>
          <w:szCs w:val="32"/>
          <w:highlight w:val="none"/>
        </w:rPr>
      </w:pPr>
    </w:p>
    <w:p w14:paraId="6F20BB54">
      <w:pPr>
        <w:pageBreakBefore w:val="0"/>
        <w:wordWrap w:val="0"/>
        <w:overflowPunct/>
        <w:topLinePunct w:val="0"/>
        <w:bidi w:val="0"/>
        <w:snapToGrid w:val="0"/>
        <w:spacing w:line="360" w:lineRule="auto"/>
        <w:ind w:right="480" w:firstLine="3967" w:firstLineChars="1653"/>
        <w:rPr>
          <w:rFonts w:ascii="宋体" w:hAnsi="宋体" w:cs="宋体"/>
          <w:color w:val="auto"/>
          <w:sz w:val="24"/>
          <w:highlight w:val="none"/>
        </w:rPr>
      </w:pPr>
    </w:p>
    <w:p w14:paraId="774BF205">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54F59141">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931E90F">
      <w:pPr>
        <w:pageBreakBefore w:val="0"/>
        <w:widowControl/>
        <w:wordWrap w:val="0"/>
        <w:overflowPunct/>
        <w:topLinePunct w:val="0"/>
        <w:bidi w:val="0"/>
        <w:spacing w:line="360" w:lineRule="auto"/>
        <w:jc w:val="left"/>
        <w:rPr>
          <w:rFonts w:ascii="宋体" w:hAnsi="宋体" w:cs="宋体"/>
          <w:color w:val="auto"/>
          <w:sz w:val="24"/>
          <w:highlight w:val="none"/>
        </w:rPr>
        <w:sectPr>
          <w:pgSz w:w="11906" w:h="16838"/>
          <w:pgMar w:top="1440" w:right="1080" w:bottom="1440" w:left="1080" w:header="720" w:footer="720" w:gutter="0"/>
          <w:pgNumType w:fmt="decimal"/>
          <w:cols w:space="720" w:num="1"/>
          <w:docGrid w:type="lines" w:linePitch="331" w:charSpace="0"/>
        </w:sectPr>
      </w:pPr>
    </w:p>
    <w:p w14:paraId="445DFC5E">
      <w:pPr>
        <w:pageBreakBefore w:val="0"/>
        <w:wordWrap w:val="0"/>
        <w:overflowPunct/>
        <w:topLinePunct w:val="0"/>
        <w:bidi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四、项目实施人员一览表（如有）</w:t>
      </w:r>
    </w:p>
    <w:p w14:paraId="6ABAAFC1">
      <w:pPr>
        <w:pageBreakBefore w:val="0"/>
        <w:wordWrap w:val="0"/>
        <w:overflowPunct/>
        <w:topLinePunct w:val="0"/>
        <w:bidi w:val="0"/>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（由投标人根据采购需求及招标文件要求编制）</w:t>
      </w:r>
    </w:p>
    <w:p w14:paraId="1EDCA123">
      <w:pPr>
        <w:pStyle w:val="12"/>
        <w:pageBreakBefore w:val="0"/>
        <w:wordWrap w:val="0"/>
        <w:overflowPunct/>
        <w:topLinePunct w:val="0"/>
        <w:bidi w:val="0"/>
        <w:spacing w:line="360" w:lineRule="auto"/>
        <w:rPr>
          <w:rFonts w:hAnsi="宋体" w:cs="宋体"/>
          <w:color w:val="auto"/>
          <w:sz w:val="24"/>
          <w:szCs w:val="24"/>
          <w:highlight w:val="none"/>
        </w:rPr>
      </w:pPr>
      <w:r>
        <w:rPr>
          <w:rFonts w:hint="eastAsia" w:hAnsi="宋体" w:cs="宋体"/>
          <w:color w:val="auto"/>
          <w:sz w:val="24"/>
          <w:szCs w:val="24"/>
          <w:highlight w:val="none"/>
        </w:rPr>
        <w:t>所投分标：</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w:t>
      </w:r>
    </w:p>
    <w:p w14:paraId="2BB49CDC">
      <w:pPr>
        <w:keepNext/>
        <w:pageBreakBefore w:val="0"/>
        <w:wordWrap w:val="0"/>
        <w:overflowPunct/>
        <w:topLinePunct w:val="0"/>
        <w:autoSpaceDE w:val="0"/>
        <w:autoSpaceDN w:val="0"/>
        <w:bidi w:val="0"/>
        <w:spacing w:line="360" w:lineRule="auto"/>
        <w:ind w:firstLine="477"/>
        <w:rPr>
          <w:rFonts w:ascii="宋体" w:hAnsi="宋体" w:cs="宋体"/>
          <w:b/>
          <w:color w:val="auto"/>
          <w:sz w:val="24"/>
          <w:highlight w:val="none"/>
        </w:rPr>
      </w:pPr>
      <w:r>
        <w:rPr>
          <w:rFonts w:hint="eastAsia" w:ascii="宋体" w:hAnsi="宋体" w:cs="宋体"/>
          <w:b/>
          <w:color w:val="auto"/>
          <w:sz w:val="24"/>
          <w:highlight w:val="none"/>
        </w:rPr>
        <w:t>附表A:本项目的项目经理情况表</w:t>
      </w:r>
    </w:p>
    <w:tbl>
      <w:tblPr>
        <w:tblStyle w:val="19"/>
        <w:tblW w:w="8755" w:type="dxa"/>
        <w:tblInd w:w="116" w:type="dxa"/>
        <w:tblLayout w:type="fixed"/>
        <w:tblCellMar>
          <w:top w:w="0" w:type="dxa"/>
          <w:left w:w="108" w:type="dxa"/>
          <w:bottom w:w="0" w:type="dxa"/>
          <w:right w:w="108" w:type="dxa"/>
        </w:tblCellMar>
      </w:tblPr>
      <w:tblGrid>
        <w:gridCol w:w="2061"/>
        <w:gridCol w:w="1287"/>
        <w:gridCol w:w="1260"/>
        <w:gridCol w:w="4147"/>
      </w:tblGrid>
      <w:tr w14:paraId="2B35EF05">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959F1E2">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49D633C7">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E5BC82A">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270CAA60">
            <w:pPr>
              <w:pageBreakBefore w:val="0"/>
              <w:wordWrap w:val="0"/>
              <w:overflowPunct/>
              <w:topLinePunct w:val="0"/>
              <w:autoSpaceDE w:val="0"/>
              <w:autoSpaceDN w:val="0"/>
              <w:bidi w:val="0"/>
              <w:spacing w:line="360" w:lineRule="auto"/>
              <w:rPr>
                <w:rFonts w:ascii="宋体" w:hAnsi="宋体" w:cs="宋体"/>
                <w:color w:val="auto"/>
                <w:sz w:val="24"/>
                <w:highlight w:val="none"/>
              </w:rPr>
            </w:pPr>
            <w:r>
              <w:rPr>
                <w:rFonts w:hint="eastAsia" w:ascii="宋体" w:hAnsi="宋体" w:cs="宋体"/>
                <w:color w:val="auto"/>
                <w:sz w:val="24"/>
                <w:highlight w:val="none"/>
              </w:rPr>
              <w:t>投标截止时间前三年业绩及承担的主要工作情况，曾担任项目经理的项目应列明细</w:t>
            </w:r>
          </w:p>
        </w:tc>
      </w:tr>
      <w:tr w14:paraId="499FA926">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685EA74">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93184CF">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510B801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73C52306">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r>
      <w:tr w14:paraId="26787045">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3AFFCF7">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BA0C5E6">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B7F8B1B">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DCD4A1C">
            <w:pPr>
              <w:pageBreakBefore w:val="0"/>
              <w:widowControl/>
              <w:wordWrap w:val="0"/>
              <w:overflowPunct/>
              <w:topLinePunct w:val="0"/>
              <w:bidi w:val="0"/>
              <w:spacing w:line="360" w:lineRule="auto"/>
              <w:jc w:val="left"/>
              <w:rPr>
                <w:rFonts w:ascii="宋体" w:hAnsi="宋体" w:cs="宋体"/>
                <w:color w:val="auto"/>
                <w:sz w:val="24"/>
                <w:highlight w:val="none"/>
              </w:rPr>
            </w:pPr>
          </w:p>
        </w:tc>
      </w:tr>
      <w:tr w14:paraId="4C63182E">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43647AD8">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00F4AC29">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7CADEA2">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87EBBA0">
            <w:pPr>
              <w:pageBreakBefore w:val="0"/>
              <w:widowControl/>
              <w:wordWrap w:val="0"/>
              <w:overflowPunct/>
              <w:topLinePunct w:val="0"/>
              <w:bidi w:val="0"/>
              <w:spacing w:line="360" w:lineRule="auto"/>
              <w:jc w:val="left"/>
              <w:rPr>
                <w:rFonts w:ascii="宋体" w:hAnsi="宋体" w:cs="宋体"/>
                <w:color w:val="auto"/>
                <w:sz w:val="24"/>
                <w:highlight w:val="none"/>
              </w:rPr>
            </w:pPr>
          </w:p>
        </w:tc>
      </w:tr>
      <w:tr w14:paraId="41620AC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7AD3E58C">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6003A37B">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ED012AA">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5F59736">
            <w:pPr>
              <w:pageBreakBefore w:val="0"/>
              <w:widowControl/>
              <w:wordWrap w:val="0"/>
              <w:overflowPunct/>
              <w:topLinePunct w:val="0"/>
              <w:bidi w:val="0"/>
              <w:spacing w:line="360" w:lineRule="auto"/>
              <w:jc w:val="left"/>
              <w:rPr>
                <w:rFonts w:ascii="宋体" w:hAnsi="宋体" w:cs="宋体"/>
                <w:color w:val="auto"/>
                <w:sz w:val="24"/>
                <w:highlight w:val="none"/>
              </w:rPr>
            </w:pPr>
          </w:p>
        </w:tc>
      </w:tr>
      <w:tr w14:paraId="32E34EA7">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0239B1CD">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4E317173">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1293F6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1AF46C3">
            <w:pPr>
              <w:pageBreakBefore w:val="0"/>
              <w:widowControl/>
              <w:wordWrap w:val="0"/>
              <w:overflowPunct/>
              <w:topLinePunct w:val="0"/>
              <w:bidi w:val="0"/>
              <w:spacing w:line="360" w:lineRule="auto"/>
              <w:jc w:val="left"/>
              <w:rPr>
                <w:rFonts w:ascii="宋体" w:hAnsi="宋体" w:cs="宋体"/>
                <w:color w:val="auto"/>
                <w:sz w:val="24"/>
                <w:highlight w:val="none"/>
              </w:rPr>
            </w:pPr>
          </w:p>
        </w:tc>
      </w:tr>
      <w:tr w14:paraId="3920F86D">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26EBF866">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3433EC23">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7BBABA2">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339E17F">
            <w:pPr>
              <w:pageBreakBefore w:val="0"/>
              <w:widowControl/>
              <w:wordWrap w:val="0"/>
              <w:overflowPunct/>
              <w:topLinePunct w:val="0"/>
              <w:bidi w:val="0"/>
              <w:spacing w:line="360" w:lineRule="auto"/>
              <w:jc w:val="left"/>
              <w:rPr>
                <w:rFonts w:ascii="宋体" w:hAnsi="宋体" w:cs="宋体"/>
                <w:color w:val="auto"/>
                <w:sz w:val="24"/>
                <w:highlight w:val="none"/>
              </w:rPr>
            </w:pPr>
          </w:p>
        </w:tc>
      </w:tr>
      <w:tr w14:paraId="798C8E6E">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1E439418">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7917F169">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9F1E7E9">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A7444AC">
            <w:pPr>
              <w:pageBreakBefore w:val="0"/>
              <w:widowControl/>
              <w:wordWrap w:val="0"/>
              <w:overflowPunct/>
              <w:topLinePunct w:val="0"/>
              <w:bidi w:val="0"/>
              <w:spacing w:line="360" w:lineRule="auto"/>
              <w:jc w:val="left"/>
              <w:rPr>
                <w:rFonts w:ascii="宋体" w:hAnsi="宋体" w:cs="宋体"/>
                <w:color w:val="auto"/>
                <w:sz w:val="24"/>
                <w:highlight w:val="none"/>
              </w:rPr>
            </w:pPr>
          </w:p>
        </w:tc>
      </w:tr>
      <w:tr w14:paraId="3BF78595">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7CE8623C">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20AA5CC9">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12F79AB">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FC5F931">
            <w:pPr>
              <w:pageBreakBefore w:val="0"/>
              <w:widowControl/>
              <w:wordWrap w:val="0"/>
              <w:overflowPunct/>
              <w:topLinePunct w:val="0"/>
              <w:bidi w:val="0"/>
              <w:spacing w:line="360" w:lineRule="auto"/>
              <w:jc w:val="left"/>
              <w:rPr>
                <w:rFonts w:ascii="宋体" w:hAnsi="宋体" w:cs="宋体"/>
                <w:color w:val="auto"/>
                <w:sz w:val="24"/>
                <w:highlight w:val="none"/>
              </w:rPr>
            </w:pPr>
          </w:p>
        </w:tc>
      </w:tr>
      <w:tr w14:paraId="3E1EAC86">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511C62D">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51160F8">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BFA8A61">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7EC6BDE">
            <w:pPr>
              <w:pageBreakBefore w:val="0"/>
              <w:widowControl/>
              <w:wordWrap w:val="0"/>
              <w:overflowPunct/>
              <w:topLinePunct w:val="0"/>
              <w:bidi w:val="0"/>
              <w:spacing w:line="360" w:lineRule="auto"/>
              <w:jc w:val="left"/>
              <w:rPr>
                <w:rFonts w:ascii="宋体" w:hAnsi="宋体" w:cs="宋体"/>
                <w:color w:val="auto"/>
                <w:sz w:val="24"/>
                <w:highlight w:val="none"/>
              </w:rPr>
            </w:pPr>
          </w:p>
        </w:tc>
      </w:tr>
    </w:tbl>
    <w:p w14:paraId="49470060">
      <w:pPr>
        <w:pageBreakBefore w:val="0"/>
        <w:wordWrap w:val="0"/>
        <w:overflowPunct/>
        <w:topLinePunct w:val="0"/>
        <w:autoSpaceDE w:val="0"/>
        <w:autoSpaceDN w:val="0"/>
        <w:bidi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14:paraId="7766C77A">
      <w:pPr>
        <w:pageBreakBefore w:val="0"/>
        <w:wordWrap w:val="0"/>
        <w:overflowPunct/>
        <w:topLinePunct w:val="0"/>
        <w:autoSpaceDE w:val="0"/>
        <w:autoSpaceDN w:val="0"/>
        <w:bidi w:val="0"/>
        <w:spacing w:line="360" w:lineRule="auto"/>
        <w:rPr>
          <w:rFonts w:ascii="宋体" w:hAnsi="宋体" w:cs="宋体"/>
          <w:b/>
          <w:color w:val="auto"/>
          <w:sz w:val="24"/>
          <w:highlight w:val="none"/>
        </w:rPr>
      </w:pPr>
      <w:r>
        <w:rPr>
          <w:rFonts w:hint="eastAsia" w:ascii="宋体" w:hAnsi="宋体" w:cs="宋体"/>
          <w:b/>
          <w:color w:val="auto"/>
          <w:sz w:val="24"/>
          <w:highlight w:val="none"/>
        </w:rPr>
        <w:t>附表B:本项目的项目小组人员情况表</w:t>
      </w:r>
      <w:r>
        <w:rPr>
          <w:rFonts w:hint="eastAsia" w:ascii="宋体" w:hAnsi="宋体" w:cs="宋体"/>
          <w:color w:val="auto"/>
          <w:sz w:val="24"/>
          <w:highlight w:val="none"/>
        </w:rPr>
        <w:t>（按此格式自制）</w:t>
      </w:r>
    </w:p>
    <w:tbl>
      <w:tblPr>
        <w:tblStyle w:val="19"/>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453EC86F">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40DC4E39">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4E2AE370">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07D18F6">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C79E65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0D178234">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p w14:paraId="1A740F97">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586F8EC">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p w14:paraId="1D4C1F3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D3371E7">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p w14:paraId="7E8BB5AE">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58D14009">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1F4936EF">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4C11C0F">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参与本项目的到位情况</w:t>
            </w:r>
          </w:p>
        </w:tc>
      </w:tr>
      <w:tr w14:paraId="1364167B">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B2B626D">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DC8B05A">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5B8887F">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0BD47CF">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A586C70">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095E32B">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3A25E1B">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B25DB2D">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01FF1C6">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C338829">
            <w:pPr>
              <w:pageBreakBefore w:val="0"/>
              <w:wordWrap w:val="0"/>
              <w:overflowPunct/>
              <w:topLinePunct w:val="0"/>
              <w:autoSpaceDE w:val="0"/>
              <w:autoSpaceDN w:val="0"/>
              <w:bidi w:val="0"/>
              <w:spacing w:line="360" w:lineRule="auto"/>
              <w:rPr>
                <w:rFonts w:ascii="宋体" w:hAnsi="宋体" w:cs="宋体"/>
                <w:color w:val="auto"/>
                <w:sz w:val="24"/>
                <w:highlight w:val="none"/>
              </w:rPr>
            </w:pPr>
          </w:p>
        </w:tc>
      </w:tr>
      <w:tr w14:paraId="7E46EA35">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579C97BF">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2FB95EA">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1FCA994">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6F2A4214">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4B1679BC">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DC06C68">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79F0C14">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2D415E6">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7A5EA3C">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115E68E">
            <w:pPr>
              <w:pageBreakBefore w:val="0"/>
              <w:wordWrap w:val="0"/>
              <w:overflowPunct/>
              <w:topLinePunct w:val="0"/>
              <w:autoSpaceDE w:val="0"/>
              <w:autoSpaceDN w:val="0"/>
              <w:bidi w:val="0"/>
              <w:spacing w:line="360" w:lineRule="auto"/>
              <w:rPr>
                <w:rFonts w:ascii="宋体" w:hAnsi="宋体" w:cs="宋体"/>
                <w:color w:val="auto"/>
                <w:sz w:val="24"/>
                <w:highlight w:val="none"/>
              </w:rPr>
            </w:pPr>
          </w:p>
        </w:tc>
      </w:tr>
    </w:tbl>
    <w:p w14:paraId="4DAF5024">
      <w:pPr>
        <w:pageBreakBefore w:val="0"/>
        <w:wordWrap w:val="0"/>
        <w:overflowPunct/>
        <w:topLinePunct w:val="0"/>
        <w:bidi w:val="0"/>
        <w:spacing w:line="360" w:lineRule="auto"/>
        <w:rPr>
          <w:rFonts w:ascii="宋体" w:hAnsi="宋体" w:cs="宋体"/>
          <w:b/>
          <w:bCs/>
          <w:color w:val="auto"/>
          <w:sz w:val="24"/>
          <w:highlight w:val="none"/>
        </w:rPr>
      </w:pPr>
      <w:r>
        <w:rPr>
          <w:rFonts w:hint="eastAsia" w:ascii="宋体" w:hAnsi="宋体" w:cs="宋体"/>
          <w:b/>
          <w:color w:val="auto"/>
          <w:sz w:val="24"/>
          <w:highlight w:val="none"/>
        </w:rPr>
        <w:t>注：投标人可按上述的格式自行编制，须随表提交相应的证书复印件并注明所在投标技术文件页码。</w:t>
      </w:r>
    </w:p>
    <w:p w14:paraId="20A6A281">
      <w:pPr>
        <w:pageBreakBefore w:val="0"/>
        <w:wordWrap w:val="0"/>
        <w:overflowPunct/>
        <w:topLinePunct w:val="0"/>
        <w:bidi w:val="0"/>
        <w:snapToGrid w:val="0"/>
        <w:spacing w:line="360" w:lineRule="auto"/>
        <w:ind w:firstLine="4320" w:firstLineChars="18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6665C447">
      <w:pPr>
        <w:pageBreakBefore w:val="0"/>
        <w:wordWrap w:val="0"/>
        <w:overflowPunct/>
        <w:topLinePunct w:val="0"/>
        <w:autoSpaceDE w:val="0"/>
        <w:autoSpaceDN w:val="0"/>
        <w:bidi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15BA5D41">
      <w:pPr>
        <w:pageBreakBefore w:val="0"/>
        <w:wordWrap w:val="0"/>
        <w:overflowPunct/>
        <w:topLinePunct w:val="0"/>
        <w:bidi w:val="0"/>
        <w:snapToGrid w:val="0"/>
        <w:spacing w:line="360" w:lineRule="auto"/>
        <w:rPr>
          <w:rFonts w:ascii="宋体" w:hAnsi="宋体" w:cs="宋体"/>
          <w:color w:val="auto"/>
          <w:sz w:val="24"/>
          <w:highlight w:val="none"/>
        </w:rPr>
      </w:pPr>
    </w:p>
    <w:p w14:paraId="4E42DC9A">
      <w:pPr>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b/>
          <w:color w:val="auto"/>
          <w:sz w:val="24"/>
          <w:highlight w:val="none"/>
        </w:rPr>
        <w:br w:type="page"/>
      </w:r>
      <w:r>
        <w:rPr>
          <w:rFonts w:hint="eastAsia" w:ascii="宋体" w:hAnsi="宋体" w:cs="宋体"/>
          <w:color w:val="auto"/>
          <w:sz w:val="24"/>
          <w:highlight w:val="none"/>
        </w:rPr>
        <w:t xml:space="preserve"> </w:t>
      </w:r>
    </w:p>
    <w:p w14:paraId="00FBAA74">
      <w:pPr>
        <w:pageBreakBefore w:val="0"/>
        <w:wordWrap w:val="0"/>
        <w:overflowPunct/>
        <w:topLinePunct w:val="0"/>
        <w:bidi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五、投标人对项目的合理化建议和改进措施（如有）</w:t>
      </w:r>
    </w:p>
    <w:p w14:paraId="3E9F627B">
      <w:pPr>
        <w:pageBreakBefore w:val="0"/>
        <w:wordWrap w:val="0"/>
        <w:overflowPunct/>
        <w:topLinePunct w:val="0"/>
        <w:bidi w:val="0"/>
        <w:spacing w:line="360" w:lineRule="auto"/>
        <w:ind w:firstLine="4048" w:firstLineChars="1687"/>
        <w:rPr>
          <w:rFonts w:ascii="宋体" w:hAnsi="宋体" w:cs="宋体"/>
          <w:color w:val="auto"/>
          <w:sz w:val="24"/>
          <w:highlight w:val="none"/>
        </w:rPr>
      </w:pPr>
      <w:r>
        <w:rPr>
          <w:rFonts w:hint="eastAsia" w:ascii="宋体" w:hAnsi="宋体" w:cs="宋体"/>
          <w:color w:val="auto"/>
          <w:sz w:val="24"/>
          <w:highlight w:val="none"/>
        </w:rPr>
        <w:t>（格式自拟）</w:t>
      </w:r>
    </w:p>
    <w:p w14:paraId="04BF6E0C">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4615E47D">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p>
    <w:p w14:paraId="106B0A70">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p>
    <w:p w14:paraId="5D3937F4">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p>
    <w:p w14:paraId="77EBE771">
      <w:pPr>
        <w:pageBreakBefore w:val="0"/>
        <w:wordWrap w:val="0"/>
        <w:overflowPunct/>
        <w:topLinePunct w:val="0"/>
        <w:bidi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70F7F2A1">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5C6C331">
      <w:pPr>
        <w:pageBreakBefore w:val="0"/>
        <w:wordWrap w:val="0"/>
        <w:overflowPunct/>
        <w:topLinePunct w:val="0"/>
        <w:bidi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六、优惠条件及特殊承诺（如有）</w:t>
      </w:r>
    </w:p>
    <w:p w14:paraId="5BC21835">
      <w:pPr>
        <w:pageBreakBefore w:val="0"/>
        <w:wordWrap w:val="0"/>
        <w:overflowPunct/>
        <w:topLinePunct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7B787732">
      <w:pPr>
        <w:pageBreakBefore w:val="0"/>
        <w:wordWrap w:val="0"/>
        <w:overflowPunct/>
        <w:topLinePunct w:val="0"/>
        <w:bidi w:val="0"/>
        <w:spacing w:line="360" w:lineRule="auto"/>
        <w:jc w:val="center"/>
        <w:rPr>
          <w:rFonts w:ascii="宋体" w:hAnsi="宋体" w:cs="宋体"/>
          <w:color w:val="auto"/>
          <w:sz w:val="18"/>
          <w:szCs w:val="18"/>
          <w:highlight w:val="none"/>
        </w:rPr>
      </w:pPr>
    </w:p>
    <w:p w14:paraId="134548DA">
      <w:pPr>
        <w:pageBreakBefore w:val="0"/>
        <w:wordWrap w:val="0"/>
        <w:overflowPunct/>
        <w:topLinePunct w:val="0"/>
        <w:bidi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25564088">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66032FF">
      <w:pPr>
        <w:pageBreakBefore w:val="0"/>
        <w:wordWrap w:val="0"/>
        <w:overflowPunct/>
        <w:topLinePunct w:val="0"/>
        <w:bidi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七、备品备件及供选择的配套零部件清单（如有）</w:t>
      </w:r>
    </w:p>
    <w:p w14:paraId="2956AC1C">
      <w:pPr>
        <w:pageBreakBefore w:val="0"/>
        <w:wordWrap w:val="0"/>
        <w:overflowPunct/>
        <w:topLinePunct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319824FD">
      <w:pPr>
        <w:pageBreakBefore w:val="0"/>
        <w:wordWrap w:val="0"/>
        <w:overflowPunct/>
        <w:topLinePunct w:val="0"/>
        <w:autoSpaceDE w:val="0"/>
        <w:autoSpaceDN w:val="0"/>
        <w:bidi w:val="0"/>
        <w:spacing w:line="360" w:lineRule="auto"/>
        <w:ind w:firstLine="4440" w:firstLineChars="1850"/>
        <w:rPr>
          <w:rFonts w:ascii="宋体" w:hAnsi="宋体" w:cs="宋体"/>
          <w:color w:val="auto"/>
          <w:kern w:val="0"/>
          <w:sz w:val="24"/>
          <w:highlight w:val="none"/>
        </w:rPr>
      </w:pPr>
    </w:p>
    <w:p w14:paraId="03E6C6D8">
      <w:pPr>
        <w:pageBreakBefore w:val="0"/>
        <w:wordWrap w:val="0"/>
        <w:overflowPunct/>
        <w:topLinePunct w:val="0"/>
        <w:autoSpaceDE w:val="0"/>
        <w:autoSpaceDN w:val="0"/>
        <w:bidi w:val="0"/>
        <w:spacing w:line="360" w:lineRule="auto"/>
        <w:ind w:firstLine="4440" w:firstLineChars="1850"/>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 w:val="24"/>
          <w:highlight w:val="none"/>
          <w:lang w:val="zh-CN"/>
        </w:rPr>
        <w:t>电子签章</w:t>
      </w:r>
      <w:r>
        <w:rPr>
          <w:rFonts w:hint="eastAsia" w:ascii="宋体" w:hAnsi="宋体" w:cs="宋体"/>
          <w:color w:val="auto"/>
          <w:kern w:val="0"/>
          <w:sz w:val="24"/>
          <w:highlight w:val="none"/>
        </w:rPr>
        <w:t>）：</w:t>
      </w:r>
    </w:p>
    <w:p w14:paraId="788FD88D">
      <w:pPr>
        <w:pageBreakBefore w:val="0"/>
        <w:wordWrap w:val="0"/>
        <w:overflowPunct/>
        <w:topLinePunct w:val="0"/>
        <w:autoSpaceDE w:val="0"/>
        <w:autoSpaceDN w:val="0"/>
        <w:bidi w:val="0"/>
        <w:spacing w:line="360" w:lineRule="auto"/>
        <w:rPr>
          <w:rFonts w:ascii="宋体" w:hAnsi="宋体" w:cs="宋体"/>
          <w:b/>
          <w:bCs/>
          <w:color w:val="auto"/>
          <w:sz w:val="18"/>
          <w:szCs w:val="18"/>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2FCFBEB0">
      <w:pPr>
        <w:pageBreakBefore w:val="0"/>
        <w:wordWrap w:val="0"/>
        <w:overflowPunct/>
        <w:topLinePunct w:val="0"/>
        <w:bidi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八、培训计划（如有）</w:t>
      </w:r>
    </w:p>
    <w:p w14:paraId="22246A7F">
      <w:pPr>
        <w:pageBreakBefore w:val="0"/>
        <w:wordWrap w:val="0"/>
        <w:overflowPunct/>
        <w:topLinePunct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7872B8EC">
      <w:pPr>
        <w:keepNext/>
        <w:pageBreakBefore w:val="0"/>
        <w:wordWrap w:val="0"/>
        <w:overflowPunct/>
        <w:topLinePunct w:val="0"/>
        <w:autoSpaceDE w:val="0"/>
        <w:autoSpaceDN w:val="0"/>
        <w:bidi w:val="0"/>
        <w:spacing w:line="360" w:lineRule="auto"/>
        <w:ind w:firstLine="477"/>
        <w:jc w:val="left"/>
        <w:rPr>
          <w:rFonts w:ascii="宋体" w:hAnsi="宋体" w:cs="宋体"/>
          <w:b/>
          <w:color w:val="auto"/>
          <w:sz w:val="24"/>
          <w:highlight w:val="none"/>
        </w:rPr>
      </w:pPr>
      <w:r>
        <w:rPr>
          <w:rFonts w:hint="eastAsia" w:ascii="宋体" w:hAnsi="宋体" w:cs="宋体"/>
          <w:b/>
          <w:color w:val="auto"/>
          <w:sz w:val="24"/>
          <w:highlight w:val="none"/>
        </w:rPr>
        <w:t>附表: 培训日程及费用</w:t>
      </w:r>
    </w:p>
    <w:tbl>
      <w:tblPr>
        <w:tblStyle w:val="19"/>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103F19BC">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14:paraId="357D2964">
            <w:pPr>
              <w:pageBreakBefore w:val="0"/>
              <w:tabs>
                <w:tab w:val="center" w:pos="1690"/>
              </w:tabs>
              <w:suppressAutoHyphens/>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31A06654">
            <w:pPr>
              <w:pageBreakBefore w:val="0"/>
              <w:tabs>
                <w:tab w:val="center" w:pos="595"/>
              </w:tabs>
              <w:suppressAutoHyphens/>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40C93687">
            <w:pPr>
              <w:pageBreakBefore w:val="0"/>
              <w:tabs>
                <w:tab w:val="center" w:pos="595"/>
              </w:tabs>
              <w:suppressAutoHyphens/>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177D2331">
            <w:pPr>
              <w:pageBreakBefore w:val="0"/>
              <w:tabs>
                <w:tab w:val="center" w:pos="1028"/>
              </w:tabs>
              <w:suppressAutoHyphens/>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21589703">
            <w:pPr>
              <w:pageBreakBefore w:val="0"/>
              <w:tabs>
                <w:tab w:val="center" w:pos="595"/>
              </w:tabs>
              <w:suppressAutoHyphens/>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3F860219">
            <w:pPr>
              <w:pageBreakBefore w:val="0"/>
              <w:tabs>
                <w:tab w:val="center" w:pos="520"/>
              </w:tabs>
              <w:suppressAutoHyphens/>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02B3BB49">
            <w:pPr>
              <w:pageBreakBefore w:val="0"/>
              <w:suppressAutoHyphens/>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课程费用</w:t>
            </w:r>
          </w:p>
        </w:tc>
      </w:tr>
      <w:tr w14:paraId="5C50D6C6">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14:paraId="5A0433BE">
            <w:pPr>
              <w:pageBreakBefore w:val="0"/>
              <w:tabs>
                <w:tab w:val="left" w:pos="589"/>
                <w:tab w:val="left" w:pos="1303"/>
                <w:tab w:val="left" w:pos="2017"/>
                <w:tab w:val="left" w:pos="2731"/>
                <w:tab w:val="left" w:pos="3445"/>
                <w:tab w:val="left" w:pos="4159"/>
                <w:tab w:val="left" w:pos="4873"/>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653EFDAF">
            <w:pPr>
              <w:pageBreakBefore w:val="0"/>
              <w:tabs>
                <w:tab w:val="left" w:pos="556"/>
                <w:tab w:val="left" w:pos="1270"/>
                <w:tab w:val="left" w:pos="1984"/>
                <w:tab w:val="left" w:pos="2698"/>
                <w:tab w:val="left" w:pos="3412"/>
                <w:tab w:val="left" w:pos="4126"/>
                <w:tab w:val="left" w:pos="4840"/>
                <w:tab w:val="left" w:pos="5622"/>
                <w:tab w:val="left" w:pos="6054"/>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nil"/>
              <w:right w:val="nil"/>
            </w:tcBorders>
          </w:tcPr>
          <w:p w14:paraId="309F288C">
            <w:pPr>
              <w:pageBreakBefore w:val="0"/>
              <w:tabs>
                <w:tab w:val="left" w:pos="556"/>
                <w:tab w:val="left" w:pos="1270"/>
                <w:tab w:val="left" w:pos="1984"/>
                <w:tab w:val="left" w:pos="2698"/>
                <w:tab w:val="left" w:pos="3412"/>
                <w:tab w:val="left" w:pos="4126"/>
                <w:tab w:val="left" w:pos="4840"/>
                <w:tab w:val="left" w:pos="5622"/>
                <w:tab w:val="left" w:pos="6054"/>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nil"/>
              <w:right w:val="nil"/>
            </w:tcBorders>
          </w:tcPr>
          <w:p w14:paraId="018C7B21">
            <w:pPr>
              <w:pageBreakBefore w:val="0"/>
              <w:tabs>
                <w:tab w:val="left" w:pos="573"/>
                <w:tab w:val="left" w:pos="1287"/>
                <w:tab w:val="left" w:pos="2001"/>
                <w:tab w:val="left" w:pos="2715"/>
                <w:tab w:val="left" w:pos="3429"/>
                <w:tab w:val="left" w:pos="4211"/>
                <w:tab w:val="left" w:pos="4643"/>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nil"/>
              <w:right w:val="nil"/>
            </w:tcBorders>
          </w:tcPr>
          <w:p w14:paraId="11A6AFC9">
            <w:pPr>
              <w:pageBreakBefore w:val="0"/>
              <w:tabs>
                <w:tab w:val="left" w:pos="440"/>
                <w:tab w:val="left" w:pos="1154"/>
                <w:tab w:val="left" w:pos="1936"/>
                <w:tab w:val="left" w:pos="2368"/>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nil"/>
              <w:right w:val="nil"/>
            </w:tcBorders>
          </w:tcPr>
          <w:p w14:paraId="5231B75D">
            <w:pPr>
              <w:pageBreakBefore w:val="0"/>
              <w:tabs>
                <w:tab w:val="left" w:pos="589"/>
                <w:tab w:val="left" w:pos="1303"/>
                <w:tab w:val="left" w:pos="2017"/>
                <w:tab w:val="left" w:pos="2731"/>
                <w:tab w:val="left" w:pos="3445"/>
                <w:tab w:val="left" w:pos="4159"/>
                <w:tab w:val="left" w:pos="4873"/>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0E47B420">
            <w:pPr>
              <w:pageBreakBefore w:val="0"/>
              <w:suppressAutoHyphens/>
              <w:wordWrap w:val="0"/>
              <w:overflowPunct/>
              <w:topLinePunct w:val="0"/>
              <w:autoSpaceDE w:val="0"/>
              <w:autoSpaceDN w:val="0"/>
              <w:bidi w:val="0"/>
              <w:spacing w:line="360" w:lineRule="auto"/>
              <w:rPr>
                <w:rFonts w:ascii="宋体" w:hAnsi="宋体" w:cs="宋体"/>
                <w:color w:val="auto"/>
                <w:sz w:val="24"/>
                <w:highlight w:val="none"/>
              </w:rPr>
            </w:pPr>
          </w:p>
        </w:tc>
      </w:tr>
      <w:tr w14:paraId="5CC2BFE5">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tcPr>
          <w:p w14:paraId="260CCC86">
            <w:pPr>
              <w:pageBreakBefore w:val="0"/>
              <w:tabs>
                <w:tab w:val="left" w:pos="589"/>
                <w:tab w:val="left" w:pos="1303"/>
                <w:tab w:val="left" w:pos="2017"/>
                <w:tab w:val="left" w:pos="2731"/>
                <w:tab w:val="left" w:pos="3445"/>
                <w:tab w:val="left" w:pos="4159"/>
                <w:tab w:val="left" w:pos="4873"/>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76FB0AA4">
            <w:pPr>
              <w:pageBreakBefore w:val="0"/>
              <w:tabs>
                <w:tab w:val="left" w:pos="556"/>
                <w:tab w:val="left" w:pos="1270"/>
                <w:tab w:val="left" w:pos="1984"/>
                <w:tab w:val="left" w:pos="2698"/>
                <w:tab w:val="left" w:pos="3412"/>
                <w:tab w:val="left" w:pos="4126"/>
                <w:tab w:val="left" w:pos="4840"/>
                <w:tab w:val="left" w:pos="5622"/>
                <w:tab w:val="left" w:pos="6054"/>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nil"/>
              <w:right w:val="nil"/>
            </w:tcBorders>
          </w:tcPr>
          <w:p w14:paraId="037719F1">
            <w:pPr>
              <w:pageBreakBefore w:val="0"/>
              <w:tabs>
                <w:tab w:val="left" w:pos="556"/>
                <w:tab w:val="left" w:pos="1270"/>
                <w:tab w:val="left" w:pos="1984"/>
                <w:tab w:val="left" w:pos="2698"/>
                <w:tab w:val="left" w:pos="3412"/>
                <w:tab w:val="left" w:pos="4126"/>
                <w:tab w:val="left" w:pos="4840"/>
                <w:tab w:val="left" w:pos="5622"/>
                <w:tab w:val="left" w:pos="6054"/>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nil"/>
              <w:right w:val="nil"/>
            </w:tcBorders>
          </w:tcPr>
          <w:p w14:paraId="0A9B2535">
            <w:pPr>
              <w:pageBreakBefore w:val="0"/>
              <w:tabs>
                <w:tab w:val="left" w:pos="573"/>
                <w:tab w:val="left" w:pos="1287"/>
                <w:tab w:val="left" w:pos="2001"/>
                <w:tab w:val="left" w:pos="2715"/>
                <w:tab w:val="left" w:pos="3429"/>
                <w:tab w:val="left" w:pos="4211"/>
                <w:tab w:val="left" w:pos="4643"/>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nil"/>
              <w:right w:val="nil"/>
            </w:tcBorders>
          </w:tcPr>
          <w:p w14:paraId="04664AB1">
            <w:pPr>
              <w:pageBreakBefore w:val="0"/>
              <w:tabs>
                <w:tab w:val="left" w:pos="440"/>
                <w:tab w:val="left" w:pos="1154"/>
                <w:tab w:val="left" w:pos="1936"/>
                <w:tab w:val="left" w:pos="2368"/>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nil"/>
              <w:right w:val="nil"/>
            </w:tcBorders>
          </w:tcPr>
          <w:p w14:paraId="5C3EFBF7">
            <w:pPr>
              <w:pageBreakBefore w:val="0"/>
              <w:tabs>
                <w:tab w:val="left" w:pos="7"/>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75C9E5FC">
            <w:pPr>
              <w:pageBreakBefore w:val="0"/>
              <w:suppressAutoHyphens/>
              <w:wordWrap w:val="0"/>
              <w:overflowPunct/>
              <w:topLinePunct w:val="0"/>
              <w:autoSpaceDE w:val="0"/>
              <w:autoSpaceDN w:val="0"/>
              <w:bidi w:val="0"/>
              <w:spacing w:line="360" w:lineRule="auto"/>
              <w:rPr>
                <w:rFonts w:ascii="宋体" w:hAnsi="宋体" w:cs="宋体"/>
                <w:color w:val="auto"/>
                <w:sz w:val="24"/>
                <w:highlight w:val="none"/>
              </w:rPr>
            </w:pPr>
          </w:p>
        </w:tc>
      </w:tr>
      <w:tr w14:paraId="662854A0">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14:paraId="47EC4F57">
            <w:pPr>
              <w:pageBreakBefore w:val="0"/>
              <w:tabs>
                <w:tab w:val="left" w:pos="589"/>
                <w:tab w:val="left" w:pos="1303"/>
                <w:tab w:val="left" w:pos="2017"/>
                <w:tab w:val="left" w:pos="2731"/>
                <w:tab w:val="left" w:pos="3445"/>
                <w:tab w:val="left" w:pos="4159"/>
                <w:tab w:val="left" w:pos="4873"/>
              </w:tabs>
              <w:suppressAutoHyphens/>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3ABF9FD5">
            <w:pPr>
              <w:pageBreakBefore w:val="0"/>
              <w:tabs>
                <w:tab w:val="left" w:pos="556"/>
                <w:tab w:val="left" w:pos="1270"/>
                <w:tab w:val="left" w:pos="1984"/>
                <w:tab w:val="left" w:pos="2698"/>
                <w:tab w:val="left" w:pos="3412"/>
                <w:tab w:val="left" w:pos="4126"/>
                <w:tab w:val="left" w:pos="4840"/>
                <w:tab w:val="left" w:pos="5622"/>
                <w:tab w:val="left" w:pos="6054"/>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3B5D2698">
            <w:pPr>
              <w:pageBreakBefore w:val="0"/>
              <w:tabs>
                <w:tab w:val="left" w:pos="556"/>
                <w:tab w:val="left" w:pos="1270"/>
                <w:tab w:val="left" w:pos="1984"/>
                <w:tab w:val="left" w:pos="2698"/>
                <w:tab w:val="left" w:pos="3412"/>
                <w:tab w:val="left" w:pos="4126"/>
                <w:tab w:val="left" w:pos="4840"/>
                <w:tab w:val="left" w:pos="5622"/>
                <w:tab w:val="left" w:pos="6054"/>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7B7F922E">
            <w:pPr>
              <w:pageBreakBefore w:val="0"/>
              <w:tabs>
                <w:tab w:val="left" w:pos="573"/>
                <w:tab w:val="left" w:pos="1287"/>
                <w:tab w:val="left" w:pos="2001"/>
                <w:tab w:val="left" w:pos="2715"/>
                <w:tab w:val="left" w:pos="3429"/>
                <w:tab w:val="left" w:pos="4211"/>
                <w:tab w:val="left" w:pos="4643"/>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35B0F03C">
            <w:pPr>
              <w:pageBreakBefore w:val="0"/>
              <w:tabs>
                <w:tab w:val="left" w:pos="440"/>
                <w:tab w:val="left" w:pos="1154"/>
                <w:tab w:val="left" w:pos="1936"/>
                <w:tab w:val="left" w:pos="2368"/>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41965EAA">
            <w:pPr>
              <w:pageBreakBefore w:val="0"/>
              <w:tabs>
                <w:tab w:val="left" w:pos="7"/>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71A602C0">
            <w:pPr>
              <w:pageBreakBefore w:val="0"/>
              <w:suppressAutoHyphens/>
              <w:wordWrap w:val="0"/>
              <w:overflowPunct/>
              <w:topLinePunct w:val="0"/>
              <w:autoSpaceDE w:val="0"/>
              <w:autoSpaceDN w:val="0"/>
              <w:bidi w:val="0"/>
              <w:spacing w:line="360" w:lineRule="auto"/>
              <w:rPr>
                <w:rFonts w:ascii="宋体" w:hAnsi="宋体" w:cs="宋体"/>
                <w:color w:val="auto"/>
                <w:sz w:val="24"/>
                <w:highlight w:val="none"/>
              </w:rPr>
            </w:pPr>
          </w:p>
        </w:tc>
      </w:tr>
    </w:tbl>
    <w:p w14:paraId="4D2B4C45">
      <w:pPr>
        <w:pageBreakBefore w:val="0"/>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overflowPunct/>
        <w:topLinePunct w:val="0"/>
        <w:autoSpaceDE w:val="0"/>
        <w:autoSpaceDN w:val="0"/>
        <w:bidi w:val="0"/>
        <w:spacing w:line="360" w:lineRule="auto"/>
        <w:rPr>
          <w:rFonts w:ascii="宋体" w:hAnsi="宋体" w:cs="宋体"/>
          <w:color w:val="auto"/>
          <w:sz w:val="24"/>
          <w:highlight w:val="none"/>
        </w:rPr>
      </w:pPr>
      <w:r>
        <w:rPr>
          <w:rFonts w:hint="eastAsia" w:ascii="宋体" w:hAnsi="宋体" w:cs="宋体"/>
          <w:color w:val="auto"/>
          <w:sz w:val="24"/>
          <w:highlight w:val="none"/>
        </w:rPr>
        <w:t>注解:A</w:t>
      </w:r>
      <w:r>
        <w:rPr>
          <w:rFonts w:hint="eastAsia" w:ascii="宋体" w:hAnsi="宋体" w:cs="宋体"/>
          <w:color w:val="auto"/>
          <w:sz w:val="24"/>
          <w:highlight w:val="none"/>
        </w:rPr>
        <w:tab/>
      </w:r>
      <w:r>
        <w:rPr>
          <w:rFonts w:hint="eastAsia" w:ascii="宋体" w:hAnsi="宋体" w:cs="宋体"/>
          <w:color w:val="auto"/>
          <w:sz w:val="24"/>
          <w:highlight w:val="none"/>
        </w:rPr>
        <w:t>课程清单按时间顺序排列，并提供以下详细资料：</w:t>
      </w:r>
    </w:p>
    <w:p w14:paraId="00A70D8F">
      <w:pPr>
        <w:pageBreakBefore w:val="0"/>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overflowPunct/>
        <w:topLinePunct w:val="0"/>
        <w:autoSpaceDE w:val="0"/>
        <w:autoSpaceDN w:val="0"/>
        <w:bidi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课程概要</w:t>
      </w:r>
    </w:p>
    <w:p w14:paraId="72D859BE">
      <w:pPr>
        <w:pageBreakBefore w:val="0"/>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overflowPunct/>
        <w:topLinePunct w:val="0"/>
        <w:autoSpaceDE w:val="0"/>
        <w:autoSpaceDN w:val="0"/>
        <w:bidi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课程目的</w:t>
      </w:r>
    </w:p>
    <w:p w14:paraId="744BD365">
      <w:pPr>
        <w:pageBreakBefore w:val="0"/>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overflowPunct/>
        <w:topLinePunct w:val="0"/>
        <w:autoSpaceDE w:val="0"/>
        <w:autoSpaceDN w:val="0"/>
        <w:bidi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教学方式</w:t>
      </w:r>
    </w:p>
    <w:p w14:paraId="1BD34A7D">
      <w:pPr>
        <w:pageBreakBefore w:val="0"/>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overflowPunct/>
        <w:topLinePunct w:val="0"/>
        <w:autoSpaceDE w:val="0"/>
        <w:autoSpaceDN w:val="0"/>
        <w:bidi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先决条件</w:t>
      </w:r>
    </w:p>
    <w:p w14:paraId="71EC4671">
      <w:pPr>
        <w:pageBreakBefore w:val="0"/>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overflowPunct/>
        <w:topLinePunct w:val="0"/>
        <w:autoSpaceDE w:val="0"/>
        <w:autoSpaceDN w:val="0"/>
        <w:bidi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教材目录</w:t>
      </w:r>
    </w:p>
    <w:p w14:paraId="634F9CC0">
      <w:pPr>
        <w:pageBreakBefore w:val="0"/>
        <w:wordWrap w:val="0"/>
        <w:overflowPunct/>
        <w:topLinePunct w:val="0"/>
        <w:autoSpaceDE w:val="0"/>
        <w:autoSpaceDN w:val="0"/>
        <w:bidi w:val="0"/>
        <w:spacing w:line="360" w:lineRule="auto"/>
        <w:rPr>
          <w:rFonts w:ascii="宋体" w:hAnsi="宋体" w:cs="宋体"/>
          <w:color w:val="auto"/>
          <w:sz w:val="24"/>
          <w:highlight w:val="none"/>
        </w:rPr>
      </w:pPr>
      <w:r>
        <w:rPr>
          <w:rFonts w:hint="eastAsia" w:ascii="宋体" w:hAnsi="宋体" w:cs="宋体"/>
          <w:color w:val="auto"/>
          <w:sz w:val="24"/>
          <w:highlight w:val="none"/>
        </w:rPr>
        <w:t>B  按照附表A提供授课教师的简历</w:t>
      </w:r>
    </w:p>
    <w:p w14:paraId="1DC3474A">
      <w:pPr>
        <w:pageBreakBefore w:val="0"/>
        <w:wordWrap w:val="0"/>
        <w:overflowPunct/>
        <w:topLinePunct w:val="0"/>
        <w:autoSpaceDE w:val="0"/>
        <w:autoSpaceDN w:val="0"/>
        <w:bidi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14:paraId="059CD5B7">
      <w:pPr>
        <w:pageBreakBefore w:val="0"/>
        <w:wordWrap w:val="0"/>
        <w:overflowPunct/>
        <w:topLinePunct w:val="0"/>
        <w:autoSpaceDE w:val="0"/>
        <w:autoSpaceDN w:val="0"/>
        <w:bidi w:val="0"/>
        <w:spacing w:line="360" w:lineRule="auto"/>
        <w:ind w:firstLine="4800" w:firstLineChars="2000"/>
        <w:rPr>
          <w:rFonts w:ascii="宋体" w:hAnsi="宋体" w:cs="宋体"/>
          <w:color w:val="auto"/>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 w:val="24"/>
          <w:highlight w:val="none"/>
          <w:lang w:val="zh-CN"/>
        </w:rPr>
        <w:t>电子签章</w:t>
      </w:r>
      <w:r>
        <w:rPr>
          <w:rFonts w:hint="eastAsia" w:ascii="宋体" w:hAnsi="宋体" w:cs="宋体"/>
          <w:color w:val="auto"/>
          <w:kern w:val="0"/>
          <w:sz w:val="24"/>
          <w:highlight w:val="none"/>
        </w:rPr>
        <w:t xml:space="preserve">）：                       </w:t>
      </w:r>
    </w:p>
    <w:p w14:paraId="2D09AF42">
      <w:pPr>
        <w:pageBreakBefore w:val="0"/>
        <w:wordWrap w:val="0"/>
        <w:overflowPunct/>
        <w:topLinePunct w:val="0"/>
        <w:autoSpaceDE w:val="0"/>
        <w:autoSpaceDN w:val="0"/>
        <w:bidi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347E4527">
      <w:pPr>
        <w:pageBreakBefore w:val="0"/>
        <w:wordWrap w:val="0"/>
        <w:overflowPunct/>
        <w:topLinePunct w:val="0"/>
        <w:autoSpaceDE w:val="0"/>
        <w:autoSpaceDN w:val="0"/>
        <w:bidi w:val="0"/>
        <w:spacing w:line="360" w:lineRule="auto"/>
        <w:ind w:firstLine="120"/>
        <w:rPr>
          <w:rFonts w:ascii="宋体" w:hAnsi="宋体" w:cs="宋体"/>
          <w:color w:val="auto"/>
          <w:sz w:val="24"/>
          <w:highlight w:val="none"/>
        </w:rPr>
      </w:pPr>
    </w:p>
    <w:p w14:paraId="7F2BF58B">
      <w:pPr>
        <w:pageBreakBefore w:val="0"/>
        <w:wordWrap w:val="0"/>
        <w:overflowPunct/>
        <w:topLinePunct w:val="0"/>
        <w:bidi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九、认为需要的其他技术文件或说明（如有）</w:t>
      </w:r>
    </w:p>
    <w:p w14:paraId="537A40A1">
      <w:pPr>
        <w:pageBreakBefore w:val="0"/>
        <w:wordWrap w:val="0"/>
        <w:overflowPunct/>
        <w:topLinePunct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1681FAA6">
      <w:pPr>
        <w:pageBreakBefore w:val="0"/>
        <w:wordWrap w:val="0"/>
        <w:overflowPunct/>
        <w:topLinePunct w:val="0"/>
        <w:bidi w:val="0"/>
        <w:spacing w:line="360" w:lineRule="auto"/>
        <w:jc w:val="center"/>
        <w:rPr>
          <w:rFonts w:ascii="宋体" w:hAnsi="宋体" w:cs="宋体"/>
          <w:color w:val="auto"/>
          <w:sz w:val="24"/>
          <w:highlight w:val="none"/>
        </w:rPr>
      </w:pPr>
    </w:p>
    <w:p w14:paraId="2D8F2481">
      <w:pPr>
        <w:pageBreakBefore w:val="0"/>
        <w:wordWrap w:val="0"/>
        <w:overflowPunct/>
        <w:topLinePunct w:val="0"/>
        <w:autoSpaceDE w:val="0"/>
        <w:autoSpaceDN w:val="0"/>
        <w:bidi w:val="0"/>
        <w:spacing w:line="360" w:lineRule="auto"/>
        <w:ind w:firstLine="4800" w:firstLineChars="2000"/>
        <w:rPr>
          <w:rFonts w:ascii="宋体" w:hAnsi="宋体" w:cs="宋体"/>
          <w:color w:val="auto"/>
          <w:sz w:val="24"/>
          <w:highlight w:val="none"/>
        </w:rPr>
      </w:pPr>
      <w:r>
        <w:rPr>
          <w:rFonts w:hint="eastAsia" w:ascii="宋体" w:hAnsi="宋体" w:cs="宋体"/>
          <w:color w:val="auto"/>
          <w:kern w:val="0"/>
          <w:sz w:val="24"/>
          <w:highlight w:val="none"/>
        </w:rPr>
        <w:t>投标人名称（电子</w:t>
      </w:r>
      <w:r>
        <w:rPr>
          <w:rFonts w:hint="eastAsia" w:ascii="宋体" w:hAnsi="宋体" w:cs="宋体"/>
          <w:color w:val="auto"/>
          <w:kern w:val="0"/>
          <w:sz w:val="24"/>
          <w:highlight w:val="none"/>
          <w:lang w:val="zh-CN"/>
        </w:rPr>
        <w:t>签章</w:t>
      </w:r>
      <w:r>
        <w:rPr>
          <w:rFonts w:hint="eastAsia" w:ascii="宋体" w:hAnsi="宋体" w:cs="宋体"/>
          <w:color w:val="auto"/>
          <w:kern w:val="0"/>
          <w:sz w:val="24"/>
          <w:highlight w:val="none"/>
        </w:rPr>
        <w:t xml:space="preserve">）：                       </w:t>
      </w:r>
    </w:p>
    <w:p w14:paraId="227FCC95">
      <w:pPr>
        <w:pageBreakBefore w:val="0"/>
        <w:wordWrap w:val="0"/>
        <w:overflowPunct/>
        <w:topLinePunct w:val="0"/>
        <w:autoSpaceDE w:val="0"/>
        <w:autoSpaceDN w:val="0"/>
        <w:bidi w:val="0"/>
        <w:spacing w:line="360" w:lineRule="auto"/>
        <w:rPr>
          <w:rFonts w:ascii="宋体" w:hAnsi="宋体" w:cs="宋体"/>
          <w:b/>
          <w:bCs/>
          <w:color w:val="auto"/>
          <w:sz w:val="30"/>
          <w:szCs w:val="30"/>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01131A83">
      <w:pPr>
        <w:pageBreakBefore w:val="0"/>
        <w:widowControl/>
        <w:wordWrap w:val="0"/>
        <w:overflowPunct/>
        <w:topLinePunct w:val="0"/>
        <w:bidi w:val="0"/>
        <w:spacing w:line="360" w:lineRule="auto"/>
        <w:jc w:val="left"/>
        <w:rPr>
          <w:rFonts w:ascii="宋体" w:hAnsi="宋体" w:cs="宋体"/>
          <w:b/>
          <w:bCs/>
          <w:color w:val="auto"/>
          <w:sz w:val="24"/>
          <w:highlight w:val="none"/>
        </w:rPr>
        <w:sectPr>
          <w:pgSz w:w="11906" w:h="16838"/>
          <w:pgMar w:top="1440" w:right="1080" w:bottom="1440" w:left="1080" w:header="720" w:footer="720" w:gutter="0"/>
          <w:pgNumType w:fmt="decimal"/>
          <w:cols w:space="720" w:num="1"/>
          <w:docGrid w:type="lines" w:linePitch="331" w:charSpace="0"/>
        </w:sectPr>
      </w:pPr>
    </w:p>
    <w:p w14:paraId="2318796C">
      <w:pPr>
        <w:pStyle w:val="12"/>
        <w:pageBreakBefore w:val="0"/>
        <w:wordWrap w:val="0"/>
        <w:overflowPunct/>
        <w:topLinePunct w:val="0"/>
        <w:bidi w:val="0"/>
        <w:spacing w:line="360" w:lineRule="auto"/>
        <w:jc w:val="center"/>
        <w:outlineLvl w:val="1"/>
        <w:rPr>
          <w:rFonts w:hAnsi="宋体" w:cs="宋体"/>
          <w:b/>
          <w:bCs/>
          <w:color w:val="auto"/>
          <w:sz w:val="28"/>
          <w:szCs w:val="28"/>
          <w:highlight w:val="none"/>
        </w:rPr>
      </w:pPr>
      <w:bookmarkStart w:id="286" w:name="_Toc5466"/>
      <w:bookmarkStart w:id="287" w:name="_Toc12438"/>
      <w:bookmarkStart w:id="288" w:name="_Toc19686840"/>
      <w:r>
        <w:rPr>
          <w:rFonts w:hint="eastAsia" w:hAnsi="宋体" w:cs="宋体"/>
          <w:b/>
          <w:bCs/>
          <w:color w:val="auto"/>
          <w:sz w:val="28"/>
          <w:szCs w:val="28"/>
          <w:highlight w:val="none"/>
        </w:rPr>
        <w:t>第五节 报价文件格式</w:t>
      </w:r>
      <w:bookmarkEnd w:id="286"/>
    </w:p>
    <w:p w14:paraId="59FB5BF6">
      <w:pPr>
        <w:pageBreakBefore w:val="0"/>
        <w:wordWrap w:val="0"/>
        <w:overflowPunct/>
        <w:topLinePunct w:val="0"/>
        <w:bidi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0B91F95E">
      <w:pPr>
        <w:pageBreakBefore w:val="0"/>
        <w:wordWrap w:val="0"/>
        <w:overflowPunct/>
        <w:topLinePunct w:val="0"/>
        <w:bidi w:val="0"/>
        <w:snapToGrid w:val="0"/>
        <w:spacing w:line="360" w:lineRule="auto"/>
        <w:jc w:val="center"/>
        <w:rPr>
          <w:rFonts w:ascii="宋体" w:hAnsi="宋体" w:cs="宋体"/>
          <w:bCs/>
          <w:color w:val="auto"/>
          <w:sz w:val="24"/>
          <w:szCs w:val="20"/>
          <w:highlight w:val="none"/>
        </w:rPr>
      </w:pPr>
    </w:p>
    <w:p w14:paraId="1D38D10A">
      <w:pPr>
        <w:pageBreakBefore w:val="0"/>
        <w:wordWrap w:val="0"/>
        <w:overflowPunct/>
        <w:topLinePunct w:val="0"/>
        <w:bidi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报价文件（封面）</w:t>
      </w:r>
    </w:p>
    <w:p w14:paraId="43D389A2">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180FF61F">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56C186EF">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3FC8B241">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1AF3C2E1">
      <w:pPr>
        <w:pageBreakBefore w:val="0"/>
        <w:wordWrap w:val="0"/>
        <w:overflowPunct/>
        <w:topLinePunct w:val="0"/>
        <w:bidi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31589EB2">
      <w:pPr>
        <w:pageBreakBefore w:val="0"/>
        <w:wordWrap w:val="0"/>
        <w:overflowPunct/>
        <w:topLinePunct w:val="0"/>
        <w:bidi w:val="0"/>
        <w:snapToGrid w:val="0"/>
        <w:spacing w:line="360" w:lineRule="auto"/>
        <w:ind w:firstLine="360" w:firstLineChars="150"/>
        <w:rPr>
          <w:rFonts w:ascii="宋体" w:hAnsi="宋体" w:cs="宋体"/>
          <w:bCs/>
          <w:color w:val="auto"/>
          <w:sz w:val="24"/>
          <w:highlight w:val="none"/>
        </w:rPr>
      </w:pPr>
    </w:p>
    <w:p w14:paraId="73346A91">
      <w:pPr>
        <w:pageBreakBefore w:val="0"/>
        <w:wordWrap w:val="0"/>
        <w:overflowPunct/>
        <w:topLinePunct w:val="0"/>
        <w:bidi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r>
        <w:rPr>
          <w:rFonts w:hint="eastAsia" w:ascii="宋体" w:hAnsi="宋体" w:cs="宋体"/>
          <w:color w:val="auto"/>
          <w:sz w:val="24"/>
          <w:highlight w:val="none"/>
        </w:rPr>
        <w:t xml:space="preserve"> </w:t>
      </w:r>
    </w:p>
    <w:p w14:paraId="6BDA2845">
      <w:pPr>
        <w:pageBreakBefore w:val="0"/>
        <w:wordWrap w:val="0"/>
        <w:overflowPunct/>
        <w:topLinePunct w:val="0"/>
        <w:bidi w:val="0"/>
        <w:snapToGrid w:val="0"/>
        <w:spacing w:line="360" w:lineRule="auto"/>
        <w:ind w:firstLine="360" w:firstLineChars="150"/>
        <w:rPr>
          <w:rFonts w:ascii="宋体" w:hAnsi="宋体" w:cs="宋体"/>
          <w:bCs/>
          <w:color w:val="auto"/>
          <w:sz w:val="24"/>
          <w:highlight w:val="none"/>
        </w:rPr>
      </w:pPr>
    </w:p>
    <w:p w14:paraId="62A4032A">
      <w:pPr>
        <w:pageBreakBefore w:val="0"/>
        <w:wordWrap w:val="0"/>
        <w:overflowPunct/>
        <w:topLinePunct w:val="0"/>
        <w:bidi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w:t>
      </w:r>
    </w:p>
    <w:p w14:paraId="67AB8970">
      <w:pPr>
        <w:pageBreakBefore w:val="0"/>
        <w:wordWrap w:val="0"/>
        <w:overflowPunct/>
        <w:topLinePunct w:val="0"/>
        <w:bidi w:val="0"/>
        <w:snapToGrid w:val="0"/>
        <w:spacing w:line="360" w:lineRule="auto"/>
        <w:ind w:firstLine="360" w:firstLineChars="150"/>
        <w:rPr>
          <w:rFonts w:ascii="宋体" w:hAnsi="宋体" w:cs="宋体"/>
          <w:bCs/>
          <w:color w:val="auto"/>
          <w:sz w:val="24"/>
          <w:highlight w:val="none"/>
        </w:rPr>
      </w:pPr>
    </w:p>
    <w:p w14:paraId="639E3B96">
      <w:pPr>
        <w:pageBreakBefore w:val="0"/>
        <w:wordWrap w:val="0"/>
        <w:overflowPunct/>
        <w:topLinePunct w:val="0"/>
        <w:bidi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6EA21D0E">
      <w:pPr>
        <w:pageBreakBefore w:val="0"/>
        <w:wordWrap w:val="0"/>
        <w:overflowPunct/>
        <w:topLinePunct w:val="0"/>
        <w:bidi w:val="0"/>
        <w:snapToGrid w:val="0"/>
        <w:spacing w:line="360" w:lineRule="auto"/>
        <w:ind w:firstLine="360" w:firstLineChars="150"/>
        <w:rPr>
          <w:rFonts w:ascii="宋体" w:hAnsi="宋体" w:cs="宋体"/>
          <w:bCs/>
          <w:color w:val="auto"/>
          <w:sz w:val="24"/>
          <w:highlight w:val="none"/>
        </w:rPr>
      </w:pPr>
    </w:p>
    <w:p w14:paraId="21276C32">
      <w:pPr>
        <w:pageBreakBefore w:val="0"/>
        <w:wordWrap w:val="0"/>
        <w:overflowPunct/>
        <w:topLinePunct w:val="0"/>
        <w:bidi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5E381F66">
      <w:pPr>
        <w:pStyle w:val="2"/>
        <w:pageBreakBefore w:val="0"/>
        <w:wordWrap w:val="0"/>
        <w:overflowPunct/>
        <w:topLinePunct w:val="0"/>
        <w:bidi w:val="0"/>
        <w:snapToGrid w:val="0"/>
        <w:spacing w:line="360" w:lineRule="auto"/>
        <w:ind w:firstLine="960" w:firstLineChars="400"/>
        <w:rPr>
          <w:rFonts w:ascii="宋体" w:hAnsi="宋体" w:cs="宋体"/>
          <w:bCs/>
          <w:color w:val="auto"/>
          <w:sz w:val="24"/>
          <w:szCs w:val="24"/>
          <w:highlight w:val="none"/>
        </w:rPr>
      </w:pPr>
    </w:p>
    <w:p w14:paraId="4AD89F6F">
      <w:pPr>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10A583FC">
      <w:pPr>
        <w:pageBreakBefore w:val="0"/>
        <w:widowControl/>
        <w:wordWrap w:val="0"/>
        <w:overflowPunct/>
        <w:topLinePunct w:val="0"/>
        <w:bidi w:val="0"/>
        <w:spacing w:line="360" w:lineRule="auto"/>
        <w:jc w:val="left"/>
        <w:rPr>
          <w:rFonts w:ascii="宋体" w:hAnsi="宋体" w:cs="宋体"/>
          <w:color w:val="auto"/>
          <w:sz w:val="24"/>
          <w:highlight w:val="none"/>
        </w:rPr>
        <w:sectPr>
          <w:pgSz w:w="11906" w:h="16838"/>
          <w:pgMar w:top="1440" w:right="1080" w:bottom="1440" w:left="1080" w:header="720" w:footer="720" w:gutter="0"/>
          <w:pgNumType w:fmt="decimal"/>
          <w:cols w:space="720" w:num="1"/>
          <w:docGrid w:type="lines" w:linePitch="331" w:charSpace="0"/>
        </w:sectPr>
      </w:pPr>
    </w:p>
    <w:p w14:paraId="29B660EF">
      <w:pPr>
        <w:pageBreakBefore w:val="0"/>
        <w:wordWrap w:val="0"/>
        <w:overflowPunct/>
        <w:topLinePunct w:val="0"/>
        <w:bidi w:val="0"/>
        <w:spacing w:line="360" w:lineRule="auto"/>
        <w:rPr>
          <w:rFonts w:ascii="宋体" w:hAnsi="宋体" w:cs="宋体"/>
          <w:color w:val="auto"/>
          <w:highlight w:val="none"/>
        </w:rPr>
      </w:pPr>
    </w:p>
    <w:p w14:paraId="453603F4">
      <w:pPr>
        <w:pageBreakBefore w:val="0"/>
        <w:wordWrap w:val="0"/>
        <w:overflowPunct/>
        <w:topLinePunct w:val="0"/>
        <w:bidi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报价文件目录</w:t>
      </w:r>
    </w:p>
    <w:p w14:paraId="4601046A">
      <w:pPr>
        <w:pageBreakBefore w:val="0"/>
        <w:wordWrap w:val="0"/>
        <w:overflowPunct/>
        <w:topLinePunct w:val="0"/>
        <w:bidi w:val="0"/>
        <w:spacing w:line="360" w:lineRule="auto"/>
        <w:rPr>
          <w:rFonts w:ascii="宋体" w:hAnsi="宋体" w:cs="宋体"/>
          <w:color w:val="auto"/>
          <w:highlight w:val="none"/>
        </w:rPr>
      </w:pPr>
    </w:p>
    <w:p w14:paraId="077F1DC4">
      <w:pPr>
        <w:pageBreakBefore w:val="0"/>
        <w:wordWrap w:val="0"/>
        <w:overflowPunct/>
        <w:topLinePunct w:val="0"/>
        <w:bidi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一、投标函………………………………………………………（页码）</w:t>
      </w:r>
    </w:p>
    <w:p w14:paraId="77DD1F6D">
      <w:pPr>
        <w:pageBreakBefore w:val="0"/>
        <w:wordWrap w:val="0"/>
        <w:overflowPunct/>
        <w:topLinePunct w:val="0"/>
        <w:bidi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二、开标一览表…………………………………………………（页码）</w:t>
      </w:r>
    </w:p>
    <w:p w14:paraId="2506EA65">
      <w:pPr>
        <w:pStyle w:val="9"/>
        <w:pageBreakBefore w:val="0"/>
        <w:wordWrap w:val="0"/>
        <w:overflowPunct/>
        <w:topLinePunct w:val="0"/>
        <w:bidi w:val="0"/>
        <w:spacing w:after="0" w:line="360" w:lineRule="auto"/>
        <w:rPr>
          <w:color w:val="auto"/>
          <w:highlight w:val="none"/>
        </w:rPr>
        <w:sectPr>
          <w:pgSz w:w="11906" w:h="16838"/>
          <w:pgMar w:top="1440" w:right="1080" w:bottom="1440" w:left="1080" w:header="720" w:footer="720" w:gutter="0"/>
          <w:pgNumType w:fmt="decimal"/>
          <w:cols w:space="720" w:num="1"/>
          <w:docGrid w:type="lines" w:linePitch="331" w:charSpace="0"/>
        </w:sectPr>
      </w:pPr>
    </w:p>
    <w:p w14:paraId="07E4A3D1">
      <w:pPr>
        <w:pStyle w:val="12"/>
        <w:pageBreakBefore w:val="0"/>
        <w:wordWrap w:val="0"/>
        <w:overflowPunct/>
        <w:topLinePunct w:val="0"/>
        <w:bidi w:val="0"/>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一、投标函</w:t>
      </w:r>
    </w:p>
    <w:p w14:paraId="1D31919A">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致：</w:t>
      </w:r>
      <w:bookmarkStart w:id="289" w:name="PO_3000001866_PM031_4"/>
      <w:r>
        <w:rPr>
          <w:rFonts w:hint="eastAsia" w:hAnsi="宋体" w:cs="宋体"/>
          <w:color w:val="auto"/>
          <w:highlight w:val="none"/>
          <w:u w:val="single"/>
        </w:rPr>
        <w:t>广西邕政采购代理有限公司</w:t>
      </w:r>
      <w:bookmarkEnd w:id="289"/>
    </w:p>
    <w:p w14:paraId="5B83E9C4">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我方已仔细阅读了贵方组织的</w:t>
      </w:r>
      <w:r>
        <w:rPr>
          <w:rFonts w:hint="eastAsia" w:hAnsi="宋体" w:cs="宋体"/>
          <w:color w:val="auto"/>
          <w:szCs w:val="21"/>
          <w:highlight w:val="none"/>
          <w:u w:val="single"/>
        </w:rPr>
        <w:t xml:space="preserve">（项目名称） </w:t>
      </w:r>
      <w:r>
        <w:rPr>
          <w:rFonts w:hint="eastAsia" w:hAnsi="宋体" w:cs="宋体"/>
          <w:color w:val="auto"/>
          <w:highlight w:val="none"/>
          <w:u w:val="single"/>
        </w:rPr>
        <w:t xml:space="preserve"> </w:t>
      </w:r>
      <w:r>
        <w:rPr>
          <w:rFonts w:hint="eastAsia" w:hAnsi="宋体" w:cs="宋体"/>
          <w:color w:val="auto"/>
          <w:highlight w:val="none"/>
        </w:rPr>
        <w:t>项目（项目编号：</w:t>
      </w:r>
      <w:r>
        <w:rPr>
          <w:rFonts w:hint="eastAsia" w:hAnsi="宋体" w:cs="宋体"/>
          <w:color w:val="auto"/>
          <w:highlight w:val="none"/>
          <w:u w:val="single"/>
        </w:rPr>
        <w:t xml:space="preserve">      </w:t>
      </w:r>
      <w:r>
        <w:rPr>
          <w:rFonts w:hint="eastAsia" w:hAnsi="宋体" w:cs="宋体"/>
          <w:color w:val="auto"/>
          <w:highlight w:val="none"/>
          <w:u w:val="single"/>
          <w:lang w:val="en-US" w:eastAsia="zh-CN"/>
        </w:rPr>
        <w:t xml:space="preserve">     </w:t>
      </w:r>
      <w:r>
        <w:rPr>
          <w:rFonts w:hint="eastAsia" w:hAnsi="宋体" w:cs="宋体"/>
          <w:color w:val="auto"/>
          <w:highlight w:val="none"/>
          <w:u w:val="single"/>
        </w:rPr>
        <w:t xml:space="preserve">   </w:t>
      </w:r>
      <w:r>
        <w:rPr>
          <w:rFonts w:hint="eastAsia" w:hAnsi="宋体" w:cs="宋体"/>
          <w:color w:val="auto"/>
          <w:highlight w:val="none"/>
        </w:rPr>
        <w:t>）的招标文件的全部内容，授权</w:t>
      </w:r>
      <w:r>
        <w:rPr>
          <w:rFonts w:hint="eastAsia" w:hAnsi="宋体" w:cs="宋体"/>
          <w:color w:val="auto"/>
          <w:highlight w:val="none"/>
          <w:u w:val="single"/>
        </w:rPr>
        <w:t xml:space="preserve">                      </w:t>
      </w:r>
      <w:r>
        <w:rPr>
          <w:rFonts w:hint="eastAsia" w:hAnsi="宋体" w:cs="宋体"/>
          <w:color w:val="auto"/>
          <w:highlight w:val="none"/>
        </w:rPr>
        <w:t>(全权代表姓名)</w:t>
      </w:r>
      <w:r>
        <w:rPr>
          <w:rFonts w:hint="eastAsia" w:hAnsi="宋体" w:cs="宋体"/>
          <w:color w:val="auto"/>
          <w:highlight w:val="none"/>
          <w:u w:val="single"/>
        </w:rPr>
        <w:t xml:space="preserve">          </w:t>
      </w:r>
      <w:r>
        <w:rPr>
          <w:rFonts w:hint="eastAsia" w:hAnsi="宋体" w:cs="宋体"/>
          <w:color w:val="auto"/>
          <w:highlight w:val="none"/>
        </w:rPr>
        <w:t xml:space="preserve"> (职务、职称)为全权代表，现正式递交下述文件参加贵方组织的本次政府采购活动： </w:t>
      </w:r>
    </w:p>
    <w:p w14:paraId="53B160F1">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一、报价文件电子版一份（包含按投标人须知前附表要求提交的全部文件）；</w:t>
      </w:r>
    </w:p>
    <w:p w14:paraId="1E16CAFC">
      <w:pPr>
        <w:pStyle w:val="12"/>
        <w:pageBreakBefore w:val="0"/>
        <w:wordWrap w:val="0"/>
        <w:overflowPunct/>
        <w:topLinePunct w:val="0"/>
        <w:bidi w:val="0"/>
        <w:spacing w:line="360" w:lineRule="auto"/>
        <w:ind w:firstLine="482"/>
        <w:rPr>
          <w:rFonts w:hAnsi="宋体" w:cs="宋体"/>
          <w:color w:val="auto"/>
          <w:highlight w:val="none"/>
        </w:rPr>
      </w:pPr>
      <w:r>
        <w:rPr>
          <w:rFonts w:hint="eastAsia" w:hAnsi="宋体" w:cs="宋体"/>
          <w:color w:val="auto"/>
          <w:highlight w:val="none"/>
        </w:rPr>
        <w:t>二、资格文件电子版一份（包含按投标人须知前附表要求提交的全部文件）；</w:t>
      </w:r>
    </w:p>
    <w:p w14:paraId="30BF34A4">
      <w:pPr>
        <w:pStyle w:val="12"/>
        <w:pageBreakBefore w:val="0"/>
        <w:wordWrap w:val="0"/>
        <w:overflowPunct/>
        <w:topLinePunct w:val="0"/>
        <w:bidi w:val="0"/>
        <w:spacing w:line="360" w:lineRule="auto"/>
        <w:ind w:firstLine="482"/>
        <w:rPr>
          <w:rFonts w:hAnsi="宋体" w:cs="宋体"/>
          <w:color w:val="auto"/>
          <w:highlight w:val="none"/>
        </w:rPr>
      </w:pPr>
      <w:r>
        <w:rPr>
          <w:rFonts w:hint="eastAsia" w:hAnsi="宋体" w:cs="宋体"/>
          <w:color w:val="auto"/>
          <w:highlight w:val="none"/>
        </w:rPr>
        <w:t>三、技术文件电子版一份（包含按投标人须知前附表要求提交的全部文件）；</w:t>
      </w:r>
    </w:p>
    <w:p w14:paraId="73C14D21">
      <w:pPr>
        <w:pStyle w:val="12"/>
        <w:pageBreakBefore w:val="0"/>
        <w:wordWrap w:val="0"/>
        <w:overflowPunct/>
        <w:topLinePunct w:val="0"/>
        <w:bidi w:val="0"/>
        <w:spacing w:line="360" w:lineRule="auto"/>
        <w:ind w:firstLine="482"/>
        <w:rPr>
          <w:rFonts w:hAnsi="宋体" w:cs="宋体"/>
          <w:color w:val="auto"/>
          <w:highlight w:val="none"/>
        </w:rPr>
      </w:pPr>
      <w:r>
        <w:rPr>
          <w:rFonts w:hint="eastAsia" w:hAnsi="宋体" w:cs="宋体"/>
          <w:color w:val="auto"/>
          <w:highlight w:val="none"/>
        </w:rPr>
        <w:t>四、商务文件电子版一份（包含按投标人须知前附表要求提交的全部文件）；</w:t>
      </w:r>
    </w:p>
    <w:p w14:paraId="0B6957BA">
      <w:pPr>
        <w:pStyle w:val="12"/>
        <w:pageBreakBefore w:val="0"/>
        <w:wordWrap w:val="0"/>
        <w:overflowPunct/>
        <w:topLinePunct w:val="0"/>
        <w:bidi w:val="0"/>
        <w:spacing w:line="360" w:lineRule="auto"/>
        <w:ind w:firstLine="482"/>
        <w:rPr>
          <w:rFonts w:hAnsi="宋体" w:cs="宋体"/>
          <w:color w:val="auto"/>
          <w:highlight w:val="none"/>
        </w:rPr>
      </w:pPr>
      <w:r>
        <w:rPr>
          <w:rFonts w:hint="eastAsia" w:hAnsi="宋体" w:cs="宋体"/>
          <w:color w:val="auto"/>
          <w:highlight w:val="none"/>
        </w:rPr>
        <w:t>据此函，签字人兹宣布：</w:t>
      </w:r>
    </w:p>
    <w:p w14:paraId="522DEF59">
      <w:pPr>
        <w:pStyle w:val="12"/>
        <w:pageBreakBefore w:val="0"/>
        <w:overflowPunct/>
        <w:topLinePunct w:val="0"/>
        <w:bidi w:val="0"/>
        <w:spacing w:line="360" w:lineRule="auto"/>
        <w:ind w:firstLine="420" w:firstLineChars="200"/>
        <w:rPr>
          <w:rFonts w:ascii="Times New Roman" w:hAnsi="Times New Roman"/>
          <w:color w:val="auto"/>
          <w:sz w:val="21"/>
          <w:szCs w:val="21"/>
          <w:highlight w:val="none"/>
        </w:rPr>
      </w:pPr>
      <w:r>
        <w:rPr>
          <w:rFonts w:hint="eastAsia"/>
          <w:color w:val="auto"/>
          <w:sz w:val="21"/>
          <w:szCs w:val="21"/>
          <w:highlight w:val="none"/>
        </w:rPr>
        <w:t>1、我方愿意以（大写）人民币</w:t>
      </w:r>
      <w:r>
        <w:rPr>
          <w:rFonts w:hint="eastAsia"/>
          <w:color w:val="auto"/>
          <w:sz w:val="21"/>
          <w:szCs w:val="21"/>
          <w:highlight w:val="none"/>
          <w:u w:val="single"/>
        </w:rPr>
        <w:t xml:space="preserve">              </w:t>
      </w:r>
      <w:r>
        <w:rPr>
          <w:rFonts w:hint="eastAsia"/>
          <w:color w:val="auto"/>
          <w:sz w:val="21"/>
          <w:szCs w:val="21"/>
          <w:highlight w:val="none"/>
        </w:rPr>
        <w:t>元 (</w:t>
      </w:r>
      <w:r>
        <w:rPr>
          <w:rFonts w:hint="eastAsia" w:hAnsi="宋体" w:cs="宋体"/>
          <w:color w:val="auto"/>
          <w:highlight w:val="none"/>
        </w:rPr>
        <w:t>¥</w:t>
      </w:r>
      <w:r>
        <w:rPr>
          <w:rFonts w:hint="eastAsia"/>
          <w:color w:val="auto"/>
          <w:sz w:val="21"/>
          <w:szCs w:val="21"/>
          <w:highlight w:val="none"/>
          <w:u w:val="single"/>
        </w:rPr>
        <w:t xml:space="preserve">          </w:t>
      </w:r>
      <w:r>
        <w:rPr>
          <w:rFonts w:hint="eastAsia"/>
          <w:color w:val="auto"/>
          <w:sz w:val="21"/>
          <w:szCs w:val="21"/>
          <w:highlight w:val="none"/>
        </w:rPr>
        <w:t>元)的投标总报价，</w:t>
      </w:r>
      <w:r>
        <w:rPr>
          <w:rFonts w:hint="eastAsia"/>
          <w:color w:val="auto"/>
          <w:sz w:val="21"/>
          <w:szCs w:val="21"/>
          <w:highlight w:val="none"/>
          <w:lang w:val="en-US" w:eastAsia="zh-CN"/>
        </w:rPr>
        <w:t>交付时间</w:t>
      </w:r>
      <w:r>
        <w:rPr>
          <w:rFonts w:hint="eastAsia"/>
          <w:color w:val="auto"/>
          <w:sz w:val="21"/>
          <w:szCs w:val="21"/>
          <w:highlight w:val="none"/>
        </w:rPr>
        <w:t>（无分标时填写）</w:t>
      </w:r>
      <w:r>
        <w:rPr>
          <w:rFonts w:hint="eastAsia"/>
          <w:color w:val="auto"/>
          <w:sz w:val="21"/>
          <w:szCs w:val="21"/>
          <w:highlight w:val="none"/>
          <w:u w:val="single"/>
        </w:rPr>
        <w:t xml:space="preserve">              </w:t>
      </w:r>
      <w:r>
        <w:rPr>
          <w:rFonts w:hint="eastAsia"/>
          <w:color w:val="auto"/>
          <w:sz w:val="21"/>
          <w:szCs w:val="21"/>
          <w:highlight w:val="none"/>
        </w:rPr>
        <w:t>，提供本项目</w:t>
      </w:r>
      <w:r>
        <w:rPr>
          <w:rFonts w:hint="eastAsia" w:hAnsi="Times New Roman"/>
          <w:color w:val="auto"/>
          <w:sz w:val="21"/>
          <w:szCs w:val="21"/>
          <w:highlight w:val="none"/>
        </w:rPr>
        <w:t>招标文件第二章</w:t>
      </w:r>
      <w:r>
        <w:rPr>
          <w:rFonts w:hint="eastAsia"/>
          <w:color w:val="auto"/>
          <w:sz w:val="21"/>
          <w:szCs w:val="21"/>
          <w:highlight w:val="none"/>
        </w:rPr>
        <w:t>“服务需求”中的相应的采购内容。</w:t>
      </w:r>
    </w:p>
    <w:p w14:paraId="5E60F410">
      <w:pPr>
        <w:pStyle w:val="12"/>
        <w:pageBreakBefore w:val="0"/>
        <w:overflowPunct/>
        <w:topLinePunct w:val="0"/>
        <w:bidi w:val="0"/>
        <w:spacing w:line="360" w:lineRule="auto"/>
        <w:ind w:firstLine="420" w:firstLineChars="200"/>
        <w:rPr>
          <w:rFonts w:ascii="Times New Roman" w:hAnsi="Times New Roman"/>
          <w:color w:val="auto"/>
          <w:sz w:val="21"/>
          <w:szCs w:val="21"/>
          <w:highlight w:val="none"/>
        </w:rPr>
      </w:pPr>
      <w:r>
        <w:rPr>
          <w:rFonts w:hint="eastAsia"/>
          <w:color w:val="auto"/>
          <w:sz w:val="21"/>
          <w:szCs w:val="21"/>
          <w:highlight w:val="none"/>
        </w:rPr>
        <w:t>其中（有分标时填写）：</w:t>
      </w:r>
    </w:p>
    <w:p w14:paraId="30B93423">
      <w:pPr>
        <w:pStyle w:val="12"/>
        <w:pageBreakBefore w:val="0"/>
        <w:overflowPunct/>
        <w:topLinePunct w:val="0"/>
        <w:bidi w:val="0"/>
        <w:spacing w:line="360" w:lineRule="auto"/>
        <w:ind w:firstLine="420" w:firstLineChars="200"/>
        <w:rPr>
          <w:color w:val="auto"/>
          <w:sz w:val="21"/>
          <w:szCs w:val="21"/>
          <w:highlight w:val="none"/>
          <w:u w:val="single"/>
        </w:rPr>
      </w:pPr>
      <w:r>
        <w:rPr>
          <w:rFonts w:hint="eastAsia"/>
          <w:color w:val="auto"/>
          <w:sz w:val="21"/>
          <w:szCs w:val="21"/>
          <w:highlight w:val="none"/>
          <w:u w:val="single"/>
        </w:rPr>
        <w:t xml:space="preserve">  </w:t>
      </w:r>
      <w:r>
        <w:rPr>
          <w:rFonts w:hint="eastAsia"/>
          <w:color w:val="auto"/>
          <w:sz w:val="21"/>
          <w:szCs w:val="21"/>
          <w:highlight w:val="none"/>
        </w:rPr>
        <w:t>分标报价为（大写）人民币</w:t>
      </w:r>
      <w:r>
        <w:rPr>
          <w:rFonts w:hint="eastAsia"/>
          <w:color w:val="auto"/>
          <w:sz w:val="21"/>
          <w:szCs w:val="21"/>
          <w:highlight w:val="none"/>
          <w:u w:val="single"/>
        </w:rPr>
        <w:t xml:space="preserve">              </w:t>
      </w:r>
      <w:r>
        <w:rPr>
          <w:rFonts w:hint="eastAsia"/>
          <w:color w:val="auto"/>
          <w:sz w:val="21"/>
          <w:szCs w:val="21"/>
          <w:highlight w:val="none"/>
        </w:rPr>
        <w:t>元 (</w:t>
      </w:r>
      <w:r>
        <w:rPr>
          <w:rFonts w:hint="eastAsia" w:hAnsi="宋体" w:cs="宋体"/>
          <w:color w:val="auto"/>
          <w:highlight w:val="none"/>
        </w:rPr>
        <w:t>¥</w:t>
      </w:r>
      <w:r>
        <w:rPr>
          <w:rFonts w:hint="eastAsia"/>
          <w:color w:val="auto"/>
          <w:sz w:val="21"/>
          <w:szCs w:val="21"/>
          <w:highlight w:val="none"/>
          <w:u w:val="single"/>
        </w:rPr>
        <w:t xml:space="preserve">          </w:t>
      </w:r>
      <w:r>
        <w:rPr>
          <w:rFonts w:hint="eastAsia"/>
          <w:color w:val="auto"/>
          <w:sz w:val="21"/>
          <w:szCs w:val="21"/>
          <w:highlight w:val="none"/>
        </w:rPr>
        <w:t>元)，</w:t>
      </w:r>
      <w:r>
        <w:rPr>
          <w:rFonts w:hint="eastAsia"/>
          <w:color w:val="auto"/>
          <w:sz w:val="21"/>
          <w:szCs w:val="21"/>
          <w:highlight w:val="none"/>
          <w:lang w:val="en-US" w:eastAsia="zh-CN"/>
        </w:rPr>
        <w:t>交付时间</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rPr>
        <w:t>；</w:t>
      </w:r>
    </w:p>
    <w:p w14:paraId="1E90530D">
      <w:pPr>
        <w:pStyle w:val="12"/>
        <w:pageBreakBefore w:val="0"/>
        <w:overflowPunct/>
        <w:topLinePunct w:val="0"/>
        <w:bidi w:val="0"/>
        <w:spacing w:line="360" w:lineRule="auto"/>
        <w:ind w:firstLine="420" w:firstLineChars="200"/>
        <w:rPr>
          <w:rFonts w:hint="eastAsia"/>
          <w:color w:val="auto"/>
          <w:sz w:val="21"/>
          <w:szCs w:val="21"/>
          <w:highlight w:val="none"/>
          <w:u w:val="single"/>
        </w:rPr>
      </w:pPr>
      <w:r>
        <w:rPr>
          <w:rFonts w:hint="eastAsia"/>
          <w:color w:val="auto"/>
          <w:sz w:val="21"/>
          <w:szCs w:val="21"/>
          <w:highlight w:val="none"/>
          <w:u w:val="single"/>
        </w:rPr>
        <w:t xml:space="preserve">  </w:t>
      </w:r>
      <w:r>
        <w:rPr>
          <w:rFonts w:hint="eastAsia"/>
          <w:color w:val="auto"/>
          <w:sz w:val="21"/>
          <w:szCs w:val="21"/>
          <w:highlight w:val="none"/>
        </w:rPr>
        <w:t>分标报价为（大写）人民币</w:t>
      </w:r>
      <w:r>
        <w:rPr>
          <w:rFonts w:hint="eastAsia"/>
          <w:color w:val="auto"/>
          <w:sz w:val="21"/>
          <w:szCs w:val="21"/>
          <w:highlight w:val="none"/>
          <w:u w:val="single"/>
        </w:rPr>
        <w:t xml:space="preserve">              </w:t>
      </w:r>
      <w:r>
        <w:rPr>
          <w:rFonts w:hint="eastAsia"/>
          <w:color w:val="auto"/>
          <w:sz w:val="21"/>
          <w:szCs w:val="21"/>
          <w:highlight w:val="none"/>
        </w:rPr>
        <w:t>元 (</w:t>
      </w:r>
      <w:r>
        <w:rPr>
          <w:rFonts w:hint="eastAsia" w:hAnsi="宋体" w:cs="宋体"/>
          <w:color w:val="auto"/>
          <w:highlight w:val="none"/>
        </w:rPr>
        <w:t>¥</w:t>
      </w:r>
      <w:r>
        <w:rPr>
          <w:rFonts w:hint="eastAsia"/>
          <w:color w:val="auto"/>
          <w:sz w:val="21"/>
          <w:szCs w:val="21"/>
          <w:highlight w:val="none"/>
          <w:u w:val="single"/>
        </w:rPr>
        <w:t xml:space="preserve">          </w:t>
      </w:r>
      <w:r>
        <w:rPr>
          <w:rFonts w:hint="eastAsia"/>
          <w:color w:val="auto"/>
          <w:sz w:val="21"/>
          <w:szCs w:val="21"/>
          <w:highlight w:val="none"/>
        </w:rPr>
        <w:t>元)，</w:t>
      </w:r>
      <w:r>
        <w:rPr>
          <w:rFonts w:hint="eastAsia"/>
          <w:color w:val="auto"/>
          <w:sz w:val="21"/>
          <w:szCs w:val="21"/>
          <w:highlight w:val="none"/>
          <w:lang w:val="en-US" w:eastAsia="zh-CN"/>
        </w:rPr>
        <w:t>交付时间</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rPr>
        <w:t>；</w:t>
      </w:r>
    </w:p>
    <w:p w14:paraId="4CB6554D">
      <w:pPr>
        <w:pStyle w:val="12"/>
        <w:pageBreakBefore w:val="0"/>
        <w:overflowPunct/>
        <w:topLinePunct w:val="0"/>
        <w:bidi w:val="0"/>
        <w:spacing w:line="360" w:lineRule="auto"/>
        <w:ind w:firstLine="420" w:firstLineChars="200"/>
        <w:rPr>
          <w:rFonts w:hint="eastAsia"/>
          <w:color w:val="auto"/>
          <w:sz w:val="21"/>
          <w:szCs w:val="21"/>
          <w:highlight w:val="none"/>
          <w:u w:val="single"/>
        </w:rPr>
      </w:pPr>
      <w:r>
        <w:rPr>
          <w:rFonts w:hint="eastAsia"/>
          <w:color w:val="auto"/>
          <w:sz w:val="21"/>
          <w:szCs w:val="21"/>
          <w:highlight w:val="none"/>
        </w:rPr>
        <w:t>......</w:t>
      </w:r>
    </w:p>
    <w:p w14:paraId="69C49483">
      <w:pPr>
        <w:pStyle w:val="12"/>
        <w:pageBreakBefore w:val="0"/>
        <w:wordWrap w:val="0"/>
        <w:overflowPunct/>
        <w:topLinePunct w:val="0"/>
        <w:bidi w:val="0"/>
        <w:spacing w:line="360" w:lineRule="auto"/>
        <w:ind w:firstLine="420" w:firstLineChars="200"/>
        <w:rPr>
          <w:rFonts w:hAnsi="宋体" w:cs="宋体"/>
          <w:color w:val="auto"/>
          <w:highlight w:val="none"/>
          <w:u w:val="single"/>
        </w:rPr>
      </w:pPr>
      <w:r>
        <w:rPr>
          <w:rFonts w:hint="eastAsia" w:hAnsi="宋体" w:cs="宋体"/>
          <w:color w:val="auto"/>
          <w:highlight w:val="none"/>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53933DC3">
      <w:pPr>
        <w:pStyle w:val="12"/>
        <w:pageBreakBefore w:val="0"/>
        <w:wordWrap w:val="0"/>
        <w:overflowPunct/>
        <w:topLinePunct w:val="0"/>
        <w:bidi w:val="0"/>
        <w:spacing w:line="360" w:lineRule="auto"/>
        <w:ind w:firstLine="420" w:firstLineChars="200"/>
        <w:rPr>
          <w:rFonts w:hAnsi="宋体" w:cs="宋体"/>
          <w:color w:val="auto"/>
          <w:highlight w:val="none"/>
          <w:u w:val="single"/>
        </w:rPr>
      </w:pPr>
      <w:r>
        <w:rPr>
          <w:rFonts w:hint="eastAsia" w:hAnsi="宋体" w:cs="宋体"/>
          <w:color w:val="auto"/>
          <w:highlight w:val="none"/>
        </w:rPr>
        <w:t>3、我方所递交的投标文件及有关资料都是内容完整、真实和准确的。</w:t>
      </w:r>
    </w:p>
    <w:p w14:paraId="59C1E2D5">
      <w:pPr>
        <w:pStyle w:val="12"/>
        <w:pageBreakBefore w:val="0"/>
        <w:wordWrap w:val="0"/>
        <w:overflowPunct/>
        <w:topLinePunct w:val="0"/>
        <w:bidi w:val="0"/>
        <w:spacing w:line="360" w:lineRule="auto"/>
        <w:ind w:firstLine="482"/>
        <w:rPr>
          <w:rFonts w:hAnsi="宋体" w:cs="宋体"/>
          <w:color w:val="auto"/>
          <w:highlight w:val="none"/>
        </w:rPr>
      </w:pPr>
      <w:r>
        <w:rPr>
          <w:rFonts w:hint="eastAsia" w:hAnsi="宋体" w:cs="宋体"/>
          <w:color w:val="auto"/>
          <w:highlight w:val="none"/>
        </w:rPr>
        <w:t>4、</w:t>
      </w:r>
      <w:r>
        <w:rPr>
          <w:rFonts w:hint="eastAsia" w:hAnsi="宋体" w:cs="宋体"/>
          <w:color w:val="auto"/>
          <w:szCs w:val="21"/>
          <w:highlight w:val="none"/>
        </w:rPr>
        <w:t>如本项目采购内容涉及须符合国家强制规定的，我方承诺我方本次投标（包括资格条件和所投产品）均符合国家有关强制规定。</w:t>
      </w:r>
    </w:p>
    <w:p w14:paraId="74E307BA">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7660C519">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6、我方已详细审核招标文件，我方知道必须放弃提出含糊不清或误解问题的权利。</w:t>
      </w:r>
    </w:p>
    <w:p w14:paraId="7713FAF0">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7、我方同意应贵方要求提供与本投标有关的任何数据或资料。若贵方需要，我方愿意提供我方作出的一切承诺的证明材料。</w:t>
      </w:r>
    </w:p>
    <w:p w14:paraId="130F2680">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8、我方完全理解贵方不一定接受投标报价最低的投标人为中标供应商的行为。</w:t>
      </w:r>
    </w:p>
    <w:p w14:paraId="1A7253DA">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55313DA">
      <w:pPr>
        <w:pStyle w:val="12"/>
        <w:pageBreakBefore w:val="0"/>
        <w:numPr>
          <w:ilvl w:val="0"/>
          <w:numId w:val="10"/>
        </w:numPr>
        <w:tabs>
          <w:tab w:val="left" w:pos="1140"/>
        </w:tabs>
        <w:wordWrap w:val="0"/>
        <w:overflowPunct/>
        <w:topLinePunct w:val="0"/>
        <w:bidi w:val="0"/>
        <w:spacing w:line="360" w:lineRule="auto"/>
        <w:rPr>
          <w:rFonts w:hAnsi="宋体" w:cs="宋体"/>
          <w:color w:val="auto"/>
          <w:highlight w:val="none"/>
        </w:rPr>
      </w:pPr>
      <w:r>
        <w:rPr>
          <w:rFonts w:hint="eastAsia" w:hAnsi="宋体" w:cs="宋体"/>
          <w:color w:val="auto"/>
          <w:highlight w:val="none"/>
        </w:rPr>
        <w:t>提供虚假材料谋取中标、成交的；</w:t>
      </w:r>
    </w:p>
    <w:p w14:paraId="316122D5">
      <w:pPr>
        <w:pStyle w:val="12"/>
        <w:pageBreakBefore w:val="0"/>
        <w:numPr>
          <w:ilvl w:val="0"/>
          <w:numId w:val="10"/>
        </w:numPr>
        <w:tabs>
          <w:tab w:val="left" w:pos="1140"/>
        </w:tabs>
        <w:wordWrap w:val="0"/>
        <w:overflowPunct/>
        <w:topLinePunct w:val="0"/>
        <w:bidi w:val="0"/>
        <w:spacing w:line="360" w:lineRule="auto"/>
        <w:rPr>
          <w:rFonts w:hAnsi="宋体" w:cs="宋体"/>
          <w:color w:val="auto"/>
          <w:highlight w:val="none"/>
        </w:rPr>
      </w:pPr>
      <w:r>
        <w:rPr>
          <w:rFonts w:hint="eastAsia" w:hAnsi="宋体" w:cs="宋体"/>
          <w:color w:val="auto"/>
          <w:highlight w:val="none"/>
        </w:rPr>
        <w:t>采取不正当手段诋毁、排挤其他供应商的；</w:t>
      </w:r>
    </w:p>
    <w:p w14:paraId="782AA889">
      <w:pPr>
        <w:pStyle w:val="12"/>
        <w:pageBreakBefore w:val="0"/>
        <w:numPr>
          <w:ilvl w:val="0"/>
          <w:numId w:val="10"/>
        </w:numPr>
        <w:tabs>
          <w:tab w:val="left" w:pos="1140"/>
        </w:tabs>
        <w:wordWrap w:val="0"/>
        <w:overflowPunct/>
        <w:topLinePunct w:val="0"/>
        <w:bidi w:val="0"/>
        <w:spacing w:line="360" w:lineRule="auto"/>
        <w:rPr>
          <w:rFonts w:hAnsi="宋体" w:cs="宋体"/>
          <w:color w:val="auto"/>
          <w:highlight w:val="none"/>
        </w:rPr>
      </w:pPr>
      <w:r>
        <w:rPr>
          <w:rFonts w:hint="eastAsia" w:hAnsi="宋体" w:cs="宋体"/>
          <w:color w:val="auto"/>
          <w:highlight w:val="none"/>
        </w:rPr>
        <w:t>与采购人、其他供应商或者采购代理机构恶意串通的；</w:t>
      </w:r>
    </w:p>
    <w:p w14:paraId="371986AD">
      <w:pPr>
        <w:pStyle w:val="12"/>
        <w:pageBreakBefore w:val="0"/>
        <w:numPr>
          <w:ilvl w:val="0"/>
          <w:numId w:val="10"/>
        </w:numPr>
        <w:tabs>
          <w:tab w:val="left" w:pos="1140"/>
        </w:tabs>
        <w:wordWrap w:val="0"/>
        <w:overflowPunct/>
        <w:topLinePunct w:val="0"/>
        <w:bidi w:val="0"/>
        <w:spacing w:line="360" w:lineRule="auto"/>
        <w:rPr>
          <w:rFonts w:hAnsi="宋体" w:cs="宋体"/>
          <w:color w:val="auto"/>
          <w:highlight w:val="none"/>
        </w:rPr>
      </w:pPr>
      <w:r>
        <w:rPr>
          <w:rFonts w:hint="eastAsia" w:hAnsi="宋体" w:cs="宋体"/>
          <w:color w:val="auto"/>
          <w:highlight w:val="none"/>
        </w:rPr>
        <w:t>向采购人、采购代理机构行贿或者提供其他不正当利益的；</w:t>
      </w:r>
    </w:p>
    <w:p w14:paraId="2881E309">
      <w:pPr>
        <w:pStyle w:val="12"/>
        <w:pageBreakBefore w:val="0"/>
        <w:numPr>
          <w:ilvl w:val="0"/>
          <w:numId w:val="10"/>
        </w:numPr>
        <w:tabs>
          <w:tab w:val="left" w:pos="1140"/>
        </w:tabs>
        <w:wordWrap w:val="0"/>
        <w:overflowPunct/>
        <w:topLinePunct w:val="0"/>
        <w:bidi w:val="0"/>
        <w:spacing w:line="360" w:lineRule="auto"/>
        <w:rPr>
          <w:rFonts w:hAnsi="宋体" w:cs="宋体"/>
          <w:color w:val="auto"/>
          <w:highlight w:val="none"/>
        </w:rPr>
      </w:pPr>
      <w:r>
        <w:rPr>
          <w:rFonts w:hint="eastAsia" w:hAnsi="宋体" w:cs="宋体"/>
          <w:color w:val="auto"/>
          <w:highlight w:val="none"/>
        </w:rPr>
        <w:t>在招标采购过程中与采购人进行协商谈判的；</w:t>
      </w:r>
    </w:p>
    <w:p w14:paraId="54239D8E">
      <w:pPr>
        <w:pStyle w:val="12"/>
        <w:pageBreakBefore w:val="0"/>
        <w:numPr>
          <w:ilvl w:val="0"/>
          <w:numId w:val="10"/>
        </w:numPr>
        <w:tabs>
          <w:tab w:val="left" w:pos="1140"/>
        </w:tabs>
        <w:wordWrap w:val="0"/>
        <w:overflowPunct/>
        <w:topLinePunct w:val="0"/>
        <w:bidi w:val="0"/>
        <w:spacing w:line="360" w:lineRule="auto"/>
        <w:rPr>
          <w:rFonts w:hAnsi="宋体" w:cs="宋体"/>
          <w:color w:val="auto"/>
          <w:highlight w:val="none"/>
        </w:rPr>
      </w:pPr>
      <w:r>
        <w:rPr>
          <w:rFonts w:hint="eastAsia" w:hAnsi="宋体" w:cs="宋体"/>
          <w:color w:val="auto"/>
          <w:highlight w:val="none"/>
        </w:rPr>
        <w:t>拒绝有关部门监督检查或提供虚假情况的。</w:t>
      </w:r>
    </w:p>
    <w:p w14:paraId="59FE500B">
      <w:pPr>
        <w:pStyle w:val="12"/>
        <w:pageBreakBefore w:val="0"/>
        <w:wordWrap w:val="0"/>
        <w:overflowPunct/>
        <w:topLinePunct w:val="0"/>
        <w:bidi w:val="0"/>
        <w:spacing w:line="360" w:lineRule="auto"/>
        <w:ind w:left="420"/>
        <w:rPr>
          <w:rFonts w:hAnsi="宋体" w:cs="宋体"/>
          <w:color w:val="auto"/>
          <w:highlight w:val="none"/>
        </w:rPr>
      </w:pPr>
      <w:r>
        <w:rPr>
          <w:rFonts w:hint="eastAsia" w:hAnsi="宋体" w:cs="宋体"/>
          <w:color w:val="auto"/>
          <w:highlight w:val="none"/>
        </w:rPr>
        <w:t>10、我方及由本人担任法定代表人的其他机构最近三年内被处罚的违法行为有：</w:t>
      </w:r>
      <w:r>
        <w:rPr>
          <w:rFonts w:hint="eastAsia" w:hAnsi="宋体" w:cs="宋体"/>
          <w:color w:val="auto"/>
          <w:highlight w:val="none"/>
          <w:u w:val="single"/>
        </w:rPr>
        <w:t xml:space="preserve">                                        </w:t>
      </w:r>
    </w:p>
    <w:p w14:paraId="421020E2">
      <w:pPr>
        <w:pStyle w:val="12"/>
        <w:pageBreakBefore w:val="0"/>
        <w:wordWrap w:val="0"/>
        <w:overflowPunct/>
        <w:topLinePunct w:val="0"/>
        <w:bidi w:val="0"/>
        <w:spacing w:line="360" w:lineRule="auto"/>
        <w:ind w:left="420"/>
        <w:rPr>
          <w:rFonts w:hAnsi="宋体" w:cs="宋体"/>
          <w:color w:val="auto"/>
          <w:highlight w:val="none"/>
        </w:rPr>
      </w:pPr>
      <w:r>
        <w:rPr>
          <w:rFonts w:hint="eastAsia" w:hAnsi="宋体" w:cs="宋体"/>
          <w:color w:val="auto"/>
          <w:highlight w:val="none"/>
          <w:u w:val="single"/>
        </w:rPr>
        <w:t xml:space="preserve">                                                                                                                        </w:t>
      </w:r>
    </w:p>
    <w:p w14:paraId="4EB7DA61">
      <w:pPr>
        <w:pStyle w:val="12"/>
        <w:pageBreakBefore w:val="0"/>
        <w:wordWrap w:val="0"/>
        <w:overflowPunct/>
        <w:topLinePunct w:val="0"/>
        <w:bidi w:val="0"/>
        <w:spacing w:line="360" w:lineRule="auto"/>
        <w:ind w:firstLine="420"/>
        <w:rPr>
          <w:rFonts w:hAnsi="宋体" w:cs="宋体"/>
          <w:color w:val="auto"/>
          <w:highlight w:val="none"/>
        </w:rPr>
      </w:pPr>
      <w:r>
        <w:rPr>
          <w:rFonts w:hint="eastAsia" w:hAnsi="宋体" w:cs="宋体"/>
          <w:color w:val="auto"/>
          <w:highlight w:val="none"/>
        </w:rPr>
        <w:t>11、以上事项如有虚假或隐瞒，我方愿意承担一切后果，并不再寻求任何旨在减轻或免除法律责任的辩解。</w:t>
      </w:r>
    </w:p>
    <w:p w14:paraId="722FF443">
      <w:pPr>
        <w:pStyle w:val="12"/>
        <w:pageBreakBefore w:val="0"/>
        <w:wordWrap w:val="0"/>
        <w:overflowPunct/>
        <w:topLinePunct w:val="0"/>
        <w:bidi w:val="0"/>
        <w:spacing w:line="360" w:lineRule="auto"/>
        <w:ind w:firstLine="420"/>
        <w:rPr>
          <w:rFonts w:hAnsi="宋体" w:cs="宋体"/>
          <w:color w:val="auto"/>
          <w:highlight w:val="none"/>
        </w:rPr>
      </w:pPr>
      <w:r>
        <w:rPr>
          <w:rFonts w:hint="eastAsia" w:hAnsi="宋体" w:cs="宋体"/>
          <w:color w:val="auto"/>
          <w:highlight w:val="none"/>
        </w:rPr>
        <w:t>12、与本投标有关的一切正式往来信函请寄：</w:t>
      </w:r>
      <w:r>
        <w:rPr>
          <w:rFonts w:hint="eastAsia" w:hAnsi="宋体" w:cs="宋体"/>
          <w:color w:val="auto"/>
          <w:highlight w:val="none"/>
          <w:u w:val="single"/>
        </w:rPr>
        <w:t xml:space="preserve"> </w:t>
      </w:r>
    </w:p>
    <w:p w14:paraId="2AD33BD4">
      <w:pPr>
        <w:pStyle w:val="12"/>
        <w:pageBreakBefore w:val="0"/>
        <w:wordWrap w:val="0"/>
        <w:overflowPunct/>
        <w:topLinePunct w:val="0"/>
        <w:bidi w:val="0"/>
        <w:spacing w:line="360" w:lineRule="auto"/>
        <w:ind w:firstLine="420"/>
        <w:rPr>
          <w:rFonts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 xml:space="preserve">                                                        </w:t>
      </w:r>
      <w:r>
        <w:rPr>
          <w:rFonts w:hint="eastAsia" w:hAnsi="宋体" w:cs="宋体"/>
          <w:color w:val="auto"/>
          <w:highlight w:val="none"/>
        </w:rPr>
        <w:t xml:space="preserve"> </w:t>
      </w:r>
    </w:p>
    <w:p w14:paraId="4102A654">
      <w:pPr>
        <w:pStyle w:val="12"/>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电话：</w:t>
      </w:r>
      <w:r>
        <w:rPr>
          <w:rFonts w:hint="eastAsia" w:hAnsi="宋体" w:cs="宋体"/>
          <w:color w:val="auto"/>
          <w:highlight w:val="none"/>
          <w:u w:val="single"/>
        </w:rPr>
        <w:t xml:space="preserve">                                      　　　　　　　　　</w:t>
      </w:r>
    </w:p>
    <w:p w14:paraId="2ED858AC">
      <w:pPr>
        <w:pStyle w:val="12"/>
        <w:pageBreakBefore w:val="0"/>
        <w:wordWrap w:val="0"/>
        <w:overflowPunct/>
        <w:topLinePunct w:val="0"/>
        <w:bidi w:val="0"/>
        <w:spacing w:line="360" w:lineRule="auto"/>
        <w:ind w:firstLine="420"/>
        <w:rPr>
          <w:rFonts w:hAnsi="宋体" w:cs="宋体"/>
          <w:color w:val="auto"/>
          <w:highlight w:val="none"/>
        </w:rPr>
      </w:pPr>
      <w:r>
        <w:rPr>
          <w:rFonts w:hint="eastAsia" w:hAnsi="宋体" w:cs="宋体"/>
          <w:color w:val="auto"/>
          <w:highlight w:val="none"/>
        </w:rPr>
        <w:t>传真：</w:t>
      </w:r>
      <w:r>
        <w:rPr>
          <w:rFonts w:hint="eastAsia" w:hAnsi="宋体" w:cs="宋体"/>
          <w:color w:val="auto"/>
          <w:highlight w:val="none"/>
          <w:u w:val="single"/>
        </w:rPr>
        <w:t>　　　　　　　　　　　　　　　　　　　　　　　　　　　　</w:t>
      </w:r>
    </w:p>
    <w:p w14:paraId="6ABCDDB2">
      <w:pPr>
        <w:pStyle w:val="12"/>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邮政编码：</w:t>
      </w:r>
      <w:r>
        <w:rPr>
          <w:rFonts w:hint="eastAsia" w:hAnsi="宋体" w:cs="宋体"/>
          <w:color w:val="auto"/>
          <w:highlight w:val="none"/>
          <w:u w:val="single"/>
        </w:rPr>
        <w:t xml:space="preserve">                                                    </w:t>
      </w:r>
    </w:p>
    <w:p w14:paraId="428D392A">
      <w:pPr>
        <w:pStyle w:val="12"/>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开户名称：</w:t>
      </w:r>
      <w:r>
        <w:rPr>
          <w:rFonts w:hint="eastAsia" w:hAnsi="宋体" w:cs="宋体"/>
          <w:color w:val="auto"/>
          <w:highlight w:val="none"/>
          <w:u w:val="single"/>
        </w:rPr>
        <w:t xml:space="preserve">                                                    </w:t>
      </w:r>
    </w:p>
    <w:p w14:paraId="0441A282">
      <w:pPr>
        <w:pStyle w:val="12"/>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开户银行：</w:t>
      </w:r>
      <w:r>
        <w:rPr>
          <w:rFonts w:hint="eastAsia" w:hAnsi="宋体" w:cs="宋体"/>
          <w:color w:val="auto"/>
          <w:highlight w:val="none"/>
          <w:u w:val="single"/>
        </w:rPr>
        <w:t xml:space="preserve">                                                    </w:t>
      </w:r>
    </w:p>
    <w:p w14:paraId="57DC01D8">
      <w:pPr>
        <w:pStyle w:val="12"/>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银行账号：</w:t>
      </w:r>
      <w:r>
        <w:rPr>
          <w:rFonts w:hint="eastAsia" w:hAnsi="宋体" w:cs="宋体"/>
          <w:color w:val="auto"/>
          <w:highlight w:val="none"/>
          <w:u w:val="single"/>
        </w:rPr>
        <w:t xml:space="preserve">                                                    </w:t>
      </w:r>
    </w:p>
    <w:p w14:paraId="07DEE0C0">
      <w:pPr>
        <w:pageBreakBefore w:val="0"/>
        <w:wordWrap w:val="0"/>
        <w:overflowPunct/>
        <w:topLinePunct w:val="0"/>
        <w:bidi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205E39C9">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85D3044">
      <w:pPr>
        <w:pageBreakBefore w:val="0"/>
        <w:widowControl/>
        <w:wordWrap w:val="0"/>
        <w:overflowPunct/>
        <w:topLinePunct w:val="0"/>
        <w:bidi w:val="0"/>
        <w:spacing w:line="360" w:lineRule="auto"/>
        <w:jc w:val="left"/>
        <w:rPr>
          <w:rFonts w:ascii="宋体" w:hAnsi="宋体" w:cs="宋体"/>
          <w:color w:val="auto"/>
          <w:kern w:val="0"/>
          <w:sz w:val="24"/>
          <w:highlight w:val="none"/>
          <w:lang w:val="zh-CN"/>
        </w:rPr>
        <w:sectPr>
          <w:pgSz w:w="11906" w:h="16838"/>
          <w:pgMar w:top="1440" w:right="1080" w:bottom="1440" w:left="1080" w:header="720" w:footer="720" w:gutter="0"/>
          <w:pgNumType w:fmt="decimal"/>
          <w:cols w:space="720" w:num="1"/>
          <w:docGrid w:type="lines" w:linePitch="331" w:charSpace="0"/>
        </w:sectPr>
      </w:pPr>
    </w:p>
    <w:p w14:paraId="3DC3D461">
      <w:pPr>
        <w:pStyle w:val="12"/>
        <w:pageBreakBefore w:val="0"/>
        <w:wordWrap w:val="0"/>
        <w:overflowPunct/>
        <w:topLinePunct w:val="0"/>
        <w:bidi w:val="0"/>
        <w:spacing w:line="360" w:lineRule="auto"/>
        <w:jc w:val="center"/>
        <w:rPr>
          <w:rFonts w:hAnsi="宋体" w:cs="宋体"/>
          <w:b/>
          <w:color w:val="auto"/>
          <w:sz w:val="30"/>
          <w:szCs w:val="30"/>
          <w:highlight w:val="none"/>
        </w:rPr>
      </w:pPr>
      <w:r>
        <w:rPr>
          <w:rFonts w:hint="eastAsia" w:hAnsi="宋体" w:cs="宋体"/>
          <w:color w:val="auto"/>
          <w:sz w:val="30"/>
          <w:highlight w:val="none"/>
        </w:rPr>
        <w:t>二、</w:t>
      </w:r>
      <w:r>
        <w:rPr>
          <w:rFonts w:hint="eastAsia" w:hAnsi="宋体" w:cs="宋体"/>
          <w:b/>
          <w:color w:val="auto"/>
          <w:sz w:val="30"/>
          <w:szCs w:val="30"/>
          <w:highlight w:val="none"/>
        </w:rPr>
        <w:t>开标一览表</w:t>
      </w:r>
      <w:r>
        <w:rPr>
          <w:rFonts w:hint="eastAsia" w:hAnsi="宋体" w:cs="宋体"/>
          <w:b/>
          <w:color w:val="auto"/>
          <w:kern w:val="0"/>
          <w:sz w:val="24"/>
          <w:highlight w:val="none"/>
          <w:lang w:val="zh-CN"/>
        </w:rPr>
        <w:t>(单位均为人民币元)</w:t>
      </w:r>
    </w:p>
    <w:p w14:paraId="6B1ECC2A">
      <w:pPr>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1C319B8">
      <w:pPr>
        <w:pageBreakBefore w:val="0"/>
        <w:wordWrap w:val="0"/>
        <w:overflowPunct/>
        <w:topLinePunct w:val="0"/>
        <w:bidi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p>
    <w:p w14:paraId="25A68766">
      <w:pPr>
        <w:pStyle w:val="12"/>
        <w:keepNext w:val="0"/>
        <w:keepLines w:val="0"/>
        <w:pageBreakBefore w:val="0"/>
        <w:widowControl w:val="0"/>
        <w:kinsoku/>
        <w:wordWrap w:val="0"/>
        <w:overflowPunct/>
        <w:topLinePunct w:val="0"/>
        <w:autoSpaceDE/>
        <w:autoSpaceDN/>
        <w:bidi w:val="0"/>
        <w:adjustRightInd/>
        <w:snapToGrid/>
        <w:spacing w:line="360" w:lineRule="auto"/>
        <w:ind w:left="0" w:firstLine="0" w:firstLineChars="0"/>
        <w:textAlignment w:val="auto"/>
        <w:rPr>
          <w:rFonts w:hint="eastAsia" w:hAnsi="宋体" w:cs="宋体"/>
          <w:color w:val="auto"/>
          <w:sz w:val="24"/>
          <w:highlight w:val="none"/>
        </w:rPr>
      </w:pPr>
      <w:r>
        <w:rPr>
          <w:rFonts w:hint="eastAsia" w:hAnsi="宋体" w:cs="宋体"/>
          <w:color w:val="auto"/>
          <w:sz w:val="24"/>
          <w:highlight w:val="none"/>
        </w:rPr>
        <w:t>投标人名称：</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p>
    <w:tbl>
      <w:tblPr>
        <w:tblStyle w:val="19"/>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gridCol w:w="957"/>
      </w:tblGrid>
      <w:tr w14:paraId="579E8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6A568557">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EAA3FB8">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服务名称</w:t>
            </w:r>
          </w:p>
        </w:tc>
        <w:tc>
          <w:tcPr>
            <w:tcW w:w="2064" w:type="dxa"/>
            <w:tcBorders>
              <w:top w:val="single" w:color="auto" w:sz="4" w:space="0"/>
              <w:left w:val="single" w:color="auto" w:sz="4" w:space="0"/>
              <w:bottom w:val="single" w:color="auto" w:sz="4" w:space="0"/>
              <w:right w:val="single" w:color="auto" w:sz="4" w:space="0"/>
            </w:tcBorders>
            <w:noWrap w:val="0"/>
            <w:vAlign w:val="center"/>
          </w:tcPr>
          <w:p w14:paraId="66FADFF1">
            <w:pPr>
              <w:pageBreakBefore w:val="0"/>
              <w:overflowPunct/>
              <w:topLinePunct w:val="0"/>
              <w:bidi w:val="0"/>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具体服务内容（含具体服务范围、服务时间、服务标准等内容）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28E77CF">
            <w:pPr>
              <w:pageBreakBefore w:val="0"/>
              <w:overflowPunct/>
              <w:topLinePunct w:val="0"/>
              <w:bidi w:val="0"/>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数量①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527C3D0">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单价(元)②</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41A838C9">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单项合价（元）</w:t>
            </w:r>
          </w:p>
          <w:p w14:paraId="64DEC4F1">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③＝①×②</w:t>
            </w:r>
          </w:p>
        </w:tc>
        <w:tc>
          <w:tcPr>
            <w:tcW w:w="957" w:type="dxa"/>
            <w:tcBorders>
              <w:top w:val="single" w:color="auto" w:sz="4" w:space="0"/>
              <w:left w:val="single" w:color="auto" w:sz="4" w:space="0"/>
              <w:bottom w:val="single" w:color="auto" w:sz="4" w:space="0"/>
              <w:right w:val="single" w:color="auto" w:sz="4" w:space="0"/>
            </w:tcBorders>
            <w:noWrap w:val="0"/>
            <w:vAlign w:val="top"/>
          </w:tcPr>
          <w:p w14:paraId="62E03571">
            <w:pPr>
              <w:pageBreakBefore w:val="0"/>
              <w:overflowPunct/>
              <w:topLinePunct w:val="0"/>
              <w:bidi w:val="0"/>
              <w:spacing w:line="360" w:lineRule="auto"/>
              <w:jc w:val="center"/>
              <w:rPr>
                <w:rFonts w:hint="default" w:ascii="宋体" w:hAnsi="宋体"/>
                <w:color w:val="auto"/>
                <w:sz w:val="24"/>
                <w:szCs w:val="24"/>
                <w:highlight w:val="none"/>
                <w:lang w:val="en-U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交付时间</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259E5552">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备注</w:t>
            </w:r>
          </w:p>
        </w:tc>
      </w:tr>
      <w:tr w14:paraId="70E9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13FF2138">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1E9A408">
            <w:pPr>
              <w:pageBreakBefore w:val="0"/>
              <w:overflowPunct/>
              <w:topLinePunct w:val="0"/>
              <w:bidi w:val="0"/>
              <w:spacing w:line="360" w:lineRule="auto"/>
              <w:rPr>
                <w:rFonts w:hint="eastAsia" w:ascii="宋体" w:hAnsi="宋体"/>
                <w:color w:val="auto"/>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1B6D6348">
            <w:pPr>
              <w:pageBreakBefore w:val="0"/>
              <w:overflowPunct/>
              <w:topLinePunct w:val="0"/>
              <w:bidi w:val="0"/>
              <w:spacing w:line="360" w:lineRule="auto"/>
              <w:rPr>
                <w:rFonts w:hint="eastAsia" w:ascii="宋体" w:hAnsi="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DAE9218">
            <w:pPr>
              <w:pageBreakBefore w:val="0"/>
              <w:overflowPunct/>
              <w:topLinePunct w:val="0"/>
              <w:bidi w:val="0"/>
              <w:spacing w:line="360" w:lineRule="auto"/>
              <w:rPr>
                <w:rFonts w:hint="eastAsia" w:ascii="宋体" w:hAns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20B5B44">
            <w:pPr>
              <w:pageBreakBefore w:val="0"/>
              <w:overflowPunct/>
              <w:topLinePunct w:val="0"/>
              <w:bidi w:val="0"/>
              <w:spacing w:line="360" w:lineRule="auto"/>
              <w:rPr>
                <w:rFonts w:hint="eastAsia" w:ascii="宋体" w:hAnsi="宋体"/>
                <w:color w:val="auto"/>
                <w:sz w:val="24"/>
                <w:szCs w:val="24"/>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05ACC0DC">
            <w:pPr>
              <w:pageBreakBefore w:val="0"/>
              <w:overflowPunct/>
              <w:topLinePunct w:val="0"/>
              <w:bidi w:val="0"/>
              <w:spacing w:line="360" w:lineRule="auto"/>
              <w:rPr>
                <w:rFonts w:hint="eastAsia" w:ascii="宋体" w:hAnsi="宋体"/>
                <w:color w:val="auto"/>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221BCCA0">
            <w:pPr>
              <w:pageBreakBefore w:val="0"/>
              <w:overflowPunct/>
              <w:topLinePunct w:val="0"/>
              <w:bidi w:val="0"/>
              <w:spacing w:line="360" w:lineRule="auto"/>
              <w:rPr>
                <w:rFonts w:hint="eastAsia" w:ascii="宋体" w:hAnsi="宋体"/>
                <w:color w:val="auto"/>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3B2703A4">
            <w:pPr>
              <w:pageBreakBefore w:val="0"/>
              <w:overflowPunct/>
              <w:topLinePunct w:val="0"/>
              <w:bidi w:val="0"/>
              <w:spacing w:line="360" w:lineRule="auto"/>
              <w:rPr>
                <w:rFonts w:hint="eastAsia" w:ascii="宋体" w:hAnsi="宋体"/>
                <w:color w:val="auto"/>
                <w:sz w:val="24"/>
                <w:szCs w:val="24"/>
                <w:highlight w:val="none"/>
              </w:rPr>
            </w:pPr>
          </w:p>
        </w:tc>
      </w:tr>
      <w:tr w14:paraId="7260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374D8E86">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ACB0FC7">
            <w:pPr>
              <w:pageBreakBefore w:val="0"/>
              <w:overflowPunct/>
              <w:topLinePunct w:val="0"/>
              <w:bidi w:val="0"/>
              <w:spacing w:line="360" w:lineRule="auto"/>
              <w:rPr>
                <w:rFonts w:hint="eastAsia" w:ascii="宋体" w:hAnsi="宋体"/>
                <w:color w:val="auto"/>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1CA62B7E">
            <w:pPr>
              <w:pageBreakBefore w:val="0"/>
              <w:overflowPunct/>
              <w:topLinePunct w:val="0"/>
              <w:bidi w:val="0"/>
              <w:spacing w:line="360" w:lineRule="auto"/>
              <w:rPr>
                <w:rFonts w:hint="eastAsia" w:ascii="宋体" w:hAnsi="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49E5E1B">
            <w:pPr>
              <w:pageBreakBefore w:val="0"/>
              <w:overflowPunct/>
              <w:topLinePunct w:val="0"/>
              <w:bidi w:val="0"/>
              <w:spacing w:line="360" w:lineRule="auto"/>
              <w:rPr>
                <w:rFonts w:hint="eastAsia" w:ascii="宋体" w:hAns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F461B15">
            <w:pPr>
              <w:pageBreakBefore w:val="0"/>
              <w:overflowPunct/>
              <w:topLinePunct w:val="0"/>
              <w:bidi w:val="0"/>
              <w:spacing w:line="360" w:lineRule="auto"/>
              <w:rPr>
                <w:rFonts w:hint="eastAsia" w:ascii="宋体" w:hAnsi="宋体"/>
                <w:color w:val="auto"/>
                <w:sz w:val="24"/>
                <w:szCs w:val="24"/>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DFA9999">
            <w:pPr>
              <w:pageBreakBefore w:val="0"/>
              <w:overflowPunct/>
              <w:topLinePunct w:val="0"/>
              <w:bidi w:val="0"/>
              <w:spacing w:line="360" w:lineRule="auto"/>
              <w:rPr>
                <w:rFonts w:hint="eastAsia" w:ascii="宋体" w:hAnsi="宋体"/>
                <w:color w:val="auto"/>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0FD2E067">
            <w:pPr>
              <w:pageBreakBefore w:val="0"/>
              <w:overflowPunct/>
              <w:topLinePunct w:val="0"/>
              <w:bidi w:val="0"/>
              <w:spacing w:line="360" w:lineRule="auto"/>
              <w:rPr>
                <w:rFonts w:hint="eastAsia" w:ascii="宋体" w:hAnsi="宋体"/>
                <w:color w:val="auto"/>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060FF116">
            <w:pPr>
              <w:pageBreakBefore w:val="0"/>
              <w:overflowPunct/>
              <w:topLinePunct w:val="0"/>
              <w:bidi w:val="0"/>
              <w:spacing w:line="360" w:lineRule="auto"/>
              <w:rPr>
                <w:rFonts w:hint="eastAsia" w:ascii="宋体" w:hAnsi="宋体"/>
                <w:color w:val="auto"/>
                <w:sz w:val="24"/>
                <w:szCs w:val="24"/>
                <w:highlight w:val="none"/>
              </w:rPr>
            </w:pPr>
          </w:p>
        </w:tc>
      </w:tr>
      <w:tr w14:paraId="3CB6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60C2CB18">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1FF7748">
            <w:pPr>
              <w:pageBreakBefore w:val="0"/>
              <w:overflowPunct/>
              <w:topLinePunct w:val="0"/>
              <w:bidi w:val="0"/>
              <w:spacing w:line="360" w:lineRule="auto"/>
              <w:rPr>
                <w:rFonts w:hint="eastAsia" w:ascii="宋体" w:hAnsi="宋体"/>
                <w:color w:val="auto"/>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1A458C37">
            <w:pPr>
              <w:pageBreakBefore w:val="0"/>
              <w:overflowPunct/>
              <w:topLinePunct w:val="0"/>
              <w:bidi w:val="0"/>
              <w:spacing w:line="360" w:lineRule="auto"/>
              <w:rPr>
                <w:rFonts w:hint="eastAsia" w:ascii="宋体" w:hAnsi="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3095717">
            <w:pPr>
              <w:pageBreakBefore w:val="0"/>
              <w:overflowPunct/>
              <w:topLinePunct w:val="0"/>
              <w:bidi w:val="0"/>
              <w:spacing w:line="360" w:lineRule="auto"/>
              <w:rPr>
                <w:rFonts w:hint="eastAsia" w:ascii="宋体" w:hAns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FA9191B">
            <w:pPr>
              <w:pageBreakBefore w:val="0"/>
              <w:overflowPunct/>
              <w:topLinePunct w:val="0"/>
              <w:bidi w:val="0"/>
              <w:spacing w:line="360" w:lineRule="auto"/>
              <w:rPr>
                <w:rFonts w:hint="eastAsia" w:ascii="宋体" w:hAnsi="宋体"/>
                <w:color w:val="auto"/>
                <w:sz w:val="24"/>
                <w:szCs w:val="24"/>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22546D1E">
            <w:pPr>
              <w:pageBreakBefore w:val="0"/>
              <w:overflowPunct/>
              <w:topLinePunct w:val="0"/>
              <w:bidi w:val="0"/>
              <w:spacing w:line="360" w:lineRule="auto"/>
              <w:rPr>
                <w:rFonts w:hint="eastAsia" w:ascii="宋体" w:hAnsi="宋体"/>
                <w:color w:val="auto"/>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7005ED24">
            <w:pPr>
              <w:pageBreakBefore w:val="0"/>
              <w:overflowPunct/>
              <w:topLinePunct w:val="0"/>
              <w:bidi w:val="0"/>
              <w:spacing w:line="360" w:lineRule="auto"/>
              <w:rPr>
                <w:rFonts w:hint="eastAsia" w:ascii="宋体" w:hAnsi="宋体"/>
                <w:color w:val="auto"/>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781E4458">
            <w:pPr>
              <w:pageBreakBefore w:val="0"/>
              <w:overflowPunct/>
              <w:topLinePunct w:val="0"/>
              <w:bidi w:val="0"/>
              <w:spacing w:line="360" w:lineRule="auto"/>
              <w:rPr>
                <w:rFonts w:hint="eastAsia" w:ascii="宋体" w:hAnsi="宋体"/>
                <w:color w:val="auto"/>
                <w:sz w:val="24"/>
                <w:szCs w:val="24"/>
                <w:highlight w:val="none"/>
              </w:rPr>
            </w:pPr>
          </w:p>
        </w:tc>
      </w:tr>
      <w:tr w14:paraId="519A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14:paraId="434259D8">
            <w:pPr>
              <w:pageBreakBefore w:val="0"/>
              <w:overflowPunct/>
              <w:topLinePunct w:val="0"/>
              <w:bidi w:val="0"/>
              <w:spacing w:line="360" w:lineRule="auto"/>
              <w:jc w:val="left"/>
              <w:rPr>
                <w:rFonts w:hint="eastAsia" w:ascii="宋体" w:hAnsi="宋体"/>
                <w:color w:val="auto"/>
                <w:sz w:val="24"/>
                <w:szCs w:val="24"/>
                <w:highlight w:val="none"/>
              </w:rPr>
            </w:pPr>
            <w:r>
              <w:rPr>
                <w:rFonts w:hint="eastAsia" w:ascii="宋体" w:hAnsi="宋体" w:eastAsia="宋体" w:cs="Times New Roman"/>
                <w:color w:val="auto"/>
                <w:sz w:val="24"/>
                <w:szCs w:val="24"/>
                <w:highlight w:val="none"/>
              </w:rPr>
              <w:t xml:space="preserve">报价合计（包含税费等所有费用）：（大写）人民币 </w:t>
            </w:r>
            <w:r>
              <w:rPr>
                <w:rFonts w:hint="eastAsia" w:ascii="宋体" w:hAnsi="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rPr>
              <w:t xml:space="preserve"> （</w:t>
            </w:r>
            <w:r>
              <w:rPr>
                <w:rFonts w:hint="eastAsia" w:hAnsi="宋体" w:cs="宋体"/>
                <w:color w:val="auto"/>
                <w:highlight w:val="none"/>
              </w:rPr>
              <w:t>¥</w:t>
            </w:r>
            <w:r>
              <w:rPr>
                <w:rFonts w:hint="eastAsia" w:ascii="宋体" w:hAnsi="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rPr>
              <w:t xml:space="preserve">  元）</w:t>
            </w:r>
          </w:p>
        </w:tc>
      </w:tr>
      <w:tr w14:paraId="53B2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14:paraId="4D7CAA40">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u w:val="single"/>
              </w:rPr>
              <w:t>　　</w:t>
            </w:r>
            <w:r>
              <w:rPr>
                <w:rFonts w:hint="eastAsia" w:ascii="宋体" w:hAnsi="宋体"/>
                <w:color w:val="auto"/>
                <w:sz w:val="24"/>
                <w:szCs w:val="24"/>
                <w:highlight w:val="none"/>
              </w:rPr>
              <w:t>分标（此处有分标时填写具体分标号，无分标时填写“无”）</w:t>
            </w:r>
          </w:p>
        </w:tc>
      </w:tr>
      <w:tr w14:paraId="1719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14:paraId="72397692">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优惠及其它：</w:t>
            </w:r>
          </w:p>
        </w:tc>
      </w:tr>
    </w:tbl>
    <w:p w14:paraId="15902160">
      <w:pPr>
        <w:pStyle w:val="7"/>
        <w:pageBreakBefore w:val="0"/>
        <w:overflowPunct/>
        <w:topLinePunct w:val="0"/>
        <w:bidi w:val="0"/>
        <w:spacing w:line="360" w:lineRule="auto"/>
        <w:rPr>
          <w:rFonts w:hint="eastAsia" w:hAnsi="宋体" w:cs="宋体"/>
          <w:color w:val="auto"/>
          <w:sz w:val="24"/>
          <w:highlight w:val="none"/>
        </w:rPr>
      </w:pPr>
    </w:p>
    <w:p w14:paraId="2625F597">
      <w:pPr>
        <w:pageBreakBefore w:val="0"/>
        <w:wordWrap w:val="0"/>
        <w:overflowPunct/>
        <w:topLinePunct w:val="0"/>
        <w:bidi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14:paraId="0DD01AE9">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 投标人需按本表格式填写，不得自行更改，也不得留空, 如有多分标，按分标分别提供开标一览表，必须加盖投标人有效电子公章，</w:t>
      </w:r>
      <w:r>
        <w:rPr>
          <w:rFonts w:hint="eastAsia" w:ascii="宋体" w:hAnsi="宋体" w:cs="宋体"/>
          <w:b/>
          <w:color w:val="auto"/>
          <w:kern w:val="0"/>
          <w:sz w:val="24"/>
          <w:highlight w:val="none"/>
          <w:lang w:val="zh-CN"/>
        </w:rPr>
        <w:t>否则其投标作无效标处理。</w:t>
      </w:r>
    </w:p>
    <w:p w14:paraId="71E0DF70">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2、本表内容均不能涂改，</w:t>
      </w:r>
      <w:r>
        <w:rPr>
          <w:rFonts w:hint="eastAsia" w:ascii="宋体" w:hAnsi="宋体" w:cs="宋体"/>
          <w:b/>
          <w:color w:val="auto"/>
          <w:kern w:val="0"/>
          <w:sz w:val="24"/>
          <w:highlight w:val="none"/>
          <w:lang w:val="zh-CN"/>
        </w:rPr>
        <w:t>否则其投标作无效标处理。</w:t>
      </w:r>
    </w:p>
    <w:p w14:paraId="2C9E8C77">
      <w:pPr>
        <w:wordWrap w:val="0"/>
        <w:snapToGrid w:val="0"/>
        <w:spacing w:line="360" w:lineRule="auto"/>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3、如为联合体投标，“投标人名称”处必须列明联合体各方名称，并标注联合体牵头人名称，且盖章处须加盖联合体各方公章，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否则其投标作无效标处理。</w:t>
      </w:r>
    </w:p>
    <w:p w14:paraId="3297AA8B">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4、以上表格要求细分项目及报价，在“具体服务内容”一栏中，填写具体服务范围、服务时间、服务标准，</w:t>
      </w:r>
      <w:r>
        <w:rPr>
          <w:rFonts w:hint="eastAsia" w:ascii="宋体" w:hAnsi="宋体" w:cs="宋体"/>
          <w:b/>
          <w:color w:val="auto"/>
          <w:kern w:val="0"/>
          <w:sz w:val="24"/>
          <w:highlight w:val="none"/>
          <w:lang w:val="zh-CN"/>
        </w:rPr>
        <w:t>否则其投标作无效标处理。</w:t>
      </w:r>
      <w:r>
        <w:rPr>
          <w:rFonts w:hint="eastAsia" w:ascii="宋体" w:hAnsi="宋体" w:cs="宋体"/>
          <w:color w:val="auto"/>
          <w:kern w:val="0"/>
          <w:sz w:val="24"/>
          <w:highlight w:val="none"/>
          <w:lang w:val="zh-CN"/>
        </w:rPr>
        <w:t>。</w:t>
      </w:r>
    </w:p>
    <w:p w14:paraId="635FC966">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5、特别提示：采购机构将对项目名称和项目编号，中标供应商名称、地址和中标金额，主要中标标的的名称、服务范围、服务要求、服务时间、服务标准等予以公示。</w:t>
      </w:r>
    </w:p>
    <w:p w14:paraId="57A4B787">
      <w:pPr>
        <w:pageBreakBefore w:val="0"/>
        <w:wordWrap w:val="0"/>
        <w:overflowPunct/>
        <w:topLinePunct w:val="0"/>
        <w:bidi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6、</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D092873">
      <w:pPr>
        <w:pageBreakBefore w:val="0"/>
        <w:wordWrap w:val="0"/>
        <w:overflowPunct/>
        <w:topLinePunct w:val="0"/>
        <w:bidi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50D01C6C">
      <w:pPr>
        <w:rPr>
          <w:rFonts w:hint="eastAsia" w:hAnsi="宋体" w:cs="宋体"/>
          <w:color w:val="auto"/>
          <w:sz w:val="20"/>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r>
        <w:rPr>
          <w:rFonts w:hint="eastAsia" w:hAnsi="宋体" w:cs="宋体"/>
          <w:b/>
          <w:bCs/>
          <w:color w:val="auto"/>
          <w:sz w:val="28"/>
          <w:szCs w:val="28"/>
          <w:highlight w:val="none"/>
        </w:rPr>
        <w:br w:type="page"/>
      </w:r>
    </w:p>
    <w:p w14:paraId="3E880414">
      <w:pPr>
        <w:outlineLvl w:val="9"/>
        <w:rPr>
          <w:color w:val="auto"/>
          <w:highlight w:val="none"/>
        </w:rPr>
      </w:pPr>
    </w:p>
    <w:p w14:paraId="535B2AE8">
      <w:pPr>
        <w:pStyle w:val="9"/>
        <w:pageBreakBefore w:val="0"/>
        <w:wordWrap w:val="0"/>
        <w:overflowPunct/>
        <w:topLinePunct w:val="0"/>
        <w:bidi w:val="0"/>
        <w:spacing w:after="0" w:line="360" w:lineRule="auto"/>
        <w:rPr>
          <w:color w:val="auto"/>
          <w:highlight w:val="none"/>
        </w:rPr>
      </w:pPr>
    </w:p>
    <w:p w14:paraId="69EA0A9F">
      <w:pPr>
        <w:pageBreakBefore w:val="0"/>
        <w:wordWrap w:val="0"/>
        <w:overflowPunct/>
        <w:topLinePunct w:val="0"/>
        <w:bidi w:val="0"/>
        <w:snapToGrid w:val="0"/>
        <w:spacing w:line="360" w:lineRule="auto"/>
        <w:jc w:val="center"/>
        <w:outlineLvl w:val="1"/>
        <w:rPr>
          <w:rFonts w:ascii="宋体" w:hAnsi="宋体" w:cs="宋体"/>
          <w:b/>
          <w:bCs/>
          <w:color w:val="auto"/>
          <w:sz w:val="28"/>
          <w:szCs w:val="28"/>
          <w:highlight w:val="none"/>
        </w:rPr>
      </w:pPr>
      <w:r>
        <w:rPr>
          <w:rFonts w:hint="eastAsia" w:ascii="宋体" w:hAnsi="宋体" w:cs="宋体"/>
          <w:b/>
          <w:bCs/>
          <w:color w:val="auto"/>
          <w:sz w:val="28"/>
          <w:szCs w:val="28"/>
          <w:highlight w:val="none"/>
        </w:rPr>
        <w:t>第六节 其他文书、文件格式</w:t>
      </w:r>
      <w:bookmarkEnd w:id="287"/>
      <w:bookmarkEnd w:id="288"/>
    </w:p>
    <w:p w14:paraId="7D349BC3">
      <w:pPr>
        <w:pageBreakBefore w:val="0"/>
        <w:wordWrap w:val="0"/>
        <w:overflowPunct/>
        <w:topLinePunct w:val="0"/>
        <w:bidi w:val="0"/>
        <w:spacing w:line="360" w:lineRule="auto"/>
        <w:jc w:val="center"/>
        <w:rPr>
          <w:rFonts w:ascii="宋体" w:hAnsi="宋体" w:cs="宋体"/>
          <w:b/>
          <w:bCs/>
          <w:color w:val="auto"/>
          <w:sz w:val="32"/>
          <w:szCs w:val="32"/>
          <w:highlight w:val="none"/>
          <w:lang w:val="en"/>
        </w:rPr>
      </w:pPr>
    </w:p>
    <w:p w14:paraId="664F06E4">
      <w:pPr>
        <w:pageBreakBefore w:val="0"/>
        <w:wordWrap w:val="0"/>
        <w:overflowPunct/>
        <w:topLinePunct w:val="0"/>
        <w:bidi w:val="0"/>
        <w:spacing w:line="360" w:lineRule="auto"/>
        <w:jc w:val="center"/>
        <w:rPr>
          <w:rFonts w:ascii="宋体" w:hAnsi="宋体" w:cs="宋体"/>
          <w:b/>
          <w:bCs/>
          <w:color w:val="auto"/>
          <w:sz w:val="32"/>
          <w:szCs w:val="32"/>
          <w:highlight w:val="none"/>
          <w:lang w:val="en"/>
        </w:rPr>
      </w:pPr>
      <w:r>
        <w:rPr>
          <w:rFonts w:hint="eastAsia" w:ascii="宋体" w:hAnsi="宋体" w:cs="宋体"/>
          <w:b/>
          <w:bCs/>
          <w:color w:val="auto"/>
          <w:sz w:val="32"/>
          <w:szCs w:val="32"/>
          <w:highlight w:val="none"/>
          <w:lang w:val="en"/>
        </w:rPr>
        <w:t>知识产权合规性声明</w:t>
      </w:r>
    </w:p>
    <w:p w14:paraId="0C3A7D8F">
      <w:pPr>
        <w:pageBreakBefore w:val="0"/>
        <w:wordWrap w:val="0"/>
        <w:overflowPunct/>
        <w:topLinePunct w:val="0"/>
        <w:bidi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    </w:t>
      </w:r>
    </w:p>
    <w:p w14:paraId="4996BC80">
      <w:pPr>
        <w:pageBreakBefore w:val="0"/>
        <w:wordWrap w:val="0"/>
        <w:overflowPunct/>
        <w:topLinePunct w:val="0"/>
        <w:bidi w:val="0"/>
        <w:spacing w:line="360" w:lineRule="auto"/>
        <w:rPr>
          <w:rFonts w:ascii="宋体" w:hAnsi="宋体" w:cs="宋体"/>
          <w:color w:val="auto"/>
          <w:sz w:val="30"/>
          <w:szCs w:val="30"/>
          <w:highlight w:val="none"/>
          <w:lang w:val="en"/>
        </w:rPr>
      </w:pPr>
      <w:r>
        <w:rPr>
          <w:rFonts w:hint="eastAsia" w:ascii="宋体" w:hAnsi="宋体" w:cs="宋体"/>
          <w:color w:val="auto"/>
          <w:sz w:val="30"/>
          <w:szCs w:val="30"/>
          <w:highlight w:val="none"/>
        </w:rPr>
        <w:t xml:space="preserve">    本</w:t>
      </w:r>
      <w:r>
        <w:rPr>
          <w:rFonts w:hint="eastAsia" w:ascii="宋体" w:hAnsi="宋体" w:cs="宋体"/>
          <w:color w:val="auto"/>
          <w:sz w:val="30"/>
          <w:szCs w:val="30"/>
          <w:highlight w:val="none"/>
          <w:lang w:val="en"/>
        </w:rPr>
        <w:t>企业自愿参与政府投资政府采购的</w:t>
      </w:r>
      <w:r>
        <w:rPr>
          <w:rFonts w:hint="eastAsia" w:ascii="宋体" w:hAnsi="宋体" w:cs="宋体"/>
          <w:color w:val="auto"/>
          <w:sz w:val="30"/>
          <w:szCs w:val="30"/>
          <w:highlight w:val="none"/>
          <w:u w:val="single"/>
          <w:lang w:val="en"/>
        </w:rPr>
        <w:t>（</w:t>
      </w:r>
      <w:r>
        <w:rPr>
          <w:rFonts w:hint="eastAsia" w:ascii="宋体" w:hAnsi="宋体" w:cs="宋体"/>
          <w:color w:val="auto"/>
          <w:sz w:val="30"/>
          <w:szCs w:val="30"/>
          <w:highlight w:val="none"/>
          <w:u w:val="single"/>
        </w:rPr>
        <w:t>项目名称</w:t>
      </w:r>
      <w:r>
        <w:rPr>
          <w:rFonts w:hint="eastAsia" w:ascii="宋体" w:hAnsi="宋体" w:cs="宋体"/>
          <w:color w:val="auto"/>
          <w:sz w:val="30"/>
          <w:szCs w:val="30"/>
          <w:highlight w:val="none"/>
          <w:u w:val="single"/>
          <w:lang w:val="en"/>
        </w:rPr>
        <w:t>）</w:t>
      </w:r>
      <w:r>
        <w:rPr>
          <w:rFonts w:hint="eastAsia" w:ascii="宋体" w:hAnsi="宋体" w:cs="宋体"/>
          <w:color w:val="auto"/>
          <w:sz w:val="30"/>
          <w:szCs w:val="30"/>
          <w:highlight w:val="none"/>
          <w:lang w:val="en"/>
        </w:rPr>
        <w:t>项目，</w:t>
      </w:r>
      <w:r>
        <w:rPr>
          <w:rFonts w:hint="eastAsia" w:ascii="宋体" w:hAnsi="宋体" w:cs="宋体"/>
          <w:b/>
          <w:bCs/>
          <w:color w:val="auto"/>
          <w:sz w:val="30"/>
          <w:szCs w:val="30"/>
          <w:highlight w:val="none"/>
          <w:lang w:val="en"/>
        </w:rPr>
        <w:t>在此郑重承诺：</w:t>
      </w:r>
      <w:r>
        <w:rPr>
          <w:rFonts w:hint="eastAsia" w:ascii="宋体" w:hAnsi="宋体" w:cs="宋体"/>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754B87F6">
      <w:pPr>
        <w:pageBreakBefore w:val="0"/>
        <w:wordWrap w:val="0"/>
        <w:overflowPunct/>
        <w:topLinePunct w:val="0"/>
        <w:bidi w:val="0"/>
        <w:snapToGrid w:val="0"/>
        <w:spacing w:line="360" w:lineRule="auto"/>
        <w:ind w:left="5137" w:leftChars="1736" w:hanging="1491" w:hangingChars="825"/>
        <w:rPr>
          <w:rFonts w:ascii="宋体" w:hAnsi="宋体" w:cs="宋体"/>
          <w:b/>
          <w:color w:val="auto"/>
          <w:sz w:val="18"/>
          <w:szCs w:val="18"/>
          <w:highlight w:val="none"/>
        </w:rPr>
      </w:pPr>
      <w:r>
        <w:rPr>
          <w:rFonts w:hint="eastAsia" w:ascii="宋体" w:hAnsi="宋体" w:cs="宋体"/>
          <w:b/>
          <w:color w:val="auto"/>
          <w:sz w:val="18"/>
          <w:szCs w:val="18"/>
          <w:highlight w:val="none"/>
        </w:rPr>
        <w:t xml:space="preserve">           </w:t>
      </w:r>
    </w:p>
    <w:p w14:paraId="0A2A1670">
      <w:pPr>
        <w:pageBreakBefore w:val="0"/>
        <w:wordWrap w:val="0"/>
        <w:overflowPunct/>
        <w:topLinePunct w:val="0"/>
        <w:bidi w:val="0"/>
        <w:snapToGrid w:val="0"/>
        <w:spacing w:line="360" w:lineRule="auto"/>
        <w:ind w:left="5137" w:leftChars="1736" w:hanging="1491" w:hangingChars="825"/>
        <w:rPr>
          <w:rFonts w:ascii="宋体" w:hAnsi="宋体" w:cs="宋体"/>
          <w:b/>
          <w:color w:val="auto"/>
          <w:sz w:val="18"/>
          <w:szCs w:val="18"/>
          <w:highlight w:val="none"/>
        </w:rPr>
      </w:pPr>
    </w:p>
    <w:p w14:paraId="542BBFEA">
      <w:pPr>
        <w:pageBreakBefore w:val="0"/>
        <w:wordWrap w:val="0"/>
        <w:overflowPunct/>
        <w:topLinePunct w:val="0"/>
        <w:bidi w:val="0"/>
        <w:snapToGrid w:val="0"/>
        <w:spacing w:line="360" w:lineRule="auto"/>
        <w:ind w:left="5137" w:leftChars="1736" w:hanging="1491" w:hangingChars="825"/>
        <w:rPr>
          <w:rFonts w:ascii="宋体" w:hAnsi="宋体" w:cs="宋体"/>
          <w:b/>
          <w:color w:val="auto"/>
          <w:sz w:val="18"/>
          <w:szCs w:val="18"/>
          <w:highlight w:val="none"/>
        </w:rPr>
      </w:pPr>
    </w:p>
    <w:p w14:paraId="6448D423">
      <w:pPr>
        <w:pageBreakBefore w:val="0"/>
        <w:wordWrap w:val="0"/>
        <w:overflowPunct/>
        <w:topLinePunct w:val="0"/>
        <w:bidi w:val="0"/>
        <w:snapToGrid w:val="0"/>
        <w:spacing w:line="360" w:lineRule="auto"/>
        <w:ind w:left="5137" w:leftChars="1736" w:hanging="1491" w:hangingChars="825"/>
        <w:rPr>
          <w:rFonts w:ascii="宋体" w:hAnsi="宋体" w:cs="宋体"/>
          <w:b/>
          <w:color w:val="auto"/>
          <w:sz w:val="18"/>
          <w:szCs w:val="18"/>
          <w:highlight w:val="none"/>
        </w:rPr>
      </w:pPr>
    </w:p>
    <w:p w14:paraId="6A255306">
      <w:pPr>
        <w:pageBreakBefore w:val="0"/>
        <w:wordWrap w:val="0"/>
        <w:overflowPunct/>
        <w:topLinePunct w:val="0"/>
        <w:bidi w:val="0"/>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407480B5">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7DEB2F9">
      <w:pPr>
        <w:pStyle w:val="12"/>
        <w:pageBreakBefore w:val="0"/>
        <w:wordWrap w:val="0"/>
        <w:overflowPunct/>
        <w:topLinePunct w:val="0"/>
        <w:bidi w:val="0"/>
        <w:spacing w:line="360" w:lineRule="auto"/>
        <w:jc w:val="center"/>
        <w:rPr>
          <w:rFonts w:hAnsi="宋体" w:cs="宋体"/>
          <w:b/>
          <w:color w:val="auto"/>
          <w:sz w:val="30"/>
          <w:szCs w:val="30"/>
          <w:highlight w:val="none"/>
        </w:rPr>
      </w:pPr>
      <w:r>
        <w:rPr>
          <w:rFonts w:hint="eastAsia" w:hAnsi="宋体" w:cs="宋体"/>
          <w:b/>
          <w:color w:val="auto"/>
          <w:sz w:val="30"/>
          <w:szCs w:val="30"/>
          <w:highlight w:val="none"/>
        </w:rPr>
        <w:br w:type="page"/>
      </w:r>
      <w:r>
        <w:rPr>
          <w:rFonts w:hint="eastAsia" w:hAnsi="宋体" w:cs="宋体"/>
          <w:b/>
          <w:color w:val="auto"/>
          <w:sz w:val="30"/>
          <w:szCs w:val="30"/>
          <w:highlight w:val="none"/>
        </w:rPr>
        <w:t>残疾人福利性单位声明函（如有）</w:t>
      </w:r>
    </w:p>
    <w:p w14:paraId="26F45BCD">
      <w:pPr>
        <w:pStyle w:val="12"/>
        <w:pageBreakBefore w:val="0"/>
        <w:wordWrap w:val="0"/>
        <w:overflowPunct/>
        <w:topLinePunct w:val="0"/>
        <w:bidi w:val="0"/>
        <w:spacing w:line="360" w:lineRule="auto"/>
        <w:jc w:val="center"/>
        <w:rPr>
          <w:rFonts w:hAnsi="宋体" w:cs="宋体"/>
          <w:b/>
          <w:color w:val="auto"/>
          <w:sz w:val="30"/>
          <w:szCs w:val="30"/>
          <w:highlight w:val="none"/>
        </w:rPr>
      </w:pPr>
    </w:p>
    <w:p w14:paraId="2995006C">
      <w:pPr>
        <w:pStyle w:val="12"/>
        <w:pageBreakBefore w:val="0"/>
        <w:wordWrap w:val="0"/>
        <w:overflowPunct/>
        <w:topLinePunct w:val="0"/>
        <w:bidi w:val="0"/>
        <w:spacing w:line="360" w:lineRule="auto"/>
        <w:jc w:val="left"/>
        <w:rPr>
          <w:rFonts w:hAnsi="宋体" w:cs="宋体"/>
          <w:color w:val="auto"/>
          <w:sz w:val="24"/>
          <w:szCs w:val="24"/>
          <w:highlight w:val="none"/>
        </w:rPr>
      </w:pPr>
      <w:r>
        <w:rPr>
          <w:rFonts w:hint="eastAsia" w:hAnsi="宋体" w:cs="宋体"/>
          <w:color w:val="auto"/>
          <w:sz w:val="30"/>
          <w:szCs w:val="30"/>
          <w:highlight w:val="none"/>
        </w:rPr>
        <w:t xml:space="preserve">   </w:t>
      </w:r>
      <w:r>
        <w:rPr>
          <w:rFonts w:hint="eastAsia" w:hAnsi="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hAnsi="宋体" w:cs="宋体"/>
          <w:color w:val="auto"/>
          <w:sz w:val="24"/>
          <w:szCs w:val="24"/>
          <w:highlight w:val="none"/>
          <w:u w:val="single"/>
        </w:rPr>
        <w:t xml:space="preserve"> （采购人名称） </w:t>
      </w:r>
      <w:r>
        <w:rPr>
          <w:rFonts w:hint="eastAsia" w:hAnsi="宋体" w:cs="宋体"/>
          <w:color w:val="auto"/>
          <w:sz w:val="24"/>
          <w:szCs w:val="24"/>
          <w:highlight w:val="none"/>
        </w:rPr>
        <w:t>单位的（项目名称）项目采购活动提供本单位制造的货物（由本单位承担工程/提供服务），或者提供其他残疾人福利性单位制造的货物（不包括使用非残疾人福利性单位注册商标的货物）。</w:t>
      </w:r>
    </w:p>
    <w:p w14:paraId="18269E8B">
      <w:pPr>
        <w:pStyle w:val="12"/>
        <w:pageBreakBefore w:val="0"/>
        <w:wordWrap w:val="0"/>
        <w:overflowPunct/>
        <w:topLinePunct w:val="0"/>
        <w:bidi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本公司对上述声明的真实性负责。如有虚假，将依法承担相应责任。</w:t>
      </w:r>
    </w:p>
    <w:p w14:paraId="6DD818DE">
      <w:pPr>
        <w:pStyle w:val="12"/>
        <w:pageBreakBefore w:val="0"/>
        <w:wordWrap w:val="0"/>
        <w:overflowPunct/>
        <w:topLinePunct w:val="0"/>
        <w:bidi w:val="0"/>
        <w:spacing w:line="360" w:lineRule="auto"/>
        <w:jc w:val="left"/>
        <w:rPr>
          <w:rFonts w:hAnsi="宋体" w:cs="宋体"/>
          <w:b/>
          <w:color w:val="auto"/>
          <w:szCs w:val="21"/>
          <w:highlight w:val="none"/>
        </w:rPr>
      </w:pPr>
    </w:p>
    <w:p w14:paraId="0C259F22">
      <w:pPr>
        <w:pStyle w:val="12"/>
        <w:pageBreakBefore w:val="0"/>
        <w:wordWrap w:val="0"/>
        <w:overflowPunct/>
        <w:topLinePunct w:val="0"/>
        <w:bidi w:val="0"/>
        <w:spacing w:line="360" w:lineRule="auto"/>
        <w:jc w:val="left"/>
        <w:rPr>
          <w:rFonts w:hAnsi="宋体" w:cs="宋体"/>
          <w:b/>
          <w:color w:val="auto"/>
          <w:szCs w:val="21"/>
          <w:highlight w:val="none"/>
        </w:rPr>
      </w:pPr>
    </w:p>
    <w:p w14:paraId="7F4E2431">
      <w:pPr>
        <w:pageBreakBefore w:val="0"/>
        <w:wordWrap w:val="0"/>
        <w:overflowPunct/>
        <w:topLinePunct w:val="0"/>
        <w:bidi w:val="0"/>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4A3082F7">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E953B10">
      <w:pPr>
        <w:pStyle w:val="12"/>
        <w:pageBreakBefore w:val="0"/>
        <w:wordWrap w:val="0"/>
        <w:overflowPunct/>
        <w:topLinePunct w:val="0"/>
        <w:bidi w:val="0"/>
        <w:spacing w:line="360" w:lineRule="auto"/>
        <w:ind w:left="5132" w:leftChars="1979" w:hanging="976" w:hangingChars="488"/>
        <w:rPr>
          <w:rFonts w:hAnsi="宋体" w:cs="宋体"/>
          <w:color w:val="auto"/>
          <w:sz w:val="20"/>
          <w:highlight w:val="none"/>
        </w:rPr>
      </w:pPr>
    </w:p>
    <w:p w14:paraId="4E3A4B13">
      <w:pPr>
        <w:pageBreakBefore w:val="0"/>
        <w:wordWrap w:val="0"/>
        <w:overflowPunct/>
        <w:topLinePunct w:val="0"/>
        <w:bidi w:val="0"/>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3B72C751">
      <w:pPr>
        <w:pageBreakBefore w:val="0"/>
        <w:widowControl/>
        <w:wordWrap w:val="0"/>
        <w:overflowPunct/>
        <w:topLinePunct w:val="0"/>
        <w:bidi w:val="0"/>
        <w:spacing w:line="360" w:lineRule="auto"/>
        <w:jc w:val="left"/>
        <w:rPr>
          <w:rFonts w:ascii="宋体" w:hAnsi="宋体" w:cs="宋体"/>
          <w:color w:val="auto"/>
          <w:sz w:val="20"/>
          <w:highlight w:val="none"/>
        </w:rPr>
        <w:sectPr>
          <w:pgSz w:w="11906" w:h="16838"/>
          <w:pgMar w:top="1440" w:right="1080" w:bottom="1440" w:left="1080" w:header="720" w:footer="720" w:gutter="0"/>
          <w:pgNumType w:fmt="decimal"/>
          <w:cols w:space="720" w:num="1"/>
          <w:docGrid w:type="lines" w:linePitch="331" w:charSpace="0"/>
        </w:sectPr>
      </w:pPr>
    </w:p>
    <w:p w14:paraId="4550B77C">
      <w:pPr>
        <w:pageBreakBefore w:val="0"/>
        <w:wordWrap w:val="0"/>
        <w:overflowPunct/>
        <w:topLinePunct w:val="0"/>
        <w:bidi w:val="0"/>
        <w:snapToGrid w:val="0"/>
        <w:spacing w:line="360" w:lineRule="auto"/>
        <w:jc w:val="left"/>
        <w:rPr>
          <w:rFonts w:ascii="宋体" w:hAnsi="宋体" w:cs="宋体"/>
          <w:color w:val="auto"/>
          <w:sz w:val="20"/>
          <w:highlight w:val="none"/>
        </w:rPr>
      </w:pPr>
    </w:p>
    <w:p w14:paraId="49EEE2B5">
      <w:pPr>
        <w:pStyle w:val="12"/>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1E2B1491">
      <w:pPr>
        <w:pStyle w:val="12"/>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45A60EFF">
      <w:pPr>
        <w:pStyle w:val="12"/>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2887E599">
      <w:pPr>
        <w:pStyle w:val="12"/>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6C746EAE">
      <w:pPr>
        <w:pStyle w:val="12"/>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5F81FAE9">
      <w:pPr>
        <w:pStyle w:val="12"/>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3E12F4CA">
      <w:pPr>
        <w:pStyle w:val="12"/>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66F01BB2">
      <w:pPr>
        <w:pStyle w:val="12"/>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5AEEB2B2">
      <w:pPr>
        <w:pStyle w:val="12"/>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4C9D2D6F">
      <w:pPr>
        <w:pStyle w:val="12"/>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6BC83E93">
      <w:pPr>
        <w:pStyle w:val="12"/>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1EA077F7">
      <w:pPr>
        <w:pStyle w:val="12"/>
        <w:pageBreakBefore w:val="0"/>
        <w:tabs>
          <w:tab w:val="left" w:pos="2472"/>
        </w:tabs>
        <w:wordWrap w:val="0"/>
        <w:overflowPunct/>
        <w:topLinePunct w:val="0"/>
        <w:bidi w:val="0"/>
        <w:spacing w:line="360" w:lineRule="auto"/>
        <w:jc w:val="center"/>
        <w:outlineLvl w:val="0"/>
        <w:rPr>
          <w:rFonts w:hAnsi="宋体" w:cs="宋体"/>
          <w:b/>
          <w:color w:val="auto"/>
          <w:sz w:val="36"/>
          <w:highlight w:val="none"/>
        </w:rPr>
      </w:pPr>
      <w:bookmarkStart w:id="290" w:name="_Toc26579"/>
      <w:r>
        <w:rPr>
          <w:rFonts w:hint="eastAsia" w:hAnsi="宋体" w:cs="宋体"/>
          <w:b/>
          <w:color w:val="auto"/>
          <w:sz w:val="36"/>
          <w:highlight w:val="none"/>
        </w:rPr>
        <w:t>第七章 质疑、投诉证明材料格式</w:t>
      </w:r>
      <w:bookmarkEnd w:id="290"/>
    </w:p>
    <w:p w14:paraId="32A952B9">
      <w:pPr>
        <w:pageBreakBefore w:val="0"/>
        <w:widowControl/>
        <w:wordWrap w:val="0"/>
        <w:overflowPunct/>
        <w:topLinePunct w:val="0"/>
        <w:bidi w:val="0"/>
        <w:spacing w:line="360" w:lineRule="auto"/>
        <w:jc w:val="left"/>
        <w:rPr>
          <w:rFonts w:ascii="宋体" w:hAnsi="宋体" w:cs="宋体"/>
          <w:color w:val="auto"/>
          <w:sz w:val="20"/>
          <w:highlight w:val="none"/>
        </w:rPr>
        <w:sectPr>
          <w:pgSz w:w="11906" w:h="16838"/>
          <w:pgMar w:top="1440" w:right="1080" w:bottom="1440" w:left="1080" w:header="720" w:footer="720" w:gutter="0"/>
          <w:pgNumType w:fmt="decimal"/>
          <w:cols w:space="720" w:num="1"/>
          <w:docGrid w:type="lines" w:linePitch="331" w:charSpace="0"/>
        </w:sectPr>
      </w:pPr>
    </w:p>
    <w:p w14:paraId="69C05118">
      <w:pPr>
        <w:pageBreakBefore w:val="0"/>
        <w:widowControl/>
        <w:shd w:val="clear" w:color="auto" w:fill="FFFFFF"/>
        <w:wordWrap w:val="0"/>
        <w:overflowPunct/>
        <w:topLinePunct w:val="0"/>
        <w:bidi w:val="0"/>
        <w:spacing w:line="360" w:lineRule="auto"/>
        <w:jc w:val="left"/>
        <w:rPr>
          <w:rFonts w:ascii="宋体" w:hAnsi="宋体" w:cs="宋体"/>
          <w:b/>
          <w:bCs/>
          <w:color w:val="auto"/>
          <w:sz w:val="28"/>
          <w:szCs w:val="28"/>
          <w:highlight w:val="none"/>
        </w:rPr>
      </w:pPr>
    </w:p>
    <w:p w14:paraId="3526CB2A">
      <w:pPr>
        <w:pStyle w:val="4"/>
        <w:pageBreakBefore w:val="0"/>
        <w:wordWrap w:val="0"/>
        <w:overflowPunct/>
        <w:topLinePunct w:val="0"/>
        <w:bidi w:val="0"/>
        <w:spacing w:before="0" w:after="0" w:line="360" w:lineRule="auto"/>
        <w:jc w:val="center"/>
        <w:rPr>
          <w:rFonts w:ascii="宋体" w:hAnsi="宋体" w:eastAsia="宋体" w:cs="宋体"/>
          <w:b w:val="0"/>
          <w:bCs w:val="0"/>
          <w:color w:val="auto"/>
          <w:highlight w:val="none"/>
        </w:rPr>
      </w:pPr>
      <w:bookmarkStart w:id="291" w:name="_Toc24445"/>
      <w:r>
        <w:rPr>
          <w:rFonts w:hint="eastAsia" w:ascii="宋体" w:hAnsi="宋体" w:eastAsia="宋体" w:cs="宋体"/>
          <w:b w:val="0"/>
          <w:bCs w:val="0"/>
          <w:color w:val="auto"/>
          <w:highlight w:val="none"/>
        </w:rPr>
        <w:t>第一节 质疑函（格式）</w:t>
      </w:r>
      <w:bookmarkEnd w:id="291"/>
    </w:p>
    <w:p w14:paraId="3C5AB88B">
      <w:pPr>
        <w:pageBreakBefore w:val="0"/>
        <w:wordWrap w:val="0"/>
        <w:overflowPunct/>
        <w:topLinePunct w:val="0"/>
        <w:bidi w:val="0"/>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质疑函范本</w:t>
      </w:r>
    </w:p>
    <w:p w14:paraId="4B055AEE">
      <w:pPr>
        <w:pageBreakBefore w:val="0"/>
        <w:wordWrap w:val="0"/>
        <w:overflowPunct/>
        <w:topLinePunct w:val="0"/>
        <w:bidi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一、质疑供应商基本信息</w:t>
      </w:r>
    </w:p>
    <w:p w14:paraId="5A912E7C">
      <w:pPr>
        <w:pageBreakBefore w:val="0"/>
        <w:wordWrap w:val="0"/>
        <w:overflowPunct/>
        <w:topLinePunct w:val="0"/>
        <w:bidi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质疑供应商：</w:t>
      </w:r>
      <w:r>
        <w:rPr>
          <w:rFonts w:hint="eastAsia" w:ascii="宋体" w:hAnsi="宋体" w:cs="宋体"/>
          <w:color w:val="auto"/>
          <w:sz w:val="32"/>
          <w:szCs w:val="32"/>
          <w:highlight w:val="none"/>
          <w:u w:val="dotted"/>
        </w:rPr>
        <w:t xml:space="preserve">                                        </w:t>
      </w:r>
    </w:p>
    <w:p w14:paraId="470B3326">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地址：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14:paraId="28F7B0A0">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140C0AC2">
      <w:pPr>
        <w:pageBreakBefore w:val="0"/>
        <w:wordWrap w:val="0"/>
        <w:overflowPunct/>
        <w:topLinePunct w:val="0"/>
        <w:bidi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p>
    <w:p w14:paraId="79473C0B">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2AA43691">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 xml:space="preserve">地址： </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14:paraId="52A95A4A">
      <w:pPr>
        <w:pageBreakBefore w:val="0"/>
        <w:wordWrap w:val="0"/>
        <w:overflowPunct/>
        <w:topLinePunct w:val="0"/>
        <w:bidi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二、质疑项目基本情况</w:t>
      </w:r>
    </w:p>
    <w:p w14:paraId="78495925">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质疑项目的名称：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南宁市第十四中学数字校园建设项目</w:t>
      </w:r>
      <w:r>
        <w:rPr>
          <w:rFonts w:hint="eastAsia" w:ascii="宋体" w:hAnsi="宋体" w:cs="宋体"/>
          <w:color w:val="auto"/>
          <w:sz w:val="32"/>
          <w:szCs w:val="32"/>
          <w:highlight w:val="none"/>
          <w:u w:val="dotted"/>
        </w:rPr>
        <w:t xml:space="preserve">     </w:t>
      </w:r>
    </w:p>
    <w:p w14:paraId="46C24D23">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质疑项目的编号：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14:paraId="22B92C76">
      <w:pPr>
        <w:pageBreakBefore w:val="0"/>
        <w:wordWrap w:val="0"/>
        <w:overflowPunct/>
        <w:topLinePunct w:val="0"/>
        <w:bidi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南宁市第十四中学</w:t>
      </w:r>
      <w:r>
        <w:rPr>
          <w:rFonts w:hint="eastAsia" w:ascii="宋体" w:hAnsi="宋体" w:cs="宋体"/>
          <w:color w:val="auto"/>
          <w:sz w:val="32"/>
          <w:szCs w:val="32"/>
          <w:highlight w:val="none"/>
          <w:u w:val="dotted"/>
        </w:rPr>
        <w:t xml:space="preserve">  </w:t>
      </w:r>
    </w:p>
    <w:p w14:paraId="39923672">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采购文件获取日期：</w:t>
      </w:r>
      <w:r>
        <w:rPr>
          <w:rFonts w:hint="eastAsia" w:ascii="宋体" w:hAnsi="宋体" w:cs="宋体"/>
          <w:color w:val="auto"/>
          <w:sz w:val="32"/>
          <w:szCs w:val="32"/>
          <w:highlight w:val="none"/>
          <w:u w:val="dotted"/>
        </w:rPr>
        <w:t xml:space="preserve">                                           </w:t>
      </w:r>
    </w:p>
    <w:p w14:paraId="731317DF">
      <w:pPr>
        <w:pageBreakBefore w:val="0"/>
        <w:wordWrap w:val="0"/>
        <w:overflowPunct/>
        <w:topLinePunct w:val="0"/>
        <w:bidi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三、质疑事项具体内容</w:t>
      </w:r>
    </w:p>
    <w:p w14:paraId="50556B5B">
      <w:pPr>
        <w:pageBreakBefore w:val="0"/>
        <w:wordWrap w:val="0"/>
        <w:overflowPunct/>
        <w:topLinePunct w:val="0"/>
        <w:bidi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质疑事项1：</w:t>
      </w:r>
      <w:r>
        <w:rPr>
          <w:rFonts w:hint="eastAsia" w:ascii="宋体" w:hAnsi="宋体" w:cs="宋体"/>
          <w:color w:val="auto"/>
          <w:sz w:val="32"/>
          <w:szCs w:val="32"/>
          <w:highlight w:val="none"/>
          <w:u w:val="dotted"/>
        </w:rPr>
        <w:t xml:space="preserve">                                         </w:t>
      </w:r>
    </w:p>
    <w:p w14:paraId="27E0C1B1">
      <w:pPr>
        <w:pageBreakBefore w:val="0"/>
        <w:wordWrap w:val="0"/>
        <w:overflowPunct/>
        <w:topLinePunct w:val="0"/>
        <w:bidi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14:paraId="7D686B5B">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u w:val="dotted"/>
        </w:rPr>
        <w:t xml:space="preserve">                                                       </w:t>
      </w:r>
    </w:p>
    <w:p w14:paraId="27D7B897">
      <w:pPr>
        <w:pageBreakBefore w:val="0"/>
        <w:wordWrap w:val="0"/>
        <w:overflowPunct/>
        <w:topLinePunct w:val="0"/>
        <w:bidi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14:paraId="3AFEFF8F">
      <w:pPr>
        <w:pageBreakBefore w:val="0"/>
        <w:wordWrap w:val="0"/>
        <w:overflowPunct/>
        <w:topLinePunct w:val="0"/>
        <w:bidi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3489B5C0">
      <w:pPr>
        <w:pageBreakBefore w:val="0"/>
        <w:wordWrap w:val="0"/>
        <w:overflowPunct/>
        <w:topLinePunct w:val="0"/>
        <w:bidi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质疑事项2</w:t>
      </w:r>
    </w:p>
    <w:p w14:paraId="24B7469E">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w:t>
      </w:r>
    </w:p>
    <w:p w14:paraId="5E14B7E8">
      <w:pPr>
        <w:pageBreakBefore w:val="0"/>
        <w:wordWrap w:val="0"/>
        <w:overflowPunct/>
        <w:topLinePunct w:val="0"/>
        <w:bidi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四、与质疑事项相关的质疑请求</w:t>
      </w:r>
    </w:p>
    <w:p w14:paraId="3F23FDF1">
      <w:pPr>
        <w:pageBreakBefore w:val="0"/>
        <w:wordWrap w:val="0"/>
        <w:overflowPunct/>
        <w:topLinePunct w:val="0"/>
        <w:bidi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p>
    <w:p w14:paraId="4E37ED8D">
      <w:pPr>
        <w:pageBreakBefore w:val="0"/>
        <w:wordWrap w:val="0"/>
        <w:overflowPunct/>
        <w:topLinePunct w:val="0"/>
        <w:bidi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签字(签章)：                   公章：                      </w:t>
      </w:r>
    </w:p>
    <w:p w14:paraId="20427B28">
      <w:pPr>
        <w:pageBreakBefore w:val="0"/>
        <w:wordWrap w:val="0"/>
        <w:overflowPunct/>
        <w:topLinePunct w:val="0"/>
        <w:bidi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日期：    </w:t>
      </w:r>
    </w:p>
    <w:p w14:paraId="41529692">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p>
    <w:p w14:paraId="278884B3">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p>
    <w:p w14:paraId="594A46E1">
      <w:pPr>
        <w:pageBreakBefore w:val="0"/>
        <w:wordWrap w:val="0"/>
        <w:overflowPunct/>
        <w:topLinePunct w:val="0"/>
        <w:bidi w:val="0"/>
        <w:spacing w:line="360" w:lineRule="auto"/>
        <w:jc w:val="center"/>
        <w:rPr>
          <w:rFonts w:ascii="宋体" w:hAnsi="宋体" w:cs="宋体"/>
          <w:b/>
          <w:bCs/>
          <w:color w:val="auto"/>
          <w:sz w:val="32"/>
          <w:szCs w:val="32"/>
          <w:highlight w:val="none"/>
        </w:rPr>
      </w:pPr>
    </w:p>
    <w:p w14:paraId="6DC54577">
      <w:pPr>
        <w:pageBreakBefore w:val="0"/>
        <w:wordWrap w:val="0"/>
        <w:overflowPunct/>
        <w:topLinePunct w:val="0"/>
        <w:bidi w:val="0"/>
        <w:spacing w:line="360" w:lineRule="auto"/>
        <w:jc w:val="center"/>
        <w:rPr>
          <w:rFonts w:ascii="宋体" w:hAnsi="宋体" w:cs="宋体"/>
          <w:b/>
          <w:bCs/>
          <w:color w:val="auto"/>
          <w:sz w:val="32"/>
          <w:szCs w:val="32"/>
          <w:highlight w:val="none"/>
        </w:rPr>
      </w:pPr>
    </w:p>
    <w:p w14:paraId="4FF348E1">
      <w:pPr>
        <w:pageBreakBefore w:val="0"/>
        <w:wordWrap w:val="0"/>
        <w:overflowPunct/>
        <w:topLinePunct w:val="0"/>
        <w:bidi w:val="0"/>
        <w:spacing w:line="360" w:lineRule="auto"/>
        <w:jc w:val="center"/>
        <w:rPr>
          <w:rFonts w:ascii="宋体" w:hAnsi="宋体" w:cs="宋体"/>
          <w:b/>
          <w:bCs/>
          <w:color w:val="auto"/>
          <w:sz w:val="32"/>
          <w:szCs w:val="32"/>
          <w:highlight w:val="none"/>
        </w:rPr>
      </w:pPr>
    </w:p>
    <w:p w14:paraId="12710B2D">
      <w:pPr>
        <w:pageBreakBefore w:val="0"/>
        <w:wordWrap w:val="0"/>
        <w:overflowPunct/>
        <w:topLinePunct w:val="0"/>
        <w:bidi w:val="0"/>
        <w:spacing w:line="360" w:lineRule="auto"/>
        <w:jc w:val="center"/>
        <w:rPr>
          <w:rFonts w:ascii="宋体" w:hAnsi="宋体" w:cs="宋体"/>
          <w:b/>
          <w:bCs/>
          <w:color w:val="auto"/>
          <w:sz w:val="32"/>
          <w:szCs w:val="32"/>
          <w:highlight w:val="none"/>
        </w:rPr>
      </w:pPr>
    </w:p>
    <w:p w14:paraId="2584746B">
      <w:pPr>
        <w:pageBreakBefore w:val="0"/>
        <w:wordWrap w:val="0"/>
        <w:overflowPunct/>
        <w:topLinePunct w:val="0"/>
        <w:bidi w:val="0"/>
        <w:spacing w:line="360" w:lineRule="auto"/>
        <w:jc w:val="center"/>
        <w:rPr>
          <w:rFonts w:ascii="宋体" w:hAnsi="宋体" w:cs="宋体"/>
          <w:b/>
          <w:bCs/>
          <w:color w:val="auto"/>
          <w:sz w:val="32"/>
          <w:szCs w:val="32"/>
          <w:highlight w:val="none"/>
        </w:rPr>
      </w:pPr>
    </w:p>
    <w:p w14:paraId="5D35D271">
      <w:pPr>
        <w:pageBreakBefore w:val="0"/>
        <w:wordWrap w:val="0"/>
        <w:overflowPunct/>
        <w:topLinePunct w:val="0"/>
        <w:bidi w:val="0"/>
        <w:spacing w:line="360" w:lineRule="auto"/>
        <w:jc w:val="center"/>
        <w:rPr>
          <w:rFonts w:ascii="宋体" w:hAnsi="宋体" w:cs="宋体"/>
          <w:b/>
          <w:bCs/>
          <w:color w:val="auto"/>
          <w:sz w:val="32"/>
          <w:szCs w:val="32"/>
          <w:highlight w:val="none"/>
        </w:rPr>
      </w:pPr>
    </w:p>
    <w:p w14:paraId="3257DB36">
      <w:pPr>
        <w:pageBreakBefore w:val="0"/>
        <w:wordWrap w:val="0"/>
        <w:overflowPunct/>
        <w:topLinePunct w:val="0"/>
        <w:bidi w:val="0"/>
        <w:spacing w:line="360" w:lineRule="auto"/>
        <w:jc w:val="center"/>
        <w:rPr>
          <w:rFonts w:ascii="宋体" w:hAnsi="宋体" w:cs="宋体"/>
          <w:b/>
          <w:bCs/>
          <w:color w:val="auto"/>
          <w:sz w:val="32"/>
          <w:szCs w:val="32"/>
          <w:highlight w:val="none"/>
        </w:rPr>
      </w:pPr>
    </w:p>
    <w:p w14:paraId="03CD602F">
      <w:pPr>
        <w:pageBreakBefore w:val="0"/>
        <w:wordWrap w:val="0"/>
        <w:overflowPunct/>
        <w:topLinePunct w:val="0"/>
        <w:bidi w:val="0"/>
        <w:spacing w:line="360" w:lineRule="auto"/>
        <w:rPr>
          <w:rFonts w:ascii="宋体" w:hAnsi="宋体" w:cs="宋体"/>
          <w:b/>
          <w:color w:val="auto"/>
          <w:sz w:val="32"/>
          <w:szCs w:val="32"/>
          <w:highlight w:val="none"/>
        </w:rPr>
      </w:pPr>
    </w:p>
    <w:p w14:paraId="69437A5C">
      <w:pPr>
        <w:pageBreakBefore w:val="0"/>
        <w:wordWrap w:val="0"/>
        <w:overflowPunct/>
        <w:topLinePunct w:val="0"/>
        <w:bidi w:val="0"/>
        <w:spacing w:line="360" w:lineRule="auto"/>
        <w:rPr>
          <w:rFonts w:ascii="宋体" w:hAnsi="宋体" w:cs="宋体"/>
          <w:b/>
          <w:color w:val="auto"/>
          <w:sz w:val="32"/>
          <w:szCs w:val="32"/>
          <w:highlight w:val="none"/>
        </w:rPr>
      </w:pPr>
    </w:p>
    <w:p w14:paraId="7945DF74">
      <w:pPr>
        <w:pageBreakBefore w:val="0"/>
        <w:wordWrap w:val="0"/>
        <w:overflowPunct/>
        <w:topLinePunct w:val="0"/>
        <w:bidi w:val="0"/>
        <w:spacing w:line="360" w:lineRule="auto"/>
        <w:rPr>
          <w:rFonts w:ascii="宋体" w:hAnsi="宋体" w:cs="宋体"/>
          <w:b/>
          <w:color w:val="auto"/>
          <w:sz w:val="32"/>
          <w:szCs w:val="32"/>
          <w:highlight w:val="none"/>
        </w:rPr>
      </w:pPr>
    </w:p>
    <w:p w14:paraId="05C6FBB8">
      <w:pPr>
        <w:pageBreakBefore w:val="0"/>
        <w:wordWrap w:val="0"/>
        <w:overflowPunct/>
        <w:topLinePunct w:val="0"/>
        <w:bidi w:val="0"/>
        <w:spacing w:line="360" w:lineRule="auto"/>
        <w:rPr>
          <w:rFonts w:ascii="宋体" w:hAnsi="宋体" w:cs="宋体"/>
          <w:b/>
          <w:color w:val="auto"/>
          <w:sz w:val="32"/>
          <w:szCs w:val="32"/>
          <w:highlight w:val="none"/>
        </w:rPr>
      </w:pPr>
    </w:p>
    <w:p w14:paraId="44ECBEE1">
      <w:pPr>
        <w:pageBreakBefore w:val="0"/>
        <w:wordWrap w:val="0"/>
        <w:overflowPunct/>
        <w:topLinePunct w:val="0"/>
        <w:bidi w:val="0"/>
        <w:spacing w:line="360" w:lineRule="auto"/>
        <w:rPr>
          <w:rFonts w:ascii="宋体" w:hAnsi="宋体" w:cs="宋体"/>
          <w:b/>
          <w:color w:val="auto"/>
          <w:sz w:val="32"/>
          <w:szCs w:val="32"/>
          <w:highlight w:val="none"/>
        </w:rPr>
      </w:pPr>
    </w:p>
    <w:p w14:paraId="2ECB2017">
      <w:pPr>
        <w:pageBreakBefore w:val="0"/>
        <w:wordWrap w:val="0"/>
        <w:overflowPunct/>
        <w:topLinePunct w:val="0"/>
        <w:bidi w:val="0"/>
        <w:spacing w:line="360" w:lineRule="auto"/>
        <w:rPr>
          <w:rFonts w:ascii="宋体" w:hAnsi="宋体" w:cs="宋体"/>
          <w:b/>
          <w:color w:val="auto"/>
          <w:sz w:val="32"/>
          <w:szCs w:val="32"/>
          <w:highlight w:val="none"/>
        </w:rPr>
      </w:pPr>
    </w:p>
    <w:p w14:paraId="60380B70">
      <w:pPr>
        <w:pageBreakBefore w:val="0"/>
        <w:wordWrap w:val="0"/>
        <w:overflowPunct/>
        <w:topLinePunct w:val="0"/>
        <w:bidi w:val="0"/>
        <w:spacing w:line="360" w:lineRule="auto"/>
        <w:rPr>
          <w:rFonts w:ascii="宋体" w:hAnsi="宋体" w:cs="宋体"/>
          <w:b/>
          <w:color w:val="auto"/>
          <w:sz w:val="32"/>
          <w:szCs w:val="32"/>
          <w:highlight w:val="none"/>
        </w:rPr>
      </w:pPr>
    </w:p>
    <w:p w14:paraId="778E3839">
      <w:pPr>
        <w:pageBreakBefore w:val="0"/>
        <w:wordWrap w:val="0"/>
        <w:overflowPunct/>
        <w:topLinePunct w:val="0"/>
        <w:bidi w:val="0"/>
        <w:spacing w:line="360" w:lineRule="auto"/>
        <w:rPr>
          <w:rFonts w:ascii="宋体" w:hAnsi="宋体" w:cs="宋体"/>
          <w:b/>
          <w:color w:val="auto"/>
          <w:sz w:val="32"/>
          <w:szCs w:val="32"/>
          <w:highlight w:val="none"/>
        </w:rPr>
      </w:pPr>
    </w:p>
    <w:p w14:paraId="17FA9B85">
      <w:pPr>
        <w:pageBreakBefore w:val="0"/>
        <w:wordWrap w:val="0"/>
        <w:overflowPunct/>
        <w:topLinePunct w:val="0"/>
        <w:bidi w:val="0"/>
        <w:spacing w:line="360" w:lineRule="auto"/>
        <w:rPr>
          <w:rFonts w:ascii="宋体" w:hAnsi="宋体" w:cs="宋体"/>
          <w:b/>
          <w:color w:val="auto"/>
          <w:sz w:val="32"/>
          <w:szCs w:val="32"/>
          <w:highlight w:val="none"/>
        </w:rPr>
      </w:pPr>
    </w:p>
    <w:p w14:paraId="75E35A8C">
      <w:pPr>
        <w:pageBreakBefore w:val="0"/>
        <w:wordWrap w:val="0"/>
        <w:overflowPunct/>
        <w:topLinePunct w:val="0"/>
        <w:bidi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质疑函制作说明：</w:t>
      </w:r>
    </w:p>
    <w:p w14:paraId="271548A8">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1.供应商提出质疑时，应提交质疑函和必要的证明材料。</w:t>
      </w:r>
    </w:p>
    <w:p w14:paraId="58487B43">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2.质疑供应商若委托代理人进行质疑的，质疑函应按要求列明“授权代表”的有关内容，并在附件中提交由质疑</w:t>
      </w:r>
      <w:r>
        <w:rPr>
          <w:rFonts w:hint="eastAsia" w:ascii="宋体" w:hAnsi="宋体" w:cs="宋体"/>
          <w:color w:val="auto"/>
          <w:kern w:val="0"/>
          <w:sz w:val="32"/>
          <w:szCs w:val="32"/>
          <w:highlight w:val="none"/>
        </w:rPr>
        <w:t>供应商签署的授权委托书。授权委托书应载明代理人的姓名或者名称、代理事项、具体权限、期限和相关事项。</w:t>
      </w:r>
    </w:p>
    <w:p w14:paraId="533D04A6">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3.质疑供应商若对项目的某一分包进行质疑，质疑函中应列明具体分包号。</w:t>
      </w:r>
    </w:p>
    <w:p w14:paraId="59689E1F">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4.质疑函的质疑事项应具体、明确，并有必要的事实依据和法律依据。</w:t>
      </w:r>
    </w:p>
    <w:p w14:paraId="47A6181F">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5.质疑函的质疑请求应与质疑事项相关。</w:t>
      </w:r>
    </w:p>
    <w:p w14:paraId="304D2086">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6D7D11FF">
      <w:pPr>
        <w:pageBreakBefore w:val="0"/>
        <w:widowControl/>
        <w:wordWrap w:val="0"/>
        <w:overflowPunct/>
        <w:topLinePunct w:val="0"/>
        <w:bidi w:val="0"/>
        <w:spacing w:line="360" w:lineRule="auto"/>
        <w:ind w:firstLine="600" w:firstLineChars="200"/>
        <w:jc w:val="left"/>
        <w:rPr>
          <w:rFonts w:ascii="宋体" w:hAnsi="宋体" w:cs="宋体"/>
          <w:color w:val="auto"/>
          <w:sz w:val="30"/>
          <w:szCs w:val="30"/>
          <w:highlight w:val="none"/>
        </w:rPr>
      </w:pPr>
    </w:p>
    <w:p w14:paraId="25C59448">
      <w:pPr>
        <w:pageBreakBefore w:val="0"/>
        <w:widowControl/>
        <w:wordWrap w:val="0"/>
        <w:overflowPunct/>
        <w:topLinePunct w:val="0"/>
        <w:bidi w:val="0"/>
        <w:spacing w:line="360" w:lineRule="auto"/>
        <w:jc w:val="left"/>
        <w:rPr>
          <w:rFonts w:ascii="宋体" w:hAnsi="宋体" w:cs="宋体"/>
          <w:color w:val="auto"/>
          <w:kern w:val="0"/>
          <w:sz w:val="24"/>
          <w:highlight w:val="none"/>
        </w:rPr>
        <w:sectPr>
          <w:pgSz w:w="11906" w:h="16838"/>
          <w:pgMar w:top="1440" w:right="1080" w:bottom="1440" w:left="1080" w:header="720" w:footer="720" w:gutter="0"/>
          <w:pgNumType w:fmt="decimal"/>
          <w:cols w:space="720" w:num="1"/>
          <w:docGrid w:type="lines" w:linePitch="331" w:charSpace="0"/>
        </w:sectPr>
      </w:pPr>
    </w:p>
    <w:p w14:paraId="6780A065">
      <w:pPr>
        <w:pStyle w:val="4"/>
        <w:pageBreakBefore w:val="0"/>
        <w:wordWrap w:val="0"/>
        <w:overflowPunct/>
        <w:topLinePunct w:val="0"/>
        <w:bidi w:val="0"/>
        <w:spacing w:before="0" w:after="0" w:line="360" w:lineRule="auto"/>
        <w:jc w:val="center"/>
        <w:rPr>
          <w:rFonts w:ascii="宋体" w:hAnsi="宋体" w:eastAsia="宋体" w:cs="宋体"/>
          <w:b w:val="0"/>
          <w:bCs w:val="0"/>
          <w:color w:val="auto"/>
          <w:highlight w:val="none"/>
        </w:rPr>
      </w:pPr>
      <w:bookmarkStart w:id="292" w:name="_Toc14288"/>
      <w:r>
        <w:rPr>
          <w:rFonts w:hint="eastAsia" w:ascii="宋体" w:hAnsi="宋体" w:eastAsia="宋体" w:cs="宋体"/>
          <w:b w:val="0"/>
          <w:bCs w:val="0"/>
          <w:color w:val="auto"/>
          <w:highlight w:val="none"/>
        </w:rPr>
        <w:t>第二节 投诉书（格式）</w:t>
      </w:r>
      <w:bookmarkEnd w:id="292"/>
    </w:p>
    <w:p w14:paraId="1AE45C1F">
      <w:pPr>
        <w:pageBreakBefore w:val="0"/>
        <w:wordWrap w:val="0"/>
        <w:overflowPunct/>
        <w:topLinePunct w:val="0"/>
        <w:bidi w:val="0"/>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投诉书范本</w:t>
      </w:r>
    </w:p>
    <w:p w14:paraId="2AA065E2">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一、投诉相关主体基本情况</w:t>
      </w:r>
    </w:p>
    <w:p w14:paraId="62398727">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投诉人：</w:t>
      </w:r>
      <w:r>
        <w:rPr>
          <w:rFonts w:hint="eastAsia" w:ascii="宋体" w:hAnsi="宋体" w:cs="宋体"/>
          <w:color w:val="auto"/>
          <w:sz w:val="32"/>
          <w:szCs w:val="32"/>
          <w:highlight w:val="none"/>
          <w:u w:val="dotted"/>
        </w:rPr>
        <w:t xml:space="preserve">                                               </w:t>
      </w:r>
    </w:p>
    <w:p w14:paraId="22AC12F5">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3857FFD0">
      <w:pPr>
        <w:pageBreakBefore w:val="0"/>
        <w:tabs>
          <w:tab w:val="left" w:pos="6510"/>
        </w:tabs>
        <w:wordWrap w:val="0"/>
        <w:overflowPunct/>
        <w:topLinePunct w:val="0"/>
        <w:bidi w:val="0"/>
        <w:spacing w:line="360" w:lineRule="auto"/>
        <w:jc w:val="left"/>
        <w:rPr>
          <w:rFonts w:ascii="宋体" w:hAnsi="宋体" w:cs="宋体"/>
          <w:color w:val="auto"/>
          <w:sz w:val="32"/>
          <w:szCs w:val="32"/>
          <w:highlight w:val="none"/>
        </w:rPr>
      </w:pPr>
      <w:r>
        <w:rPr>
          <w:rFonts w:hint="eastAsia" w:ascii="宋体" w:hAnsi="宋体" w:cs="宋体"/>
          <w:color w:val="auto"/>
          <w:sz w:val="32"/>
          <w:szCs w:val="32"/>
          <w:highlight w:val="none"/>
        </w:rPr>
        <w:t>法定代表人/主要负责人：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4943DF3C">
      <w:pPr>
        <w:pageBreakBefore w:val="0"/>
        <w:tabs>
          <w:tab w:val="left" w:pos="6510"/>
        </w:tabs>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0AE52C80">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27746FEB">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dotted"/>
        </w:rPr>
        <w:t xml:space="preserve">                   </w:t>
      </w:r>
    </w:p>
    <w:p w14:paraId="48BE3618">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被投诉人1：</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3E1F7EBB">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13C7382A">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4006A8C4">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被投诉人2</w:t>
      </w:r>
    </w:p>
    <w:p w14:paraId="1DFA819C">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w:t>
      </w:r>
    </w:p>
    <w:p w14:paraId="0CEA1AD1">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相关供应商：</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0690957A">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306E41E9">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6288F088">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二、投诉项目基本情况</w:t>
      </w:r>
    </w:p>
    <w:p w14:paraId="066748D9">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采购项目名称：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南宁市第十四中学数字校园建设项目</w:t>
      </w:r>
      <w:r>
        <w:rPr>
          <w:rFonts w:hint="eastAsia" w:ascii="宋体" w:hAnsi="宋体" w:cs="宋体"/>
          <w:color w:val="auto"/>
          <w:sz w:val="32"/>
          <w:szCs w:val="32"/>
          <w:highlight w:val="none"/>
          <w:u w:val="dotted"/>
        </w:rPr>
        <w:t xml:space="preserve">   </w:t>
      </w:r>
    </w:p>
    <w:p w14:paraId="491D8D87">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采购项目编号：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14:paraId="61309E38">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南宁市第十四中学</w:t>
      </w:r>
      <w:r>
        <w:rPr>
          <w:rFonts w:hint="eastAsia" w:ascii="宋体" w:hAnsi="宋体" w:cs="宋体"/>
          <w:color w:val="auto"/>
          <w:sz w:val="32"/>
          <w:szCs w:val="32"/>
          <w:highlight w:val="none"/>
          <w:u w:val="single"/>
        </w:rPr>
        <w:t xml:space="preserve">  </w:t>
      </w:r>
    </w:p>
    <w:p w14:paraId="3B9E4D41">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代理机构名称：</w:t>
      </w:r>
      <w:r>
        <w:rPr>
          <w:rFonts w:hint="eastAsia" w:ascii="宋体" w:hAnsi="宋体" w:cs="宋体"/>
          <w:color w:val="auto"/>
          <w:sz w:val="32"/>
          <w:szCs w:val="32"/>
          <w:highlight w:val="none"/>
          <w:u w:val="dotted"/>
        </w:rPr>
        <w:t xml:space="preserve">                                         </w:t>
      </w:r>
    </w:p>
    <w:p w14:paraId="42055414">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采购文件公告: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266151C6">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采购结果公告: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68EECC8C">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三、质疑基本情况</w:t>
      </w:r>
    </w:p>
    <w:p w14:paraId="3DF1250B">
      <w:pPr>
        <w:pageBreakBefore w:val="0"/>
        <w:wordWrap w:val="0"/>
        <w:overflowPunct/>
        <w:topLinePunct w:val="0"/>
        <w:bidi w:val="0"/>
        <w:spacing w:line="360" w:lineRule="auto"/>
        <w:ind w:firstLine="640" w:firstLineChars="200"/>
        <w:rPr>
          <w:rFonts w:ascii="宋体" w:hAnsi="宋体" w:cs="宋体"/>
          <w:color w:val="auto"/>
          <w:sz w:val="32"/>
          <w:szCs w:val="32"/>
          <w:highlight w:val="none"/>
          <w:u w:val="dotted"/>
        </w:rPr>
      </w:pPr>
      <w:r>
        <w:rPr>
          <w:rFonts w:hint="eastAsia" w:ascii="宋体" w:hAnsi="宋体" w:cs="宋体"/>
          <w:color w:val="auto"/>
          <w:sz w:val="32"/>
          <w:szCs w:val="32"/>
          <w:highlight w:val="none"/>
        </w:rPr>
        <w:t>投诉人于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日,向</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提出质疑，质疑事项为：</w:t>
      </w:r>
      <w:r>
        <w:rPr>
          <w:rFonts w:hint="eastAsia" w:ascii="宋体" w:hAnsi="宋体" w:cs="宋体"/>
          <w:color w:val="auto"/>
          <w:sz w:val="32"/>
          <w:szCs w:val="32"/>
          <w:highlight w:val="none"/>
          <w:u w:val="dotted"/>
        </w:rPr>
        <w:t xml:space="preserve">                                </w:t>
      </w:r>
    </w:p>
    <w:p w14:paraId="5EB24BAD">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0FDEEA7F">
      <w:pPr>
        <w:pageBreakBefore w:val="0"/>
        <w:wordWrap w:val="0"/>
        <w:overflowPunct/>
        <w:topLinePunct w:val="0"/>
        <w:bidi w:val="0"/>
        <w:spacing w:line="360" w:lineRule="auto"/>
        <w:ind w:firstLine="480" w:firstLineChars="150"/>
        <w:rPr>
          <w:rFonts w:ascii="宋体" w:hAnsi="宋体" w:cs="宋体"/>
          <w:color w:val="auto"/>
          <w:sz w:val="32"/>
          <w:szCs w:val="32"/>
          <w:highlight w:val="none"/>
        </w:rPr>
      </w:pPr>
      <w:r>
        <w:rPr>
          <w:rFonts w:hint="eastAsia" w:ascii="宋体" w:hAnsi="宋体" w:cs="宋体"/>
          <w:color w:val="auto"/>
          <w:sz w:val="32"/>
          <w:szCs w:val="32"/>
          <w:highlight w:val="none"/>
          <w:u w:val="dotted"/>
        </w:rPr>
        <w:t>采购人/代理机构</w:t>
      </w:r>
      <w:r>
        <w:rPr>
          <w:rFonts w:hint="eastAsia" w:ascii="宋体" w:hAnsi="宋体" w:cs="宋体"/>
          <w:color w:val="auto"/>
          <w:sz w:val="32"/>
          <w:szCs w:val="32"/>
          <w:highlight w:val="none"/>
        </w:rPr>
        <w:t>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日,就质疑事项作出了答复/没有在法定期限内作出答复。</w:t>
      </w:r>
    </w:p>
    <w:p w14:paraId="741139B1">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四、投诉事项具体内容</w:t>
      </w:r>
    </w:p>
    <w:p w14:paraId="5636A943">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投诉事项 1：</w:t>
      </w:r>
      <w:r>
        <w:rPr>
          <w:rFonts w:hint="eastAsia" w:ascii="宋体" w:hAnsi="宋体" w:cs="宋体"/>
          <w:color w:val="auto"/>
          <w:sz w:val="32"/>
          <w:szCs w:val="32"/>
          <w:highlight w:val="none"/>
          <w:u w:val="dotted"/>
        </w:rPr>
        <w:t xml:space="preserve">                                       </w:t>
      </w:r>
    </w:p>
    <w:p w14:paraId="0CDDAFB8">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14:paraId="2F25812A">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797D1ADA">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14:paraId="1B735300">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3530A0FE">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投诉事项2</w:t>
      </w:r>
    </w:p>
    <w:p w14:paraId="24F9CE03">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w:t>
      </w:r>
    </w:p>
    <w:p w14:paraId="15964BBE">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五、与投诉事项相关的投诉请求</w:t>
      </w:r>
    </w:p>
    <w:p w14:paraId="5870E11E">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751B42CE">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 xml:space="preserve">                                                                                                    </w:t>
      </w:r>
    </w:p>
    <w:p w14:paraId="473A7069">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 xml:space="preserve">签字(签章)：                   公章：                      </w:t>
      </w:r>
    </w:p>
    <w:p w14:paraId="2BDCC9A9">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 xml:space="preserve">日期：    </w:t>
      </w:r>
    </w:p>
    <w:p w14:paraId="685EB297">
      <w:pPr>
        <w:pageBreakBefore w:val="0"/>
        <w:wordWrap w:val="0"/>
        <w:overflowPunct/>
        <w:topLinePunct w:val="0"/>
        <w:bidi w:val="0"/>
        <w:spacing w:line="360" w:lineRule="auto"/>
        <w:rPr>
          <w:rFonts w:ascii="宋体" w:hAnsi="宋体" w:cs="宋体"/>
          <w:b/>
          <w:color w:val="auto"/>
          <w:sz w:val="32"/>
          <w:szCs w:val="32"/>
          <w:highlight w:val="none"/>
        </w:rPr>
      </w:pPr>
    </w:p>
    <w:p w14:paraId="211FA493">
      <w:pPr>
        <w:pageBreakBefore w:val="0"/>
        <w:wordWrap w:val="0"/>
        <w:overflowPunct/>
        <w:topLinePunct w:val="0"/>
        <w:bidi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投诉书制作说明：</w:t>
      </w:r>
    </w:p>
    <w:p w14:paraId="6CEA0ED2">
      <w:pPr>
        <w:pageBreakBefore w:val="0"/>
        <w:widowControl/>
        <w:wordWrap w:val="0"/>
        <w:overflowPunct/>
        <w:topLinePunct w:val="0"/>
        <w:bidi w:val="0"/>
        <w:spacing w:line="360" w:lineRule="auto"/>
        <w:ind w:firstLine="640" w:firstLineChars="200"/>
        <w:rPr>
          <w:rFonts w:ascii="宋体" w:hAnsi="宋体" w:cs="宋体"/>
          <w:color w:val="auto"/>
          <w:kern w:val="0"/>
          <w:sz w:val="32"/>
          <w:szCs w:val="32"/>
          <w:highlight w:val="none"/>
        </w:rPr>
      </w:pPr>
      <w:r>
        <w:rPr>
          <w:rFonts w:hint="eastAsia" w:ascii="宋体" w:hAnsi="宋体" w:cs="宋体"/>
          <w:color w:val="auto"/>
          <w:sz w:val="32"/>
          <w:szCs w:val="32"/>
          <w:highlight w:val="none"/>
        </w:rPr>
        <w:t>1.投诉人提起投诉时，应当提交投诉书和必要的证明材料，并按照被投诉人和与投诉事项有关的供应商数量提供投诉书副本。</w:t>
      </w:r>
    </w:p>
    <w:p w14:paraId="68979797">
      <w:pPr>
        <w:pageBreakBefore w:val="0"/>
        <w:widowControl/>
        <w:wordWrap w:val="0"/>
        <w:overflowPunct/>
        <w:topLinePunct w:val="0"/>
        <w:bidi w:val="0"/>
        <w:spacing w:line="360" w:lineRule="auto"/>
        <w:ind w:firstLine="640" w:firstLineChars="200"/>
        <w:jc w:val="left"/>
        <w:rPr>
          <w:rFonts w:ascii="宋体" w:hAnsi="宋体" w:cs="宋体"/>
          <w:color w:val="auto"/>
          <w:kern w:val="0"/>
          <w:sz w:val="32"/>
          <w:szCs w:val="32"/>
          <w:highlight w:val="none"/>
        </w:rPr>
      </w:pPr>
      <w:r>
        <w:rPr>
          <w:rFonts w:hint="eastAsia" w:ascii="宋体" w:hAnsi="宋体" w:cs="宋体"/>
          <w:color w:val="auto"/>
          <w:sz w:val="32"/>
          <w:szCs w:val="32"/>
          <w:highlight w:val="none"/>
        </w:rPr>
        <w:t>2.投诉人若委托代理人进行投诉的，投诉书应按照要求列明“授权代表”的有关内容，并在附件中提交由</w:t>
      </w:r>
      <w:r>
        <w:rPr>
          <w:rFonts w:hint="eastAsia" w:ascii="宋体" w:hAnsi="宋体" w:cs="宋体"/>
          <w:color w:val="auto"/>
          <w:kern w:val="0"/>
          <w:sz w:val="32"/>
          <w:szCs w:val="32"/>
          <w:highlight w:val="none"/>
        </w:rPr>
        <w:t>投诉人签署的授权委托书。授权委托书应当载明代理人的姓名或者名称、代理事项、具体权限、期限和相关事项。</w:t>
      </w:r>
    </w:p>
    <w:p w14:paraId="2BECBCFD">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3.投诉人若对项目的某一分包进行投诉，投诉书应列明具体分包号。</w:t>
      </w:r>
    </w:p>
    <w:p w14:paraId="75338C55">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4.投诉书应简要列明质疑事项，质疑函、质疑答复等作为附件材料提供。</w:t>
      </w:r>
    </w:p>
    <w:p w14:paraId="18019291">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5.投诉书的投诉事项应具体、明确，并有必要的事实依据和法律依据。</w:t>
      </w:r>
    </w:p>
    <w:p w14:paraId="7F8B9685">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6.投诉书的投诉请求应与投诉事项相关。</w:t>
      </w:r>
    </w:p>
    <w:p w14:paraId="01D2AC34">
      <w:pPr>
        <w:pageBreakBefore w:val="0"/>
        <w:widowControl/>
        <w:wordWrap w:val="0"/>
        <w:overflowPunct/>
        <w:topLinePunct w:val="0"/>
        <w:bidi w:val="0"/>
        <w:spacing w:line="360" w:lineRule="auto"/>
        <w:ind w:firstLine="640" w:firstLineChars="200"/>
        <w:jc w:val="left"/>
        <w:rPr>
          <w:rFonts w:ascii="宋体" w:hAnsi="宋体" w:cs="宋体"/>
          <w:color w:val="auto"/>
          <w:kern w:val="0"/>
          <w:sz w:val="32"/>
          <w:szCs w:val="32"/>
          <w:highlight w:val="none"/>
        </w:rPr>
      </w:pPr>
      <w:r>
        <w:rPr>
          <w:rFonts w:hint="eastAsia" w:ascii="宋体" w:hAnsi="宋体" w:cs="宋体"/>
          <w:color w:val="auto"/>
          <w:sz w:val="32"/>
          <w:szCs w:val="32"/>
          <w:highlight w:val="none"/>
        </w:rPr>
        <w:t>7.投诉人为自然人的，投诉书应当由本人签字；投诉人为法人或者其他组织的，投诉书应当由法定代表人、主要负责人，或者其授权代表签字或者盖章，并加盖公章。</w:t>
      </w:r>
    </w:p>
    <w:p w14:paraId="1E1D83DE">
      <w:pPr>
        <w:pageBreakBefore w:val="0"/>
        <w:wordWrap w:val="0"/>
        <w:overflowPunct/>
        <w:topLinePunct w:val="0"/>
        <w:bidi w:val="0"/>
        <w:spacing w:line="360" w:lineRule="auto"/>
        <w:rPr>
          <w:rFonts w:ascii="宋体" w:hAnsi="宋体" w:cs="宋体"/>
          <w:color w:val="auto"/>
          <w:highlight w:val="none"/>
        </w:rPr>
      </w:pPr>
    </w:p>
    <w:p w14:paraId="2FDD6BCF">
      <w:pPr>
        <w:pageBreakBefore w:val="0"/>
        <w:overflowPunct/>
        <w:topLinePunct w:val="0"/>
        <w:bidi w:val="0"/>
        <w:spacing w:line="360" w:lineRule="auto"/>
        <w:rPr>
          <w:color w:val="auto"/>
          <w:highlight w:val="none"/>
        </w:rPr>
      </w:pPr>
    </w:p>
    <w:sectPr>
      <w:footerReference r:id="rId13" w:type="first"/>
      <w:headerReference r:id="rId10" w:type="default"/>
      <w:footerReference r:id="rId11" w:type="default"/>
      <w:footerReference r:id="rId12" w:type="even"/>
      <w:pgSz w:w="11906" w:h="16838"/>
      <w:pgMar w:top="1440" w:right="1080" w:bottom="1440" w:left="1080"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547D3">
    <w:pPr>
      <w:pStyle w:val="13"/>
      <w:tabs>
        <w:tab w:val="center" w:pos="4873"/>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45EAC">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2045EAC">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06D0B">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4B464C">
                          <w:pPr>
                            <w:pStyle w:val="1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74B464C">
                    <w:pPr>
                      <w:pStyle w:val="1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53F56">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83F37">
                          <w:pPr>
                            <w:pStyle w:val="1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EC83F37">
                    <w:pPr>
                      <w:pStyle w:val="1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38104">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A965C6">
                          <w:pPr>
                            <w:pStyle w:val="1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CA965C6">
                    <w:pPr>
                      <w:pStyle w:val="1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F5C93">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27A5F8">
                          <w:pPr>
                            <w:pStyle w:val="13"/>
                          </w:pPr>
                          <w:r>
                            <w:fldChar w:fldCharType="begin"/>
                          </w:r>
                          <w:r>
                            <w:instrText xml:space="preserve"> PAGE  \* MERGEFORMAT </w:instrText>
                          </w:r>
                          <w:r>
                            <w:fldChar w:fldCharType="separate"/>
                          </w:r>
                          <w:r>
                            <w:t>144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427A5F8">
                    <w:pPr>
                      <w:pStyle w:val="13"/>
                    </w:pPr>
                    <w:r>
                      <w:fldChar w:fldCharType="begin"/>
                    </w:r>
                    <w:r>
                      <w:instrText xml:space="preserve"> PAGE  \* MERGEFORMAT </w:instrText>
                    </w:r>
                    <w:r>
                      <w:fldChar w:fldCharType="separate"/>
                    </w:r>
                    <w:r>
                      <w:t>144</w:t>
                    </w:r>
                    <w:r>
                      <w:fldChar w:fldCharType="end"/>
                    </w:r>
                  </w:p>
                </w:txbxContent>
              </v:textbox>
            </v:shape>
          </w:pict>
        </mc:Fallback>
      </mc:AlternateContent>
    </w:r>
  </w:p>
  <w:p w14:paraId="5E54C676">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93CFF">
    <w:pPr>
      <w:pStyle w:val="13"/>
      <w:framePr w:wrap="around" w:vAnchor="text" w:hAnchor="margin" w:xAlign="center" w:y="1"/>
      <w:rPr>
        <w:rStyle w:val="23"/>
      </w:rPr>
    </w:pPr>
    <w:r>
      <w:fldChar w:fldCharType="begin"/>
    </w:r>
    <w:r>
      <w:rPr>
        <w:rStyle w:val="23"/>
      </w:rPr>
      <w:instrText xml:space="preserve">PAGE  </w:instrText>
    </w:r>
    <w:r>
      <w:fldChar w:fldCharType="end"/>
    </w:r>
  </w:p>
  <w:p w14:paraId="1025A096">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64488">
    <w:pPr>
      <w:pStyle w:val="13"/>
      <w:framePr w:wrap="around" w:vAnchor="text" w:hAnchor="margin" w:xAlign="right" w:y="1"/>
      <w:rPr>
        <w:rStyle w:val="23"/>
      </w:rPr>
    </w:pPr>
    <w:r>
      <w:fldChar w:fldCharType="begin"/>
    </w:r>
    <w:r>
      <w:rPr>
        <w:rStyle w:val="23"/>
      </w:rPr>
      <w:instrText xml:space="preserve">PAGE  </w:instrText>
    </w:r>
    <w:r>
      <w:fldChar w:fldCharType="separate"/>
    </w:r>
    <w:r>
      <w:rPr>
        <w:rStyle w:val="23"/>
      </w:rPr>
      <w:t>122</w:t>
    </w:r>
    <w:r>
      <w:fldChar w:fldCharType="end"/>
    </w:r>
  </w:p>
  <w:p w14:paraId="24B07228">
    <w:pPr>
      <w:pStyle w:val="13"/>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7AB20">
    <w:pPr>
      <w:widowControl/>
      <w:ind w:left="-360" w:right="360"/>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D9495">
    <w:pPr>
      <w:pStyle w:val="14"/>
      <w:pBdr>
        <w:bottom w:val="none" w:color="auto" w:sz="0" w:space="1"/>
      </w:pBdr>
      <w:tabs>
        <w:tab w:val="center" w:pos="0"/>
        <w:tab w:val="clear" w:pos="4153"/>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C5B1A">
    <w:pPr>
      <w:pStyle w:val="14"/>
      <w:pBdr>
        <w:bottom w:val="none" w:color="auto" w:sz="0" w:space="1"/>
      </w:pBdr>
      <w:tabs>
        <w:tab w:val="center" w:pos="0"/>
        <w:tab w:val="clear" w:pos="4153"/>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C7D2E">
    <w:pPr>
      <w:pStyle w:val="1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4D163"/>
    <w:multiLevelType w:val="singleLevel"/>
    <w:tmpl w:val="8974D163"/>
    <w:lvl w:ilvl="0" w:tentative="0">
      <w:start w:val="1"/>
      <w:numFmt w:val="decimal"/>
      <w:lvlText w:val="%1."/>
      <w:lvlJc w:val="left"/>
      <w:pPr>
        <w:tabs>
          <w:tab w:val="left" w:pos="312"/>
        </w:tabs>
      </w:pPr>
    </w:lvl>
  </w:abstractNum>
  <w:abstractNum w:abstractNumId="1">
    <w:nsid w:val="914A49E4"/>
    <w:multiLevelType w:val="singleLevel"/>
    <w:tmpl w:val="914A49E4"/>
    <w:lvl w:ilvl="0" w:tentative="0">
      <w:start w:val="1"/>
      <w:numFmt w:val="decimal"/>
      <w:suff w:val="nothing"/>
      <w:lvlText w:val="（%1）"/>
      <w:lvlJc w:val="left"/>
    </w:lvl>
  </w:abstractNum>
  <w:abstractNum w:abstractNumId="2">
    <w:nsid w:val="DC3C4FD3"/>
    <w:multiLevelType w:val="singleLevel"/>
    <w:tmpl w:val="DC3C4FD3"/>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46B626CD"/>
    <w:multiLevelType w:val="singleLevel"/>
    <w:tmpl w:val="46B626CD"/>
    <w:lvl w:ilvl="0" w:tentative="0">
      <w:start w:val="1"/>
      <w:numFmt w:val="decimal"/>
      <w:suff w:val="nothing"/>
      <w:lvlText w:val="%1）"/>
      <w:lvlJc w:val="left"/>
    </w:lvl>
  </w:abstractNum>
  <w:abstractNum w:abstractNumId="6">
    <w:nsid w:val="51536378"/>
    <w:multiLevelType w:val="singleLevel"/>
    <w:tmpl w:val="51536378"/>
    <w:lvl w:ilvl="0" w:tentative="0">
      <w:start w:val="1"/>
      <w:numFmt w:val="decimal"/>
      <w:suff w:val="nothing"/>
      <w:lvlText w:val="（%1）"/>
      <w:lvlJc w:val="left"/>
      <w:pPr>
        <w:ind w:left="0" w:firstLine="0"/>
      </w:pPr>
    </w:lvl>
  </w:abstractNum>
  <w:abstractNum w:abstractNumId="7">
    <w:nsid w:val="704FD9C0"/>
    <w:multiLevelType w:val="singleLevel"/>
    <w:tmpl w:val="704FD9C0"/>
    <w:lvl w:ilvl="0" w:tentative="0">
      <w:start w:val="2"/>
      <w:numFmt w:val="decimal"/>
      <w:lvlText w:val="%1."/>
      <w:lvlJc w:val="left"/>
      <w:pPr>
        <w:tabs>
          <w:tab w:val="left" w:pos="312"/>
        </w:tabs>
      </w:pPr>
    </w:lvl>
  </w:abstractNum>
  <w:abstractNum w:abstractNumId="8">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7"/>
  </w:num>
  <w:num w:numId="2">
    <w:abstractNumId w:val="5"/>
  </w:num>
  <w:num w:numId="3">
    <w:abstractNumId w:val="1"/>
  </w:num>
  <w:num w:numId="4">
    <w:abstractNumId w:val="0"/>
  </w:num>
  <w:num w:numId="5">
    <w:abstractNumId w:val="2"/>
  </w:num>
  <w:num w:numId="6">
    <w:abstractNumId w:val="6"/>
    <w:lvlOverride w:ilvl="0">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dit="readOnly" w:enforcement="1" w:cryptProviderType="rsaFull" w:cryptAlgorithmClass="hash" w:cryptAlgorithmType="typeAny" w:cryptAlgorithmSid="4" w:cryptSpinCount="0" w:hash="665r9i2vJd9xUYH36q9wgVsegJQ=" w:salt="gpjMAVTQd02yP71YitBg6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iOTFhODhhODQ5MGE1NjQ3NjcyY2IzYTY3ZGMxNDUifQ=="/>
  </w:docVars>
  <w:rsids>
    <w:rsidRoot w:val="00000000"/>
    <w:rsid w:val="003B03D5"/>
    <w:rsid w:val="00494FFB"/>
    <w:rsid w:val="00AA3CEC"/>
    <w:rsid w:val="016C134C"/>
    <w:rsid w:val="01791910"/>
    <w:rsid w:val="01A9706E"/>
    <w:rsid w:val="01C76C64"/>
    <w:rsid w:val="01D17056"/>
    <w:rsid w:val="020F5516"/>
    <w:rsid w:val="022434AA"/>
    <w:rsid w:val="035B7934"/>
    <w:rsid w:val="03936CB9"/>
    <w:rsid w:val="039F7B16"/>
    <w:rsid w:val="03E07A24"/>
    <w:rsid w:val="04C3537C"/>
    <w:rsid w:val="04D31260"/>
    <w:rsid w:val="04E57E5F"/>
    <w:rsid w:val="04F05F5C"/>
    <w:rsid w:val="051A66FF"/>
    <w:rsid w:val="053578FC"/>
    <w:rsid w:val="059A7FF8"/>
    <w:rsid w:val="05DF50B4"/>
    <w:rsid w:val="062743A8"/>
    <w:rsid w:val="064C5934"/>
    <w:rsid w:val="068C63E6"/>
    <w:rsid w:val="069C78A6"/>
    <w:rsid w:val="06DB08CB"/>
    <w:rsid w:val="07353773"/>
    <w:rsid w:val="07A115AA"/>
    <w:rsid w:val="07E52840"/>
    <w:rsid w:val="08210C3F"/>
    <w:rsid w:val="086C047F"/>
    <w:rsid w:val="08DC4C5E"/>
    <w:rsid w:val="095755BC"/>
    <w:rsid w:val="09633D4C"/>
    <w:rsid w:val="096832A8"/>
    <w:rsid w:val="09C63218"/>
    <w:rsid w:val="09C747F8"/>
    <w:rsid w:val="09FC30DE"/>
    <w:rsid w:val="0A0D77DE"/>
    <w:rsid w:val="0A637914"/>
    <w:rsid w:val="0B0C3A2C"/>
    <w:rsid w:val="0B62022D"/>
    <w:rsid w:val="0B973201"/>
    <w:rsid w:val="0BCE2E8C"/>
    <w:rsid w:val="0C156296"/>
    <w:rsid w:val="0C4261B5"/>
    <w:rsid w:val="0C660A4F"/>
    <w:rsid w:val="0C840865"/>
    <w:rsid w:val="0CC75DB7"/>
    <w:rsid w:val="0DA10224"/>
    <w:rsid w:val="0DB717F6"/>
    <w:rsid w:val="0E5A476E"/>
    <w:rsid w:val="0E615C83"/>
    <w:rsid w:val="0E625C06"/>
    <w:rsid w:val="0E9258D1"/>
    <w:rsid w:val="0E9C0CAF"/>
    <w:rsid w:val="0FBC76C1"/>
    <w:rsid w:val="10846DA4"/>
    <w:rsid w:val="10A9762F"/>
    <w:rsid w:val="10F36003"/>
    <w:rsid w:val="110B7B99"/>
    <w:rsid w:val="11473AE5"/>
    <w:rsid w:val="1148533B"/>
    <w:rsid w:val="117328B7"/>
    <w:rsid w:val="11EC157F"/>
    <w:rsid w:val="12270C23"/>
    <w:rsid w:val="12AA7B7B"/>
    <w:rsid w:val="12C16C73"/>
    <w:rsid w:val="12E007D0"/>
    <w:rsid w:val="13076D7C"/>
    <w:rsid w:val="136610BC"/>
    <w:rsid w:val="137D3BAA"/>
    <w:rsid w:val="138B3F94"/>
    <w:rsid w:val="1390019C"/>
    <w:rsid w:val="13F56E49"/>
    <w:rsid w:val="141F4BCF"/>
    <w:rsid w:val="14337FB3"/>
    <w:rsid w:val="146B2753"/>
    <w:rsid w:val="154E0D1F"/>
    <w:rsid w:val="15877D00"/>
    <w:rsid w:val="15A959CF"/>
    <w:rsid w:val="16B801B7"/>
    <w:rsid w:val="1713015F"/>
    <w:rsid w:val="173E43E9"/>
    <w:rsid w:val="174560C4"/>
    <w:rsid w:val="1766487A"/>
    <w:rsid w:val="17861B3F"/>
    <w:rsid w:val="1872043E"/>
    <w:rsid w:val="188654DE"/>
    <w:rsid w:val="18A84B5D"/>
    <w:rsid w:val="190460D4"/>
    <w:rsid w:val="190F4842"/>
    <w:rsid w:val="19310FB2"/>
    <w:rsid w:val="19424491"/>
    <w:rsid w:val="19925B38"/>
    <w:rsid w:val="19BA73EF"/>
    <w:rsid w:val="19DE22C0"/>
    <w:rsid w:val="19F56590"/>
    <w:rsid w:val="1A2431D0"/>
    <w:rsid w:val="1A462986"/>
    <w:rsid w:val="1B1D66C9"/>
    <w:rsid w:val="1B1F6C2C"/>
    <w:rsid w:val="1B5B0FB2"/>
    <w:rsid w:val="1B60171F"/>
    <w:rsid w:val="1BA85C48"/>
    <w:rsid w:val="1BE872A1"/>
    <w:rsid w:val="1C6E0AF0"/>
    <w:rsid w:val="1C7A52FD"/>
    <w:rsid w:val="1C7A5F5C"/>
    <w:rsid w:val="1CBD04AB"/>
    <w:rsid w:val="1D220B9C"/>
    <w:rsid w:val="1D7A639C"/>
    <w:rsid w:val="1E110AAE"/>
    <w:rsid w:val="1E303A3C"/>
    <w:rsid w:val="1E35170E"/>
    <w:rsid w:val="1E3D7AF5"/>
    <w:rsid w:val="1E7B23CC"/>
    <w:rsid w:val="1E995E33"/>
    <w:rsid w:val="1EAB0F03"/>
    <w:rsid w:val="1F470853"/>
    <w:rsid w:val="1FC251E9"/>
    <w:rsid w:val="1FD87CD3"/>
    <w:rsid w:val="1FE93853"/>
    <w:rsid w:val="20944159"/>
    <w:rsid w:val="20A26336"/>
    <w:rsid w:val="20CD7372"/>
    <w:rsid w:val="215E2F3E"/>
    <w:rsid w:val="21957C48"/>
    <w:rsid w:val="219A525F"/>
    <w:rsid w:val="21DE514B"/>
    <w:rsid w:val="21FF3314"/>
    <w:rsid w:val="22DF7BF5"/>
    <w:rsid w:val="23166AD4"/>
    <w:rsid w:val="232272BA"/>
    <w:rsid w:val="23D74548"/>
    <w:rsid w:val="240F3D17"/>
    <w:rsid w:val="24B91EA0"/>
    <w:rsid w:val="250D4C07"/>
    <w:rsid w:val="25103F1D"/>
    <w:rsid w:val="25180974"/>
    <w:rsid w:val="25A246E2"/>
    <w:rsid w:val="260D1F7D"/>
    <w:rsid w:val="26705CD7"/>
    <w:rsid w:val="269A19B2"/>
    <w:rsid w:val="26F655FE"/>
    <w:rsid w:val="27B25B40"/>
    <w:rsid w:val="27F2725B"/>
    <w:rsid w:val="281C4C20"/>
    <w:rsid w:val="285C7226"/>
    <w:rsid w:val="28884063"/>
    <w:rsid w:val="28A54C15"/>
    <w:rsid w:val="28B26DCA"/>
    <w:rsid w:val="28BD5C74"/>
    <w:rsid w:val="29401650"/>
    <w:rsid w:val="294F692F"/>
    <w:rsid w:val="29713F97"/>
    <w:rsid w:val="29714AF7"/>
    <w:rsid w:val="29C54E43"/>
    <w:rsid w:val="2A5C22C2"/>
    <w:rsid w:val="2A5F7045"/>
    <w:rsid w:val="2AD01CF1"/>
    <w:rsid w:val="2C3B721F"/>
    <w:rsid w:val="2C3F62B4"/>
    <w:rsid w:val="2D1927C5"/>
    <w:rsid w:val="2D722ADE"/>
    <w:rsid w:val="2DAD44B7"/>
    <w:rsid w:val="2DB03710"/>
    <w:rsid w:val="2E495095"/>
    <w:rsid w:val="2E964E15"/>
    <w:rsid w:val="2E9C2D3D"/>
    <w:rsid w:val="2F100774"/>
    <w:rsid w:val="2F68074A"/>
    <w:rsid w:val="2FC05E73"/>
    <w:rsid w:val="2FDE30CD"/>
    <w:rsid w:val="30082097"/>
    <w:rsid w:val="301D7787"/>
    <w:rsid w:val="303F76FD"/>
    <w:rsid w:val="30467249"/>
    <w:rsid w:val="30584ADD"/>
    <w:rsid w:val="30596F99"/>
    <w:rsid w:val="30BF099B"/>
    <w:rsid w:val="30F91D1F"/>
    <w:rsid w:val="31374878"/>
    <w:rsid w:val="31631466"/>
    <w:rsid w:val="32665609"/>
    <w:rsid w:val="32805DAB"/>
    <w:rsid w:val="33026AB6"/>
    <w:rsid w:val="33362D41"/>
    <w:rsid w:val="33B421B0"/>
    <w:rsid w:val="33DE08AA"/>
    <w:rsid w:val="33F627C9"/>
    <w:rsid w:val="34086058"/>
    <w:rsid w:val="34180991"/>
    <w:rsid w:val="341A3D5E"/>
    <w:rsid w:val="346516FC"/>
    <w:rsid w:val="346D235F"/>
    <w:rsid w:val="34B85CD0"/>
    <w:rsid w:val="34DD36E9"/>
    <w:rsid w:val="34FA7BA3"/>
    <w:rsid w:val="353735E2"/>
    <w:rsid w:val="35725E7F"/>
    <w:rsid w:val="357C6CFE"/>
    <w:rsid w:val="35D10FDA"/>
    <w:rsid w:val="363045D4"/>
    <w:rsid w:val="36317AE8"/>
    <w:rsid w:val="36352F10"/>
    <w:rsid w:val="36A14151"/>
    <w:rsid w:val="36DF5796"/>
    <w:rsid w:val="36EA1AA7"/>
    <w:rsid w:val="373F6235"/>
    <w:rsid w:val="37C036A0"/>
    <w:rsid w:val="37D16BE0"/>
    <w:rsid w:val="37E1553E"/>
    <w:rsid w:val="38AD1EBD"/>
    <w:rsid w:val="38B44A00"/>
    <w:rsid w:val="38F15A12"/>
    <w:rsid w:val="397F6DBC"/>
    <w:rsid w:val="3A276B1D"/>
    <w:rsid w:val="3A5E781D"/>
    <w:rsid w:val="3A780170"/>
    <w:rsid w:val="3AA83E48"/>
    <w:rsid w:val="3AE57432"/>
    <w:rsid w:val="3AFA37B9"/>
    <w:rsid w:val="3AFD387B"/>
    <w:rsid w:val="3B181276"/>
    <w:rsid w:val="3B3C1C66"/>
    <w:rsid w:val="3B8F36BD"/>
    <w:rsid w:val="3BF03FA1"/>
    <w:rsid w:val="3C2974B3"/>
    <w:rsid w:val="3C4E7E14"/>
    <w:rsid w:val="3CA54D8C"/>
    <w:rsid w:val="3CCD6091"/>
    <w:rsid w:val="3D850719"/>
    <w:rsid w:val="3DE622E4"/>
    <w:rsid w:val="3DEA0C0A"/>
    <w:rsid w:val="3E344619"/>
    <w:rsid w:val="3E78202C"/>
    <w:rsid w:val="3EBC016B"/>
    <w:rsid w:val="3EBF32D1"/>
    <w:rsid w:val="3EF47905"/>
    <w:rsid w:val="3EFF26B8"/>
    <w:rsid w:val="3F461CB5"/>
    <w:rsid w:val="3FA4757D"/>
    <w:rsid w:val="400E17CB"/>
    <w:rsid w:val="40793DD5"/>
    <w:rsid w:val="40A324F0"/>
    <w:rsid w:val="40CA3197"/>
    <w:rsid w:val="40D37309"/>
    <w:rsid w:val="418821DE"/>
    <w:rsid w:val="42473A3F"/>
    <w:rsid w:val="42DF2EEE"/>
    <w:rsid w:val="431F4F6F"/>
    <w:rsid w:val="434172B6"/>
    <w:rsid w:val="43551F1B"/>
    <w:rsid w:val="436777F7"/>
    <w:rsid w:val="44134CD1"/>
    <w:rsid w:val="443F7B33"/>
    <w:rsid w:val="44A12AC1"/>
    <w:rsid w:val="44A441FA"/>
    <w:rsid w:val="44B85878"/>
    <w:rsid w:val="44C06FEF"/>
    <w:rsid w:val="45140D01"/>
    <w:rsid w:val="454937BA"/>
    <w:rsid w:val="457441AE"/>
    <w:rsid w:val="457F22CF"/>
    <w:rsid w:val="45FF7A58"/>
    <w:rsid w:val="46E267AB"/>
    <w:rsid w:val="47B46CC8"/>
    <w:rsid w:val="48855A71"/>
    <w:rsid w:val="488B3070"/>
    <w:rsid w:val="48C61658"/>
    <w:rsid w:val="49126DB6"/>
    <w:rsid w:val="493E459E"/>
    <w:rsid w:val="49894027"/>
    <w:rsid w:val="49E54A1A"/>
    <w:rsid w:val="4A6240A6"/>
    <w:rsid w:val="4A7851F2"/>
    <w:rsid w:val="4A8B0DC3"/>
    <w:rsid w:val="4AB81412"/>
    <w:rsid w:val="4B413238"/>
    <w:rsid w:val="4B650BC4"/>
    <w:rsid w:val="4B6C25C1"/>
    <w:rsid w:val="4B7122DD"/>
    <w:rsid w:val="4B861D1F"/>
    <w:rsid w:val="4BA15CE6"/>
    <w:rsid w:val="4BEB6533"/>
    <w:rsid w:val="4C776C96"/>
    <w:rsid w:val="4CBD3A2C"/>
    <w:rsid w:val="4D3C2946"/>
    <w:rsid w:val="4DBC3CE3"/>
    <w:rsid w:val="4DE518EC"/>
    <w:rsid w:val="4E3A1D16"/>
    <w:rsid w:val="4ECD1F20"/>
    <w:rsid w:val="4ED11FB7"/>
    <w:rsid w:val="4EEB1B57"/>
    <w:rsid w:val="4F4B4A43"/>
    <w:rsid w:val="4F8521C6"/>
    <w:rsid w:val="4FA14634"/>
    <w:rsid w:val="4FA57CEC"/>
    <w:rsid w:val="4FAE2B65"/>
    <w:rsid w:val="4FCB46B2"/>
    <w:rsid w:val="50EC2B32"/>
    <w:rsid w:val="50F038F1"/>
    <w:rsid w:val="510936E3"/>
    <w:rsid w:val="513444D8"/>
    <w:rsid w:val="514B6E1C"/>
    <w:rsid w:val="51A755DB"/>
    <w:rsid w:val="51AC300E"/>
    <w:rsid w:val="51C770FB"/>
    <w:rsid w:val="522E68AE"/>
    <w:rsid w:val="523F4EE3"/>
    <w:rsid w:val="52DA28FD"/>
    <w:rsid w:val="52E66F51"/>
    <w:rsid w:val="535D45AB"/>
    <w:rsid w:val="53804DC3"/>
    <w:rsid w:val="53DA1367"/>
    <w:rsid w:val="54532003"/>
    <w:rsid w:val="54AE2AA1"/>
    <w:rsid w:val="54C24E08"/>
    <w:rsid w:val="550B0F24"/>
    <w:rsid w:val="551F34D1"/>
    <w:rsid w:val="5537019F"/>
    <w:rsid w:val="559B4B26"/>
    <w:rsid w:val="55CC7BDF"/>
    <w:rsid w:val="55D95B86"/>
    <w:rsid w:val="55EB11F2"/>
    <w:rsid w:val="563034C0"/>
    <w:rsid w:val="563460EA"/>
    <w:rsid w:val="56494582"/>
    <w:rsid w:val="56CA2972"/>
    <w:rsid w:val="56FE23DF"/>
    <w:rsid w:val="579D6934"/>
    <w:rsid w:val="58260FAC"/>
    <w:rsid w:val="583B0D6E"/>
    <w:rsid w:val="5887607C"/>
    <w:rsid w:val="593E4146"/>
    <w:rsid w:val="5980650D"/>
    <w:rsid w:val="59941FB8"/>
    <w:rsid w:val="59961BB6"/>
    <w:rsid w:val="59BF3383"/>
    <w:rsid w:val="5A9D1810"/>
    <w:rsid w:val="5ABD553F"/>
    <w:rsid w:val="5B1038C0"/>
    <w:rsid w:val="5B473654"/>
    <w:rsid w:val="5B7B51DE"/>
    <w:rsid w:val="5B982E74"/>
    <w:rsid w:val="5BC528FD"/>
    <w:rsid w:val="5C4A2B10"/>
    <w:rsid w:val="5C5B500F"/>
    <w:rsid w:val="5CA52C16"/>
    <w:rsid w:val="5D1435BD"/>
    <w:rsid w:val="5D245A96"/>
    <w:rsid w:val="5D283143"/>
    <w:rsid w:val="5D2B7F8F"/>
    <w:rsid w:val="5D962588"/>
    <w:rsid w:val="5DA76817"/>
    <w:rsid w:val="5DCB49C8"/>
    <w:rsid w:val="5EC3791D"/>
    <w:rsid w:val="5F382B9C"/>
    <w:rsid w:val="5F861E6A"/>
    <w:rsid w:val="5FAE6AB4"/>
    <w:rsid w:val="604819B4"/>
    <w:rsid w:val="60ED0EBB"/>
    <w:rsid w:val="6122434D"/>
    <w:rsid w:val="6180045E"/>
    <w:rsid w:val="61834DEC"/>
    <w:rsid w:val="61B825BC"/>
    <w:rsid w:val="62054C70"/>
    <w:rsid w:val="62135F07"/>
    <w:rsid w:val="62391C4C"/>
    <w:rsid w:val="623936FD"/>
    <w:rsid w:val="6317053D"/>
    <w:rsid w:val="636E387A"/>
    <w:rsid w:val="64886493"/>
    <w:rsid w:val="64C84656"/>
    <w:rsid w:val="650815C7"/>
    <w:rsid w:val="65EF4249"/>
    <w:rsid w:val="66024613"/>
    <w:rsid w:val="66664CDC"/>
    <w:rsid w:val="66B063DE"/>
    <w:rsid w:val="66E873CE"/>
    <w:rsid w:val="672203E0"/>
    <w:rsid w:val="6736645D"/>
    <w:rsid w:val="67376E1B"/>
    <w:rsid w:val="67E022C0"/>
    <w:rsid w:val="681D65C0"/>
    <w:rsid w:val="68AF63BA"/>
    <w:rsid w:val="68D423D1"/>
    <w:rsid w:val="69132EFA"/>
    <w:rsid w:val="693469CC"/>
    <w:rsid w:val="69BB533F"/>
    <w:rsid w:val="6A640234"/>
    <w:rsid w:val="6AB44268"/>
    <w:rsid w:val="6ABD22EB"/>
    <w:rsid w:val="6AE27520"/>
    <w:rsid w:val="6AFF65CB"/>
    <w:rsid w:val="6B246DE4"/>
    <w:rsid w:val="6B982571"/>
    <w:rsid w:val="6BB51303"/>
    <w:rsid w:val="6BE22ED2"/>
    <w:rsid w:val="6BF75717"/>
    <w:rsid w:val="6C594CBF"/>
    <w:rsid w:val="6C6E69FD"/>
    <w:rsid w:val="6D1A412B"/>
    <w:rsid w:val="6D65184A"/>
    <w:rsid w:val="6E4E4B30"/>
    <w:rsid w:val="6EA2262A"/>
    <w:rsid w:val="6EA945F3"/>
    <w:rsid w:val="6EDA6267"/>
    <w:rsid w:val="6F322CFB"/>
    <w:rsid w:val="6F5450B9"/>
    <w:rsid w:val="6F5778B8"/>
    <w:rsid w:val="70170AD4"/>
    <w:rsid w:val="70335569"/>
    <w:rsid w:val="705C2F35"/>
    <w:rsid w:val="706E5EAC"/>
    <w:rsid w:val="716E5105"/>
    <w:rsid w:val="71F075DC"/>
    <w:rsid w:val="721147C0"/>
    <w:rsid w:val="7246066A"/>
    <w:rsid w:val="72697560"/>
    <w:rsid w:val="72734A09"/>
    <w:rsid w:val="72D84E2B"/>
    <w:rsid w:val="732B767C"/>
    <w:rsid w:val="733046A8"/>
    <w:rsid w:val="733B04FD"/>
    <w:rsid w:val="7354736E"/>
    <w:rsid w:val="738343C3"/>
    <w:rsid w:val="73E31971"/>
    <w:rsid w:val="7440091C"/>
    <w:rsid w:val="74827185"/>
    <w:rsid w:val="749D5D6D"/>
    <w:rsid w:val="750E18A1"/>
    <w:rsid w:val="755754B0"/>
    <w:rsid w:val="75752CEA"/>
    <w:rsid w:val="75A20D7B"/>
    <w:rsid w:val="75DF5636"/>
    <w:rsid w:val="765331AF"/>
    <w:rsid w:val="76C075C2"/>
    <w:rsid w:val="772267B3"/>
    <w:rsid w:val="772C33D8"/>
    <w:rsid w:val="77BF2DA2"/>
    <w:rsid w:val="7803238B"/>
    <w:rsid w:val="78436C2C"/>
    <w:rsid w:val="78476C95"/>
    <w:rsid w:val="7855299C"/>
    <w:rsid w:val="785B6FCC"/>
    <w:rsid w:val="7920373C"/>
    <w:rsid w:val="79231CC3"/>
    <w:rsid w:val="79570BE0"/>
    <w:rsid w:val="797641D4"/>
    <w:rsid w:val="7A1E16FE"/>
    <w:rsid w:val="7A1E7A4E"/>
    <w:rsid w:val="7A4B6656"/>
    <w:rsid w:val="7B556888"/>
    <w:rsid w:val="7B98103C"/>
    <w:rsid w:val="7C157A87"/>
    <w:rsid w:val="7C2E374F"/>
    <w:rsid w:val="7C523106"/>
    <w:rsid w:val="7C5739DF"/>
    <w:rsid w:val="7CCC14D9"/>
    <w:rsid w:val="7D2A7645"/>
    <w:rsid w:val="7D4B7464"/>
    <w:rsid w:val="7D6A4B3F"/>
    <w:rsid w:val="7DB66434"/>
    <w:rsid w:val="7E1F2F63"/>
    <w:rsid w:val="7E305931"/>
    <w:rsid w:val="7E601D35"/>
    <w:rsid w:val="7EFB200E"/>
    <w:rsid w:val="7F50102C"/>
    <w:rsid w:val="7F5E259D"/>
    <w:rsid w:val="7FBB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name="toc 1"/>
    <w:lsdException w:qFormat="1" w:uiPriority="39"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0"/>
    <w:pPr>
      <w:keepNext/>
      <w:keepLines/>
      <w:spacing w:before="100" w:beforeLines="0" w:beforeAutospacing="0" w:after="90" w:afterLines="0" w:afterAutospacing="0" w:line="576" w:lineRule="auto"/>
      <w:outlineLvl w:val="0"/>
    </w:pPr>
    <w:rPr>
      <w:rFonts w:ascii="Times New Roman" w:hAnsi="Times New Roman" w:eastAsia="宋体" w:cs="Times New Roman"/>
      <w:b/>
      <w:kern w:val="44"/>
      <w:sz w:val="32"/>
    </w:rPr>
  </w:style>
  <w:style w:type="paragraph" w:styleId="4">
    <w:name w:val="heading 2"/>
    <w:basedOn w:val="1"/>
    <w:next w:val="1"/>
    <w:semiHidden/>
    <w:unhideWhenUsed/>
    <w:qFormat/>
    <w:uiPriority w:val="9"/>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semiHidden/>
    <w:unhideWhenUsed/>
    <w:qFormat/>
    <w:uiPriority w:val="9"/>
    <w:pPr>
      <w:keepNext/>
      <w:keepLines/>
      <w:spacing w:line="600" w:lineRule="exact"/>
      <w:ind w:firstLine="643" w:firstLineChars="200"/>
      <w:outlineLvl w:val="2"/>
    </w:pPr>
    <w:rPr>
      <w:b/>
      <w:bCs/>
      <w:sz w:val="32"/>
      <w:szCs w:val="32"/>
    </w:rPr>
  </w:style>
  <w:style w:type="paragraph" w:styleId="6">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pPr>
    <w:rPr>
      <w:szCs w:val="20"/>
    </w:rPr>
  </w:style>
  <w:style w:type="paragraph" w:styleId="7">
    <w:name w:val="index 8"/>
    <w:basedOn w:val="1"/>
    <w:next w:val="1"/>
    <w:qFormat/>
    <w:uiPriority w:val="0"/>
    <w:pPr>
      <w:ind w:left="2940"/>
    </w:pPr>
    <w:rPr>
      <w:rFonts w:ascii="Calibri" w:hAnsi="Calibri" w:eastAsia="宋体" w:cs="Times New Roman"/>
    </w:rPr>
  </w:style>
  <w:style w:type="paragraph" w:styleId="8">
    <w:name w:val="annotation text"/>
    <w:basedOn w:val="1"/>
    <w:semiHidden/>
    <w:unhideWhenUsed/>
    <w:qFormat/>
    <w:uiPriority w:val="99"/>
    <w:pPr>
      <w:jc w:val="left"/>
    </w:pPr>
  </w:style>
  <w:style w:type="paragraph" w:styleId="9">
    <w:name w:val="Body Text"/>
    <w:basedOn w:val="1"/>
    <w:next w:val="1"/>
    <w:qFormat/>
    <w:uiPriority w:val="0"/>
    <w:pPr>
      <w:spacing w:after="120"/>
    </w:pPr>
  </w:style>
  <w:style w:type="paragraph" w:styleId="10">
    <w:name w:val="Body Text Indent"/>
    <w:basedOn w:val="1"/>
    <w:semiHidden/>
    <w:unhideWhenUsed/>
    <w:qFormat/>
    <w:uiPriority w:val="99"/>
    <w:pPr>
      <w:spacing w:line="200" w:lineRule="exact"/>
      <w:ind w:firstLine="301"/>
    </w:pPr>
    <w:rPr>
      <w:rFonts w:ascii="宋体" w:hAnsi="Courier New"/>
      <w:spacing w:val="-4"/>
      <w:sz w:val="18"/>
      <w:szCs w:val="20"/>
    </w:rPr>
  </w:style>
  <w:style w:type="paragraph" w:styleId="11">
    <w:name w:val="toc 3"/>
    <w:basedOn w:val="1"/>
    <w:next w:val="1"/>
    <w:semiHidden/>
    <w:unhideWhenUsed/>
    <w:qFormat/>
    <w:uiPriority w:val="39"/>
    <w:pPr>
      <w:jc w:val="left"/>
    </w:pPr>
    <w:rPr>
      <w:rFonts w:ascii="Calibri" w:hAnsi="Calibri"/>
      <w:smallCaps/>
      <w:sz w:val="22"/>
      <w:szCs w:val="22"/>
    </w:rPr>
  </w:style>
  <w:style w:type="paragraph" w:styleId="12">
    <w:name w:val="Plain Text"/>
    <w:basedOn w:val="1"/>
    <w:next w:val="7"/>
    <w:qFormat/>
    <w:uiPriority w:val="0"/>
    <w:rPr>
      <w:rFonts w:ascii="宋体" w:hAnsi="Courier New"/>
      <w:szCs w:val="20"/>
    </w:r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39"/>
    <w:pPr>
      <w:spacing w:before="360" w:after="360"/>
      <w:jc w:val="left"/>
    </w:pPr>
    <w:rPr>
      <w:rFonts w:ascii="Calibri" w:hAnsi="Calibri"/>
      <w:b/>
      <w:bCs/>
      <w:caps/>
      <w:sz w:val="22"/>
      <w:szCs w:val="22"/>
      <w:u w:val="single"/>
    </w:rPr>
  </w:style>
  <w:style w:type="paragraph" w:styleId="16">
    <w:name w:val="List"/>
    <w:basedOn w:val="1"/>
    <w:semiHidden/>
    <w:unhideWhenUsed/>
    <w:qFormat/>
    <w:uiPriority w:val="99"/>
    <w:pPr>
      <w:ind w:left="200" w:hanging="200" w:hangingChars="200"/>
    </w:pPr>
    <w:rPr>
      <w:sz w:val="28"/>
    </w:rPr>
  </w:style>
  <w:style w:type="paragraph" w:styleId="17">
    <w:name w:val="toc 2"/>
    <w:basedOn w:val="1"/>
    <w:next w:val="1"/>
    <w:semiHidden/>
    <w:unhideWhenUsed/>
    <w:qFormat/>
    <w:uiPriority w:val="39"/>
    <w:pPr>
      <w:jc w:val="left"/>
    </w:pPr>
    <w:rPr>
      <w:rFonts w:ascii="Calibri" w:hAnsi="Calibri"/>
      <w:b/>
      <w:bCs/>
      <w:smallCaps/>
      <w:sz w:val="22"/>
      <w:szCs w:val="22"/>
    </w:rPr>
  </w:style>
  <w:style w:type="paragraph" w:styleId="18">
    <w:name w:val="Body Text First Indent"/>
    <w:basedOn w:val="9"/>
    <w:qFormat/>
    <w:uiPriority w:val="0"/>
    <w:pPr>
      <w:spacing w:after="120" w:afterLines="0" w:line="240" w:lineRule="auto"/>
      <w:ind w:firstLine="420" w:firstLineChars="100"/>
    </w:pPr>
    <w:rPr>
      <w:rFonts w:ascii="Times New Roman" w:hAnsi="Times New Roman" w:eastAsia="宋体" w:cs="Times New Roman"/>
      <w:sz w:val="21"/>
    </w:r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semiHidden/>
    <w:unhideWhenUsed/>
    <w:qFormat/>
    <w:uiPriority w:val="99"/>
  </w:style>
  <w:style w:type="character" w:styleId="24">
    <w:name w:val="Hyperlink"/>
    <w:qFormat/>
    <w:uiPriority w:val="99"/>
    <w:rPr>
      <w:color w:val="0000CC"/>
      <w:u w:val="none"/>
    </w:rPr>
  </w:style>
  <w:style w:type="paragraph" w:customStyle="1" w:styleId="25">
    <w:name w:val="表格文字"/>
    <w:basedOn w:val="1"/>
    <w:next w:val="9"/>
    <w:qFormat/>
    <w:uiPriority w:val="99"/>
    <w:pPr>
      <w:spacing w:before="25" w:after="25"/>
    </w:pPr>
    <w:rPr>
      <w:bCs/>
      <w:spacing w:val="10"/>
      <w:sz w:val="24"/>
      <w:szCs w:val="20"/>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28">
    <w:name w:val="正文2"/>
    <w:basedOn w:val="1"/>
    <w:qFormat/>
    <w:uiPriority w:val="0"/>
    <w:pPr>
      <w:adjustRightInd w:val="0"/>
      <w:spacing w:before="156" w:line="360" w:lineRule="auto"/>
      <w:ind w:firstLine="510" w:firstLineChars="200"/>
    </w:pPr>
    <w:rPr>
      <w:sz w:val="24"/>
      <w:szCs w:val="20"/>
    </w:rPr>
  </w:style>
  <w:style w:type="paragraph" w:customStyle="1" w:styleId="29">
    <w:name w:val="正文缩进1"/>
    <w:basedOn w:val="1"/>
    <w:next w:val="10"/>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0">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1">
    <w:name w:val="列出段落1"/>
    <w:basedOn w:val="1"/>
    <w:qFormat/>
    <w:uiPriority w:val="0"/>
    <w:pPr>
      <w:keepNext w:val="0"/>
      <w:keepLines w:val="0"/>
      <w:widowControl w:val="0"/>
      <w:suppressLineNumbers w:val="0"/>
      <w:spacing w:before="100" w:beforeAutospacing="1" w:after="100" w:afterAutospacing="1" w:line="360" w:lineRule="auto"/>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customStyle="1" w:styleId="32">
    <w:name w:val="正文1"/>
    <w:qFormat/>
    <w:uiPriority w:val="0"/>
    <w:pPr>
      <w:jc w:val="both"/>
    </w:pPr>
    <w:rPr>
      <w:rFonts w:ascii="Times New Roman" w:hAnsi="Times New Roman" w:eastAsia="宋体" w:cs="Times New Roman"/>
      <w:kern w:val="2"/>
      <w:sz w:val="21"/>
      <w:szCs w:val="21"/>
      <w:lang w:val="en-US" w:eastAsia="zh-CN" w:bidi="ar-SA"/>
    </w:rPr>
  </w:style>
  <w:style w:type="paragraph" w:styleId="33">
    <w:name w:val="List Paragraph"/>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character" w:customStyle="1" w:styleId="34">
    <w:name w:val="标题 1 Char"/>
    <w:link w:val="3"/>
    <w:qFormat/>
    <w:uiPriority w:val="0"/>
    <w:rPr>
      <w:rFonts w:ascii="Times New Roman" w:hAnsi="Times New Roman" w:eastAsia="宋体" w:cs="Times New Roman"/>
      <w:b/>
      <w:kern w:val="44"/>
      <w:sz w:val="32"/>
    </w:rPr>
  </w:style>
  <w:style w:type="paragraph" w:customStyle="1" w:styleId="35">
    <w:name w:val="_Style 3"/>
    <w:basedOn w:val="1"/>
    <w:autoRedefine/>
    <w:qFormat/>
    <w:uiPriority w:val="34"/>
    <w:pPr>
      <w:ind w:left="720"/>
      <w:contextualSpacing/>
    </w:pPr>
  </w:style>
  <w:style w:type="character" w:customStyle="1" w:styleId="36">
    <w:name w:val="font21"/>
    <w:basedOn w:val="21"/>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160</Pages>
  <Words>18362</Words>
  <Characters>19871</Characters>
  <Lines>0</Lines>
  <Paragraphs>0</Paragraphs>
  <TotalTime>0</TotalTime>
  <ScaleCrop>false</ScaleCrop>
  <LinksUpToDate>false</LinksUpToDate>
  <CharactersWithSpaces>20147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2023-03-03T07:42:00Z</dcterms:created>
  <dc:creator>user</dc:creator>
  <cp:lastModifiedBy>.</cp:lastModifiedBy>
  <cp:lastPrinted>2025-07-14T04:19:00Z</cp:lastPrinted>
  <dcterms:modified xsi:type="dcterms:W3CDTF">2025-07-15T08:21:58Z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5BE26F5B719C4E38A2A2FA1D1411BFD1_13</vt:lpwstr>
  </property>
  <property fmtid="{D5CDD505-2E9C-101B-9397-08002B2CF9AE}" pid="4" name="KSOTemplateDocerSaveRecord">
    <vt:lpwstr>eyJoZGlkIjoiNWU4NWY5YmNlZmRiYmYzMDU0NzZlZDY1NzMzM2Q0NmIiLCJ1c2VySWQiOiI2MjczNDMyNTkifQ==</vt:lpwstr>
  </property>
</Properties>
</file>