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35296">
      <w:pPr>
        <w:pageBreakBefore w:val="0"/>
        <w:wordWrap w:val="0"/>
        <w:overflowPunct/>
        <w:topLinePunct w:val="0"/>
        <w:bidi w:val="0"/>
        <w:spacing w:line="360" w:lineRule="auto"/>
        <w:jc w:val="center"/>
        <w:rPr>
          <w:rFonts w:ascii="宋体" w:hAnsi="宋体" w:cs="宋体"/>
          <w:color w:val="auto"/>
          <w:sz w:val="52"/>
          <w:szCs w:val="52"/>
          <w:highlight w:val="none"/>
        </w:rPr>
      </w:pPr>
    </w:p>
    <w:p w14:paraId="168F4C63">
      <w:pPr>
        <w:pageBreakBefore w:val="0"/>
        <w:wordWrap w:val="0"/>
        <w:overflowPunct/>
        <w:topLinePunct w:val="0"/>
        <w:bidi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南宁市政府采购</w:t>
      </w:r>
    </w:p>
    <w:p w14:paraId="691EE4B7">
      <w:pPr>
        <w:pageBreakBefore w:val="0"/>
        <w:wordWrap w:val="0"/>
        <w:overflowPunct/>
        <w:topLinePunct w:val="0"/>
        <w:bidi w:val="0"/>
        <w:spacing w:line="360" w:lineRule="auto"/>
        <w:jc w:val="center"/>
        <w:rPr>
          <w:rFonts w:ascii="宋体" w:hAnsi="宋体" w:cs="宋体"/>
          <w:color w:val="auto"/>
          <w:sz w:val="52"/>
          <w:szCs w:val="52"/>
          <w:highlight w:val="none"/>
        </w:rPr>
      </w:pPr>
      <w:r>
        <w:rPr>
          <w:rFonts w:hint="eastAsia" w:ascii="宋体" w:hAnsi="宋体" w:cs="宋体"/>
          <w:color w:val="auto"/>
          <w:sz w:val="52"/>
          <w:szCs w:val="52"/>
          <w:highlight w:val="none"/>
        </w:rPr>
        <w:t>公开招标文件（服务类）</w:t>
      </w:r>
    </w:p>
    <w:p w14:paraId="50666C61">
      <w:pPr>
        <w:pageBreakBefore w:val="0"/>
        <w:wordWrap w:val="0"/>
        <w:overflowPunct/>
        <w:topLinePunct w:val="0"/>
        <w:bidi w:val="0"/>
        <w:spacing w:line="360" w:lineRule="auto"/>
        <w:jc w:val="center"/>
        <w:rPr>
          <w:rFonts w:ascii="宋体" w:hAnsi="宋体" w:cs="宋体"/>
          <w:b/>
          <w:color w:val="auto"/>
          <w:sz w:val="48"/>
          <w:szCs w:val="48"/>
          <w:highlight w:val="none"/>
        </w:rPr>
      </w:pPr>
    </w:p>
    <w:p w14:paraId="790E9FB3">
      <w:pPr>
        <w:pageBreakBefore w:val="0"/>
        <w:wordWrap w:val="0"/>
        <w:overflowPunct/>
        <w:topLinePunct w:val="0"/>
        <w:bidi w:val="0"/>
        <w:spacing w:line="360" w:lineRule="auto"/>
        <w:jc w:val="center"/>
        <w:rPr>
          <w:rFonts w:ascii="宋体" w:hAnsi="宋体" w:cs="宋体"/>
          <w:b/>
          <w:color w:val="auto"/>
          <w:sz w:val="48"/>
          <w:szCs w:val="48"/>
          <w:highlight w:val="none"/>
        </w:rPr>
      </w:pPr>
      <w:r>
        <w:rPr>
          <w:color w:val="auto"/>
          <w:highlight w:val="none"/>
        </w:rPr>
        <w:drawing>
          <wp:anchor distT="0" distB="0" distL="114300" distR="114300" simplePos="0" relativeHeight="251667456" behindDoc="1" locked="0" layoutInCell="1" allowOverlap="1">
            <wp:simplePos x="0" y="0"/>
            <wp:positionH relativeFrom="column">
              <wp:posOffset>-325120</wp:posOffset>
            </wp:positionH>
            <wp:positionV relativeFrom="paragraph">
              <wp:posOffset>236855</wp:posOffset>
            </wp:positionV>
            <wp:extent cx="6706235" cy="5876925"/>
            <wp:effectExtent l="0" t="0" r="0" b="0"/>
            <wp:wrapTight wrapText="bothSides">
              <wp:wrapPolygon>
                <wp:start x="0" y="0"/>
                <wp:lineTo x="0" y="21565"/>
                <wp:lineTo x="21537" y="21565"/>
                <wp:lineTo x="21537"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6706235" cy="5876925"/>
                    </a:xfrm>
                    <a:prstGeom prst="rect">
                      <a:avLst/>
                    </a:prstGeom>
                    <a:noFill/>
                    <a:ln>
                      <a:noFill/>
                    </a:ln>
                  </pic:spPr>
                </pic:pic>
              </a:graphicData>
            </a:graphic>
          </wp:anchor>
        </w:drawing>
      </w:r>
    </w:p>
    <w:p w14:paraId="059DC8A3">
      <w:pPr>
        <w:pStyle w:val="12"/>
        <w:pageBreakBefore w:val="0"/>
        <w:wordWrap w:val="0"/>
        <w:overflowPunct/>
        <w:topLinePunct w:val="0"/>
        <w:bidi w:val="0"/>
        <w:spacing w:line="360" w:lineRule="auto"/>
        <w:jc w:val="center"/>
        <w:rPr>
          <w:color w:val="auto"/>
          <w:highlight w:val="none"/>
        </w:rPr>
        <w:sectPr>
          <w:headerReference r:id="rId3" w:type="default"/>
          <w:pgSz w:w="11906" w:h="16838"/>
          <w:pgMar w:top="1440" w:right="1080" w:bottom="1440" w:left="1080" w:header="720" w:footer="720" w:gutter="0"/>
          <w:pgNumType w:start="1"/>
          <w:cols w:space="720" w:num="1"/>
          <w:docGrid w:type="lines" w:linePitch="331" w:charSpace="0"/>
        </w:sectPr>
      </w:pPr>
    </w:p>
    <w:p w14:paraId="0BE0D28F">
      <w:pPr>
        <w:pStyle w:val="12"/>
        <w:pageBreakBefore w:val="0"/>
        <w:wordWrap w:val="0"/>
        <w:overflowPunct/>
        <w:topLinePunct w:val="0"/>
        <w:bidi w:val="0"/>
        <w:spacing w:line="360" w:lineRule="auto"/>
        <w:jc w:val="center"/>
        <w:rPr>
          <w:rFonts w:hAnsi="宋体" w:cs="宋体"/>
          <w:b/>
          <w:color w:val="auto"/>
          <w:sz w:val="48"/>
          <w:szCs w:val="48"/>
          <w:highlight w:val="none"/>
        </w:rPr>
      </w:pPr>
      <w:r>
        <w:rPr>
          <w:rFonts w:hint="eastAsia" w:hAnsi="宋体" w:cs="宋体"/>
          <w:b/>
          <w:color w:val="auto"/>
          <w:sz w:val="48"/>
          <w:szCs w:val="48"/>
          <w:highlight w:val="none"/>
        </w:rPr>
        <w:t>目     录</w:t>
      </w:r>
    </w:p>
    <w:p w14:paraId="7A09FF09">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ascii="宋体" w:hAnsi="宋体" w:cs="宋体"/>
          <w:b w:val="0"/>
          <w:bCs w:val="0"/>
          <w:caps w:val="0"/>
          <w:color w:val="auto"/>
          <w:sz w:val="32"/>
          <w:szCs w:val="32"/>
          <w:highlight w:val="none"/>
        </w:rPr>
        <w:fldChar w:fldCharType="begin"/>
      </w:r>
      <w:r>
        <w:rPr>
          <w:rFonts w:hint="eastAsia" w:ascii="宋体" w:hAnsi="宋体" w:cs="宋体"/>
          <w:b w:val="0"/>
          <w:bCs w:val="0"/>
          <w:caps w:val="0"/>
          <w:color w:val="auto"/>
          <w:sz w:val="32"/>
          <w:szCs w:val="32"/>
          <w:highlight w:val="none"/>
        </w:rPr>
        <w:instrText xml:space="preserve"> TOC \o "1-3" \h \z \u </w:instrText>
      </w:r>
      <w:r>
        <w:rPr>
          <w:rFonts w:hint="eastAsia" w:ascii="宋体" w:hAnsi="宋体" w:cs="宋体"/>
          <w:b w:val="0"/>
          <w:bCs w:val="0"/>
          <w:caps w:val="0"/>
          <w:color w:val="auto"/>
          <w:sz w:val="32"/>
          <w:szCs w:val="32"/>
          <w:highlight w:val="none"/>
        </w:rPr>
        <w:fldChar w:fldCharType="separate"/>
      </w:r>
      <w:r>
        <w:rPr>
          <w:rFonts w:hint="eastAsia" w:ascii="宋体" w:hAnsi="宋体" w:cs="宋体"/>
          <w:bCs w:val="0"/>
          <w:caps w:val="0"/>
          <w:color w:val="auto"/>
          <w:szCs w:val="32"/>
          <w:highlight w:val="none"/>
        </w:rPr>
        <w:fldChar w:fldCharType="begin"/>
      </w:r>
      <w:r>
        <w:rPr>
          <w:rFonts w:hint="eastAsia" w:ascii="宋体" w:hAnsi="宋体" w:cs="宋体"/>
          <w:bCs w:val="0"/>
          <w:caps w:val="0"/>
          <w:color w:val="auto"/>
          <w:szCs w:val="32"/>
          <w:highlight w:val="none"/>
        </w:rPr>
        <w:instrText xml:space="preserve"> HYPERLINK \l _Toc6934 </w:instrText>
      </w:r>
      <w:r>
        <w:rPr>
          <w:rFonts w:hint="eastAsia" w:ascii="宋体" w:hAnsi="宋体" w:cs="宋体"/>
          <w:bCs w:val="0"/>
          <w:caps w:val="0"/>
          <w:color w:val="auto"/>
          <w:szCs w:val="32"/>
          <w:highlight w:val="none"/>
        </w:rPr>
        <w:fldChar w:fldCharType="separate"/>
      </w:r>
      <w:r>
        <w:rPr>
          <w:rFonts w:hint="eastAsia" w:hAnsi="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_Toc6934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cs="宋体"/>
          <w:bCs w:val="0"/>
          <w:caps w:val="0"/>
          <w:color w:val="auto"/>
          <w:szCs w:val="32"/>
          <w:highlight w:val="none"/>
        </w:rPr>
        <w:fldChar w:fldCharType="end"/>
      </w:r>
    </w:p>
    <w:p w14:paraId="664C993E">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_Toc26241 </w:instrText>
      </w:r>
      <w:r>
        <w:rPr>
          <w:rFonts w:hint="eastAsia" w:hAnsi="宋体" w:cs="宋体"/>
          <w:bCs/>
          <w:caps/>
          <w:color w:val="auto"/>
          <w:szCs w:val="32"/>
          <w:highlight w:val="none"/>
        </w:rPr>
        <w:fldChar w:fldCharType="separate"/>
      </w:r>
      <w:r>
        <w:rPr>
          <w:rFonts w:hint="eastAsia" w:hAnsi="宋体" w:cs="宋体"/>
          <w:color w:val="auto"/>
          <w:highlight w:val="none"/>
        </w:rPr>
        <w:t>第二章  采购需求</w:t>
      </w:r>
      <w:r>
        <w:rPr>
          <w:color w:val="auto"/>
          <w:highlight w:val="none"/>
        </w:rPr>
        <w:tab/>
      </w:r>
      <w:r>
        <w:rPr>
          <w:color w:val="auto"/>
          <w:highlight w:val="none"/>
        </w:rPr>
        <w:fldChar w:fldCharType="begin"/>
      </w:r>
      <w:r>
        <w:rPr>
          <w:color w:val="auto"/>
          <w:highlight w:val="none"/>
        </w:rPr>
        <w:instrText xml:space="preserve"> PAGEREF _Toc26241 \h </w:instrText>
      </w:r>
      <w:r>
        <w:rPr>
          <w:color w:val="auto"/>
          <w:highlight w:val="none"/>
        </w:rPr>
        <w:fldChar w:fldCharType="separate"/>
      </w:r>
      <w:r>
        <w:rPr>
          <w:color w:val="auto"/>
          <w:highlight w:val="none"/>
        </w:rPr>
        <w:t>6</w:t>
      </w:r>
      <w:r>
        <w:rPr>
          <w:color w:val="auto"/>
          <w:highlight w:val="none"/>
        </w:rPr>
        <w:fldChar w:fldCharType="end"/>
      </w:r>
      <w:r>
        <w:rPr>
          <w:rFonts w:hint="eastAsia" w:hAnsi="宋体" w:cs="宋体"/>
          <w:bCs/>
          <w:caps/>
          <w:color w:val="auto"/>
          <w:szCs w:val="32"/>
          <w:highlight w:val="none"/>
          <w:u w:val="single"/>
        </w:rPr>
        <w:fldChar w:fldCharType="end"/>
      </w:r>
    </w:p>
    <w:p w14:paraId="44CEB85D">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_Toc12103 </w:instrText>
      </w:r>
      <w:r>
        <w:rPr>
          <w:rFonts w:hint="eastAsia" w:hAnsi="宋体" w:cs="宋体"/>
          <w:bCs/>
          <w:caps/>
          <w:color w:val="auto"/>
          <w:szCs w:val="32"/>
          <w:highlight w:val="none"/>
        </w:rPr>
        <w:fldChar w:fldCharType="separate"/>
      </w:r>
      <w:r>
        <w:rPr>
          <w:rFonts w:hint="eastAsia" w:hAnsi="宋体" w:cs="宋体"/>
          <w:i w:val="0"/>
          <w:caps w:val="0"/>
          <w:color w:val="auto"/>
          <w:spacing w:val="0"/>
          <w:w w:val="100"/>
          <w:szCs w:val="28"/>
          <w:highlight w:val="none"/>
          <w:lang w:val="en-US" w:eastAsia="zh-CN"/>
        </w:rPr>
        <w:t>附件1：2025年道路绿化养护服务政府采购项目养护道路统计表</w:t>
      </w:r>
      <w:r>
        <w:rPr>
          <w:color w:val="auto"/>
          <w:highlight w:val="none"/>
        </w:rPr>
        <w:tab/>
      </w:r>
      <w:r>
        <w:rPr>
          <w:color w:val="auto"/>
          <w:highlight w:val="none"/>
        </w:rPr>
        <w:fldChar w:fldCharType="begin"/>
      </w:r>
      <w:r>
        <w:rPr>
          <w:color w:val="auto"/>
          <w:highlight w:val="none"/>
        </w:rPr>
        <w:instrText xml:space="preserve"> PAGEREF _Toc12103 \h </w:instrText>
      </w:r>
      <w:r>
        <w:rPr>
          <w:color w:val="auto"/>
          <w:highlight w:val="none"/>
        </w:rPr>
        <w:fldChar w:fldCharType="separate"/>
      </w:r>
      <w:r>
        <w:rPr>
          <w:color w:val="auto"/>
          <w:highlight w:val="none"/>
        </w:rPr>
        <w:t>20</w:t>
      </w:r>
      <w:r>
        <w:rPr>
          <w:color w:val="auto"/>
          <w:highlight w:val="none"/>
        </w:rPr>
        <w:fldChar w:fldCharType="end"/>
      </w:r>
      <w:r>
        <w:rPr>
          <w:rFonts w:hint="eastAsia" w:hAnsi="宋体" w:cs="宋体"/>
          <w:bCs/>
          <w:caps/>
          <w:color w:val="auto"/>
          <w:szCs w:val="32"/>
          <w:highlight w:val="none"/>
          <w:u w:val="single"/>
        </w:rPr>
        <w:fldChar w:fldCharType="end"/>
      </w:r>
    </w:p>
    <w:p w14:paraId="342C1E97">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_Toc20947 </w:instrText>
      </w:r>
      <w:r>
        <w:rPr>
          <w:rFonts w:hint="eastAsia" w:hAnsi="宋体" w:cs="宋体"/>
          <w:bCs/>
          <w:caps/>
          <w:color w:val="auto"/>
          <w:szCs w:val="32"/>
          <w:highlight w:val="none"/>
        </w:rPr>
        <w:fldChar w:fldCharType="separate"/>
      </w:r>
      <w:r>
        <w:rPr>
          <w:rFonts w:hint="eastAsia"/>
          <w:color w:val="auto"/>
          <w:szCs w:val="28"/>
          <w:highlight w:val="none"/>
        </w:rPr>
        <w:t>附件2：</w:t>
      </w:r>
      <w:r>
        <w:rPr>
          <w:rFonts w:hint="eastAsia"/>
          <w:color w:val="auto"/>
          <w:szCs w:val="28"/>
          <w:highlight w:val="none"/>
          <w:lang w:eastAsia="zh-CN"/>
        </w:rPr>
        <w:t>城市绿化养护规范及验收要求</w:t>
      </w:r>
      <w:r>
        <w:rPr>
          <w:color w:val="auto"/>
          <w:highlight w:val="none"/>
        </w:rPr>
        <w:tab/>
      </w:r>
      <w:r>
        <w:rPr>
          <w:color w:val="auto"/>
          <w:highlight w:val="none"/>
        </w:rPr>
        <w:fldChar w:fldCharType="begin"/>
      </w:r>
      <w:r>
        <w:rPr>
          <w:color w:val="auto"/>
          <w:highlight w:val="none"/>
        </w:rPr>
        <w:instrText xml:space="preserve"> PAGEREF _Toc20947 \h </w:instrText>
      </w:r>
      <w:r>
        <w:rPr>
          <w:color w:val="auto"/>
          <w:highlight w:val="none"/>
        </w:rPr>
        <w:fldChar w:fldCharType="separate"/>
      </w:r>
      <w:r>
        <w:rPr>
          <w:color w:val="auto"/>
          <w:highlight w:val="none"/>
        </w:rPr>
        <w:t>36</w:t>
      </w:r>
      <w:r>
        <w:rPr>
          <w:color w:val="auto"/>
          <w:highlight w:val="none"/>
        </w:rPr>
        <w:fldChar w:fldCharType="end"/>
      </w:r>
      <w:r>
        <w:rPr>
          <w:rFonts w:hint="eastAsia" w:hAnsi="宋体" w:cs="宋体"/>
          <w:bCs/>
          <w:caps/>
          <w:color w:val="auto"/>
          <w:szCs w:val="32"/>
          <w:highlight w:val="none"/>
          <w:u w:val="single"/>
        </w:rPr>
        <w:fldChar w:fldCharType="end"/>
      </w:r>
    </w:p>
    <w:p w14:paraId="6E9D2E39">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_Toc14794 </w:instrText>
      </w:r>
      <w:r>
        <w:rPr>
          <w:rFonts w:hint="eastAsia" w:hAnsi="宋体" w:cs="宋体"/>
          <w:bCs/>
          <w:caps/>
          <w:color w:val="auto"/>
          <w:szCs w:val="32"/>
          <w:highlight w:val="none"/>
        </w:rPr>
        <w:fldChar w:fldCharType="separate"/>
      </w:r>
      <w:r>
        <w:rPr>
          <w:rFonts w:hint="eastAsia" w:hAnsi="宋体" w:cs="宋体"/>
          <w:i w:val="0"/>
          <w:caps w:val="0"/>
          <w:color w:val="auto"/>
          <w:spacing w:val="0"/>
          <w:w w:val="100"/>
          <w:szCs w:val="28"/>
          <w:highlight w:val="none"/>
          <w:lang w:val="en-US" w:eastAsia="zh-CN"/>
        </w:rPr>
        <w:t>附件3：南宁市绿化工程管理中心道路绿化养护市场化管理考核办法（2025年修订版）</w:t>
      </w:r>
      <w:r>
        <w:rPr>
          <w:color w:val="auto"/>
          <w:highlight w:val="none"/>
        </w:rPr>
        <w:tab/>
      </w:r>
      <w:r>
        <w:rPr>
          <w:color w:val="auto"/>
          <w:highlight w:val="none"/>
        </w:rPr>
        <w:fldChar w:fldCharType="begin"/>
      </w:r>
      <w:r>
        <w:rPr>
          <w:color w:val="auto"/>
          <w:highlight w:val="none"/>
        </w:rPr>
        <w:instrText xml:space="preserve"> PAGEREF _Toc14794 \h </w:instrText>
      </w:r>
      <w:r>
        <w:rPr>
          <w:color w:val="auto"/>
          <w:highlight w:val="none"/>
        </w:rPr>
        <w:fldChar w:fldCharType="separate"/>
      </w:r>
      <w:r>
        <w:rPr>
          <w:color w:val="auto"/>
          <w:highlight w:val="none"/>
        </w:rPr>
        <w:t>67</w:t>
      </w:r>
      <w:r>
        <w:rPr>
          <w:color w:val="auto"/>
          <w:highlight w:val="none"/>
        </w:rPr>
        <w:fldChar w:fldCharType="end"/>
      </w:r>
      <w:r>
        <w:rPr>
          <w:rFonts w:hint="eastAsia" w:hAnsi="宋体" w:cs="宋体"/>
          <w:bCs/>
          <w:caps/>
          <w:color w:val="auto"/>
          <w:szCs w:val="32"/>
          <w:highlight w:val="none"/>
          <w:u w:val="single"/>
        </w:rPr>
        <w:fldChar w:fldCharType="end"/>
      </w:r>
    </w:p>
    <w:p w14:paraId="13F58D00">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_Toc128 </w:instrText>
      </w:r>
      <w:r>
        <w:rPr>
          <w:rFonts w:hint="eastAsia" w:hAnsi="宋体" w:cs="宋体"/>
          <w:bCs/>
          <w:caps/>
          <w:color w:val="auto"/>
          <w:szCs w:val="32"/>
          <w:highlight w:val="none"/>
        </w:rPr>
        <w:fldChar w:fldCharType="separate"/>
      </w:r>
      <w:r>
        <w:rPr>
          <w:rFonts w:hint="eastAsia" w:ascii="黑体" w:hAnsi="黑体" w:eastAsia="黑体" w:cs="宋体"/>
          <w:color w:val="auto"/>
          <w:szCs w:val="32"/>
          <w:highlight w:val="none"/>
        </w:rPr>
        <w:t>附件</w:t>
      </w:r>
      <w:r>
        <w:rPr>
          <w:rFonts w:hint="eastAsia" w:ascii="黑体" w:hAnsi="黑体" w:eastAsia="黑体" w:cs="宋体"/>
          <w:color w:val="auto"/>
          <w:szCs w:val="32"/>
          <w:highlight w:val="none"/>
          <w:lang w:val="en-US" w:eastAsia="zh-CN"/>
        </w:rPr>
        <w:t>3-1：南宁市绿化工程管理中心道路绿化养护市场化管理养护月度工作考核细则(2025年修订版)</w:t>
      </w:r>
      <w:r>
        <w:rPr>
          <w:color w:val="auto"/>
          <w:highlight w:val="none"/>
        </w:rPr>
        <w:tab/>
      </w:r>
      <w:r>
        <w:rPr>
          <w:color w:val="auto"/>
          <w:highlight w:val="none"/>
        </w:rPr>
        <w:fldChar w:fldCharType="begin"/>
      </w:r>
      <w:r>
        <w:rPr>
          <w:color w:val="auto"/>
          <w:highlight w:val="none"/>
        </w:rPr>
        <w:instrText xml:space="preserve"> PAGEREF _Toc128 \h </w:instrText>
      </w:r>
      <w:r>
        <w:rPr>
          <w:color w:val="auto"/>
          <w:highlight w:val="none"/>
        </w:rPr>
        <w:fldChar w:fldCharType="separate"/>
      </w:r>
      <w:r>
        <w:rPr>
          <w:color w:val="auto"/>
          <w:highlight w:val="none"/>
        </w:rPr>
        <w:t>67</w:t>
      </w:r>
      <w:r>
        <w:rPr>
          <w:color w:val="auto"/>
          <w:highlight w:val="none"/>
        </w:rPr>
        <w:fldChar w:fldCharType="end"/>
      </w:r>
      <w:r>
        <w:rPr>
          <w:rFonts w:hint="eastAsia" w:hAnsi="宋体" w:cs="宋体"/>
          <w:bCs/>
          <w:caps/>
          <w:color w:val="auto"/>
          <w:szCs w:val="32"/>
          <w:highlight w:val="none"/>
          <w:u w:val="single"/>
        </w:rPr>
        <w:fldChar w:fldCharType="end"/>
      </w:r>
    </w:p>
    <w:p w14:paraId="153F12FF">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_Toc10303 </w:instrText>
      </w:r>
      <w:r>
        <w:rPr>
          <w:rFonts w:hint="eastAsia" w:hAnsi="宋体" w:cs="宋体"/>
          <w:bCs/>
          <w:caps/>
          <w:color w:val="auto"/>
          <w:szCs w:val="32"/>
          <w:highlight w:val="none"/>
        </w:rPr>
        <w:fldChar w:fldCharType="separate"/>
      </w:r>
      <w:r>
        <w:rPr>
          <w:rFonts w:hint="eastAsia" w:ascii="黑体" w:hAnsi="黑体" w:eastAsia="黑体" w:cs="宋体"/>
          <w:color w:val="auto"/>
          <w:szCs w:val="32"/>
          <w:highlight w:val="none"/>
        </w:rPr>
        <w:t>附件</w:t>
      </w:r>
      <w:r>
        <w:rPr>
          <w:rFonts w:hint="eastAsia" w:ascii="黑体" w:hAnsi="黑体" w:eastAsia="黑体" w:cs="宋体"/>
          <w:color w:val="auto"/>
          <w:szCs w:val="32"/>
          <w:highlight w:val="none"/>
          <w:lang w:val="en-US" w:eastAsia="zh-CN"/>
        </w:rPr>
        <w:t>3-2：南宁市绿化工程管理中心道路绿化养护市场化管理养护效果考核评分表（2025修订版）</w:t>
      </w:r>
      <w:r>
        <w:rPr>
          <w:color w:val="auto"/>
          <w:highlight w:val="none"/>
        </w:rPr>
        <w:tab/>
      </w:r>
      <w:r>
        <w:rPr>
          <w:color w:val="auto"/>
          <w:highlight w:val="none"/>
        </w:rPr>
        <w:fldChar w:fldCharType="begin"/>
      </w:r>
      <w:r>
        <w:rPr>
          <w:color w:val="auto"/>
          <w:highlight w:val="none"/>
        </w:rPr>
        <w:instrText xml:space="preserve"> PAGEREF _Toc10303 \h </w:instrText>
      </w:r>
      <w:r>
        <w:rPr>
          <w:color w:val="auto"/>
          <w:highlight w:val="none"/>
        </w:rPr>
        <w:fldChar w:fldCharType="separate"/>
      </w:r>
      <w:r>
        <w:rPr>
          <w:color w:val="auto"/>
          <w:highlight w:val="none"/>
        </w:rPr>
        <w:t>72</w:t>
      </w:r>
      <w:r>
        <w:rPr>
          <w:color w:val="auto"/>
          <w:highlight w:val="none"/>
        </w:rPr>
        <w:fldChar w:fldCharType="end"/>
      </w:r>
      <w:r>
        <w:rPr>
          <w:rFonts w:hint="eastAsia" w:hAnsi="宋体" w:cs="宋体"/>
          <w:bCs/>
          <w:caps/>
          <w:color w:val="auto"/>
          <w:szCs w:val="32"/>
          <w:highlight w:val="none"/>
          <w:u w:val="single"/>
        </w:rPr>
        <w:fldChar w:fldCharType="end"/>
      </w:r>
    </w:p>
    <w:p w14:paraId="768DB988">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_Toc5710 </w:instrText>
      </w:r>
      <w:r>
        <w:rPr>
          <w:rFonts w:hint="eastAsia" w:hAnsi="宋体" w:cs="宋体"/>
          <w:bCs/>
          <w:caps/>
          <w:color w:val="auto"/>
          <w:szCs w:val="32"/>
          <w:highlight w:val="none"/>
        </w:rPr>
        <w:fldChar w:fldCharType="separate"/>
      </w:r>
      <w:r>
        <w:rPr>
          <w:rFonts w:hint="eastAsia" w:ascii="黑体" w:hAnsi="黑体" w:eastAsia="黑体" w:cs="宋体"/>
          <w:color w:val="auto"/>
          <w:szCs w:val="32"/>
          <w:highlight w:val="none"/>
        </w:rPr>
        <w:t>附件</w:t>
      </w:r>
      <w:r>
        <w:rPr>
          <w:rFonts w:hint="eastAsia" w:ascii="黑体" w:hAnsi="黑体" w:eastAsia="黑体" w:cs="宋体"/>
          <w:color w:val="auto"/>
          <w:szCs w:val="32"/>
          <w:highlight w:val="none"/>
          <w:lang w:val="en-US" w:eastAsia="zh-CN"/>
        </w:rPr>
        <w:t>3-3：南宁市绿化工程管理中心道路绿化养护安全管理办法（2024版）</w:t>
      </w:r>
      <w:r>
        <w:rPr>
          <w:color w:val="auto"/>
          <w:highlight w:val="none"/>
        </w:rPr>
        <w:tab/>
      </w:r>
      <w:r>
        <w:rPr>
          <w:color w:val="auto"/>
          <w:highlight w:val="none"/>
        </w:rPr>
        <w:fldChar w:fldCharType="begin"/>
      </w:r>
      <w:r>
        <w:rPr>
          <w:color w:val="auto"/>
          <w:highlight w:val="none"/>
        </w:rPr>
        <w:instrText xml:space="preserve"> PAGEREF _Toc5710 \h </w:instrText>
      </w:r>
      <w:r>
        <w:rPr>
          <w:color w:val="auto"/>
          <w:highlight w:val="none"/>
        </w:rPr>
        <w:fldChar w:fldCharType="separate"/>
      </w:r>
      <w:r>
        <w:rPr>
          <w:color w:val="auto"/>
          <w:highlight w:val="none"/>
        </w:rPr>
        <w:t>109</w:t>
      </w:r>
      <w:r>
        <w:rPr>
          <w:color w:val="auto"/>
          <w:highlight w:val="none"/>
        </w:rPr>
        <w:fldChar w:fldCharType="end"/>
      </w:r>
      <w:r>
        <w:rPr>
          <w:rFonts w:hint="eastAsia" w:hAnsi="宋体" w:cs="宋体"/>
          <w:bCs/>
          <w:caps/>
          <w:color w:val="auto"/>
          <w:szCs w:val="32"/>
          <w:highlight w:val="none"/>
          <w:u w:val="single"/>
        </w:rPr>
        <w:fldChar w:fldCharType="end"/>
      </w:r>
    </w:p>
    <w:p w14:paraId="0A4E8660">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_Toc20847 </w:instrText>
      </w:r>
      <w:r>
        <w:rPr>
          <w:rFonts w:hint="eastAsia" w:hAnsi="宋体" w:cs="宋体"/>
          <w:bCs/>
          <w:caps/>
          <w:color w:val="auto"/>
          <w:szCs w:val="32"/>
          <w:highlight w:val="none"/>
        </w:rPr>
        <w:fldChar w:fldCharType="separate"/>
      </w:r>
      <w:r>
        <w:rPr>
          <w:rFonts w:hint="eastAsia" w:ascii="黑体" w:hAnsi="黑体" w:eastAsia="黑体" w:cs="宋体"/>
          <w:bCs/>
          <w:color w:val="auto"/>
          <w:szCs w:val="30"/>
          <w:highlight w:val="none"/>
        </w:rPr>
        <w:t>附件</w:t>
      </w:r>
      <w:r>
        <w:rPr>
          <w:rFonts w:hint="eastAsia" w:ascii="黑体" w:hAnsi="黑体" w:eastAsia="黑体" w:cs="宋体"/>
          <w:bCs/>
          <w:color w:val="auto"/>
          <w:szCs w:val="30"/>
          <w:highlight w:val="none"/>
          <w:lang w:val="en-US" w:eastAsia="zh-CN"/>
        </w:rPr>
        <w:t>3-</w:t>
      </w:r>
      <w:r>
        <w:rPr>
          <w:rFonts w:hint="eastAsia" w:ascii="黑体" w:hAnsi="黑体" w:eastAsia="黑体" w:cs="宋体"/>
          <w:bCs/>
          <w:color w:val="auto"/>
          <w:szCs w:val="30"/>
          <w:highlight w:val="none"/>
        </w:rPr>
        <w:t>4</w:t>
      </w:r>
      <w:r>
        <w:rPr>
          <w:rFonts w:hint="eastAsia" w:ascii="黑体" w:hAnsi="黑体" w:eastAsia="黑体" w:cs="宋体"/>
          <w:bCs/>
          <w:color w:val="auto"/>
          <w:szCs w:val="30"/>
          <w:highlight w:val="none"/>
          <w:lang w:eastAsia="zh-CN"/>
        </w:rPr>
        <w:t>：</w:t>
      </w:r>
      <w:r>
        <w:rPr>
          <w:rFonts w:hint="eastAsia" w:ascii="黑体" w:hAnsi="黑体" w:eastAsia="黑体" w:cs="宋体"/>
          <w:bCs/>
          <w:color w:val="auto"/>
          <w:szCs w:val="30"/>
          <w:highlight w:val="none"/>
        </w:rPr>
        <w:t>南宁市绿化工程管理中心道路绿化植物施肥管理办法（202</w:t>
      </w:r>
      <w:r>
        <w:rPr>
          <w:rFonts w:hint="eastAsia" w:ascii="黑体" w:hAnsi="黑体" w:eastAsia="黑体" w:cs="宋体"/>
          <w:bCs/>
          <w:color w:val="auto"/>
          <w:szCs w:val="30"/>
          <w:highlight w:val="none"/>
          <w:lang w:val="en-US" w:eastAsia="zh-CN"/>
        </w:rPr>
        <w:t>4</w:t>
      </w:r>
      <w:r>
        <w:rPr>
          <w:rFonts w:hint="eastAsia" w:ascii="黑体" w:hAnsi="黑体" w:eastAsia="黑体" w:cs="宋体"/>
          <w:bCs/>
          <w:color w:val="auto"/>
          <w:szCs w:val="30"/>
          <w:highlight w:val="none"/>
        </w:rPr>
        <w:t>版）</w:t>
      </w:r>
      <w:r>
        <w:rPr>
          <w:color w:val="auto"/>
          <w:highlight w:val="none"/>
        </w:rPr>
        <w:tab/>
      </w:r>
      <w:r>
        <w:rPr>
          <w:color w:val="auto"/>
          <w:highlight w:val="none"/>
        </w:rPr>
        <w:fldChar w:fldCharType="begin"/>
      </w:r>
      <w:r>
        <w:rPr>
          <w:color w:val="auto"/>
          <w:highlight w:val="none"/>
        </w:rPr>
        <w:instrText xml:space="preserve"> PAGEREF _Toc20847 \h </w:instrText>
      </w:r>
      <w:r>
        <w:rPr>
          <w:color w:val="auto"/>
          <w:highlight w:val="none"/>
        </w:rPr>
        <w:fldChar w:fldCharType="separate"/>
      </w:r>
      <w:r>
        <w:rPr>
          <w:color w:val="auto"/>
          <w:highlight w:val="none"/>
        </w:rPr>
        <w:t>114</w:t>
      </w:r>
      <w:r>
        <w:rPr>
          <w:color w:val="auto"/>
          <w:highlight w:val="none"/>
        </w:rPr>
        <w:fldChar w:fldCharType="end"/>
      </w:r>
      <w:r>
        <w:rPr>
          <w:rFonts w:hint="eastAsia" w:hAnsi="宋体" w:cs="宋体"/>
          <w:bCs/>
          <w:caps/>
          <w:color w:val="auto"/>
          <w:szCs w:val="32"/>
          <w:highlight w:val="none"/>
          <w:u w:val="single"/>
        </w:rPr>
        <w:fldChar w:fldCharType="end"/>
      </w:r>
    </w:p>
    <w:p w14:paraId="4D510D50">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_Toc12436 </w:instrText>
      </w:r>
      <w:r>
        <w:rPr>
          <w:rFonts w:hint="eastAsia" w:hAnsi="宋体" w:cs="宋体"/>
          <w:bCs/>
          <w:caps/>
          <w:color w:val="auto"/>
          <w:szCs w:val="32"/>
          <w:highlight w:val="none"/>
        </w:rPr>
        <w:fldChar w:fldCharType="separate"/>
      </w:r>
      <w:r>
        <w:rPr>
          <w:rFonts w:hint="eastAsia" w:ascii="黑体" w:hAnsi="黑体" w:eastAsia="黑体" w:cs="宋体"/>
          <w:color w:val="auto"/>
          <w:szCs w:val="32"/>
          <w:highlight w:val="none"/>
        </w:rPr>
        <w:t>附件</w:t>
      </w:r>
      <w:r>
        <w:rPr>
          <w:rFonts w:hint="eastAsia" w:ascii="黑体" w:hAnsi="黑体" w:eastAsia="黑体" w:cs="宋体"/>
          <w:color w:val="auto"/>
          <w:szCs w:val="32"/>
          <w:highlight w:val="none"/>
          <w:lang w:val="en-US" w:eastAsia="zh-CN"/>
        </w:rPr>
        <w:t>3-</w:t>
      </w:r>
      <w:r>
        <w:rPr>
          <w:rFonts w:hint="eastAsia" w:ascii="黑体" w:hAnsi="黑体" w:eastAsia="黑体" w:cs="宋体"/>
          <w:color w:val="auto"/>
          <w:szCs w:val="32"/>
          <w:highlight w:val="none"/>
        </w:rPr>
        <w:t>5</w:t>
      </w:r>
      <w:r>
        <w:rPr>
          <w:rFonts w:hint="eastAsia" w:ascii="黑体" w:hAnsi="黑体" w:eastAsia="黑体" w:cs="宋体"/>
          <w:color w:val="auto"/>
          <w:szCs w:val="32"/>
          <w:highlight w:val="none"/>
          <w:lang w:eastAsia="zh-CN"/>
        </w:rPr>
        <w:t>：</w:t>
      </w:r>
      <w:r>
        <w:rPr>
          <w:rFonts w:hint="eastAsia" w:ascii="黑体" w:hAnsi="黑体" w:eastAsia="黑体" w:cs="宋体"/>
          <w:color w:val="auto"/>
          <w:szCs w:val="32"/>
          <w:highlight w:val="none"/>
        </w:rPr>
        <w:t>南宁市绿化工程管理中心道路绿化养护市场化管理养护月度考核记录表</w:t>
      </w:r>
      <w:r>
        <w:rPr>
          <w:color w:val="auto"/>
          <w:highlight w:val="none"/>
        </w:rPr>
        <w:tab/>
      </w:r>
      <w:r>
        <w:rPr>
          <w:color w:val="auto"/>
          <w:highlight w:val="none"/>
        </w:rPr>
        <w:fldChar w:fldCharType="begin"/>
      </w:r>
      <w:r>
        <w:rPr>
          <w:color w:val="auto"/>
          <w:highlight w:val="none"/>
        </w:rPr>
        <w:instrText xml:space="preserve"> PAGEREF _Toc12436 \h </w:instrText>
      </w:r>
      <w:r>
        <w:rPr>
          <w:color w:val="auto"/>
          <w:highlight w:val="none"/>
        </w:rPr>
        <w:fldChar w:fldCharType="separate"/>
      </w:r>
      <w:r>
        <w:rPr>
          <w:color w:val="auto"/>
          <w:highlight w:val="none"/>
        </w:rPr>
        <w:t>122</w:t>
      </w:r>
      <w:r>
        <w:rPr>
          <w:color w:val="auto"/>
          <w:highlight w:val="none"/>
        </w:rPr>
        <w:fldChar w:fldCharType="end"/>
      </w:r>
      <w:r>
        <w:rPr>
          <w:rFonts w:hint="eastAsia" w:hAnsi="宋体" w:cs="宋体"/>
          <w:bCs/>
          <w:caps/>
          <w:color w:val="auto"/>
          <w:szCs w:val="32"/>
          <w:highlight w:val="none"/>
          <w:u w:val="single"/>
        </w:rPr>
        <w:fldChar w:fldCharType="end"/>
      </w:r>
    </w:p>
    <w:p w14:paraId="49890B2C">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_Toc16444 </w:instrText>
      </w:r>
      <w:r>
        <w:rPr>
          <w:rFonts w:hint="eastAsia" w:hAnsi="宋体" w:cs="宋体"/>
          <w:bCs/>
          <w:caps/>
          <w:color w:val="auto"/>
          <w:szCs w:val="32"/>
          <w:highlight w:val="none"/>
        </w:rPr>
        <w:fldChar w:fldCharType="separate"/>
      </w:r>
      <w:r>
        <w:rPr>
          <w:rFonts w:hint="eastAsia" w:ascii="黑体" w:hAnsi="黑体" w:eastAsia="黑体" w:cs="宋体"/>
          <w:bCs/>
          <w:color w:val="auto"/>
          <w:szCs w:val="32"/>
          <w:highlight w:val="none"/>
        </w:rPr>
        <w:t>附件</w:t>
      </w:r>
      <w:r>
        <w:rPr>
          <w:rFonts w:hint="eastAsia" w:ascii="黑体" w:hAnsi="黑体" w:eastAsia="黑体" w:cs="宋体"/>
          <w:bCs/>
          <w:color w:val="auto"/>
          <w:szCs w:val="32"/>
          <w:highlight w:val="none"/>
          <w:lang w:val="en-US" w:eastAsia="zh-CN"/>
        </w:rPr>
        <w:t>3-6：南宁市绿化工程管理中心绿化养护施肥现场登记表</w:t>
      </w:r>
      <w:r>
        <w:rPr>
          <w:color w:val="auto"/>
          <w:highlight w:val="none"/>
        </w:rPr>
        <w:tab/>
      </w:r>
      <w:r>
        <w:rPr>
          <w:color w:val="auto"/>
          <w:highlight w:val="none"/>
        </w:rPr>
        <w:fldChar w:fldCharType="begin"/>
      </w:r>
      <w:r>
        <w:rPr>
          <w:color w:val="auto"/>
          <w:highlight w:val="none"/>
        </w:rPr>
        <w:instrText xml:space="preserve"> PAGEREF _Toc16444 \h </w:instrText>
      </w:r>
      <w:r>
        <w:rPr>
          <w:color w:val="auto"/>
          <w:highlight w:val="none"/>
        </w:rPr>
        <w:fldChar w:fldCharType="separate"/>
      </w:r>
      <w:r>
        <w:rPr>
          <w:color w:val="auto"/>
          <w:highlight w:val="none"/>
        </w:rPr>
        <w:t>124</w:t>
      </w:r>
      <w:r>
        <w:rPr>
          <w:color w:val="auto"/>
          <w:highlight w:val="none"/>
        </w:rPr>
        <w:fldChar w:fldCharType="end"/>
      </w:r>
      <w:r>
        <w:rPr>
          <w:rFonts w:hint="eastAsia" w:hAnsi="宋体" w:cs="宋体"/>
          <w:bCs/>
          <w:caps/>
          <w:color w:val="auto"/>
          <w:szCs w:val="32"/>
          <w:highlight w:val="none"/>
          <w:u w:val="single"/>
        </w:rPr>
        <w:fldChar w:fldCharType="end"/>
      </w:r>
    </w:p>
    <w:p w14:paraId="18538546">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_Toc11756 </w:instrText>
      </w:r>
      <w:r>
        <w:rPr>
          <w:rFonts w:hint="eastAsia" w:hAnsi="宋体" w:cs="宋体"/>
          <w:bCs/>
          <w:caps/>
          <w:color w:val="auto"/>
          <w:szCs w:val="32"/>
          <w:highlight w:val="none"/>
        </w:rPr>
        <w:fldChar w:fldCharType="separate"/>
      </w:r>
      <w:r>
        <w:rPr>
          <w:rFonts w:hint="eastAsia" w:hAnsi="宋体" w:cs="宋体"/>
          <w:color w:val="auto"/>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_Toc11756 \h </w:instrText>
      </w:r>
      <w:r>
        <w:rPr>
          <w:color w:val="auto"/>
          <w:highlight w:val="none"/>
        </w:rPr>
        <w:fldChar w:fldCharType="separate"/>
      </w:r>
      <w:r>
        <w:rPr>
          <w:color w:val="auto"/>
          <w:highlight w:val="none"/>
        </w:rPr>
        <w:t>132</w:t>
      </w:r>
      <w:r>
        <w:rPr>
          <w:color w:val="auto"/>
          <w:highlight w:val="none"/>
        </w:rPr>
        <w:fldChar w:fldCharType="end"/>
      </w:r>
      <w:r>
        <w:rPr>
          <w:rFonts w:hint="eastAsia" w:hAnsi="宋体" w:cs="宋体"/>
          <w:bCs/>
          <w:caps/>
          <w:color w:val="auto"/>
          <w:szCs w:val="32"/>
          <w:highlight w:val="none"/>
          <w:u w:val="single"/>
        </w:rPr>
        <w:fldChar w:fldCharType="end"/>
      </w:r>
    </w:p>
    <w:p w14:paraId="7863C03F">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_Toc25364 </w:instrText>
      </w:r>
      <w:r>
        <w:rPr>
          <w:rFonts w:hint="eastAsia" w:hAnsi="宋体" w:cs="宋体"/>
          <w:bCs/>
          <w:caps/>
          <w:color w:val="auto"/>
          <w:szCs w:val="32"/>
          <w:highlight w:val="none"/>
        </w:rPr>
        <w:fldChar w:fldCharType="separate"/>
      </w:r>
      <w:r>
        <w:rPr>
          <w:rFonts w:hint="eastAsia" w:hAnsi="宋体" w:cs="宋体"/>
          <w:color w:val="auto"/>
          <w:szCs w:val="30"/>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_Toc25364 \h </w:instrText>
      </w:r>
      <w:r>
        <w:rPr>
          <w:color w:val="auto"/>
          <w:highlight w:val="none"/>
        </w:rPr>
        <w:fldChar w:fldCharType="separate"/>
      </w:r>
      <w:r>
        <w:rPr>
          <w:color w:val="auto"/>
          <w:highlight w:val="none"/>
        </w:rPr>
        <w:t>132</w:t>
      </w:r>
      <w:r>
        <w:rPr>
          <w:color w:val="auto"/>
          <w:highlight w:val="none"/>
        </w:rPr>
        <w:fldChar w:fldCharType="end"/>
      </w:r>
      <w:r>
        <w:rPr>
          <w:rFonts w:hint="eastAsia" w:hAnsi="宋体" w:cs="宋体"/>
          <w:bCs/>
          <w:caps/>
          <w:color w:val="auto"/>
          <w:szCs w:val="32"/>
          <w:highlight w:val="none"/>
          <w:u w:val="single"/>
        </w:rPr>
        <w:fldChar w:fldCharType="end"/>
      </w:r>
    </w:p>
    <w:p w14:paraId="702F353C">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_Toc3166 </w:instrText>
      </w:r>
      <w:r>
        <w:rPr>
          <w:rFonts w:hint="eastAsia" w:hAnsi="宋体" w:cs="宋体"/>
          <w:bCs/>
          <w:caps/>
          <w:color w:val="auto"/>
          <w:szCs w:val="32"/>
          <w:highlight w:val="none"/>
        </w:rPr>
        <w:fldChar w:fldCharType="separate"/>
      </w:r>
      <w:r>
        <w:rPr>
          <w:rFonts w:hint="eastAsia" w:ascii="宋体" w:hAnsi="宋体" w:eastAsia="宋体" w:cs="宋体"/>
          <w:color w:val="auto"/>
          <w:highlight w:val="none"/>
        </w:rPr>
        <w:t>第二节 投标人须知正文</w:t>
      </w:r>
      <w:r>
        <w:rPr>
          <w:color w:val="auto"/>
          <w:highlight w:val="none"/>
        </w:rPr>
        <w:tab/>
      </w:r>
      <w:r>
        <w:rPr>
          <w:color w:val="auto"/>
          <w:highlight w:val="none"/>
        </w:rPr>
        <w:fldChar w:fldCharType="begin"/>
      </w:r>
      <w:r>
        <w:rPr>
          <w:color w:val="auto"/>
          <w:highlight w:val="none"/>
        </w:rPr>
        <w:instrText xml:space="preserve"> PAGEREF _Toc3166 \h </w:instrText>
      </w:r>
      <w:r>
        <w:rPr>
          <w:color w:val="auto"/>
          <w:highlight w:val="none"/>
        </w:rPr>
        <w:fldChar w:fldCharType="separate"/>
      </w:r>
      <w:r>
        <w:rPr>
          <w:color w:val="auto"/>
          <w:highlight w:val="none"/>
        </w:rPr>
        <w:t>140</w:t>
      </w:r>
      <w:r>
        <w:rPr>
          <w:color w:val="auto"/>
          <w:highlight w:val="none"/>
        </w:rPr>
        <w:fldChar w:fldCharType="end"/>
      </w:r>
      <w:r>
        <w:rPr>
          <w:rFonts w:hint="eastAsia" w:hAnsi="宋体" w:cs="宋体"/>
          <w:bCs/>
          <w:caps/>
          <w:color w:val="auto"/>
          <w:szCs w:val="32"/>
          <w:highlight w:val="none"/>
          <w:u w:val="single"/>
        </w:rPr>
        <w:fldChar w:fldCharType="end"/>
      </w:r>
    </w:p>
    <w:p w14:paraId="4F3ADEB3">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_Toc11244 </w:instrText>
      </w:r>
      <w:r>
        <w:rPr>
          <w:rFonts w:hint="eastAsia" w:hAnsi="宋体" w:cs="宋体"/>
          <w:bCs/>
          <w:caps/>
          <w:color w:val="auto"/>
          <w:szCs w:val="32"/>
          <w:highlight w:val="none"/>
        </w:rPr>
        <w:fldChar w:fldCharType="separate"/>
      </w:r>
      <w:r>
        <w:rPr>
          <w:rFonts w:hint="eastAsia" w:ascii="宋体" w:hAnsi="宋体" w:cs="宋体"/>
          <w:color w:val="auto"/>
          <w:highlight w:val="none"/>
        </w:rPr>
        <w:t>一、总  则</w:t>
      </w:r>
      <w:r>
        <w:rPr>
          <w:color w:val="auto"/>
          <w:highlight w:val="none"/>
        </w:rPr>
        <w:tab/>
      </w:r>
      <w:r>
        <w:rPr>
          <w:color w:val="auto"/>
          <w:highlight w:val="none"/>
        </w:rPr>
        <w:fldChar w:fldCharType="begin"/>
      </w:r>
      <w:r>
        <w:rPr>
          <w:color w:val="auto"/>
          <w:highlight w:val="none"/>
        </w:rPr>
        <w:instrText xml:space="preserve"> PAGEREF _Toc11244 \h </w:instrText>
      </w:r>
      <w:r>
        <w:rPr>
          <w:color w:val="auto"/>
          <w:highlight w:val="none"/>
        </w:rPr>
        <w:fldChar w:fldCharType="separate"/>
      </w:r>
      <w:r>
        <w:rPr>
          <w:color w:val="auto"/>
          <w:highlight w:val="none"/>
        </w:rPr>
        <w:t>140</w:t>
      </w:r>
      <w:r>
        <w:rPr>
          <w:color w:val="auto"/>
          <w:highlight w:val="none"/>
        </w:rPr>
        <w:fldChar w:fldCharType="end"/>
      </w:r>
      <w:r>
        <w:rPr>
          <w:rFonts w:hint="eastAsia" w:hAnsi="宋体" w:cs="宋体"/>
          <w:bCs/>
          <w:caps/>
          <w:color w:val="auto"/>
          <w:szCs w:val="32"/>
          <w:highlight w:val="none"/>
          <w:u w:val="single"/>
        </w:rPr>
        <w:fldChar w:fldCharType="end"/>
      </w:r>
    </w:p>
    <w:p w14:paraId="02169EF0">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_Toc23024 </w:instrText>
      </w:r>
      <w:r>
        <w:rPr>
          <w:rFonts w:hint="eastAsia" w:hAnsi="宋体" w:cs="宋体"/>
          <w:bCs/>
          <w:caps/>
          <w:color w:val="auto"/>
          <w:szCs w:val="32"/>
          <w:highlight w:val="none"/>
        </w:rPr>
        <w:fldChar w:fldCharType="separate"/>
      </w:r>
      <w:r>
        <w:rPr>
          <w:rFonts w:hint="eastAsia" w:ascii="宋体" w:hAnsi="宋体" w:cs="宋体"/>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_Toc23024 \h </w:instrText>
      </w:r>
      <w:r>
        <w:rPr>
          <w:color w:val="auto"/>
          <w:highlight w:val="none"/>
        </w:rPr>
        <w:fldChar w:fldCharType="separate"/>
      </w:r>
      <w:r>
        <w:rPr>
          <w:color w:val="auto"/>
          <w:highlight w:val="none"/>
        </w:rPr>
        <w:t>143</w:t>
      </w:r>
      <w:r>
        <w:rPr>
          <w:color w:val="auto"/>
          <w:highlight w:val="none"/>
        </w:rPr>
        <w:fldChar w:fldCharType="end"/>
      </w:r>
      <w:r>
        <w:rPr>
          <w:rFonts w:hint="eastAsia" w:hAnsi="宋体" w:cs="宋体"/>
          <w:bCs/>
          <w:caps/>
          <w:color w:val="auto"/>
          <w:szCs w:val="32"/>
          <w:highlight w:val="none"/>
          <w:u w:val="single"/>
        </w:rPr>
        <w:fldChar w:fldCharType="end"/>
      </w:r>
    </w:p>
    <w:p w14:paraId="68200482">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_Toc19720 </w:instrText>
      </w:r>
      <w:r>
        <w:rPr>
          <w:rFonts w:hint="eastAsia" w:hAnsi="宋体" w:cs="宋体"/>
          <w:bCs/>
          <w:caps/>
          <w:color w:val="auto"/>
          <w:szCs w:val="32"/>
          <w:highlight w:val="none"/>
        </w:rPr>
        <w:fldChar w:fldCharType="separate"/>
      </w:r>
      <w:r>
        <w:rPr>
          <w:rFonts w:hint="eastAsia" w:ascii="宋体" w:hAnsi="宋体" w:cs="宋体"/>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_Toc19720 \h </w:instrText>
      </w:r>
      <w:r>
        <w:rPr>
          <w:color w:val="auto"/>
          <w:highlight w:val="none"/>
        </w:rPr>
        <w:fldChar w:fldCharType="separate"/>
      </w:r>
      <w:r>
        <w:rPr>
          <w:color w:val="auto"/>
          <w:highlight w:val="none"/>
        </w:rPr>
        <w:t>144</w:t>
      </w:r>
      <w:r>
        <w:rPr>
          <w:color w:val="auto"/>
          <w:highlight w:val="none"/>
        </w:rPr>
        <w:fldChar w:fldCharType="end"/>
      </w:r>
      <w:r>
        <w:rPr>
          <w:rFonts w:hint="eastAsia" w:hAnsi="宋体" w:cs="宋体"/>
          <w:bCs/>
          <w:caps/>
          <w:color w:val="auto"/>
          <w:szCs w:val="32"/>
          <w:highlight w:val="none"/>
          <w:u w:val="single"/>
        </w:rPr>
        <w:fldChar w:fldCharType="end"/>
      </w:r>
    </w:p>
    <w:p w14:paraId="6AE5B85D">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_Toc21193 </w:instrText>
      </w:r>
      <w:r>
        <w:rPr>
          <w:rFonts w:hint="eastAsia" w:hAnsi="宋体" w:cs="宋体"/>
          <w:bCs/>
          <w:caps/>
          <w:color w:val="auto"/>
          <w:szCs w:val="32"/>
          <w:highlight w:val="none"/>
        </w:rPr>
        <w:fldChar w:fldCharType="separate"/>
      </w:r>
      <w:r>
        <w:rPr>
          <w:rFonts w:hint="eastAsia" w:ascii="宋体" w:hAnsi="宋体" w:cs="宋体"/>
          <w:color w:val="auto"/>
          <w:highlight w:val="none"/>
        </w:rPr>
        <w:t>四、开    标</w:t>
      </w:r>
      <w:r>
        <w:rPr>
          <w:color w:val="auto"/>
          <w:highlight w:val="none"/>
        </w:rPr>
        <w:tab/>
      </w:r>
      <w:r>
        <w:rPr>
          <w:color w:val="auto"/>
          <w:highlight w:val="none"/>
        </w:rPr>
        <w:fldChar w:fldCharType="begin"/>
      </w:r>
      <w:r>
        <w:rPr>
          <w:color w:val="auto"/>
          <w:highlight w:val="none"/>
        </w:rPr>
        <w:instrText xml:space="preserve"> PAGEREF _Toc21193 \h </w:instrText>
      </w:r>
      <w:r>
        <w:rPr>
          <w:color w:val="auto"/>
          <w:highlight w:val="none"/>
        </w:rPr>
        <w:fldChar w:fldCharType="separate"/>
      </w:r>
      <w:r>
        <w:rPr>
          <w:color w:val="auto"/>
          <w:highlight w:val="none"/>
        </w:rPr>
        <w:t>146</w:t>
      </w:r>
      <w:r>
        <w:rPr>
          <w:color w:val="auto"/>
          <w:highlight w:val="none"/>
        </w:rPr>
        <w:fldChar w:fldCharType="end"/>
      </w:r>
      <w:r>
        <w:rPr>
          <w:rFonts w:hint="eastAsia" w:hAnsi="宋体" w:cs="宋体"/>
          <w:bCs/>
          <w:caps/>
          <w:color w:val="auto"/>
          <w:szCs w:val="32"/>
          <w:highlight w:val="none"/>
          <w:u w:val="single"/>
        </w:rPr>
        <w:fldChar w:fldCharType="end"/>
      </w:r>
    </w:p>
    <w:p w14:paraId="34AD802E">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_Toc24863 </w:instrText>
      </w:r>
      <w:r>
        <w:rPr>
          <w:rFonts w:hint="eastAsia" w:hAnsi="宋体" w:cs="宋体"/>
          <w:bCs/>
          <w:caps/>
          <w:color w:val="auto"/>
          <w:szCs w:val="32"/>
          <w:highlight w:val="none"/>
        </w:rPr>
        <w:fldChar w:fldCharType="separate"/>
      </w:r>
      <w:r>
        <w:rPr>
          <w:rFonts w:hint="eastAsia" w:ascii="宋体" w:hAnsi="宋体" w:cs="宋体"/>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_Toc24863 \h </w:instrText>
      </w:r>
      <w:r>
        <w:rPr>
          <w:color w:val="auto"/>
          <w:highlight w:val="none"/>
        </w:rPr>
        <w:fldChar w:fldCharType="separate"/>
      </w:r>
      <w:r>
        <w:rPr>
          <w:color w:val="auto"/>
          <w:highlight w:val="none"/>
        </w:rPr>
        <w:t>147</w:t>
      </w:r>
      <w:r>
        <w:rPr>
          <w:color w:val="auto"/>
          <w:highlight w:val="none"/>
        </w:rPr>
        <w:fldChar w:fldCharType="end"/>
      </w:r>
      <w:r>
        <w:rPr>
          <w:rFonts w:hint="eastAsia" w:hAnsi="宋体" w:cs="宋体"/>
          <w:bCs/>
          <w:caps/>
          <w:color w:val="auto"/>
          <w:szCs w:val="32"/>
          <w:highlight w:val="none"/>
          <w:u w:val="single"/>
        </w:rPr>
        <w:fldChar w:fldCharType="end"/>
      </w:r>
    </w:p>
    <w:p w14:paraId="2D33AF81">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_Toc24896 </w:instrText>
      </w:r>
      <w:r>
        <w:rPr>
          <w:rFonts w:hint="eastAsia" w:hAnsi="宋体" w:cs="宋体"/>
          <w:bCs/>
          <w:caps/>
          <w:color w:val="auto"/>
          <w:szCs w:val="32"/>
          <w:highlight w:val="none"/>
        </w:rPr>
        <w:fldChar w:fldCharType="separate"/>
      </w:r>
      <w:r>
        <w:rPr>
          <w:rFonts w:hint="eastAsia" w:ascii="宋体" w:hAnsi="宋体" w:cs="宋体"/>
          <w:color w:val="auto"/>
          <w:highlight w:val="none"/>
        </w:rPr>
        <w:t>六、评   标</w:t>
      </w:r>
      <w:r>
        <w:rPr>
          <w:color w:val="auto"/>
          <w:highlight w:val="none"/>
        </w:rPr>
        <w:tab/>
      </w:r>
      <w:r>
        <w:rPr>
          <w:color w:val="auto"/>
          <w:highlight w:val="none"/>
        </w:rPr>
        <w:fldChar w:fldCharType="begin"/>
      </w:r>
      <w:r>
        <w:rPr>
          <w:color w:val="auto"/>
          <w:highlight w:val="none"/>
        </w:rPr>
        <w:instrText xml:space="preserve"> PAGEREF _Toc24896 \h </w:instrText>
      </w:r>
      <w:r>
        <w:rPr>
          <w:color w:val="auto"/>
          <w:highlight w:val="none"/>
        </w:rPr>
        <w:fldChar w:fldCharType="separate"/>
      </w:r>
      <w:r>
        <w:rPr>
          <w:color w:val="auto"/>
          <w:highlight w:val="none"/>
        </w:rPr>
        <w:t>148</w:t>
      </w:r>
      <w:r>
        <w:rPr>
          <w:color w:val="auto"/>
          <w:highlight w:val="none"/>
        </w:rPr>
        <w:fldChar w:fldCharType="end"/>
      </w:r>
      <w:r>
        <w:rPr>
          <w:rFonts w:hint="eastAsia" w:hAnsi="宋体" w:cs="宋体"/>
          <w:bCs/>
          <w:caps/>
          <w:color w:val="auto"/>
          <w:szCs w:val="32"/>
          <w:highlight w:val="none"/>
          <w:u w:val="single"/>
        </w:rPr>
        <w:fldChar w:fldCharType="end"/>
      </w:r>
    </w:p>
    <w:p w14:paraId="3A0A4611">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_Toc420 </w:instrText>
      </w:r>
      <w:r>
        <w:rPr>
          <w:rFonts w:hint="eastAsia" w:hAnsi="宋体" w:cs="宋体"/>
          <w:bCs/>
          <w:caps/>
          <w:color w:val="auto"/>
          <w:szCs w:val="32"/>
          <w:highlight w:val="none"/>
        </w:rPr>
        <w:fldChar w:fldCharType="separate"/>
      </w:r>
      <w:r>
        <w:rPr>
          <w:rFonts w:hint="eastAsia" w:ascii="宋体" w:hAnsi="宋体" w:cs="宋体"/>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_Toc420 \h </w:instrText>
      </w:r>
      <w:r>
        <w:rPr>
          <w:color w:val="auto"/>
          <w:highlight w:val="none"/>
        </w:rPr>
        <w:fldChar w:fldCharType="separate"/>
      </w:r>
      <w:r>
        <w:rPr>
          <w:color w:val="auto"/>
          <w:highlight w:val="none"/>
        </w:rPr>
        <w:t>149</w:t>
      </w:r>
      <w:r>
        <w:rPr>
          <w:color w:val="auto"/>
          <w:highlight w:val="none"/>
        </w:rPr>
        <w:fldChar w:fldCharType="end"/>
      </w:r>
      <w:r>
        <w:rPr>
          <w:rFonts w:hint="eastAsia" w:hAnsi="宋体" w:cs="宋体"/>
          <w:bCs/>
          <w:caps/>
          <w:color w:val="auto"/>
          <w:szCs w:val="32"/>
          <w:highlight w:val="none"/>
          <w:u w:val="single"/>
        </w:rPr>
        <w:fldChar w:fldCharType="end"/>
      </w:r>
    </w:p>
    <w:p w14:paraId="27EF9498">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_Toc6031 </w:instrText>
      </w:r>
      <w:r>
        <w:rPr>
          <w:rFonts w:hint="eastAsia" w:hAnsi="宋体" w:cs="宋体"/>
          <w:bCs/>
          <w:caps/>
          <w:color w:val="auto"/>
          <w:szCs w:val="32"/>
          <w:highlight w:val="none"/>
        </w:rPr>
        <w:fldChar w:fldCharType="separate"/>
      </w:r>
      <w:r>
        <w:rPr>
          <w:rFonts w:hint="eastAsia" w:ascii="宋体" w:hAnsi="宋体" w:cs="宋体"/>
          <w:bCs/>
          <w:color w:val="auto"/>
          <w:szCs w:val="32"/>
          <w:highlight w:val="none"/>
        </w:rPr>
        <w:t>八、验收</w:t>
      </w:r>
      <w:r>
        <w:rPr>
          <w:color w:val="auto"/>
          <w:highlight w:val="none"/>
        </w:rPr>
        <w:tab/>
      </w:r>
      <w:r>
        <w:rPr>
          <w:color w:val="auto"/>
          <w:highlight w:val="none"/>
        </w:rPr>
        <w:fldChar w:fldCharType="begin"/>
      </w:r>
      <w:r>
        <w:rPr>
          <w:color w:val="auto"/>
          <w:highlight w:val="none"/>
        </w:rPr>
        <w:instrText xml:space="preserve"> PAGEREF _Toc6031 \h </w:instrText>
      </w:r>
      <w:r>
        <w:rPr>
          <w:color w:val="auto"/>
          <w:highlight w:val="none"/>
        </w:rPr>
        <w:fldChar w:fldCharType="separate"/>
      </w:r>
      <w:r>
        <w:rPr>
          <w:color w:val="auto"/>
          <w:highlight w:val="none"/>
        </w:rPr>
        <w:t>154</w:t>
      </w:r>
      <w:r>
        <w:rPr>
          <w:color w:val="auto"/>
          <w:highlight w:val="none"/>
        </w:rPr>
        <w:fldChar w:fldCharType="end"/>
      </w:r>
      <w:r>
        <w:rPr>
          <w:rFonts w:hint="eastAsia" w:hAnsi="宋体" w:cs="宋体"/>
          <w:bCs/>
          <w:caps/>
          <w:color w:val="auto"/>
          <w:szCs w:val="32"/>
          <w:highlight w:val="none"/>
          <w:u w:val="single"/>
        </w:rPr>
        <w:fldChar w:fldCharType="end"/>
      </w:r>
    </w:p>
    <w:p w14:paraId="6E5D039C">
      <w:pPr>
        <w:pStyle w:val="11"/>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_Toc9267 </w:instrText>
      </w:r>
      <w:r>
        <w:rPr>
          <w:rFonts w:hint="eastAsia" w:hAnsi="宋体" w:cs="宋体"/>
          <w:bCs/>
          <w:caps/>
          <w:color w:val="auto"/>
          <w:szCs w:val="32"/>
          <w:highlight w:val="none"/>
        </w:rPr>
        <w:fldChar w:fldCharType="separate"/>
      </w:r>
      <w:r>
        <w:rPr>
          <w:rFonts w:hint="eastAsia" w:ascii="宋体" w:hAnsi="宋体" w:cs="宋体"/>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_Toc9267 \h </w:instrText>
      </w:r>
      <w:r>
        <w:rPr>
          <w:color w:val="auto"/>
          <w:highlight w:val="none"/>
        </w:rPr>
        <w:fldChar w:fldCharType="separate"/>
      </w:r>
      <w:r>
        <w:rPr>
          <w:color w:val="auto"/>
          <w:highlight w:val="none"/>
        </w:rPr>
        <w:t>155</w:t>
      </w:r>
      <w:r>
        <w:rPr>
          <w:color w:val="auto"/>
          <w:highlight w:val="none"/>
        </w:rPr>
        <w:fldChar w:fldCharType="end"/>
      </w:r>
      <w:r>
        <w:rPr>
          <w:rFonts w:hint="eastAsia" w:hAnsi="宋体" w:cs="宋体"/>
          <w:bCs/>
          <w:caps/>
          <w:color w:val="auto"/>
          <w:szCs w:val="32"/>
          <w:highlight w:val="none"/>
          <w:u w:val="single"/>
        </w:rPr>
        <w:fldChar w:fldCharType="end"/>
      </w:r>
    </w:p>
    <w:p w14:paraId="128337CB">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_Toc14347 </w:instrText>
      </w:r>
      <w:r>
        <w:rPr>
          <w:rFonts w:hint="eastAsia" w:hAnsi="宋体" w:cs="宋体"/>
          <w:bCs/>
          <w:caps/>
          <w:color w:val="auto"/>
          <w:szCs w:val="32"/>
          <w:highlight w:val="none"/>
        </w:rPr>
        <w:fldChar w:fldCharType="separate"/>
      </w:r>
      <w:r>
        <w:rPr>
          <w:rFonts w:hint="eastAsia" w:hAnsi="宋体" w:cs="宋体"/>
          <w:color w:val="auto"/>
          <w:highlight w:val="none"/>
        </w:rPr>
        <w:t>第四章  评标方法及评分标准</w:t>
      </w:r>
      <w:r>
        <w:rPr>
          <w:color w:val="auto"/>
          <w:highlight w:val="none"/>
        </w:rPr>
        <w:tab/>
      </w:r>
      <w:r>
        <w:rPr>
          <w:color w:val="auto"/>
          <w:highlight w:val="none"/>
        </w:rPr>
        <w:fldChar w:fldCharType="begin"/>
      </w:r>
      <w:r>
        <w:rPr>
          <w:color w:val="auto"/>
          <w:highlight w:val="none"/>
        </w:rPr>
        <w:instrText xml:space="preserve"> PAGEREF _Toc14347 \h </w:instrText>
      </w:r>
      <w:r>
        <w:rPr>
          <w:color w:val="auto"/>
          <w:highlight w:val="none"/>
        </w:rPr>
        <w:fldChar w:fldCharType="separate"/>
      </w:r>
      <w:r>
        <w:rPr>
          <w:color w:val="auto"/>
          <w:highlight w:val="none"/>
        </w:rPr>
        <w:t>157</w:t>
      </w:r>
      <w:r>
        <w:rPr>
          <w:color w:val="auto"/>
          <w:highlight w:val="none"/>
        </w:rPr>
        <w:fldChar w:fldCharType="end"/>
      </w:r>
      <w:r>
        <w:rPr>
          <w:rFonts w:hint="eastAsia" w:hAnsi="宋体" w:cs="宋体"/>
          <w:bCs/>
          <w:caps/>
          <w:color w:val="auto"/>
          <w:szCs w:val="32"/>
          <w:highlight w:val="none"/>
          <w:u w:val="single"/>
        </w:rPr>
        <w:fldChar w:fldCharType="end"/>
      </w:r>
    </w:p>
    <w:p w14:paraId="60963AF6">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_Toc8300 </w:instrText>
      </w:r>
      <w:r>
        <w:rPr>
          <w:rFonts w:hint="eastAsia" w:hAnsi="宋体" w:cs="宋体"/>
          <w:bCs/>
          <w:caps/>
          <w:color w:val="auto"/>
          <w:szCs w:val="32"/>
          <w:highlight w:val="none"/>
        </w:rPr>
        <w:fldChar w:fldCharType="separate"/>
      </w:r>
      <w:r>
        <w:rPr>
          <w:rFonts w:hint="eastAsia" w:hAnsi="宋体" w:cs="宋体"/>
          <w:bCs/>
          <w:color w:val="auto"/>
          <w:szCs w:val="32"/>
          <w:highlight w:val="none"/>
        </w:rPr>
        <w:t>第一节 评标方法</w:t>
      </w:r>
      <w:r>
        <w:rPr>
          <w:color w:val="auto"/>
          <w:highlight w:val="none"/>
        </w:rPr>
        <w:tab/>
      </w:r>
      <w:r>
        <w:rPr>
          <w:color w:val="auto"/>
          <w:highlight w:val="none"/>
        </w:rPr>
        <w:fldChar w:fldCharType="begin"/>
      </w:r>
      <w:r>
        <w:rPr>
          <w:color w:val="auto"/>
          <w:highlight w:val="none"/>
        </w:rPr>
        <w:instrText xml:space="preserve"> PAGEREF _Toc8300 \h </w:instrText>
      </w:r>
      <w:r>
        <w:rPr>
          <w:color w:val="auto"/>
          <w:highlight w:val="none"/>
        </w:rPr>
        <w:fldChar w:fldCharType="separate"/>
      </w:r>
      <w:r>
        <w:rPr>
          <w:color w:val="auto"/>
          <w:highlight w:val="none"/>
        </w:rPr>
        <w:t>157</w:t>
      </w:r>
      <w:r>
        <w:rPr>
          <w:color w:val="auto"/>
          <w:highlight w:val="none"/>
        </w:rPr>
        <w:fldChar w:fldCharType="end"/>
      </w:r>
      <w:r>
        <w:rPr>
          <w:rFonts w:hint="eastAsia" w:hAnsi="宋体" w:cs="宋体"/>
          <w:bCs/>
          <w:caps/>
          <w:color w:val="auto"/>
          <w:szCs w:val="32"/>
          <w:highlight w:val="none"/>
          <w:u w:val="single"/>
        </w:rPr>
        <w:fldChar w:fldCharType="end"/>
      </w:r>
    </w:p>
    <w:p w14:paraId="0F16887C">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_Toc18432 </w:instrText>
      </w:r>
      <w:r>
        <w:rPr>
          <w:rFonts w:hint="eastAsia" w:hAnsi="宋体" w:cs="宋体"/>
          <w:bCs/>
          <w:caps/>
          <w:color w:val="auto"/>
          <w:szCs w:val="32"/>
          <w:highlight w:val="none"/>
        </w:rPr>
        <w:fldChar w:fldCharType="separate"/>
      </w:r>
      <w:r>
        <w:rPr>
          <w:rFonts w:hint="eastAsia" w:hAnsi="宋体" w:cs="宋体"/>
          <w:bCs/>
          <w:color w:val="auto"/>
          <w:szCs w:val="32"/>
          <w:highlight w:val="none"/>
        </w:rPr>
        <w:t>第二节 评标程序</w:t>
      </w:r>
      <w:r>
        <w:rPr>
          <w:color w:val="auto"/>
          <w:highlight w:val="none"/>
        </w:rPr>
        <w:tab/>
      </w:r>
      <w:r>
        <w:rPr>
          <w:color w:val="auto"/>
          <w:highlight w:val="none"/>
        </w:rPr>
        <w:fldChar w:fldCharType="begin"/>
      </w:r>
      <w:r>
        <w:rPr>
          <w:color w:val="auto"/>
          <w:highlight w:val="none"/>
        </w:rPr>
        <w:instrText xml:space="preserve"> PAGEREF _Toc18432 \h </w:instrText>
      </w:r>
      <w:r>
        <w:rPr>
          <w:color w:val="auto"/>
          <w:highlight w:val="none"/>
        </w:rPr>
        <w:fldChar w:fldCharType="separate"/>
      </w:r>
      <w:r>
        <w:rPr>
          <w:color w:val="auto"/>
          <w:highlight w:val="none"/>
        </w:rPr>
        <w:t>157</w:t>
      </w:r>
      <w:r>
        <w:rPr>
          <w:color w:val="auto"/>
          <w:highlight w:val="none"/>
        </w:rPr>
        <w:fldChar w:fldCharType="end"/>
      </w:r>
      <w:r>
        <w:rPr>
          <w:rFonts w:hint="eastAsia" w:hAnsi="宋体" w:cs="宋体"/>
          <w:bCs/>
          <w:caps/>
          <w:color w:val="auto"/>
          <w:szCs w:val="32"/>
          <w:highlight w:val="none"/>
          <w:u w:val="single"/>
        </w:rPr>
        <w:fldChar w:fldCharType="end"/>
      </w:r>
    </w:p>
    <w:p w14:paraId="687DA962">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_Toc2511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第三节 评分标准</w:t>
      </w:r>
      <w:r>
        <w:rPr>
          <w:color w:val="auto"/>
          <w:highlight w:val="none"/>
        </w:rPr>
        <w:tab/>
      </w:r>
      <w:r>
        <w:rPr>
          <w:color w:val="auto"/>
          <w:highlight w:val="none"/>
        </w:rPr>
        <w:fldChar w:fldCharType="begin"/>
      </w:r>
      <w:r>
        <w:rPr>
          <w:color w:val="auto"/>
          <w:highlight w:val="none"/>
        </w:rPr>
        <w:instrText xml:space="preserve"> PAGEREF _Toc2511 \h </w:instrText>
      </w:r>
      <w:r>
        <w:rPr>
          <w:color w:val="auto"/>
          <w:highlight w:val="none"/>
        </w:rPr>
        <w:fldChar w:fldCharType="separate"/>
      </w:r>
      <w:r>
        <w:rPr>
          <w:color w:val="auto"/>
          <w:highlight w:val="none"/>
        </w:rPr>
        <w:t>160</w:t>
      </w:r>
      <w:r>
        <w:rPr>
          <w:color w:val="auto"/>
          <w:highlight w:val="none"/>
        </w:rPr>
        <w:fldChar w:fldCharType="end"/>
      </w:r>
      <w:r>
        <w:rPr>
          <w:rFonts w:hint="eastAsia" w:hAnsi="宋体" w:cs="宋体"/>
          <w:bCs/>
          <w:caps/>
          <w:color w:val="auto"/>
          <w:szCs w:val="32"/>
          <w:highlight w:val="none"/>
          <w:u w:val="single"/>
        </w:rPr>
        <w:fldChar w:fldCharType="end"/>
      </w:r>
    </w:p>
    <w:p w14:paraId="2058ECA5">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_Toc19118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第四节 中标候选人推荐原则</w:t>
      </w:r>
      <w:r>
        <w:rPr>
          <w:color w:val="auto"/>
          <w:highlight w:val="none"/>
        </w:rPr>
        <w:tab/>
      </w:r>
      <w:r>
        <w:rPr>
          <w:color w:val="auto"/>
          <w:highlight w:val="none"/>
        </w:rPr>
        <w:fldChar w:fldCharType="begin"/>
      </w:r>
      <w:r>
        <w:rPr>
          <w:color w:val="auto"/>
          <w:highlight w:val="none"/>
        </w:rPr>
        <w:instrText xml:space="preserve"> PAGEREF _Toc19118 \h </w:instrText>
      </w:r>
      <w:r>
        <w:rPr>
          <w:color w:val="auto"/>
          <w:highlight w:val="none"/>
        </w:rPr>
        <w:fldChar w:fldCharType="separate"/>
      </w:r>
      <w:r>
        <w:rPr>
          <w:color w:val="auto"/>
          <w:highlight w:val="none"/>
        </w:rPr>
        <w:t>170</w:t>
      </w:r>
      <w:r>
        <w:rPr>
          <w:color w:val="auto"/>
          <w:highlight w:val="none"/>
        </w:rPr>
        <w:fldChar w:fldCharType="end"/>
      </w:r>
      <w:r>
        <w:rPr>
          <w:rFonts w:hint="eastAsia" w:hAnsi="宋体" w:cs="宋体"/>
          <w:bCs/>
          <w:caps/>
          <w:color w:val="auto"/>
          <w:szCs w:val="32"/>
          <w:highlight w:val="none"/>
          <w:u w:val="single"/>
        </w:rPr>
        <w:fldChar w:fldCharType="end"/>
      </w:r>
    </w:p>
    <w:p w14:paraId="59C31F27">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_Toc9559 </w:instrText>
      </w:r>
      <w:r>
        <w:rPr>
          <w:rFonts w:hint="eastAsia" w:hAnsi="宋体" w:cs="宋体"/>
          <w:bCs/>
          <w:caps/>
          <w:color w:val="auto"/>
          <w:szCs w:val="32"/>
          <w:highlight w:val="none"/>
        </w:rPr>
        <w:fldChar w:fldCharType="separate"/>
      </w:r>
      <w:r>
        <w:rPr>
          <w:rFonts w:hint="eastAsia" w:ascii="宋体" w:hAnsi="宋体" w:eastAsia="宋体" w:cs="宋体"/>
          <w:color w:val="auto"/>
          <w:szCs w:val="30"/>
          <w:highlight w:val="none"/>
        </w:rPr>
        <w:t>第五节 评标报告</w:t>
      </w:r>
      <w:r>
        <w:rPr>
          <w:color w:val="auto"/>
          <w:highlight w:val="none"/>
        </w:rPr>
        <w:tab/>
      </w:r>
      <w:r>
        <w:rPr>
          <w:color w:val="auto"/>
          <w:highlight w:val="none"/>
        </w:rPr>
        <w:fldChar w:fldCharType="begin"/>
      </w:r>
      <w:r>
        <w:rPr>
          <w:color w:val="auto"/>
          <w:highlight w:val="none"/>
        </w:rPr>
        <w:instrText xml:space="preserve"> PAGEREF _Toc9559 \h </w:instrText>
      </w:r>
      <w:r>
        <w:rPr>
          <w:color w:val="auto"/>
          <w:highlight w:val="none"/>
        </w:rPr>
        <w:fldChar w:fldCharType="separate"/>
      </w:r>
      <w:r>
        <w:rPr>
          <w:color w:val="auto"/>
          <w:highlight w:val="none"/>
        </w:rPr>
        <w:t>170</w:t>
      </w:r>
      <w:r>
        <w:rPr>
          <w:color w:val="auto"/>
          <w:highlight w:val="none"/>
        </w:rPr>
        <w:fldChar w:fldCharType="end"/>
      </w:r>
      <w:r>
        <w:rPr>
          <w:rFonts w:hint="eastAsia" w:hAnsi="宋体" w:cs="宋体"/>
          <w:bCs/>
          <w:caps/>
          <w:color w:val="auto"/>
          <w:szCs w:val="32"/>
          <w:highlight w:val="none"/>
          <w:u w:val="single"/>
        </w:rPr>
        <w:fldChar w:fldCharType="end"/>
      </w:r>
    </w:p>
    <w:p w14:paraId="56768E11">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_Toc27903 </w:instrText>
      </w:r>
      <w:r>
        <w:rPr>
          <w:rFonts w:hint="eastAsia" w:hAnsi="宋体" w:cs="宋体"/>
          <w:bCs/>
          <w:caps/>
          <w:color w:val="auto"/>
          <w:szCs w:val="32"/>
          <w:highlight w:val="none"/>
        </w:rPr>
        <w:fldChar w:fldCharType="separate"/>
      </w:r>
      <w:r>
        <w:rPr>
          <w:rFonts w:hint="eastAsia" w:hAnsi="宋体" w:cs="宋体"/>
          <w:color w:val="auto"/>
          <w:highlight w:val="none"/>
        </w:rPr>
        <w:t>第五章 拟签订的合同文本</w:t>
      </w:r>
      <w:r>
        <w:rPr>
          <w:color w:val="auto"/>
          <w:highlight w:val="none"/>
        </w:rPr>
        <w:tab/>
      </w:r>
      <w:r>
        <w:rPr>
          <w:color w:val="auto"/>
          <w:highlight w:val="none"/>
        </w:rPr>
        <w:fldChar w:fldCharType="begin"/>
      </w:r>
      <w:r>
        <w:rPr>
          <w:color w:val="auto"/>
          <w:highlight w:val="none"/>
        </w:rPr>
        <w:instrText xml:space="preserve"> PAGEREF _Toc27903 \h </w:instrText>
      </w:r>
      <w:r>
        <w:rPr>
          <w:color w:val="auto"/>
          <w:highlight w:val="none"/>
        </w:rPr>
        <w:fldChar w:fldCharType="separate"/>
      </w:r>
      <w:r>
        <w:rPr>
          <w:color w:val="auto"/>
          <w:highlight w:val="none"/>
        </w:rPr>
        <w:t>171</w:t>
      </w:r>
      <w:r>
        <w:rPr>
          <w:color w:val="auto"/>
          <w:highlight w:val="none"/>
        </w:rPr>
        <w:fldChar w:fldCharType="end"/>
      </w:r>
      <w:r>
        <w:rPr>
          <w:rFonts w:hint="eastAsia" w:hAnsi="宋体" w:cs="宋体"/>
          <w:bCs/>
          <w:caps/>
          <w:color w:val="auto"/>
          <w:szCs w:val="32"/>
          <w:highlight w:val="none"/>
          <w:u w:val="single"/>
        </w:rPr>
        <w:fldChar w:fldCharType="end"/>
      </w:r>
    </w:p>
    <w:p w14:paraId="2AF9D5F9">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_Toc16597 </w:instrText>
      </w:r>
      <w:r>
        <w:rPr>
          <w:rFonts w:hint="eastAsia" w:hAnsi="宋体" w:cs="宋体"/>
          <w:bCs/>
          <w:caps/>
          <w:color w:val="auto"/>
          <w:szCs w:val="32"/>
          <w:highlight w:val="none"/>
        </w:rPr>
        <w:fldChar w:fldCharType="separate"/>
      </w:r>
      <w:r>
        <w:rPr>
          <w:rFonts w:hint="eastAsia" w:hAnsi="宋体" w:cs="宋体"/>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_Toc16597 \h </w:instrText>
      </w:r>
      <w:r>
        <w:rPr>
          <w:color w:val="auto"/>
          <w:highlight w:val="none"/>
        </w:rPr>
        <w:fldChar w:fldCharType="separate"/>
      </w:r>
      <w:r>
        <w:rPr>
          <w:color w:val="auto"/>
          <w:highlight w:val="none"/>
        </w:rPr>
        <w:t>186</w:t>
      </w:r>
      <w:r>
        <w:rPr>
          <w:color w:val="auto"/>
          <w:highlight w:val="none"/>
        </w:rPr>
        <w:fldChar w:fldCharType="end"/>
      </w:r>
      <w:r>
        <w:rPr>
          <w:rFonts w:hint="eastAsia" w:hAnsi="宋体" w:cs="宋体"/>
          <w:bCs/>
          <w:caps/>
          <w:color w:val="auto"/>
          <w:szCs w:val="32"/>
          <w:highlight w:val="none"/>
          <w:u w:val="single"/>
        </w:rPr>
        <w:fldChar w:fldCharType="end"/>
      </w:r>
    </w:p>
    <w:p w14:paraId="5906B5E4">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_Toc28633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第一节 投标文件外层包装封面</w:t>
      </w:r>
      <w:r>
        <w:rPr>
          <w:color w:val="auto"/>
          <w:highlight w:val="none"/>
        </w:rPr>
        <w:tab/>
      </w:r>
      <w:r>
        <w:rPr>
          <w:color w:val="auto"/>
          <w:highlight w:val="none"/>
        </w:rPr>
        <w:fldChar w:fldCharType="begin"/>
      </w:r>
      <w:r>
        <w:rPr>
          <w:color w:val="auto"/>
          <w:highlight w:val="none"/>
        </w:rPr>
        <w:instrText xml:space="preserve"> PAGEREF _Toc28633 \h </w:instrText>
      </w:r>
      <w:r>
        <w:rPr>
          <w:color w:val="auto"/>
          <w:highlight w:val="none"/>
        </w:rPr>
        <w:fldChar w:fldCharType="separate"/>
      </w:r>
      <w:r>
        <w:rPr>
          <w:color w:val="auto"/>
          <w:highlight w:val="none"/>
        </w:rPr>
        <w:t>187</w:t>
      </w:r>
      <w:r>
        <w:rPr>
          <w:color w:val="auto"/>
          <w:highlight w:val="none"/>
        </w:rPr>
        <w:fldChar w:fldCharType="end"/>
      </w:r>
      <w:r>
        <w:rPr>
          <w:rFonts w:hint="eastAsia" w:hAnsi="宋体" w:cs="宋体"/>
          <w:bCs/>
          <w:caps/>
          <w:color w:val="auto"/>
          <w:szCs w:val="32"/>
          <w:highlight w:val="none"/>
          <w:u w:val="single"/>
        </w:rPr>
        <w:fldChar w:fldCharType="end"/>
      </w:r>
    </w:p>
    <w:p w14:paraId="015F89C8">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_Toc8810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_Toc8810 \h </w:instrText>
      </w:r>
      <w:r>
        <w:rPr>
          <w:color w:val="auto"/>
          <w:highlight w:val="none"/>
        </w:rPr>
        <w:fldChar w:fldCharType="separate"/>
      </w:r>
      <w:r>
        <w:rPr>
          <w:color w:val="auto"/>
          <w:highlight w:val="none"/>
        </w:rPr>
        <w:t>188</w:t>
      </w:r>
      <w:r>
        <w:rPr>
          <w:color w:val="auto"/>
          <w:highlight w:val="none"/>
        </w:rPr>
        <w:fldChar w:fldCharType="end"/>
      </w:r>
      <w:r>
        <w:rPr>
          <w:rFonts w:hint="eastAsia" w:hAnsi="宋体" w:cs="宋体"/>
          <w:bCs/>
          <w:caps/>
          <w:color w:val="auto"/>
          <w:szCs w:val="32"/>
          <w:highlight w:val="none"/>
          <w:u w:val="single"/>
        </w:rPr>
        <w:fldChar w:fldCharType="end"/>
      </w:r>
    </w:p>
    <w:p w14:paraId="49312B68">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_Toc20045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第三节 商务文件格式</w:t>
      </w:r>
      <w:r>
        <w:rPr>
          <w:color w:val="auto"/>
          <w:highlight w:val="none"/>
        </w:rPr>
        <w:tab/>
      </w:r>
      <w:r>
        <w:rPr>
          <w:color w:val="auto"/>
          <w:highlight w:val="none"/>
        </w:rPr>
        <w:fldChar w:fldCharType="begin"/>
      </w:r>
      <w:r>
        <w:rPr>
          <w:color w:val="auto"/>
          <w:highlight w:val="none"/>
        </w:rPr>
        <w:instrText xml:space="preserve"> PAGEREF _Toc20045 \h </w:instrText>
      </w:r>
      <w:r>
        <w:rPr>
          <w:color w:val="auto"/>
          <w:highlight w:val="none"/>
        </w:rPr>
        <w:fldChar w:fldCharType="separate"/>
      </w:r>
      <w:r>
        <w:rPr>
          <w:color w:val="auto"/>
          <w:highlight w:val="none"/>
        </w:rPr>
        <w:t>195</w:t>
      </w:r>
      <w:r>
        <w:rPr>
          <w:color w:val="auto"/>
          <w:highlight w:val="none"/>
        </w:rPr>
        <w:fldChar w:fldCharType="end"/>
      </w:r>
      <w:r>
        <w:rPr>
          <w:rFonts w:hint="eastAsia" w:hAnsi="宋体" w:cs="宋体"/>
          <w:bCs/>
          <w:caps/>
          <w:color w:val="auto"/>
          <w:szCs w:val="32"/>
          <w:highlight w:val="none"/>
          <w:u w:val="single"/>
        </w:rPr>
        <w:fldChar w:fldCharType="end"/>
      </w:r>
    </w:p>
    <w:p w14:paraId="75C0C254">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_Toc14481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第四节 技术文件格式</w:t>
      </w:r>
      <w:r>
        <w:rPr>
          <w:color w:val="auto"/>
          <w:highlight w:val="none"/>
        </w:rPr>
        <w:tab/>
      </w:r>
      <w:r>
        <w:rPr>
          <w:color w:val="auto"/>
          <w:highlight w:val="none"/>
        </w:rPr>
        <w:fldChar w:fldCharType="begin"/>
      </w:r>
      <w:r>
        <w:rPr>
          <w:color w:val="auto"/>
          <w:highlight w:val="none"/>
        </w:rPr>
        <w:instrText xml:space="preserve"> PAGEREF _Toc14481 \h </w:instrText>
      </w:r>
      <w:r>
        <w:rPr>
          <w:color w:val="auto"/>
          <w:highlight w:val="none"/>
        </w:rPr>
        <w:fldChar w:fldCharType="separate"/>
      </w:r>
      <w:r>
        <w:rPr>
          <w:color w:val="auto"/>
          <w:highlight w:val="none"/>
        </w:rPr>
        <w:t>206</w:t>
      </w:r>
      <w:r>
        <w:rPr>
          <w:color w:val="auto"/>
          <w:highlight w:val="none"/>
        </w:rPr>
        <w:fldChar w:fldCharType="end"/>
      </w:r>
      <w:r>
        <w:rPr>
          <w:rFonts w:hint="eastAsia" w:hAnsi="宋体" w:cs="宋体"/>
          <w:bCs/>
          <w:caps/>
          <w:color w:val="auto"/>
          <w:szCs w:val="32"/>
          <w:highlight w:val="none"/>
          <w:u w:val="single"/>
        </w:rPr>
        <w:fldChar w:fldCharType="end"/>
      </w:r>
    </w:p>
    <w:p w14:paraId="1E446077">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_Toc17901 </w:instrText>
      </w:r>
      <w:r>
        <w:rPr>
          <w:rFonts w:hint="eastAsia" w:hAnsi="宋体" w:cs="宋体"/>
          <w:bCs/>
          <w:caps/>
          <w:color w:val="auto"/>
          <w:szCs w:val="32"/>
          <w:highlight w:val="none"/>
        </w:rPr>
        <w:fldChar w:fldCharType="separate"/>
      </w:r>
      <w:r>
        <w:rPr>
          <w:rFonts w:hint="eastAsia" w:hAnsi="宋体" w:cs="宋体"/>
          <w:bCs/>
          <w:color w:val="auto"/>
          <w:szCs w:val="28"/>
          <w:highlight w:val="none"/>
        </w:rPr>
        <w:t>第五节 报价文件格式</w:t>
      </w:r>
      <w:r>
        <w:rPr>
          <w:color w:val="auto"/>
          <w:highlight w:val="none"/>
        </w:rPr>
        <w:tab/>
      </w:r>
      <w:r>
        <w:rPr>
          <w:color w:val="auto"/>
          <w:highlight w:val="none"/>
        </w:rPr>
        <w:fldChar w:fldCharType="begin"/>
      </w:r>
      <w:r>
        <w:rPr>
          <w:color w:val="auto"/>
          <w:highlight w:val="none"/>
        </w:rPr>
        <w:instrText xml:space="preserve"> PAGEREF _Toc17901 \h </w:instrText>
      </w:r>
      <w:r>
        <w:rPr>
          <w:color w:val="auto"/>
          <w:highlight w:val="none"/>
        </w:rPr>
        <w:fldChar w:fldCharType="separate"/>
      </w:r>
      <w:r>
        <w:rPr>
          <w:color w:val="auto"/>
          <w:highlight w:val="none"/>
        </w:rPr>
        <w:t>215</w:t>
      </w:r>
      <w:r>
        <w:rPr>
          <w:color w:val="auto"/>
          <w:highlight w:val="none"/>
        </w:rPr>
        <w:fldChar w:fldCharType="end"/>
      </w:r>
      <w:r>
        <w:rPr>
          <w:rFonts w:hint="eastAsia" w:hAnsi="宋体" w:cs="宋体"/>
          <w:bCs/>
          <w:caps/>
          <w:color w:val="auto"/>
          <w:szCs w:val="32"/>
          <w:highlight w:val="none"/>
          <w:u w:val="single"/>
        </w:rPr>
        <w:fldChar w:fldCharType="end"/>
      </w:r>
    </w:p>
    <w:p w14:paraId="7BE41F38">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_Toc14219 </w:instrText>
      </w:r>
      <w:r>
        <w:rPr>
          <w:rFonts w:hint="eastAsia" w:hAnsi="宋体" w:cs="宋体"/>
          <w:bCs/>
          <w:caps/>
          <w:color w:val="auto"/>
          <w:szCs w:val="32"/>
          <w:highlight w:val="none"/>
        </w:rPr>
        <w:fldChar w:fldCharType="separate"/>
      </w:r>
      <w:r>
        <w:rPr>
          <w:rFonts w:hint="eastAsia" w:ascii="宋体" w:hAnsi="宋体" w:cs="宋体"/>
          <w:bCs/>
          <w:color w:val="auto"/>
          <w:szCs w:val="28"/>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_Toc14219 \h </w:instrText>
      </w:r>
      <w:r>
        <w:rPr>
          <w:color w:val="auto"/>
          <w:highlight w:val="none"/>
        </w:rPr>
        <w:fldChar w:fldCharType="separate"/>
      </w:r>
      <w:r>
        <w:rPr>
          <w:color w:val="auto"/>
          <w:highlight w:val="none"/>
        </w:rPr>
        <w:t>222</w:t>
      </w:r>
      <w:r>
        <w:rPr>
          <w:color w:val="auto"/>
          <w:highlight w:val="none"/>
        </w:rPr>
        <w:fldChar w:fldCharType="end"/>
      </w:r>
      <w:r>
        <w:rPr>
          <w:rFonts w:hint="eastAsia" w:hAnsi="宋体" w:cs="宋体"/>
          <w:bCs/>
          <w:caps/>
          <w:color w:val="auto"/>
          <w:szCs w:val="32"/>
          <w:highlight w:val="none"/>
          <w:u w:val="single"/>
        </w:rPr>
        <w:fldChar w:fldCharType="end"/>
      </w:r>
    </w:p>
    <w:p w14:paraId="4689EFD2">
      <w:pPr>
        <w:pStyle w:val="15"/>
        <w:keepNext w:val="0"/>
        <w:keepLines w:val="0"/>
        <w:pageBreakBefore w:val="0"/>
        <w:widowControl w:val="0"/>
        <w:tabs>
          <w:tab w:val="right" w:leader="dot" w:pos="9746"/>
        </w:tabs>
        <w:kinsoku/>
        <w:overflowPunct/>
        <w:topLinePunct w:val="0"/>
        <w:autoSpaceDE/>
        <w:autoSpaceDN/>
        <w:bidi w:val="0"/>
        <w:adjustRightInd/>
        <w:snapToGrid/>
        <w:spacing w:before="0" w:after="0"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_Toc23306 </w:instrText>
      </w:r>
      <w:r>
        <w:rPr>
          <w:rFonts w:hint="eastAsia" w:hAnsi="宋体" w:cs="宋体"/>
          <w:bCs/>
          <w:caps/>
          <w:color w:val="auto"/>
          <w:szCs w:val="32"/>
          <w:highlight w:val="none"/>
        </w:rPr>
        <w:fldChar w:fldCharType="separate"/>
      </w:r>
      <w:r>
        <w:rPr>
          <w:rFonts w:hint="eastAsia" w:hAnsi="宋体" w:cs="宋体"/>
          <w:color w:val="auto"/>
          <w:highlight w:val="none"/>
        </w:rPr>
        <w:t>第七章 质疑、投诉证明材料格式</w:t>
      </w:r>
      <w:r>
        <w:rPr>
          <w:color w:val="auto"/>
          <w:highlight w:val="none"/>
        </w:rPr>
        <w:tab/>
      </w:r>
      <w:r>
        <w:rPr>
          <w:color w:val="auto"/>
          <w:highlight w:val="none"/>
        </w:rPr>
        <w:fldChar w:fldCharType="begin"/>
      </w:r>
      <w:r>
        <w:rPr>
          <w:color w:val="auto"/>
          <w:highlight w:val="none"/>
        </w:rPr>
        <w:instrText xml:space="preserve"> PAGEREF _Toc23306 \h </w:instrText>
      </w:r>
      <w:r>
        <w:rPr>
          <w:color w:val="auto"/>
          <w:highlight w:val="none"/>
        </w:rPr>
        <w:fldChar w:fldCharType="separate"/>
      </w:r>
      <w:r>
        <w:rPr>
          <w:color w:val="auto"/>
          <w:highlight w:val="none"/>
        </w:rPr>
        <w:t>224</w:t>
      </w:r>
      <w:r>
        <w:rPr>
          <w:color w:val="auto"/>
          <w:highlight w:val="none"/>
        </w:rPr>
        <w:fldChar w:fldCharType="end"/>
      </w:r>
      <w:r>
        <w:rPr>
          <w:rFonts w:hint="eastAsia" w:hAnsi="宋体" w:cs="宋体"/>
          <w:bCs/>
          <w:caps/>
          <w:color w:val="auto"/>
          <w:szCs w:val="32"/>
          <w:highlight w:val="none"/>
          <w:u w:val="single"/>
        </w:rPr>
        <w:fldChar w:fldCharType="end"/>
      </w:r>
    </w:p>
    <w:p w14:paraId="3F7687B3">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_Toc30519 </w:instrText>
      </w:r>
      <w:r>
        <w:rPr>
          <w:rFonts w:hint="eastAsia" w:hAnsi="宋体" w:cs="宋体"/>
          <w:bCs/>
          <w:caps/>
          <w:color w:val="auto"/>
          <w:szCs w:val="32"/>
          <w:highlight w:val="none"/>
        </w:rPr>
        <w:fldChar w:fldCharType="separate"/>
      </w:r>
      <w:r>
        <w:rPr>
          <w:rFonts w:hint="eastAsia" w:ascii="宋体" w:hAnsi="宋体" w:eastAsia="宋体" w:cs="宋体"/>
          <w:bCs w:val="0"/>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_Toc30519 \h </w:instrText>
      </w:r>
      <w:r>
        <w:rPr>
          <w:color w:val="auto"/>
          <w:highlight w:val="none"/>
        </w:rPr>
        <w:fldChar w:fldCharType="separate"/>
      </w:r>
      <w:r>
        <w:rPr>
          <w:color w:val="auto"/>
          <w:highlight w:val="none"/>
        </w:rPr>
        <w:t>225</w:t>
      </w:r>
      <w:r>
        <w:rPr>
          <w:color w:val="auto"/>
          <w:highlight w:val="none"/>
        </w:rPr>
        <w:fldChar w:fldCharType="end"/>
      </w:r>
      <w:r>
        <w:rPr>
          <w:rFonts w:hint="eastAsia" w:hAnsi="宋体" w:cs="宋体"/>
          <w:bCs/>
          <w:caps/>
          <w:color w:val="auto"/>
          <w:szCs w:val="32"/>
          <w:highlight w:val="none"/>
          <w:u w:val="single"/>
        </w:rPr>
        <w:fldChar w:fldCharType="end"/>
      </w:r>
    </w:p>
    <w:p w14:paraId="6F238D54">
      <w:pPr>
        <w:pStyle w:val="17"/>
        <w:keepNext w:val="0"/>
        <w:keepLines w:val="0"/>
        <w:pageBreakBefore w:val="0"/>
        <w:widowControl w:val="0"/>
        <w:tabs>
          <w:tab w:val="right" w:leader="dot" w:pos="9746"/>
        </w:tabs>
        <w:kinsoku/>
        <w:overflowPunct/>
        <w:topLinePunct w:val="0"/>
        <w:autoSpaceDE/>
        <w:autoSpaceDN/>
        <w:bidi w:val="0"/>
        <w:adjustRightInd/>
        <w:snapToGrid/>
        <w:spacing w:line="360" w:lineRule="auto"/>
        <w:textAlignment w:val="auto"/>
        <w:rPr>
          <w:color w:val="auto"/>
          <w:highlight w:val="none"/>
        </w:rPr>
      </w:pPr>
      <w:r>
        <w:rPr>
          <w:rFonts w:hint="eastAsia" w:hAnsi="宋体" w:cs="宋体"/>
          <w:bCs/>
          <w:caps/>
          <w:color w:val="auto"/>
          <w:szCs w:val="32"/>
          <w:highlight w:val="none"/>
          <w:u w:val="single"/>
        </w:rPr>
        <w:fldChar w:fldCharType="begin"/>
      </w:r>
      <w:r>
        <w:rPr>
          <w:rFonts w:hint="eastAsia" w:hAnsi="宋体" w:cs="宋体"/>
          <w:bCs/>
          <w:caps/>
          <w:color w:val="auto"/>
          <w:szCs w:val="32"/>
          <w:highlight w:val="none"/>
        </w:rPr>
        <w:instrText xml:space="preserve"> HYPERLINK \l _Toc32681 </w:instrText>
      </w:r>
      <w:r>
        <w:rPr>
          <w:rFonts w:hint="eastAsia" w:hAnsi="宋体" w:cs="宋体"/>
          <w:bCs/>
          <w:caps/>
          <w:color w:val="auto"/>
          <w:szCs w:val="32"/>
          <w:highlight w:val="none"/>
        </w:rPr>
        <w:fldChar w:fldCharType="separate"/>
      </w:r>
      <w:r>
        <w:rPr>
          <w:rFonts w:hint="eastAsia" w:ascii="宋体" w:hAnsi="宋体" w:eastAsia="宋体" w:cs="宋体"/>
          <w:bCs w:val="0"/>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_Toc32681 \h </w:instrText>
      </w:r>
      <w:r>
        <w:rPr>
          <w:color w:val="auto"/>
          <w:highlight w:val="none"/>
        </w:rPr>
        <w:fldChar w:fldCharType="separate"/>
      </w:r>
      <w:r>
        <w:rPr>
          <w:color w:val="auto"/>
          <w:highlight w:val="none"/>
        </w:rPr>
        <w:t>228</w:t>
      </w:r>
      <w:r>
        <w:rPr>
          <w:color w:val="auto"/>
          <w:highlight w:val="none"/>
        </w:rPr>
        <w:fldChar w:fldCharType="end"/>
      </w:r>
      <w:r>
        <w:rPr>
          <w:rFonts w:hint="eastAsia" w:hAnsi="宋体" w:cs="宋体"/>
          <w:bCs/>
          <w:caps/>
          <w:color w:val="auto"/>
          <w:szCs w:val="32"/>
          <w:highlight w:val="none"/>
          <w:u w:val="single"/>
        </w:rPr>
        <w:fldChar w:fldCharType="end"/>
      </w:r>
    </w:p>
    <w:p w14:paraId="2EA5BF9C">
      <w:pPr>
        <w:pStyle w:val="12"/>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Ansi="宋体" w:cs="宋体"/>
          <w:color w:val="auto"/>
          <w:highlight w:val="none"/>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color w:val="auto"/>
          <w:szCs w:val="32"/>
          <w:highlight w:val="none"/>
          <w:u w:val="single"/>
        </w:rPr>
        <w:fldChar w:fldCharType="end"/>
      </w:r>
      <w:bookmarkStart w:id="0" w:name="_Toc11954"/>
      <w:r>
        <w:rPr>
          <w:rFonts w:hint="eastAsia" w:hAnsi="宋体" w:cs="宋体"/>
          <w:color w:val="auto"/>
          <w:highlight w:val="none"/>
        </w:rPr>
        <w:tab/>
      </w:r>
      <w:bookmarkEnd w:id="0"/>
      <w:bookmarkStart w:id="1" w:name="_Toc532545041"/>
    </w:p>
    <w:bookmarkEnd w:id="1"/>
    <w:p w14:paraId="4C19A9B9">
      <w:pPr>
        <w:pStyle w:val="12"/>
        <w:pageBreakBefore w:val="0"/>
        <w:wordWrap w:val="0"/>
        <w:overflowPunct/>
        <w:topLinePunct w:val="0"/>
        <w:bidi w:val="0"/>
        <w:spacing w:line="360" w:lineRule="auto"/>
        <w:jc w:val="center"/>
        <w:outlineLvl w:val="0"/>
        <w:rPr>
          <w:rFonts w:hAnsi="宋体" w:cs="宋体"/>
          <w:b/>
          <w:color w:val="auto"/>
          <w:sz w:val="36"/>
          <w:szCs w:val="36"/>
          <w:highlight w:val="none"/>
        </w:rPr>
      </w:pPr>
      <w:bookmarkStart w:id="2" w:name="_Toc6934"/>
      <w:bookmarkStart w:id="3" w:name="_Toc532545042"/>
      <w:r>
        <w:rPr>
          <w:rFonts w:hint="eastAsia" w:hAnsi="宋体" w:cs="宋体"/>
          <w:b/>
          <w:color w:val="auto"/>
          <w:sz w:val="36"/>
          <w:highlight w:val="none"/>
        </w:rPr>
        <w:t>第一章  招标公告</w:t>
      </w:r>
      <w:bookmarkEnd w:id="2"/>
    </w:p>
    <w:p w14:paraId="1BC45641">
      <w:pPr>
        <w:pStyle w:val="12"/>
        <w:pageBreakBefore w:val="0"/>
        <w:wordWrap w:val="0"/>
        <w:overflowPunct/>
        <w:topLinePunct w:val="0"/>
        <w:bidi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t>公开招标公告</w:t>
      </w:r>
    </w:p>
    <w:p w14:paraId="255FFF23">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项目概况</w:t>
      </w:r>
    </w:p>
    <w:p w14:paraId="7EFC7189">
      <w:pPr>
        <w:keepNext w:val="0"/>
        <w:keepLines w:val="0"/>
        <w:pageBreakBefore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pacing w:line="360" w:lineRule="auto"/>
        <w:ind w:firstLine="600" w:firstLineChars="250"/>
        <w:textAlignment w:val="auto"/>
        <w:rPr>
          <w:rFonts w:ascii="宋体" w:hAnsi="宋体" w:cs="宋体"/>
          <w:color w:val="auto"/>
          <w:sz w:val="24"/>
          <w:highlight w:val="none"/>
          <w:u w:val="single"/>
        </w:rPr>
      </w:pPr>
      <w:r>
        <w:rPr>
          <w:rFonts w:hint="eastAsia" w:ascii="宋体" w:hAnsi="宋体" w:cs="宋体"/>
          <w:color w:val="auto"/>
          <w:sz w:val="24"/>
          <w:highlight w:val="none"/>
          <w:u w:val="single"/>
          <w:lang w:eastAsia="zh-CN"/>
        </w:rPr>
        <w:t>2025年南宁市道路绿化养护服务政府采购项目</w:t>
      </w:r>
      <w:r>
        <w:rPr>
          <w:rFonts w:hint="eastAsia" w:ascii="宋体" w:hAnsi="宋体" w:cs="宋体"/>
          <w:color w:val="auto"/>
          <w:sz w:val="24"/>
          <w:highlight w:val="none"/>
        </w:rPr>
        <w:t>招标项目的潜在投标人应在</w:t>
      </w:r>
      <w:r>
        <w:rPr>
          <w:rFonts w:hint="eastAsia" w:ascii="宋体" w:hAnsi="宋体" w:cs="宋体"/>
          <w:color w:val="auto"/>
          <w:sz w:val="24"/>
          <w:highlight w:val="none"/>
          <w:lang w:eastAsia="zh-CN"/>
        </w:rPr>
        <w:t>广西政府采购云平台（https://login.gcy.zfcg.gxzf.gov.cn/user-login/#/）</w:t>
      </w:r>
      <w:r>
        <w:rPr>
          <w:rFonts w:hint="eastAsia" w:ascii="宋体" w:hAnsi="宋体" w:cs="宋体"/>
          <w:color w:val="auto"/>
          <w:sz w:val="24"/>
          <w:highlight w:val="none"/>
        </w:rPr>
        <w:t>获取（下载）招标文件，并于</w:t>
      </w:r>
      <w:r>
        <w:rPr>
          <w:rFonts w:hint="eastAsia" w:ascii="宋体" w:hAnsi="宋体" w:cs="宋体"/>
          <w:color w:val="auto"/>
          <w:sz w:val="24"/>
          <w:highlight w:val="none"/>
          <w:u w:val="single"/>
          <w:lang w:eastAsia="zh-CN" w:bidi="ar"/>
        </w:rPr>
        <w:t>2025年8月22日09时30分00秒</w:t>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36C5B1F3">
      <w:pPr>
        <w:keepNext w:val="0"/>
        <w:keepLines w:val="0"/>
        <w:pageBreakBefore w:val="0"/>
        <w:kinsoku/>
        <w:wordWrap w:val="0"/>
        <w:overflowPunct/>
        <w:topLinePunct w:val="0"/>
        <w:autoSpaceDE/>
        <w:autoSpaceDN/>
        <w:bidi w:val="0"/>
        <w:adjustRightIn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一、项目基本情况</w:t>
      </w:r>
    </w:p>
    <w:p w14:paraId="2D3FF712">
      <w:pPr>
        <w:keepNext w:val="0"/>
        <w:keepLines w:val="0"/>
        <w:pageBreakBefore w:val="0"/>
        <w:kinsoku/>
        <w:wordWrap w:val="0"/>
        <w:overflowPunct/>
        <w:topLinePunct w:val="0"/>
        <w:autoSpaceDE/>
        <w:autoSpaceDN/>
        <w:bidi w:val="0"/>
        <w:adjustRightInd/>
        <w:spacing w:line="360" w:lineRule="auto"/>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项目编号：NNZC2025-G3-990720-GXYZ</w:t>
      </w:r>
    </w:p>
    <w:p w14:paraId="7EB3D870">
      <w:pPr>
        <w:keepNext w:val="0"/>
        <w:keepLines w:val="0"/>
        <w:pageBreakBefore w:val="0"/>
        <w:kinsoku/>
        <w:wordWrap w:val="0"/>
        <w:overflowPunct/>
        <w:topLinePunct w:val="0"/>
        <w:autoSpaceDE/>
        <w:autoSpaceDN/>
        <w:bidi w:val="0"/>
        <w:adjustRightInd/>
        <w:spacing w:line="360" w:lineRule="auto"/>
        <w:textAlignment w:val="auto"/>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采购计划文号：NNZC[2025]3896号-001、NNZC[2025]3896号-002</w:t>
      </w:r>
    </w:p>
    <w:p w14:paraId="21D403D7">
      <w:pPr>
        <w:keepNext w:val="0"/>
        <w:keepLines w:val="0"/>
        <w:pageBreakBefore w:val="0"/>
        <w:kinsoku/>
        <w:wordWrap w:val="0"/>
        <w:overflowPunct/>
        <w:topLinePunct w:val="0"/>
        <w:autoSpaceDE/>
        <w:autoSpaceDN/>
        <w:bidi w:val="0"/>
        <w:adjustRightInd/>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项目名称：2025年南宁市道路绿化养护服务政府采购项目</w:t>
      </w:r>
    </w:p>
    <w:p w14:paraId="1DA593A0">
      <w:pPr>
        <w:keepNext w:val="0"/>
        <w:keepLines w:val="0"/>
        <w:pageBreakBefore w:val="0"/>
        <w:kinsoku/>
        <w:wordWrap w:val="0"/>
        <w:overflowPunct/>
        <w:topLinePunct w:val="0"/>
        <w:autoSpaceDE/>
        <w:autoSpaceDN/>
        <w:bidi w:val="0"/>
        <w:adjustRightIn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预算金额：</w:t>
      </w:r>
      <w:r>
        <w:rPr>
          <w:rFonts w:hint="eastAsia" w:ascii="宋体" w:hAnsi="宋体" w:cs="宋体"/>
          <w:color w:val="auto"/>
          <w:sz w:val="24"/>
          <w:highlight w:val="none"/>
          <w:lang w:val="en-US" w:eastAsia="zh-CN"/>
        </w:rPr>
        <w:t>人民币柒仟陆佰壹拾万零柒仟叁佰伍拾柒元叁角壹分（</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76107357.31</w:t>
      </w:r>
      <w:r>
        <w:rPr>
          <w:rFonts w:hint="eastAsia" w:ascii="宋体" w:hAnsi="宋体" w:cs="宋体"/>
          <w:color w:val="auto"/>
          <w:sz w:val="24"/>
          <w:highlight w:val="none"/>
        </w:rPr>
        <w:t>)</w:t>
      </w:r>
    </w:p>
    <w:p w14:paraId="348EA544">
      <w:pPr>
        <w:keepNext w:val="0"/>
        <w:keepLines w:val="0"/>
        <w:pageBreakBefore w:val="0"/>
        <w:kinsoku/>
        <w:wordWrap w:val="0"/>
        <w:overflowPunct/>
        <w:topLinePunct w:val="0"/>
        <w:autoSpaceDE/>
        <w:autoSpaceDN/>
        <w:bidi w:val="0"/>
        <w:adjustRightInd/>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最高限价：</w:t>
      </w:r>
      <w:r>
        <w:rPr>
          <w:rFonts w:hint="eastAsia" w:ascii="宋体" w:hAnsi="宋体" w:cs="宋体"/>
          <w:color w:val="auto"/>
          <w:sz w:val="24"/>
          <w:highlight w:val="none"/>
          <w:lang w:val="en-US" w:eastAsia="zh-CN"/>
        </w:rPr>
        <w:t>人民币柒仟陆佰壹拾万零柒仟叁佰伍拾柒元叁角壹分（</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76107357.31</w:t>
      </w:r>
      <w:r>
        <w:rPr>
          <w:rFonts w:hint="eastAsia" w:ascii="宋体" w:hAnsi="宋体" w:cs="宋体"/>
          <w:color w:val="auto"/>
          <w:sz w:val="24"/>
          <w:highlight w:val="none"/>
        </w:rPr>
        <w:t>)</w:t>
      </w:r>
    </w:p>
    <w:p w14:paraId="724D6A79">
      <w:pPr>
        <w:keepNext w:val="0"/>
        <w:keepLines w:val="0"/>
        <w:pageBreakBefore w:val="0"/>
        <w:kinsoku/>
        <w:wordWrap w:val="0"/>
        <w:overflowPunct/>
        <w:topLinePunct w:val="0"/>
        <w:autoSpaceDE/>
        <w:autoSpaceDN/>
        <w:bidi w:val="0"/>
        <w:adjustRightInd/>
        <w:spacing w:line="360" w:lineRule="auto"/>
        <w:textAlignment w:val="auto"/>
        <w:rPr>
          <w:color w:val="auto"/>
          <w:highlight w:val="none"/>
        </w:rPr>
      </w:pPr>
      <w:r>
        <w:rPr>
          <w:rFonts w:hint="eastAsia" w:ascii="宋体" w:hAnsi="宋体" w:cs="宋体"/>
          <w:color w:val="auto"/>
          <w:sz w:val="24"/>
          <w:highlight w:val="none"/>
        </w:rPr>
        <w:t xml:space="preserve">采购需求： </w:t>
      </w:r>
    </w:p>
    <w:tbl>
      <w:tblPr>
        <w:tblStyle w:val="20"/>
        <w:tblW w:w="10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2"/>
        <w:gridCol w:w="2046"/>
        <w:gridCol w:w="600"/>
        <w:gridCol w:w="613"/>
        <w:gridCol w:w="6262"/>
      </w:tblGrid>
      <w:tr w14:paraId="25E73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652" w:type="dxa"/>
            <w:tcBorders>
              <w:top w:val="single" w:color="auto" w:sz="4" w:space="0"/>
              <w:left w:val="single" w:color="auto" w:sz="4" w:space="0"/>
              <w:bottom w:val="single" w:color="auto" w:sz="4" w:space="0"/>
              <w:right w:val="single" w:color="auto" w:sz="4" w:space="0"/>
            </w:tcBorders>
            <w:vAlign w:val="center"/>
          </w:tcPr>
          <w:p w14:paraId="2A254F7E">
            <w:pPr>
              <w:keepNext w:val="0"/>
              <w:keepLines w:val="0"/>
              <w:pageBreakBefore w:val="0"/>
              <w:kinsoku/>
              <w:wordWrap w:val="0"/>
              <w:overflowPunct/>
              <w:topLinePunct w:val="0"/>
              <w:autoSpaceDE/>
              <w:autoSpaceDN/>
              <w:bidi w:val="0"/>
              <w:adjustRightInd/>
              <w:snapToGrid w:val="0"/>
              <w:spacing w:line="36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序号</w:t>
            </w:r>
          </w:p>
        </w:tc>
        <w:tc>
          <w:tcPr>
            <w:tcW w:w="2046" w:type="dxa"/>
            <w:tcBorders>
              <w:top w:val="single" w:color="auto" w:sz="4" w:space="0"/>
              <w:left w:val="single" w:color="auto" w:sz="4" w:space="0"/>
              <w:bottom w:val="single" w:color="auto" w:sz="4" w:space="0"/>
              <w:right w:val="single" w:color="auto" w:sz="4" w:space="0"/>
            </w:tcBorders>
            <w:vAlign w:val="center"/>
          </w:tcPr>
          <w:p w14:paraId="2FB0BA49">
            <w:pPr>
              <w:keepNext w:val="0"/>
              <w:keepLines w:val="0"/>
              <w:pageBreakBefore w:val="0"/>
              <w:kinsoku/>
              <w:wordWrap w:val="0"/>
              <w:overflowPunct/>
              <w:topLinePunct w:val="0"/>
              <w:autoSpaceDE/>
              <w:autoSpaceDN/>
              <w:bidi w:val="0"/>
              <w:adjustRightInd/>
              <w:snapToGrid w:val="0"/>
              <w:spacing w:line="36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标的的名称</w:t>
            </w:r>
          </w:p>
        </w:tc>
        <w:tc>
          <w:tcPr>
            <w:tcW w:w="600" w:type="dxa"/>
            <w:tcBorders>
              <w:top w:val="single" w:color="auto" w:sz="4" w:space="0"/>
              <w:left w:val="single" w:color="auto" w:sz="4" w:space="0"/>
              <w:bottom w:val="single" w:color="auto" w:sz="4" w:space="0"/>
              <w:right w:val="single" w:color="auto" w:sz="4" w:space="0"/>
            </w:tcBorders>
            <w:vAlign w:val="center"/>
          </w:tcPr>
          <w:p w14:paraId="349D9EC3">
            <w:pPr>
              <w:keepNext w:val="0"/>
              <w:keepLines w:val="0"/>
              <w:pageBreakBefore w:val="0"/>
              <w:kinsoku/>
              <w:wordWrap w:val="0"/>
              <w:overflowPunct/>
              <w:topLinePunct w:val="0"/>
              <w:autoSpaceDE/>
              <w:autoSpaceDN/>
              <w:bidi w:val="0"/>
              <w:adjustRightInd/>
              <w:snapToGrid w:val="0"/>
              <w:spacing w:line="36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单位</w:t>
            </w:r>
          </w:p>
        </w:tc>
        <w:tc>
          <w:tcPr>
            <w:tcW w:w="613" w:type="dxa"/>
            <w:tcBorders>
              <w:top w:val="single" w:color="auto" w:sz="4" w:space="0"/>
              <w:left w:val="single" w:color="auto" w:sz="4" w:space="0"/>
              <w:bottom w:val="single" w:color="auto" w:sz="4" w:space="0"/>
              <w:right w:val="single" w:color="auto" w:sz="4" w:space="0"/>
            </w:tcBorders>
            <w:vAlign w:val="center"/>
          </w:tcPr>
          <w:p w14:paraId="25A4B6BE">
            <w:pPr>
              <w:keepNext w:val="0"/>
              <w:keepLines w:val="0"/>
              <w:pageBreakBefore w:val="0"/>
              <w:kinsoku/>
              <w:wordWrap w:val="0"/>
              <w:overflowPunct/>
              <w:topLinePunct w:val="0"/>
              <w:autoSpaceDE/>
              <w:autoSpaceDN/>
              <w:bidi w:val="0"/>
              <w:adjustRightInd/>
              <w:snapToGrid w:val="0"/>
              <w:spacing w:line="36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数量</w:t>
            </w:r>
          </w:p>
        </w:tc>
        <w:tc>
          <w:tcPr>
            <w:tcW w:w="6262" w:type="dxa"/>
            <w:tcBorders>
              <w:top w:val="single" w:color="auto" w:sz="4" w:space="0"/>
              <w:left w:val="single" w:color="auto" w:sz="4" w:space="0"/>
              <w:bottom w:val="single" w:color="auto" w:sz="4" w:space="0"/>
              <w:right w:val="single" w:color="auto" w:sz="4" w:space="0"/>
            </w:tcBorders>
            <w:vAlign w:val="center"/>
          </w:tcPr>
          <w:p w14:paraId="427D35E6">
            <w:pPr>
              <w:keepNext w:val="0"/>
              <w:keepLines w:val="0"/>
              <w:pageBreakBefore w:val="0"/>
              <w:kinsoku/>
              <w:wordWrap w:val="0"/>
              <w:overflowPunct/>
              <w:topLinePunct w:val="0"/>
              <w:autoSpaceDE/>
              <w:autoSpaceDN/>
              <w:bidi w:val="0"/>
              <w:adjustRightInd/>
              <w:snapToGrid w:val="0"/>
              <w:spacing w:line="36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简要服务要求或者技术需求</w:t>
            </w:r>
          </w:p>
        </w:tc>
      </w:tr>
      <w:tr w14:paraId="41BF82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2" w:type="dxa"/>
            <w:tcBorders>
              <w:top w:val="single" w:color="auto" w:sz="4" w:space="0"/>
              <w:left w:val="single" w:color="auto" w:sz="4" w:space="0"/>
              <w:bottom w:val="single" w:color="auto" w:sz="4" w:space="0"/>
              <w:right w:val="single" w:color="auto" w:sz="4" w:space="0"/>
            </w:tcBorders>
            <w:vAlign w:val="center"/>
          </w:tcPr>
          <w:p w14:paraId="3623C3F6">
            <w:pPr>
              <w:keepNext w:val="0"/>
              <w:keepLines w:val="0"/>
              <w:pageBreakBefore w:val="0"/>
              <w:kinsoku/>
              <w:wordWrap w:val="0"/>
              <w:overflowPunct/>
              <w:topLinePunct w:val="0"/>
              <w:autoSpaceDE/>
              <w:autoSpaceDN/>
              <w:bidi w:val="0"/>
              <w:adjustRightInd/>
              <w:snapToGrid/>
              <w:spacing w:line="360" w:lineRule="auto"/>
              <w:textAlignment w:val="auto"/>
              <w:rPr>
                <w:rFonts w:ascii="宋体" w:hAnsi="宋体" w:cs="宋体"/>
                <w:color w:val="auto"/>
                <w:sz w:val="24"/>
                <w:highlight w:val="none"/>
              </w:rPr>
            </w:pPr>
            <w:r>
              <w:rPr>
                <w:rFonts w:hint="eastAsia" w:ascii="宋体" w:hAnsi="宋体" w:eastAsia="宋体" w:cs="宋体"/>
                <w:bCs/>
                <w:color w:val="auto"/>
                <w:sz w:val="24"/>
                <w:szCs w:val="24"/>
                <w:highlight w:val="none"/>
              </w:rPr>
              <w:t>1</w:t>
            </w:r>
          </w:p>
        </w:tc>
        <w:tc>
          <w:tcPr>
            <w:tcW w:w="2046" w:type="dxa"/>
            <w:tcBorders>
              <w:top w:val="single" w:color="auto" w:sz="4" w:space="0"/>
              <w:left w:val="single" w:color="auto" w:sz="4" w:space="0"/>
              <w:bottom w:val="single" w:color="auto" w:sz="4" w:space="0"/>
              <w:right w:val="single" w:color="auto" w:sz="4" w:space="0"/>
            </w:tcBorders>
            <w:vAlign w:val="center"/>
          </w:tcPr>
          <w:p w14:paraId="5311E51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2025年南宁市道路绿化养护服务政府采购项目</w:t>
            </w:r>
          </w:p>
        </w:tc>
        <w:tc>
          <w:tcPr>
            <w:tcW w:w="600" w:type="dxa"/>
            <w:tcBorders>
              <w:top w:val="single" w:color="auto" w:sz="4" w:space="0"/>
              <w:left w:val="single" w:color="auto" w:sz="4" w:space="0"/>
              <w:bottom w:val="single" w:color="auto" w:sz="4" w:space="0"/>
              <w:right w:val="single" w:color="auto" w:sz="4" w:space="0"/>
            </w:tcBorders>
            <w:vAlign w:val="center"/>
          </w:tcPr>
          <w:p w14:paraId="59828C3D">
            <w:pPr>
              <w:pStyle w:val="3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ascii="宋体" w:hAnsi="宋体" w:cs="宋体"/>
                <w:color w:val="auto"/>
                <w:sz w:val="24"/>
                <w:highlight w:val="none"/>
              </w:rPr>
            </w:pPr>
            <w:r>
              <w:rPr>
                <w:rFonts w:hint="eastAsia" w:ascii="宋体" w:hAnsi="宋体" w:eastAsia="宋体" w:cs="宋体"/>
                <w:color w:val="auto"/>
                <w:sz w:val="24"/>
                <w:szCs w:val="24"/>
                <w:highlight w:val="none"/>
                <w:lang w:val="en-US" w:eastAsia="zh-CN"/>
              </w:rPr>
              <w:t>项</w:t>
            </w:r>
          </w:p>
        </w:tc>
        <w:tc>
          <w:tcPr>
            <w:tcW w:w="613" w:type="dxa"/>
            <w:tcBorders>
              <w:top w:val="single" w:color="auto" w:sz="4" w:space="0"/>
              <w:left w:val="single" w:color="auto" w:sz="4" w:space="0"/>
              <w:bottom w:val="single" w:color="auto" w:sz="4" w:space="0"/>
              <w:right w:val="single" w:color="auto" w:sz="4" w:space="0"/>
            </w:tcBorders>
            <w:vAlign w:val="center"/>
          </w:tcPr>
          <w:p w14:paraId="4A54F08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sz w:val="24"/>
                <w:highlight w:val="none"/>
              </w:rPr>
            </w:pPr>
            <w:r>
              <w:rPr>
                <w:rFonts w:hint="eastAsia" w:ascii="宋体" w:hAnsi="宋体" w:eastAsia="宋体" w:cs="宋体"/>
                <w:color w:val="auto"/>
                <w:sz w:val="24"/>
                <w:szCs w:val="24"/>
                <w:highlight w:val="none"/>
                <w:lang w:val="en-US" w:eastAsia="zh-CN"/>
              </w:rPr>
              <w:t>1</w:t>
            </w:r>
          </w:p>
        </w:tc>
        <w:tc>
          <w:tcPr>
            <w:tcW w:w="6262" w:type="dxa"/>
            <w:tcBorders>
              <w:top w:val="single" w:color="auto" w:sz="4" w:space="0"/>
              <w:left w:val="single" w:color="auto" w:sz="4" w:space="0"/>
              <w:bottom w:val="single" w:color="auto" w:sz="4" w:space="0"/>
              <w:right w:val="single" w:color="auto" w:sz="4" w:space="0"/>
            </w:tcBorders>
            <w:vAlign w:val="center"/>
          </w:tcPr>
          <w:p w14:paraId="2D54447D">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hint="eastAsia" w:ascii="宋体" w:hAnsi="宋体" w:cs="宋体"/>
                <w:b w:val="0"/>
                <w:bCs w:val="0"/>
                <w:color w:val="auto"/>
                <w:sz w:val="24"/>
                <w:szCs w:val="24"/>
                <w:highlight w:val="none"/>
                <w:vertAlign w:val="baseline"/>
                <w:lang w:val="zh-CN" w:eastAsia="zh-CN"/>
              </w:rPr>
            </w:pPr>
            <w:r>
              <w:rPr>
                <w:rFonts w:hint="eastAsia" w:ascii="宋体" w:hAnsi="宋体" w:cs="宋体"/>
                <w:b w:val="0"/>
                <w:bCs w:val="0"/>
                <w:color w:val="auto"/>
                <w:sz w:val="24"/>
                <w:szCs w:val="24"/>
                <w:highlight w:val="none"/>
                <w:vertAlign w:val="baseline"/>
                <w:lang w:val="zh-CN" w:eastAsia="zh-CN"/>
              </w:rPr>
              <w:t>一、管养范围</w:t>
            </w:r>
          </w:p>
          <w:p w14:paraId="4AD58EB0">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b w:val="0"/>
                <w:bCs w:val="0"/>
                <w:color w:val="auto"/>
                <w:sz w:val="24"/>
                <w:szCs w:val="24"/>
                <w:highlight w:val="none"/>
                <w:vertAlign w:val="baseline"/>
                <w:lang w:val="en-US" w:eastAsia="zh-CN"/>
              </w:rPr>
              <w:t>（一）</w:t>
            </w:r>
            <w:r>
              <w:rPr>
                <w:rFonts w:hint="eastAsia" w:ascii="宋体" w:hAnsi="宋体" w:cs="宋体"/>
                <w:b w:val="0"/>
                <w:bCs w:val="0"/>
                <w:color w:val="auto"/>
                <w:sz w:val="24"/>
                <w:szCs w:val="24"/>
                <w:highlight w:val="none"/>
                <w:vertAlign w:val="baseline"/>
                <w:lang w:eastAsia="zh-CN"/>
              </w:rPr>
              <w:t>、负责南宁市绿化工程管理中心管辖的民族大道、竹溪大道、白沙大道、壮锦大道、机场第一高速、会展路、荔滨大道、茶花园路、滨湖路、双拥路、嘉宾路、迎宾路、机场第二高速、机场高速延长线、平乐大道、五象大道、秋月路、体强路、青山路、歌海路</w:t>
            </w:r>
            <w:r>
              <w:rPr>
                <w:rFonts w:hint="eastAsia" w:ascii="宋体" w:hAnsi="宋体" w:cs="宋体"/>
                <w:b/>
                <w:bCs/>
                <w:color w:val="auto"/>
                <w:sz w:val="24"/>
                <w:szCs w:val="24"/>
                <w:highlight w:val="none"/>
                <w:vertAlign w:val="baseline"/>
                <w:lang w:eastAsia="zh-CN"/>
              </w:rPr>
              <w:t>……具体</w:t>
            </w:r>
            <w:r>
              <w:rPr>
                <w:rFonts w:hint="eastAsia" w:ascii="宋体" w:hAnsi="宋体" w:eastAsia="宋体" w:cs="宋体"/>
                <w:b/>
                <w:bCs/>
                <w:color w:val="auto"/>
                <w:sz w:val="24"/>
                <w:szCs w:val="24"/>
                <w:highlight w:val="none"/>
                <w:vertAlign w:val="baseline"/>
                <w:lang w:eastAsia="zh-CN"/>
              </w:rPr>
              <w:t>详见公开招标文件</w:t>
            </w:r>
            <w:r>
              <w:rPr>
                <w:rFonts w:hint="eastAsia" w:ascii="宋体" w:hAnsi="宋体" w:cs="宋体"/>
                <w:b/>
                <w:bCs/>
                <w:color w:val="auto"/>
                <w:sz w:val="24"/>
                <w:szCs w:val="24"/>
                <w:highlight w:val="none"/>
                <w:vertAlign w:val="baseline"/>
                <w:lang w:val="en-US" w:eastAsia="zh-CN"/>
              </w:rPr>
              <w:t xml:space="preserve"> </w:t>
            </w:r>
            <w:r>
              <w:rPr>
                <w:rFonts w:hint="eastAsia" w:ascii="宋体" w:hAnsi="宋体" w:eastAsia="宋体" w:cs="宋体"/>
                <w:b/>
                <w:bCs/>
                <w:color w:val="auto"/>
                <w:sz w:val="24"/>
                <w:szCs w:val="24"/>
                <w:highlight w:val="none"/>
                <w:vertAlign w:val="baseline"/>
                <w:lang w:eastAsia="zh-CN"/>
              </w:rPr>
              <w:t>第二章 采购需求</w:t>
            </w:r>
            <w:r>
              <w:rPr>
                <w:rFonts w:hint="eastAsia" w:ascii="宋体" w:hAnsi="宋体" w:cs="宋体"/>
                <w:b/>
                <w:bCs/>
                <w:color w:val="auto"/>
                <w:sz w:val="24"/>
                <w:szCs w:val="24"/>
                <w:highlight w:val="none"/>
                <w:vertAlign w:val="baseline"/>
                <w:lang w:eastAsia="zh-CN"/>
              </w:rPr>
              <w:t>。</w:t>
            </w:r>
          </w:p>
        </w:tc>
      </w:tr>
    </w:tbl>
    <w:p w14:paraId="7E21D875">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合同履行期限：详见公开招标文件。</w:t>
      </w:r>
    </w:p>
    <w:p w14:paraId="0F0CFA1B">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是否接受联合体投标：本项目</w:t>
      </w:r>
      <w:r>
        <w:rPr>
          <w:rFonts w:hint="eastAsia" w:ascii="宋体" w:hAnsi="宋体" w:cs="宋体"/>
          <w:color w:val="auto"/>
          <w:sz w:val="24"/>
          <w:highlight w:val="none"/>
          <w:lang w:val="en-US" w:eastAsia="zh-CN"/>
        </w:rPr>
        <w:t>不</w:t>
      </w:r>
      <w:r>
        <w:rPr>
          <w:rFonts w:hint="eastAsia" w:ascii="宋体" w:hAnsi="宋体" w:cs="宋体"/>
          <w:color w:val="auto"/>
          <w:sz w:val="24"/>
          <w:highlight w:val="none"/>
        </w:rPr>
        <w:t>接受联合体。</w:t>
      </w:r>
    </w:p>
    <w:p w14:paraId="7040F12E">
      <w:pPr>
        <w:keepNext w:val="0"/>
        <w:keepLines w:val="0"/>
        <w:pageBreakBefore w:val="0"/>
        <w:kinsoku/>
        <w:wordWrap w:val="0"/>
        <w:overflowPunct/>
        <w:topLinePunct w:val="0"/>
        <w:autoSpaceDE/>
        <w:autoSpaceDN/>
        <w:bidi w:val="0"/>
        <w:adjustRightIn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二、投标人的资格要求：</w:t>
      </w:r>
    </w:p>
    <w:p w14:paraId="12F163D1">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14:paraId="5800909E">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eastAsia="宋体" w:cs="宋体"/>
          <w:color w:val="auto"/>
          <w:sz w:val="24"/>
          <w:szCs w:val="24"/>
          <w:highlight w:val="none"/>
        </w:rPr>
      </w:pPr>
      <w:r>
        <w:rPr>
          <w:rFonts w:hint="eastAsia" w:ascii="宋体" w:hAnsi="宋体" w:cs="宋体"/>
          <w:color w:val="auto"/>
          <w:sz w:val="24"/>
          <w:highlight w:val="none"/>
        </w:rPr>
        <w:t>2.落实政府采购政策需满足的资格要求：</w:t>
      </w:r>
      <w:r>
        <w:rPr>
          <w:rFonts w:hint="eastAsia" w:ascii="宋体" w:hAnsi="宋体" w:cs="宋体"/>
          <w:color w:val="auto"/>
          <w:sz w:val="24"/>
          <w:highlight w:val="none"/>
          <w:lang w:val="en-US" w:eastAsia="zh-CN"/>
        </w:rPr>
        <w:t>非</w:t>
      </w:r>
      <w:r>
        <w:rPr>
          <w:rFonts w:ascii="宋体" w:hAnsi="宋体" w:eastAsia="宋体" w:cs="宋体"/>
          <w:color w:val="auto"/>
          <w:sz w:val="24"/>
          <w:szCs w:val="24"/>
          <w:highlight w:val="none"/>
        </w:rPr>
        <w:t>专门面向</w:t>
      </w:r>
      <w:r>
        <w:rPr>
          <w:rFonts w:hint="eastAsia" w:ascii="宋体" w:hAnsi="宋体" w:cs="宋体"/>
          <w:color w:val="auto"/>
          <w:sz w:val="24"/>
          <w:szCs w:val="24"/>
          <w:highlight w:val="none"/>
          <w:lang w:val="en-US" w:eastAsia="zh-CN"/>
        </w:rPr>
        <w:t>中小</w:t>
      </w:r>
      <w:r>
        <w:rPr>
          <w:rFonts w:ascii="宋体" w:hAnsi="宋体" w:eastAsia="宋体" w:cs="宋体"/>
          <w:color w:val="auto"/>
          <w:sz w:val="24"/>
          <w:szCs w:val="24"/>
          <w:highlight w:val="none"/>
        </w:rPr>
        <w:t>企业采购的项目</w:t>
      </w:r>
    </w:p>
    <w:p w14:paraId="3E859F3B">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3.本项目的特定资格要求：</w:t>
      </w:r>
      <w:r>
        <w:rPr>
          <w:rFonts w:hint="eastAsia" w:ascii="宋体" w:hAnsi="宋体" w:cs="宋体"/>
          <w:color w:val="auto"/>
          <w:sz w:val="24"/>
          <w:highlight w:val="none"/>
          <w:lang w:val="en-US" w:eastAsia="zh-CN"/>
        </w:rPr>
        <w:t>无</w:t>
      </w:r>
      <w:r>
        <w:rPr>
          <w:rFonts w:hint="eastAsia" w:ascii="宋体" w:hAnsi="宋体" w:cs="宋体"/>
          <w:color w:val="auto"/>
          <w:sz w:val="24"/>
          <w:highlight w:val="none"/>
          <w:lang w:eastAsia="zh-CN"/>
        </w:rPr>
        <w:t>。</w:t>
      </w:r>
    </w:p>
    <w:p w14:paraId="06895A61">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4.本项目的特定条件：无。</w:t>
      </w:r>
    </w:p>
    <w:p w14:paraId="6A9DCD5B">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4665DEA">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 对在“信用中国”网站(www.creditchina.gov.cn) 、中国政府采购网(www.ccgp.gov.cn)被列入失信被执行人、</w:t>
      </w:r>
      <w:r>
        <w:rPr>
          <w:rFonts w:hint="eastAsia" w:ascii="宋体" w:hAnsi="宋体" w:cs="宋体"/>
          <w:color w:val="auto"/>
          <w:sz w:val="24"/>
          <w:highlight w:val="none"/>
          <w:lang w:eastAsia="zh-CN"/>
        </w:rPr>
        <w:t>重大税收违法失信主体</w:t>
      </w:r>
      <w:r>
        <w:rPr>
          <w:rFonts w:hint="eastAsia" w:ascii="宋体" w:hAnsi="宋体" w:cs="宋体"/>
          <w:color w:val="auto"/>
          <w:sz w:val="24"/>
          <w:highlight w:val="none"/>
        </w:rPr>
        <w:t>、政府采购严重违法失信行为记录名单及其他不符合《中华人民共和国政府采购法》第二十二条规定条件的供应商，不得参与政府采购活动。</w:t>
      </w:r>
    </w:p>
    <w:p w14:paraId="3E8EE2B8">
      <w:pPr>
        <w:keepNext w:val="0"/>
        <w:keepLines w:val="0"/>
        <w:pageBreakBefore w:val="0"/>
        <w:kinsoku/>
        <w:wordWrap w:val="0"/>
        <w:overflowPunct/>
        <w:topLinePunct w:val="0"/>
        <w:autoSpaceDE/>
        <w:autoSpaceDN/>
        <w:bidi w:val="0"/>
        <w:adjustRightIn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682280C0">
      <w:pPr>
        <w:keepNext w:val="0"/>
        <w:keepLines w:val="0"/>
        <w:pageBreakBefore w:val="0"/>
        <w:kinsoku/>
        <w:wordWrap w:val="0"/>
        <w:overflowPunct/>
        <w:topLinePunct w:val="0"/>
        <w:autoSpaceDE/>
        <w:autoSpaceDN/>
        <w:bidi w:val="0"/>
        <w:adjustRightInd/>
        <w:snapToGrid w:val="0"/>
        <w:spacing w:line="360" w:lineRule="auto"/>
        <w:ind w:firstLine="540" w:firstLineChars="225"/>
        <w:textAlignment w:val="auto"/>
        <w:rPr>
          <w:rFonts w:ascii="宋体" w:hAnsi="宋体" w:cs="宋体"/>
          <w:color w:val="auto"/>
          <w:sz w:val="24"/>
          <w:highlight w:val="none"/>
        </w:rPr>
      </w:pPr>
      <w:r>
        <w:rPr>
          <w:rFonts w:hint="eastAsia" w:ascii="宋体" w:hAnsi="宋体" w:cs="宋体"/>
          <w:color w:val="auto"/>
          <w:sz w:val="24"/>
          <w:highlight w:val="none"/>
        </w:rPr>
        <w:t>时间：自公告发布之日起。</w:t>
      </w:r>
    </w:p>
    <w:p w14:paraId="5E034D2C">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b/>
          <w:bCs/>
          <w:color w:val="auto"/>
          <w:sz w:val="24"/>
          <w:highlight w:val="none"/>
        </w:rPr>
      </w:pPr>
      <w:r>
        <w:rPr>
          <w:rFonts w:hint="eastAsia" w:ascii="宋体" w:hAnsi="宋体" w:cs="宋体"/>
          <w:color w:val="auto"/>
          <w:sz w:val="24"/>
          <w:highlight w:val="none"/>
        </w:rPr>
        <w:t>获取方式:网上下载。本项目不发放纸质文件，供应商可自行在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宋体"/>
          <w:color w:val="auto"/>
          <w:sz w:val="24"/>
          <w:highlight w:val="none"/>
        </w:rPr>
        <w:t>广西政府采购云平台（https://login.gcy.zfcg.gxzf.gov.cn/user-login/#/）下载招标文件（操作路径：登录广西政府采购云平台-项目采购-获取采购文件-找到本项目-点击“申请获取采购文件”），电子投标文件制作需要基于广西政府采购云平台获取的招标文件编制。</w:t>
      </w:r>
    </w:p>
    <w:p w14:paraId="24872A9B">
      <w:pPr>
        <w:keepNext w:val="0"/>
        <w:keepLines w:val="0"/>
        <w:pageBreakBefore w:val="0"/>
        <w:kinsoku/>
        <w:wordWrap w:val="0"/>
        <w:overflowPunct/>
        <w:topLinePunct w:val="0"/>
        <w:autoSpaceDE/>
        <w:autoSpaceDN/>
        <w:bidi w:val="0"/>
        <w:adjustRightInd/>
        <w:snapToGrid w:val="0"/>
        <w:spacing w:line="360" w:lineRule="auto"/>
        <w:ind w:firstLine="540" w:firstLineChars="225"/>
        <w:textAlignment w:val="auto"/>
        <w:rPr>
          <w:rFonts w:ascii="宋体" w:hAnsi="宋体" w:cs="宋体"/>
          <w:color w:val="auto"/>
          <w:sz w:val="24"/>
          <w:highlight w:val="none"/>
        </w:rPr>
      </w:pPr>
      <w:r>
        <w:rPr>
          <w:rFonts w:hint="eastAsia" w:ascii="宋体" w:hAnsi="宋体" w:cs="宋体"/>
          <w:color w:val="auto"/>
          <w:sz w:val="24"/>
          <w:highlight w:val="none"/>
        </w:rPr>
        <w:t>售价：0元。</w:t>
      </w:r>
    </w:p>
    <w:p w14:paraId="11A1CEC8">
      <w:pPr>
        <w:keepNext w:val="0"/>
        <w:keepLines w:val="0"/>
        <w:pageBreakBefore w:val="0"/>
        <w:kinsoku/>
        <w:wordWrap w:val="0"/>
        <w:overflowPunct/>
        <w:topLinePunct w:val="0"/>
        <w:autoSpaceDE/>
        <w:autoSpaceDN/>
        <w:bidi w:val="0"/>
        <w:adjustRightIn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48846357">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u w:val="single"/>
        </w:rPr>
      </w:pPr>
      <w:r>
        <w:rPr>
          <w:rFonts w:hint="eastAsia" w:ascii="宋体" w:hAnsi="宋体" w:cs="宋体"/>
          <w:bCs/>
          <w:color w:val="auto"/>
          <w:sz w:val="24"/>
          <w:highlight w:val="none"/>
        </w:rPr>
        <w:t>1、提交投标文件截止时间和开标时间：</w:t>
      </w:r>
      <w:r>
        <w:rPr>
          <w:rFonts w:hint="eastAsia" w:ascii="宋体" w:hAnsi="宋体" w:cs="宋体"/>
          <w:color w:val="auto"/>
          <w:sz w:val="24"/>
          <w:highlight w:val="none"/>
          <w:u w:val="single"/>
          <w:lang w:eastAsia="zh-CN" w:bidi="ar"/>
        </w:rPr>
        <w:t>2025年8月22日09时30分00秒</w:t>
      </w:r>
      <w:r>
        <w:rPr>
          <w:rFonts w:hint="eastAsia" w:ascii="宋体" w:hAnsi="宋体" w:cs="宋体"/>
          <w:bCs/>
          <w:color w:val="auto"/>
          <w:sz w:val="24"/>
          <w:highlight w:val="none"/>
        </w:rPr>
        <w:t>（北京时间）</w:t>
      </w:r>
    </w:p>
    <w:p w14:paraId="090EC314">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2、投标和开标地点：</w:t>
      </w:r>
    </w:p>
    <w:p w14:paraId="5821DAA3">
      <w:pPr>
        <w:keepNext w:val="0"/>
        <w:keepLines w:val="0"/>
        <w:pageBreakBefore w:val="0"/>
        <w:widowControl/>
        <w:kinsoku/>
        <w:wordWrap w:val="0"/>
        <w:overflowPunct/>
        <w:topLinePunct w:val="0"/>
        <w:autoSpaceDE/>
        <w:autoSpaceDN/>
        <w:bidi w:val="0"/>
        <w:adjustRightInd/>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（1）投标文件提交方式：本项目为南宁市全流程电子化项目，通过广西政府采购云平台（https://login.gcy.zfcg.gxzf.gov.cn/user-login/#/）实行在线电子投标，供应商应先安装“</w:t>
      </w:r>
      <w:r>
        <w:rPr>
          <w:rFonts w:hint="eastAsia" w:ascii="宋体" w:hAnsi="宋体" w:cs="宋体"/>
          <w:color w:val="auto"/>
          <w:sz w:val="24"/>
          <w:highlight w:val="none"/>
          <w:lang w:val="en-US" w:eastAsia="zh-CN"/>
        </w:rPr>
        <w:t>广西采购云平台</w:t>
      </w:r>
      <w:r>
        <w:rPr>
          <w:rFonts w:hint="eastAsia" w:ascii="宋体" w:hAnsi="宋体" w:cs="宋体"/>
          <w:color w:val="auto"/>
          <w:sz w:val="24"/>
          <w:highlight w:val="none"/>
        </w:rPr>
        <w:t>电子交易客户端”（请自行前往广西政府采购云平台进行下载），并按照本项目招标文件和广西政府采购云平台的要求编制、加密后在投标截止时间前通过网络上传至南宁市广西政府采购云平台，</w:t>
      </w:r>
      <w:r>
        <w:rPr>
          <w:rFonts w:hint="eastAsia" w:ascii="宋体" w:hAnsi="宋体" w:cs="宋体"/>
          <w:b/>
          <w:color w:val="auto"/>
          <w:sz w:val="24"/>
          <w:highlight w:val="none"/>
        </w:rPr>
        <w:t>供应商在广西政府采购云平台提交电子版投标文件时，请填写参加远程开标活动经办人联系方式，</w:t>
      </w:r>
      <w:r>
        <w:rPr>
          <w:rFonts w:hint="eastAsia" w:ascii="宋体" w:hAnsi="宋体" w:cs="宋体"/>
          <w:color w:val="auto"/>
          <w:sz w:val="24"/>
          <w:highlight w:val="none"/>
        </w:rPr>
        <w:t>电子投标具体操作流程详见本公告附件 。</w:t>
      </w:r>
    </w:p>
    <w:p w14:paraId="694D78FB">
      <w:pPr>
        <w:keepNext w:val="0"/>
        <w:keepLines w:val="0"/>
        <w:pageBreakBefore w:val="0"/>
        <w:widowControl/>
        <w:kinsoku/>
        <w:wordWrap w:val="0"/>
        <w:overflowPunct/>
        <w:topLinePunct w:val="0"/>
        <w:autoSpaceDE/>
        <w:autoSpaceDN/>
        <w:bidi w:val="0"/>
        <w:adjustRightInd/>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投标人只需办理其中一家CA数字证书及签章，建议各投标人抓紧时间办理。</w:t>
      </w:r>
    </w:p>
    <w:p w14:paraId="0224FF8F">
      <w:pPr>
        <w:keepNext w:val="0"/>
        <w:keepLines w:val="0"/>
        <w:pageBreakBefore w:val="0"/>
        <w:widowControl/>
        <w:kinsoku/>
        <w:wordWrap w:val="0"/>
        <w:overflowPunct/>
        <w:topLinePunct w:val="0"/>
        <w:autoSpaceDE/>
        <w:autoSpaceDN/>
        <w:bidi w:val="0"/>
        <w:adjustRightInd/>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（3）为确保网上操作合法、有效和安全，请投标人确保在电子投标过程中能够对相关数据电文进行加密和使用电子签章，妥善保管CA数字证书并使用有效的CA数字证书参与整个招标活动。</w:t>
      </w:r>
    </w:p>
    <w:p w14:paraId="7FFA79E1">
      <w:pPr>
        <w:keepNext w:val="0"/>
        <w:keepLines w:val="0"/>
        <w:pageBreakBefore w:val="0"/>
        <w:kinsoku/>
        <w:wordWrap w:val="0"/>
        <w:overflowPunct/>
        <w:topLinePunct w:val="0"/>
        <w:autoSpaceDE/>
        <w:autoSpaceDN/>
        <w:bidi w:val="0"/>
        <w:adjustRightInd/>
        <w:spacing w:line="360" w:lineRule="auto"/>
        <w:ind w:firstLine="480" w:firstLineChars="200"/>
        <w:textAlignment w:val="auto"/>
        <w:rPr>
          <w:rFonts w:ascii="宋体" w:hAnsi="宋体" w:cs="宋体"/>
          <w:bCs/>
          <w:color w:val="auto"/>
          <w:sz w:val="24"/>
          <w:highlight w:val="none"/>
          <w:u w:val="single"/>
        </w:rPr>
      </w:pPr>
      <w:r>
        <w:rPr>
          <w:rFonts w:hint="eastAsia" w:ascii="宋体" w:hAnsi="宋体" w:cs="宋体"/>
          <w:bCs/>
          <w:color w:val="auto"/>
          <w:sz w:val="24"/>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06AB1F17">
      <w:pPr>
        <w:keepNext w:val="0"/>
        <w:keepLines w:val="0"/>
        <w:pageBreakBefore w:val="0"/>
        <w:widowControl/>
        <w:kinsoku/>
        <w:wordWrap w:val="0"/>
        <w:overflowPunct/>
        <w:topLinePunct w:val="0"/>
        <w:autoSpaceDE/>
        <w:autoSpaceDN/>
        <w:bidi w:val="0"/>
        <w:adjustRightInd/>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（4）开标地点：本次招标将于</w:t>
      </w:r>
      <w:r>
        <w:rPr>
          <w:rFonts w:hint="eastAsia" w:ascii="宋体" w:hAnsi="宋体" w:cs="宋体"/>
          <w:color w:val="auto"/>
          <w:sz w:val="24"/>
          <w:highlight w:val="none"/>
          <w:u w:val="single"/>
          <w:lang w:eastAsia="zh-CN" w:bidi="ar"/>
        </w:rPr>
        <w:t>2025年8月22日09时30分00秒</w:t>
      </w:r>
      <w:r>
        <w:rPr>
          <w:rFonts w:hint="eastAsia" w:ascii="宋体" w:hAnsi="宋体" w:cs="宋体"/>
          <w:color w:val="auto"/>
          <w:sz w:val="24"/>
          <w:highlight w:val="none"/>
        </w:rPr>
        <w:t>在广西政府采购云平台电子开标大厅开标。</w:t>
      </w:r>
    </w:p>
    <w:p w14:paraId="1A4A43EC">
      <w:pPr>
        <w:keepNext w:val="0"/>
        <w:keepLines w:val="0"/>
        <w:pageBreakBefore w:val="0"/>
        <w:kinsoku/>
        <w:wordWrap w:val="0"/>
        <w:overflowPunct/>
        <w:topLinePunct w:val="0"/>
        <w:autoSpaceDE/>
        <w:autoSpaceDN/>
        <w:bidi w:val="0"/>
        <w:adjustRightInd/>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（5）CA证书在线解密：供应商投标时，需携带制作投标文件时用来加密的有效数字证书（CA认证）登录广西政府采购云平台电子开标大厅现场按规定时间对加密的投标文件进行解密，</w:t>
      </w:r>
      <w:r>
        <w:rPr>
          <w:rFonts w:ascii="宋体" w:hAnsi="宋体" w:cs="宋体"/>
          <w:color w:val="auto"/>
          <w:sz w:val="24"/>
          <w:highlight w:val="none"/>
        </w:rPr>
        <w:t>未能按要求进行解密的，由此产生的后果由投标人自行承担</w:t>
      </w:r>
      <w:r>
        <w:rPr>
          <w:rFonts w:hint="eastAsia" w:ascii="宋体" w:hAnsi="宋体" w:cs="宋体"/>
          <w:color w:val="auto"/>
          <w:kern w:val="0"/>
          <w:sz w:val="24"/>
          <w:highlight w:val="none"/>
        </w:rPr>
        <w:t>。</w:t>
      </w:r>
    </w:p>
    <w:p w14:paraId="50CCDEDE">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3BBD75D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自本公告发布之日起5个工作日。</w:t>
      </w:r>
    </w:p>
    <w:p w14:paraId="0195322C">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六、其他补充事宜</w:t>
      </w:r>
    </w:p>
    <w:p w14:paraId="3FF4F6C6">
      <w:pPr>
        <w:keepNext w:val="0"/>
        <w:keepLines w:val="0"/>
        <w:pageBreakBefore w:val="0"/>
        <w:widowControl w:val="0"/>
        <w:kinsoku/>
        <w:wordWrap w:val="0"/>
        <w:overflowPunct/>
        <w:topLinePunct w:val="0"/>
        <w:autoSpaceDE/>
        <w:autoSpaceDN/>
        <w:bidi w:val="0"/>
        <w:adjustRightInd/>
        <w:snapToGrid/>
        <w:spacing w:line="360" w:lineRule="auto"/>
        <w:ind w:firstLine="360" w:firstLineChars="150"/>
        <w:textAlignment w:val="auto"/>
        <w:rPr>
          <w:rFonts w:ascii="宋体" w:hAnsi="宋体" w:cs="宋体"/>
          <w:color w:val="auto"/>
          <w:kern w:val="0"/>
          <w:sz w:val="24"/>
          <w:highlight w:val="none"/>
        </w:rPr>
      </w:pPr>
      <w:r>
        <w:rPr>
          <w:rFonts w:hint="eastAsia" w:ascii="宋体" w:hAnsi="宋体" w:cs="宋体"/>
          <w:color w:val="auto"/>
          <w:kern w:val="0"/>
          <w:sz w:val="24"/>
          <w:highlight w:val="none"/>
        </w:rPr>
        <w:t>1.投标保证金：本项目不收取投标保证金</w:t>
      </w:r>
    </w:p>
    <w:p w14:paraId="2FB99EE2">
      <w:pPr>
        <w:keepNext w:val="0"/>
        <w:keepLines w:val="0"/>
        <w:pageBreakBefore w:val="0"/>
        <w:widowControl w:val="0"/>
        <w:kinsoku/>
        <w:wordWrap w:val="0"/>
        <w:overflowPunct/>
        <w:topLinePunct w:val="0"/>
        <w:autoSpaceDE/>
        <w:autoSpaceDN/>
        <w:bidi w:val="0"/>
        <w:adjustRightInd/>
        <w:snapToGrid/>
        <w:spacing w:line="360" w:lineRule="auto"/>
        <w:ind w:firstLine="360" w:firstLineChars="150"/>
        <w:textAlignment w:val="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2.采购意向公开链</w:t>
      </w:r>
      <w:r>
        <w:rPr>
          <w:rFonts w:hint="eastAsia" w:ascii="宋体" w:hAnsi="宋体" w:cs="宋体"/>
          <w:color w:val="auto"/>
          <w:kern w:val="0"/>
          <w:sz w:val="24"/>
          <w:highlight w:val="none"/>
          <w:lang w:eastAsia="zh-CN"/>
        </w:rPr>
        <w:t>接：南宁市绿化工程管理中心(南宁市园林科研所）2025年1月至5月政府采购意向【https://zfcg.gxzf.gov.cn/site/detail?parentId=66601&amp;articleId=NzX19n301Y4ABUUzia3mlA==】</w:t>
      </w:r>
    </w:p>
    <w:p w14:paraId="3A515A1B">
      <w:pPr>
        <w:keepNext w:val="0"/>
        <w:keepLines w:val="0"/>
        <w:pageBreakBefore w:val="0"/>
        <w:widowControl w:val="0"/>
        <w:kinsoku/>
        <w:wordWrap w:val="0"/>
        <w:overflowPunct/>
        <w:topLinePunct w:val="0"/>
        <w:autoSpaceDE/>
        <w:autoSpaceDN/>
        <w:bidi w:val="0"/>
        <w:adjustRightInd/>
        <w:snapToGrid/>
        <w:spacing w:line="360" w:lineRule="auto"/>
        <w:ind w:firstLine="360" w:firstLineChars="150"/>
        <w:textAlignment w:val="auto"/>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sz w:val="24"/>
          <w:highlight w:val="none"/>
        </w:rPr>
        <w:t xml:space="preserve"> </w:t>
      </w:r>
      <w:r>
        <w:rPr>
          <w:rFonts w:hint="eastAsia" w:ascii="宋体" w:hAnsi="宋体" w:cs="宋体"/>
          <w:color w:val="auto"/>
          <w:kern w:val="0"/>
          <w:sz w:val="24"/>
          <w:highlight w:val="none"/>
        </w:rPr>
        <w:t>网上查询地址</w:t>
      </w:r>
    </w:p>
    <w:p w14:paraId="3A4A2CD5">
      <w:pPr>
        <w:keepNext w:val="0"/>
        <w:keepLines w:val="0"/>
        <w:pageBreakBefore w:val="0"/>
        <w:kinsoku/>
        <w:wordWrap w:val="0"/>
        <w:overflowPunct/>
        <w:topLinePunct w:val="0"/>
        <w:autoSpaceDE/>
        <w:autoSpaceDN/>
        <w:bidi w:val="0"/>
        <w:adjustRightInd/>
        <w:spacing w:line="360" w:lineRule="auto"/>
        <w:ind w:firstLine="360" w:firstLineChars="150"/>
        <w:textAlignment w:val="auto"/>
        <w:rPr>
          <w:rFonts w:ascii="宋体" w:hAnsi="宋体" w:cs="宋体"/>
          <w:color w:val="auto"/>
          <w:kern w:val="0"/>
          <w:sz w:val="24"/>
          <w:highlight w:val="none"/>
        </w:rPr>
      </w:pPr>
      <w:r>
        <w:rPr>
          <w:rFonts w:hint="eastAsia" w:ascii="宋体" w:hAnsi="宋体" w:cs="宋体"/>
          <w:color w:val="auto"/>
          <w:kern w:val="0"/>
          <w:sz w:val="24"/>
          <w:highlight w:val="none"/>
        </w:rPr>
        <w:t>中国政府采购网（www.ccgp.gov.cn）、广西壮族自治区政府采购网（http://zfcg.gxzf.gov.cn/）、全国公共资源交易平台（广西·南宁）（http://ggzy.jgswj.gxzf.gov.cn/nnggzy/）；</w:t>
      </w:r>
    </w:p>
    <w:p w14:paraId="26054207">
      <w:pPr>
        <w:keepNext w:val="0"/>
        <w:keepLines w:val="0"/>
        <w:pageBreakBefore w:val="0"/>
        <w:widowControl w:val="0"/>
        <w:kinsoku/>
        <w:wordWrap w:val="0"/>
        <w:overflowPunct/>
        <w:topLinePunct w:val="0"/>
        <w:autoSpaceDE/>
        <w:autoSpaceDN/>
        <w:bidi w:val="0"/>
        <w:adjustRightInd/>
        <w:snapToGrid/>
        <w:spacing w:line="360" w:lineRule="auto"/>
        <w:ind w:firstLine="240" w:firstLineChars="100"/>
        <w:textAlignment w:val="auto"/>
        <w:rPr>
          <w:rFonts w:ascii="宋体" w:hAnsi="宋体" w:cs="宋体"/>
          <w:color w:val="auto"/>
          <w:kern w:val="0"/>
          <w:sz w:val="24"/>
          <w:highlight w:val="none"/>
        </w:rPr>
      </w:pPr>
      <w:r>
        <w:rPr>
          <w:rFonts w:hint="eastAsia" w:ascii="宋体" w:hAnsi="宋体" w:cs="宋体"/>
          <w:color w:val="auto"/>
          <w:kern w:val="0"/>
          <w:sz w:val="24"/>
          <w:highlight w:val="none"/>
        </w:rPr>
        <w:t>4.本项目需要落实的政府采购政策：</w:t>
      </w:r>
    </w:p>
    <w:p w14:paraId="0E9D5E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（1）政府采购促进</w:t>
      </w:r>
      <w:r>
        <w:rPr>
          <w:rFonts w:hint="eastAsia" w:ascii="宋体" w:hAnsi="宋体" w:cs="宋体"/>
          <w:color w:val="auto"/>
          <w:kern w:val="0"/>
          <w:sz w:val="24"/>
          <w:highlight w:val="none"/>
          <w:lang w:val="en-US" w:eastAsia="zh-CN"/>
        </w:rPr>
        <w:t>中小</w:t>
      </w:r>
      <w:r>
        <w:rPr>
          <w:rFonts w:hint="eastAsia" w:ascii="宋体" w:hAnsi="宋体" w:cs="宋体"/>
          <w:color w:val="auto"/>
          <w:kern w:val="0"/>
          <w:sz w:val="24"/>
          <w:highlight w:val="none"/>
        </w:rPr>
        <w:t>企业发展。</w:t>
      </w:r>
    </w:p>
    <w:p w14:paraId="40BDBBB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14:paraId="5792B24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（3）政府采购促进残疾人就业政策。</w:t>
      </w:r>
    </w:p>
    <w:p w14:paraId="10BDD45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（4）政府采购支持监狱企业发展。</w:t>
      </w:r>
    </w:p>
    <w:p w14:paraId="3167391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（5）扶持不发达地区和少数民族地区政策。</w:t>
      </w:r>
    </w:p>
    <w:p w14:paraId="6FA8B9E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2CC6F2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6.若对项目采购电子交易系统操作有疑问，可登录广西政府采购云平台（https://login.gcy.zfcg.gxzf.gov.cn/user-login/#/），点击右侧咨询小采，获取采小蜜智能服务管家帮助，或拨打服务热线95763获取热线服务帮助。</w:t>
      </w:r>
    </w:p>
    <w:p w14:paraId="379B2171">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5EB6793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ascii="宋体" w:hAnsi="宋体" w:cs="宋体"/>
          <w:color w:val="auto"/>
          <w:sz w:val="24"/>
          <w:highlight w:val="none"/>
        </w:rPr>
      </w:pPr>
      <w:r>
        <w:rPr>
          <w:rFonts w:hint="eastAsia" w:ascii="宋体" w:hAnsi="宋体" w:cs="宋体"/>
          <w:color w:val="auto"/>
          <w:sz w:val="24"/>
          <w:highlight w:val="none"/>
        </w:rPr>
        <w:t>　　　1.采购人信息</w:t>
      </w:r>
    </w:p>
    <w:p w14:paraId="13A0C82C">
      <w:pPr>
        <w:keepNext w:val="0"/>
        <w:keepLines w:val="0"/>
        <w:pageBreakBefore w:val="0"/>
        <w:widowControl w:val="0"/>
        <w:kinsoku/>
        <w:wordWrap w:val="0"/>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名 称：</w:t>
      </w:r>
      <w:r>
        <w:rPr>
          <w:rFonts w:hint="eastAsia" w:ascii="宋体" w:hAnsi="宋体" w:cs="宋体"/>
          <w:color w:val="auto"/>
          <w:sz w:val="24"/>
          <w:highlight w:val="none"/>
          <w:u w:val="single"/>
          <w:lang w:eastAsia="zh-CN"/>
        </w:rPr>
        <w:t>南宁市绿化工程管理中心</w:t>
      </w:r>
    </w:p>
    <w:p w14:paraId="42A2D59A">
      <w:pPr>
        <w:keepNext w:val="0"/>
        <w:keepLines w:val="0"/>
        <w:pageBreakBefore w:val="0"/>
        <w:widowControl w:val="0"/>
        <w:kinsoku/>
        <w:wordWrap w:val="0"/>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地址：</w:t>
      </w:r>
      <w:r>
        <w:rPr>
          <w:rFonts w:hint="eastAsia" w:ascii="宋体" w:hAnsi="宋体" w:cs="宋体"/>
          <w:color w:val="auto"/>
          <w:sz w:val="24"/>
          <w:highlight w:val="none"/>
          <w:u w:val="single"/>
          <w:lang w:eastAsia="zh-CN"/>
        </w:rPr>
        <w:t>南宁市兴宁区济南路21号</w:t>
      </w:r>
    </w:p>
    <w:p w14:paraId="26916554">
      <w:pPr>
        <w:pStyle w:val="12"/>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hint="default" w:hAnsi="宋体" w:eastAsia="宋体" w:cs="宋体"/>
          <w:color w:val="auto"/>
          <w:sz w:val="24"/>
          <w:szCs w:val="24"/>
          <w:highlight w:val="none"/>
          <w:lang w:val="en-US" w:eastAsia="zh-CN"/>
        </w:rPr>
      </w:pPr>
      <w:r>
        <w:rPr>
          <w:rFonts w:hint="eastAsia" w:hAnsi="宋体" w:cs="宋体"/>
          <w:color w:val="auto"/>
          <w:sz w:val="24"/>
          <w:szCs w:val="24"/>
          <w:highlight w:val="none"/>
        </w:rPr>
        <w:t>项目联系人：</w:t>
      </w:r>
      <w:r>
        <w:rPr>
          <w:rFonts w:hint="eastAsia" w:hAnsi="宋体" w:cs="宋体"/>
          <w:color w:val="auto"/>
          <w:sz w:val="24"/>
          <w:szCs w:val="24"/>
          <w:highlight w:val="none"/>
          <w:u w:val="single"/>
          <w:lang w:val="en-US" w:eastAsia="zh-CN"/>
        </w:rPr>
        <w:t xml:space="preserve">王韵琰 </w:t>
      </w:r>
    </w:p>
    <w:p w14:paraId="52F8ABF5">
      <w:pPr>
        <w:keepNext w:val="0"/>
        <w:keepLines w:val="0"/>
        <w:pageBreakBefore w:val="0"/>
        <w:widowControl w:val="0"/>
        <w:kinsoku/>
        <w:wordWrap w:val="0"/>
        <w:overflowPunct/>
        <w:topLinePunct w:val="0"/>
        <w:autoSpaceDE/>
        <w:autoSpaceDN/>
        <w:bidi w:val="0"/>
        <w:adjustRightInd/>
        <w:snapToGrid/>
        <w:spacing w:line="360" w:lineRule="auto"/>
        <w:ind w:left="1079" w:leftChars="371" w:hanging="300" w:hangingChars="125"/>
        <w:jc w:val="left"/>
        <w:textAlignment w:val="auto"/>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rPr>
        <w:t>联系电话：</w:t>
      </w:r>
      <w:r>
        <w:rPr>
          <w:rFonts w:hint="eastAsia" w:ascii="宋体" w:hAnsi="宋体" w:cs="宋体"/>
          <w:color w:val="auto"/>
          <w:sz w:val="24"/>
          <w:highlight w:val="none"/>
          <w:u w:val="single"/>
          <w:lang w:val="en-US" w:eastAsia="zh-CN"/>
        </w:rPr>
        <w:t xml:space="preserve"> 0771-2432524 </w:t>
      </w:r>
    </w:p>
    <w:p w14:paraId="7E2F7A4C">
      <w:pPr>
        <w:keepNext w:val="0"/>
        <w:keepLines w:val="0"/>
        <w:pageBreakBefore w:val="0"/>
        <w:widowControl w:val="0"/>
        <w:kinsoku/>
        <w:wordWrap w:val="0"/>
        <w:overflowPunct/>
        <w:topLinePunct w:val="0"/>
        <w:autoSpaceDE/>
        <w:autoSpaceDN/>
        <w:bidi w:val="0"/>
        <w:adjustRightInd/>
        <w:snapToGrid/>
        <w:spacing w:line="360" w:lineRule="auto"/>
        <w:ind w:left="1079" w:leftChars="371" w:hanging="300" w:hangingChars="125"/>
        <w:jc w:val="left"/>
        <w:textAlignment w:val="auto"/>
        <w:rPr>
          <w:rFonts w:ascii="宋体" w:hAnsi="宋体" w:cs="宋体"/>
          <w:color w:val="auto"/>
          <w:sz w:val="24"/>
          <w:highlight w:val="none"/>
        </w:rPr>
      </w:pPr>
      <w:r>
        <w:rPr>
          <w:rFonts w:hint="eastAsia" w:ascii="宋体" w:hAnsi="宋体" w:cs="宋体"/>
          <w:color w:val="auto"/>
          <w:sz w:val="24"/>
          <w:highlight w:val="none"/>
        </w:rPr>
        <w:t>2.采购代理机构信息</w:t>
      </w:r>
    </w:p>
    <w:p w14:paraId="3374DA5B">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ascii="宋体" w:hAnsi="宋体" w:cs="宋体"/>
          <w:color w:val="auto"/>
          <w:sz w:val="24"/>
          <w:highlight w:val="none"/>
          <w:u w:val="single"/>
        </w:rPr>
      </w:pPr>
      <w:r>
        <w:rPr>
          <w:rFonts w:hint="eastAsia" w:ascii="宋体" w:hAnsi="宋体" w:cs="宋体"/>
          <w:color w:val="auto"/>
          <w:sz w:val="24"/>
          <w:highlight w:val="none"/>
        </w:rPr>
        <w:t>名 称：</w:t>
      </w:r>
      <w:r>
        <w:rPr>
          <w:rFonts w:hint="eastAsia" w:ascii="宋体" w:hAnsi="宋体" w:cs="宋体"/>
          <w:color w:val="auto"/>
          <w:sz w:val="24"/>
          <w:highlight w:val="none"/>
          <w:u w:val="single"/>
        </w:rPr>
        <w:t>广西邕政采购代理有限公司</w:t>
      </w:r>
    </w:p>
    <w:p w14:paraId="79622DE2">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南宁市青秀区民族大道180号（</w:t>
      </w:r>
      <w:r>
        <w:rPr>
          <w:rFonts w:hint="eastAsia" w:ascii="宋体" w:hAnsi="宋体" w:cs="宋体"/>
          <w:color w:val="auto"/>
          <w:sz w:val="24"/>
          <w:highlight w:val="none"/>
          <w:u w:val="single"/>
          <w:lang w:eastAsia="zh-CN"/>
        </w:rPr>
        <w:t>威壮大厦</w:t>
      </w:r>
      <w:r>
        <w:rPr>
          <w:rFonts w:hint="eastAsia" w:ascii="宋体" w:hAnsi="宋体" w:cs="宋体"/>
          <w:color w:val="auto"/>
          <w:sz w:val="24"/>
          <w:highlight w:val="none"/>
          <w:u w:val="single"/>
        </w:rPr>
        <w:t>）22层2210～2217室</w:t>
      </w:r>
    </w:p>
    <w:p w14:paraId="394C7A68">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0771-2225338</w:t>
      </w:r>
    </w:p>
    <w:p w14:paraId="3B739A0D">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ascii="宋体" w:hAnsi="宋体" w:cs="宋体"/>
          <w:color w:val="auto"/>
          <w:sz w:val="24"/>
          <w:highlight w:val="none"/>
        </w:rPr>
      </w:pPr>
      <w:r>
        <w:rPr>
          <w:rFonts w:hint="eastAsia" w:ascii="宋体" w:hAnsi="宋体" w:cs="宋体"/>
          <w:color w:val="auto"/>
          <w:sz w:val="24"/>
          <w:highlight w:val="none"/>
        </w:rPr>
        <w:t>3.项目联系方式</w:t>
      </w:r>
    </w:p>
    <w:p w14:paraId="409155A3">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u w:val="single"/>
          <w:lang w:eastAsia="zh-CN"/>
        </w:rPr>
        <w:t>罗霞、黄秋梅</w:t>
      </w:r>
    </w:p>
    <w:p w14:paraId="6F2828C1">
      <w:pPr>
        <w:keepNext w:val="0"/>
        <w:keepLines w:val="0"/>
        <w:pageBreakBefore w:val="0"/>
        <w:widowControl w:val="0"/>
        <w:kinsoku/>
        <w:wordWrap w:val="0"/>
        <w:overflowPunct/>
        <w:topLinePunct w:val="0"/>
        <w:autoSpaceDE/>
        <w:autoSpaceDN/>
        <w:bidi w:val="0"/>
        <w:adjustRightInd/>
        <w:snapToGrid/>
        <w:spacing w:line="360" w:lineRule="auto"/>
        <w:ind w:firstLine="840" w:firstLineChars="350"/>
        <w:textAlignment w:val="auto"/>
        <w:rPr>
          <w:rFonts w:ascii="宋体" w:hAnsi="宋体" w:cs="宋体"/>
          <w:color w:val="auto"/>
          <w:sz w:val="24"/>
          <w:highlight w:val="none"/>
        </w:rPr>
      </w:pPr>
      <w:r>
        <w:rPr>
          <w:rFonts w:hint="eastAsia" w:ascii="宋体" w:hAnsi="宋体" w:cs="宋体"/>
          <w:color w:val="auto"/>
          <w:sz w:val="24"/>
          <w:highlight w:val="none"/>
        </w:rPr>
        <w:t>电    话：</w:t>
      </w:r>
      <w:r>
        <w:rPr>
          <w:rFonts w:hint="eastAsia" w:ascii="宋体" w:hAnsi="宋体" w:cs="宋体"/>
          <w:color w:val="auto"/>
          <w:sz w:val="24"/>
          <w:highlight w:val="none"/>
          <w:u w:val="single"/>
        </w:rPr>
        <w:t>0771-2225338</w:t>
      </w:r>
    </w:p>
    <w:p w14:paraId="71194380">
      <w:pPr>
        <w:keepNext w:val="0"/>
        <w:keepLines w:val="0"/>
        <w:pageBreakBefore w:val="0"/>
        <w:widowControl w:val="0"/>
        <w:kinsoku/>
        <w:wordWrap w:val="0"/>
        <w:overflowPunct/>
        <w:topLinePunct w:val="0"/>
        <w:autoSpaceDE/>
        <w:autoSpaceDN/>
        <w:bidi w:val="0"/>
        <w:adjustRightInd/>
        <w:snapToGrid/>
        <w:spacing w:line="360" w:lineRule="auto"/>
        <w:textAlignment w:val="auto"/>
        <w:rPr>
          <w:rFonts w:ascii="宋体" w:hAnsi="宋体" w:cs="宋体"/>
          <w:color w:val="auto"/>
          <w:sz w:val="24"/>
          <w:highlight w:val="none"/>
        </w:rPr>
      </w:pPr>
    </w:p>
    <w:p w14:paraId="78F9C5F9">
      <w:pPr>
        <w:keepNext w:val="0"/>
        <w:keepLines w:val="0"/>
        <w:pageBreakBefore w:val="0"/>
        <w:kinsoku/>
        <w:overflowPunct/>
        <w:topLinePunct w:val="0"/>
        <w:autoSpaceDE/>
        <w:autoSpaceDN/>
        <w:bidi w:val="0"/>
        <w:adjustRightInd/>
        <w:spacing w:line="360" w:lineRule="auto"/>
        <w:textAlignment w:val="auto"/>
        <w:rPr>
          <w:rFonts w:ascii="宋体" w:hAnsi="宋体" w:cs="宋体"/>
          <w:color w:val="auto"/>
          <w:sz w:val="24"/>
          <w:highlight w:val="none"/>
          <w:u w:val="single"/>
        </w:rPr>
      </w:pPr>
      <w:r>
        <w:rPr>
          <w:rFonts w:ascii="宋体" w:hAnsi="宋体" w:cs="宋体"/>
          <w:color w:val="auto"/>
          <w:sz w:val="24"/>
          <w:highlight w:val="none"/>
          <w:u w:val="single"/>
        </w:rPr>
        <w:t>附件： 1.CA 证书申请方式及操作指南下载地址（</w:t>
      </w:r>
      <w:r>
        <w:rPr>
          <w:rFonts w:hint="eastAsia" w:ascii="宋体" w:hAnsi="宋体" w:cs="宋体"/>
          <w:color w:val="auto"/>
          <w:sz w:val="24"/>
          <w:highlight w:val="none"/>
          <w:u w:val="single"/>
          <w:lang w:val="en-US" w:eastAsia="zh-CN"/>
        </w:rPr>
        <w:t>登录</w:t>
      </w:r>
      <w:r>
        <w:rPr>
          <w:rFonts w:ascii="宋体" w:hAnsi="宋体" w:cs="宋体"/>
          <w:color w:val="auto"/>
          <w:sz w:val="24"/>
          <w:highlight w:val="none"/>
          <w:u w:val="single"/>
        </w:rPr>
        <w:t xml:space="preserve"> http://nncz.nanning.gov.cn/（南宁市财政局官网）-业务专题-政府采购监督管理-资料下载-“广西政采云西部 CA 办理方式”或“南宁市政采云 CA 证 书办理操作指南”） </w:t>
      </w:r>
    </w:p>
    <w:p w14:paraId="02368B3A">
      <w:pPr>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auto"/>
          <w:sz w:val="24"/>
          <w:highlight w:val="none"/>
          <w:u w:val="single"/>
        </w:rPr>
      </w:pPr>
      <w:r>
        <w:rPr>
          <w:rFonts w:ascii="宋体" w:hAnsi="宋体" w:cs="宋体"/>
          <w:color w:val="auto"/>
          <w:sz w:val="24"/>
          <w:highlight w:val="none"/>
          <w:u w:val="single"/>
        </w:rPr>
        <w:t>2.电子投标文件制作与投送教程（在此网址下载：http://nncz.nanning.gov.cn/（南宁市财政局官网）- 业务专题-政府采购监督管理-资料下载-南宁市政府采购项目全流程电子化交易操作指南）</w:t>
      </w:r>
    </w:p>
    <w:p w14:paraId="10A738AC">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ascii="宋体" w:hAnsi="宋体" w:cs="宋体"/>
          <w:color w:val="auto"/>
          <w:sz w:val="24"/>
          <w:highlight w:val="none"/>
        </w:rPr>
      </w:pPr>
      <w:r>
        <w:rPr>
          <w:rFonts w:hint="eastAsia" w:ascii="宋体" w:hAnsi="宋体" w:cs="宋体"/>
          <w:color w:val="auto"/>
          <w:sz w:val="24"/>
          <w:highlight w:val="none"/>
          <w:u w:val="single"/>
        </w:rPr>
        <w:t>广西邕政采购代理有限公司</w:t>
      </w:r>
    </w:p>
    <w:p w14:paraId="16679CFE">
      <w:pPr>
        <w:keepNext w:val="0"/>
        <w:keepLines w:val="0"/>
        <w:pageBreakBefore w:val="0"/>
        <w:widowControl w:val="0"/>
        <w:kinsoku/>
        <w:wordWrap w:val="0"/>
        <w:overflowPunct/>
        <w:topLinePunct w:val="0"/>
        <w:autoSpaceDE/>
        <w:autoSpaceDN/>
        <w:bidi w:val="0"/>
        <w:adjustRightInd/>
        <w:snapToGrid/>
        <w:spacing w:line="360" w:lineRule="auto"/>
        <w:ind w:firstLine="240" w:firstLineChars="100"/>
        <w:jc w:val="right"/>
        <w:textAlignment w:val="auto"/>
        <w:rPr>
          <w:rFonts w:ascii="宋体" w:hAnsi="宋体" w:cs="宋体"/>
          <w:color w:val="auto"/>
          <w:sz w:val="24"/>
          <w:highlight w:val="none"/>
        </w:rPr>
      </w:pP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 xml:space="preserve"> 7 </w:t>
      </w:r>
      <w:r>
        <w:rPr>
          <w:rFonts w:hint="eastAsia" w:ascii="宋体" w:hAnsi="宋体" w:cs="宋体"/>
          <w:color w:val="auto"/>
          <w:sz w:val="24"/>
          <w:highlight w:val="none"/>
        </w:rPr>
        <w:t>月</w:t>
      </w:r>
      <w:r>
        <w:rPr>
          <w:rFonts w:hint="eastAsia" w:ascii="宋体" w:hAnsi="宋体" w:cs="宋体"/>
          <w:color w:val="auto"/>
          <w:sz w:val="24"/>
          <w:highlight w:val="none"/>
          <w:u w:val="single"/>
          <w:lang w:val="en-US" w:eastAsia="zh-CN"/>
        </w:rPr>
        <w:t xml:space="preserve"> 25 </w:t>
      </w:r>
      <w:r>
        <w:rPr>
          <w:rFonts w:hint="eastAsia" w:ascii="宋体" w:hAnsi="宋体" w:cs="宋体"/>
          <w:color w:val="auto"/>
          <w:sz w:val="24"/>
          <w:highlight w:val="none"/>
        </w:rPr>
        <w:t>日</w:t>
      </w:r>
    </w:p>
    <w:p w14:paraId="0686ACED">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br w:type="page"/>
      </w:r>
      <w:bookmarkStart w:id="447" w:name="_GoBack"/>
      <w:bookmarkEnd w:id="447"/>
    </w:p>
    <w:p w14:paraId="0378793D">
      <w:pPr>
        <w:pStyle w:val="9"/>
        <w:pageBreakBefore w:val="0"/>
        <w:wordWrap w:val="0"/>
        <w:overflowPunct/>
        <w:topLinePunct w:val="0"/>
        <w:bidi w:val="0"/>
        <w:spacing w:after="0" w:line="360" w:lineRule="auto"/>
        <w:rPr>
          <w:color w:val="auto"/>
          <w:highlight w:val="none"/>
        </w:rPr>
      </w:pPr>
    </w:p>
    <w:p w14:paraId="65731922">
      <w:pPr>
        <w:pStyle w:val="12"/>
        <w:pageBreakBefore w:val="0"/>
        <w:wordWrap w:val="0"/>
        <w:overflowPunct/>
        <w:topLinePunct w:val="0"/>
        <w:bidi w:val="0"/>
        <w:spacing w:line="360" w:lineRule="auto"/>
        <w:jc w:val="center"/>
        <w:outlineLvl w:val="0"/>
        <w:rPr>
          <w:rFonts w:hAnsi="宋体" w:cs="宋体"/>
          <w:b/>
          <w:color w:val="auto"/>
          <w:sz w:val="36"/>
          <w:highlight w:val="none"/>
        </w:rPr>
      </w:pPr>
      <w:bookmarkStart w:id="4" w:name="_Toc26241"/>
      <w:r>
        <w:rPr>
          <w:rFonts w:hint="eastAsia" w:hAnsi="宋体" w:cs="宋体"/>
          <w:b/>
          <w:color w:val="auto"/>
          <w:sz w:val="36"/>
          <w:highlight w:val="none"/>
        </w:rPr>
        <w:t xml:space="preserve">第二章  </w:t>
      </w:r>
      <w:bookmarkEnd w:id="3"/>
      <w:r>
        <w:rPr>
          <w:rFonts w:hint="eastAsia" w:hAnsi="宋体" w:cs="宋体"/>
          <w:b/>
          <w:color w:val="auto"/>
          <w:sz w:val="36"/>
          <w:highlight w:val="none"/>
        </w:rPr>
        <w:t>采购需求</w:t>
      </w:r>
      <w:bookmarkEnd w:id="4"/>
    </w:p>
    <w:p w14:paraId="1437A4B6">
      <w:pPr>
        <w:pageBreakBefore w:val="0"/>
        <w:wordWrap w:val="0"/>
        <w:overflowPunct/>
        <w:topLinePunct w:val="0"/>
        <w:bidi w:val="0"/>
        <w:adjustRightInd w:val="0"/>
        <w:spacing w:line="360" w:lineRule="auto"/>
        <w:rPr>
          <w:rFonts w:ascii="宋体" w:hAnsi="宋体" w:cs="宋体"/>
          <w:b/>
          <w:color w:val="auto"/>
          <w:szCs w:val="21"/>
          <w:highlight w:val="none"/>
        </w:rPr>
      </w:pPr>
    </w:p>
    <w:p w14:paraId="620CAE62">
      <w:pPr>
        <w:pageBreakBefore w:val="0"/>
        <w:wordWrap w:val="0"/>
        <w:overflowPunct/>
        <w:topLinePunct w:val="0"/>
        <w:bidi w:val="0"/>
        <w:adjustRightInd w:val="0"/>
        <w:spacing w:line="360" w:lineRule="auto"/>
        <w:rPr>
          <w:rFonts w:ascii="宋体" w:hAnsi="宋体" w:cs="宋体"/>
          <w:b/>
          <w:color w:val="auto"/>
          <w:sz w:val="24"/>
          <w:highlight w:val="none"/>
        </w:rPr>
      </w:pPr>
      <w:r>
        <w:rPr>
          <w:rFonts w:hint="eastAsia" w:ascii="宋体" w:hAnsi="宋体" w:cs="宋体"/>
          <w:b/>
          <w:color w:val="auto"/>
          <w:sz w:val="24"/>
          <w:highlight w:val="none"/>
        </w:rPr>
        <w:t>说明：</w:t>
      </w:r>
    </w:p>
    <w:p w14:paraId="328F6F5F">
      <w:pPr>
        <w:pageBreakBefore w:val="0"/>
        <w:wordWrap w:val="0"/>
        <w:overflowPunct/>
        <w:topLinePunct w:val="0"/>
        <w:bidi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 为落实政府采购政策需满足的要求：</w:t>
      </w:r>
    </w:p>
    <w:p w14:paraId="46F19375">
      <w:pPr>
        <w:pageBreakBefore w:val="0"/>
        <w:wordWrap w:val="0"/>
        <w:overflowPunct/>
        <w:topLinePunct w:val="0"/>
        <w:bidi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（1）本招标文件所称中小企业必须符合《政府采购促进中小企业发展管理办法》（财库〔2020〕46号）的规定。</w:t>
      </w:r>
    </w:p>
    <w:p w14:paraId="6DB73F6B">
      <w:pPr>
        <w:pageBreakBefore w:val="0"/>
        <w:wordWrap w:val="0"/>
        <w:overflowPunct/>
        <w:topLinePunct w:val="0"/>
        <w:bidi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w:t>
      </w: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2924697C">
      <w:pPr>
        <w:pageBreakBefore w:val="0"/>
        <w:wordWrap w:val="0"/>
        <w:overflowPunct/>
        <w:topLinePunct w:val="0"/>
        <w:bidi w:val="0"/>
        <w:spacing w:line="360" w:lineRule="auto"/>
        <w:ind w:firstLine="487" w:firstLineChars="202"/>
        <w:jc w:val="left"/>
        <w:rPr>
          <w:rFonts w:ascii="宋体" w:hAnsi="宋体" w:cs="宋体"/>
          <w:b w:val="0"/>
          <w:bCs w:val="0"/>
          <w:color w:val="auto"/>
          <w:sz w:val="24"/>
          <w:highlight w:val="none"/>
        </w:rPr>
      </w:pPr>
      <w:r>
        <w:rPr>
          <w:rFonts w:hint="eastAsia" w:ascii="宋体" w:hAnsi="宋体" w:cs="宋体"/>
          <w:b/>
          <w:bCs/>
          <w:color w:val="auto"/>
          <w:sz w:val="24"/>
          <w:highlight w:val="none"/>
        </w:rPr>
        <w:t>（3）</w:t>
      </w:r>
      <w:r>
        <w:rPr>
          <w:rFonts w:hint="eastAsia" w:ascii="宋体" w:hAnsi="宋体" w:cs="宋体"/>
          <w:b/>
          <w:color w:val="auto"/>
          <w:sz w:val="24"/>
          <w:highlight w:val="none"/>
        </w:rPr>
        <w:t>服务项目中伴随的货物包含列入《网络关键设备和网络安全专用产品目录》的网络安全专用产品，应当按照《信息安全技术网络安全专用产品安全技术要求》等相关国家标准的强制性要求，提供具备资格的机构安全认证合格或者安全检测证明材料（加盖投标人公章），否则投标文件作无效处理。</w:t>
      </w:r>
    </w:p>
    <w:p w14:paraId="68568ECB">
      <w:pPr>
        <w:pageBreakBefore w:val="0"/>
        <w:numPr>
          <w:ilvl w:val="0"/>
          <w:numId w:val="3"/>
        </w:numPr>
        <w:wordWrap w:val="0"/>
        <w:overflowPunct/>
        <w:topLinePunct w:val="0"/>
        <w:bidi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“实质性要求”是指招标文件中已经指明不满足则投标无效的条款，或者不能负偏离的条款，或者采购需求中带“▲”的条款。</w:t>
      </w:r>
    </w:p>
    <w:p w14:paraId="1C2D12B8">
      <w:pPr>
        <w:pageBreakBefore w:val="0"/>
        <w:numPr>
          <w:ilvl w:val="0"/>
          <w:numId w:val="3"/>
        </w:numPr>
        <w:wordWrap w:val="0"/>
        <w:overflowPunct/>
        <w:topLinePunct w:val="0"/>
        <w:bidi w:val="0"/>
        <w:spacing w:line="360" w:lineRule="auto"/>
        <w:ind w:firstLine="484" w:firstLineChars="202"/>
        <w:jc w:val="left"/>
        <w:rPr>
          <w:rFonts w:ascii="宋体" w:hAnsi="宋体" w:cs="宋体"/>
          <w:color w:val="auto"/>
          <w:sz w:val="24"/>
          <w:highlight w:val="none"/>
        </w:rPr>
      </w:pPr>
      <w:r>
        <w:rPr>
          <w:rFonts w:hint="eastAsia" w:ascii="宋体" w:hAnsi="宋体" w:cs="宋体"/>
          <w:color w:val="auto"/>
          <w:sz w:val="24"/>
          <w:highlight w:val="none"/>
        </w:rPr>
        <w:t>不需要投标人对采购需求响应为具体数值的，此采购需求的数值后将以◆号标注。</w:t>
      </w:r>
    </w:p>
    <w:p w14:paraId="5E566878">
      <w:pPr>
        <w:pageBreakBefore w:val="0"/>
        <w:numPr>
          <w:ilvl w:val="0"/>
          <w:numId w:val="3"/>
        </w:numPr>
        <w:wordWrap w:val="0"/>
        <w:overflowPunct/>
        <w:topLinePunct w:val="0"/>
        <w:bidi w:val="0"/>
        <w:spacing w:line="360" w:lineRule="auto"/>
        <w:ind w:firstLine="484" w:firstLineChars="202"/>
        <w:jc w:val="left"/>
        <w:rPr>
          <w:rFonts w:ascii="宋体" w:hAnsi="宋体" w:cs="宋体"/>
          <w:color w:val="auto"/>
          <w:sz w:val="24"/>
          <w:highlight w:val="none"/>
        </w:rPr>
        <w:sectPr>
          <w:footerReference r:id="rId4" w:type="default"/>
          <w:pgSz w:w="11906" w:h="16838"/>
          <w:pgMar w:top="1440" w:right="1080" w:bottom="1440" w:left="1080" w:header="720" w:footer="720" w:gutter="0"/>
          <w:pgNumType w:fmt="decimal" w:start="1"/>
          <w:cols w:space="720" w:num="1"/>
          <w:docGrid w:type="lines" w:linePitch="331" w:charSpace="0"/>
        </w:sectPr>
      </w:pPr>
      <w:r>
        <w:rPr>
          <w:rFonts w:hint="eastAsia" w:ascii="宋体" w:hAnsi="宋体" w:cs="宋体"/>
          <w:color w:val="auto"/>
          <w:sz w:val="24"/>
          <w:highlight w:val="none"/>
        </w:rPr>
        <w:t>如投标人投标产品存在侵犯他人的知识产权或者专利成果行为的，应承担相应法律责任</w:t>
      </w:r>
      <w:bookmarkStart w:id="5" w:name="PO_TDCUS_ITEM_PB_REQ_TITLE_1"/>
      <w:r>
        <w:rPr>
          <w:rFonts w:hint="eastAsia" w:ascii="宋体" w:hAnsi="宋体" w:cs="宋体"/>
          <w:color w:val="auto"/>
          <w:sz w:val="24"/>
          <w:highlight w:val="none"/>
        </w:rPr>
        <w:t>。</w:t>
      </w:r>
    </w:p>
    <w:bookmarkEnd w:id="5"/>
    <w:tbl>
      <w:tblPr>
        <w:tblStyle w:val="20"/>
        <w:tblW w:w="10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479"/>
        <w:gridCol w:w="1121"/>
        <w:gridCol w:w="570"/>
        <w:gridCol w:w="585"/>
        <w:gridCol w:w="3697"/>
        <w:gridCol w:w="1632"/>
        <w:gridCol w:w="1426"/>
      </w:tblGrid>
      <w:tr w14:paraId="4676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121" w:type="dxa"/>
            <w:gridSpan w:val="8"/>
            <w:vAlign w:val="center"/>
          </w:tcPr>
          <w:p w14:paraId="03F18651">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b/>
                <w:color w:val="auto"/>
                <w:sz w:val="24"/>
                <w:szCs w:val="24"/>
                <w:highlight w:val="none"/>
                <w:u w:val="none"/>
              </w:rPr>
            </w:pPr>
            <w:bookmarkStart w:id="6" w:name="PO_TDCUS_ITEM_PB_REQ_TABLE_1_1"/>
            <w:bookmarkEnd w:id="6"/>
            <w:bookmarkStart w:id="7" w:name="PO_TDCUS_ITEM_PB_REQ_TITLE_2"/>
            <w:r>
              <w:rPr>
                <w:rFonts w:hint="eastAsia" w:asciiTheme="majorEastAsia" w:hAnsiTheme="majorEastAsia" w:eastAsiaTheme="majorEastAsia" w:cstheme="majorEastAsia"/>
                <w:b/>
                <w:color w:val="auto"/>
                <w:sz w:val="24"/>
                <w:szCs w:val="24"/>
                <w:highlight w:val="none"/>
                <w:u w:val="none"/>
              </w:rPr>
              <w:t>服务需求一览表</w:t>
            </w:r>
          </w:p>
        </w:tc>
      </w:tr>
      <w:tr w14:paraId="2781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1" w:type="dxa"/>
            <w:vMerge w:val="restart"/>
          </w:tcPr>
          <w:p w14:paraId="14143B1D">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采购清单及服务参数</w:t>
            </w:r>
          </w:p>
        </w:tc>
        <w:tc>
          <w:tcPr>
            <w:tcW w:w="479" w:type="dxa"/>
            <w:tcMar>
              <w:top w:w="0" w:type="dxa"/>
              <w:left w:w="0" w:type="dxa"/>
              <w:bottom w:w="0" w:type="dxa"/>
              <w:right w:w="0" w:type="dxa"/>
            </w:tcMar>
            <w:vAlign w:val="center"/>
          </w:tcPr>
          <w:p w14:paraId="17F8C44B">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序号</w:t>
            </w:r>
          </w:p>
        </w:tc>
        <w:tc>
          <w:tcPr>
            <w:tcW w:w="1121" w:type="dxa"/>
            <w:vAlign w:val="center"/>
          </w:tcPr>
          <w:p w14:paraId="602EFE91">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采购服务</w:t>
            </w:r>
            <w:r>
              <w:rPr>
                <w:rFonts w:hint="eastAsia" w:asciiTheme="majorEastAsia" w:hAnsiTheme="majorEastAsia" w:eastAsiaTheme="majorEastAsia" w:cstheme="majorEastAsia"/>
                <w:color w:val="auto"/>
                <w:sz w:val="24"/>
                <w:szCs w:val="24"/>
                <w:highlight w:val="none"/>
                <w:u w:val="none"/>
                <w:lang w:val="en-US" w:eastAsia="zh-CN"/>
              </w:rPr>
              <w:t>标的</w:t>
            </w:r>
            <w:r>
              <w:rPr>
                <w:rFonts w:hint="eastAsia" w:asciiTheme="majorEastAsia" w:hAnsiTheme="majorEastAsia" w:eastAsiaTheme="majorEastAsia" w:cstheme="majorEastAsia"/>
                <w:color w:val="auto"/>
                <w:sz w:val="24"/>
                <w:szCs w:val="24"/>
                <w:highlight w:val="none"/>
                <w:u w:val="none"/>
              </w:rPr>
              <w:t>名称</w:t>
            </w:r>
          </w:p>
        </w:tc>
        <w:tc>
          <w:tcPr>
            <w:tcW w:w="570" w:type="dxa"/>
            <w:vAlign w:val="center"/>
          </w:tcPr>
          <w:p w14:paraId="565028C4">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单位</w:t>
            </w:r>
          </w:p>
        </w:tc>
        <w:tc>
          <w:tcPr>
            <w:tcW w:w="585" w:type="dxa"/>
            <w:vAlign w:val="center"/>
          </w:tcPr>
          <w:p w14:paraId="16011F70">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数量</w:t>
            </w:r>
          </w:p>
        </w:tc>
        <w:tc>
          <w:tcPr>
            <w:tcW w:w="3697" w:type="dxa"/>
            <w:vAlign w:val="center"/>
          </w:tcPr>
          <w:p w14:paraId="3B4F8794">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服务参数</w:t>
            </w:r>
          </w:p>
        </w:tc>
        <w:tc>
          <w:tcPr>
            <w:tcW w:w="1632" w:type="dxa"/>
            <w:vAlign w:val="center"/>
          </w:tcPr>
          <w:p w14:paraId="7CFC842B">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分项预算合计（元）</w:t>
            </w:r>
          </w:p>
        </w:tc>
        <w:tc>
          <w:tcPr>
            <w:tcW w:w="1426" w:type="dxa"/>
            <w:vAlign w:val="center"/>
          </w:tcPr>
          <w:p w14:paraId="1CBE1E2C">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中小企业划分标准所属行业名称（行业名称及划分见本章附件</w:t>
            </w:r>
            <w:r>
              <w:rPr>
                <w:rFonts w:hint="eastAsia" w:asciiTheme="majorEastAsia" w:hAnsiTheme="majorEastAsia" w:eastAsiaTheme="majorEastAsia" w:cstheme="majorEastAsia"/>
                <w:color w:val="auto"/>
                <w:sz w:val="24"/>
                <w:szCs w:val="24"/>
                <w:highlight w:val="none"/>
                <w:u w:val="none"/>
                <w:lang w:val="en-US" w:eastAsia="zh-CN"/>
              </w:rPr>
              <w:t>二</w:t>
            </w:r>
            <w:r>
              <w:rPr>
                <w:rFonts w:hint="eastAsia" w:asciiTheme="majorEastAsia" w:hAnsiTheme="majorEastAsia" w:eastAsiaTheme="majorEastAsia" w:cstheme="majorEastAsia"/>
                <w:color w:val="auto"/>
                <w:sz w:val="24"/>
                <w:szCs w:val="24"/>
                <w:highlight w:val="none"/>
                <w:u w:val="none"/>
              </w:rPr>
              <w:t>）</w:t>
            </w:r>
          </w:p>
        </w:tc>
      </w:tr>
      <w:tr w14:paraId="150B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jc w:val="center"/>
        </w:trPr>
        <w:tc>
          <w:tcPr>
            <w:tcW w:w="611" w:type="dxa"/>
            <w:vMerge w:val="continue"/>
            <w:vAlign w:val="center"/>
          </w:tcPr>
          <w:p w14:paraId="4BF8FB8C">
            <w:pPr>
              <w:keepNext w:val="0"/>
              <w:keepLines w:val="0"/>
              <w:pageBreakBefore w:val="0"/>
              <w:widowControl/>
              <w:kinsoku/>
              <w:wordWrap w:val="0"/>
              <w:overflowPunct/>
              <w:topLinePunct w:val="0"/>
              <w:autoSpaceDE/>
              <w:autoSpaceDN/>
              <w:bidi w:val="0"/>
              <w:adjustRightInd/>
              <w:snapToGrid/>
              <w:spacing w:afterLines="0" w:line="360" w:lineRule="auto"/>
              <w:jc w:val="left"/>
              <w:textAlignment w:val="auto"/>
              <w:rPr>
                <w:rFonts w:hint="eastAsia" w:asciiTheme="majorEastAsia" w:hAnsiTheme="majorEastAsia" w:eastAsiaTheme="majorEastAsia" w:cstheme="majorEastAsia"/>
                <w:color w:val="auto"/>
                <w:sz w:val="24"/>
                <w:szCs w:val="24"/>
                <w:highlight w:val="none"/>
                <w:u w:val="none"/>
              </w:rPr>
            </w:pPr>
          </w:p>
        </w:tc>
        <w:tc>
          <w:tcPr>
            <w:tcW w:w="479" w:type="dxa"/>
            <w:vAlign w:val="center"/>
          </w:tcPr>
          <w:p w14:paraId="6F04ED32">
            <w:pPr>
              <w:keepNext w:val="0"/>
              <w:keepLines w:val="0"/>
              <w:pageBreakBefore w:val="0"/>
              <w:kinsoku/>
              <w:wordWrap w:val="0"/>
              <w:overflowPunct/>
              <w:topLinePunct w:val="0"/>
              <w:autoSpaceDE/>
              <w:autoSpaceDN/>
              <w:bidi w:val="0"/>
              <w:adjustRightInd/>
              <w:snapToGrid/>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bCs/>
                <w:color w:val="auto"/>
                <w:sz w:val="24"/>
                <w:szCs w:val="24"/>
                <w:highlight w:val="none"/>
                <w:u w:val="none"/>
              </w:rPr>
              <w:t>1</w:t>
            </w:r>
          </w:p>
        </w:tc>
        <w:tc>
          <w:tcPr>
            <w:tcW w:w="1121" w:type="dxa"/>
            <w:vAlign w:val="center"/>
          </w:tcPr>
          <w:p w14:paraId="26809457">
            <w:pPr>
              <w:keepNext w:val="0"/>
              <w:keepLines w:val="0"/>
              <w:pageBreakBefore w:val="0"/>
              <w:kinsoku/>
              <w:wordWrap/>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eastAsia="zh-CN"/>
              </w:rPr>
              <w:t>2025年南宁市道路绿化养护服务政府采购项目</w:t>
            </w:r>
          </w:p>
        </w:tc>
        <w:tc>
          <w:tcPr>
            <w:tcW w:w="570" w:type="dxa"/>
            <w:vAlign w:val="center"/>
          </w:tcPr>
          <w:p w14:paraId="46D89020">
            <w:pPr>
              <w:pStyle w:val="32"/>
              <w:keepNext w:val="0"/>
              <w:keepLines w:val="0"/>
              <w:pageBreakBefore w:val="0"/>
              <w:widowControl w:val="0"/>
              <w:kinsoku/>
              <w:wordWrap/>
              <w:overflowPunct/>
              <w:topLinePunct w:val="0"/>
              <w:autoSpaceDE/>
              <w:autoSpaceDN/>
              <w:bidi w:val="0"/>
              <w:adjustRightInd/>
              <w:snapToGrid/>
              <w:spacing w:before="0" w:beforeAutospacing="0" w:after="0" w:afterLines="0" w:afterAutospacing="0" w:line="360" w:lineRule="auto"/>
              <w:ind w:left="0" w:leftChars="0" w:right="0" w:rightChars="0" w:firstLine="0" w:firstLineChars="0"/>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lang w:val="en-US" w:eastAsia="zh-CN"/>
              </w:rPr>
              <w:t>项</w:t>
            </w:r>
          </w:p>
        </w:tc>
        <w:tc>
          <w:tcPr>
            <w:tcW w:w="585" w:type="dxa"/>
            <w:vAlign w:val="center"/>
          </w:tcPr>
          <w:p w14:paraId="67731A7D">
            <w:pPr>
              <w:keepNext w:val="0"/>
              <w:keepLines w:val="0"/>
              <w:pageBreakBefore w:val="0"/>
              <w:widowControl w:val="0"/>
              <w:kinsoku/>
              <w:wordWrap/>
              <w:overflowPunct/>
              <w:topLinePunct w:val="0"/>
              <w:autoSpaceDE/>
              <w:autoSpaceDN/>
              <w:bidi w:val="0"/>
              <w:adjustRightInd/>
              <w:snapToGrid/>
              <w:spacing w:afterLines="0" w:line="360" w:lineRule="auto"/>
              <w:textAlignment w:val="auto"/>
              <w:rPr>
                <w:rFonts w:hint="eastAsia" w:asciiTheme="majorEastAsia" w:hAnsiTheme="majorEastAsia" w:eastAsiaTheme="majorEastAsia" w:cstheme="majorEastAsia"/>
                <w:color w:val="auto"/>
                <w:sz w:val="24"/>
                <w:szCs w:val="24"/>
                <w:highlight w:val="none"/>
                <w:u w:val="none"/>
                <w:lang w:val="en-US" w:eastAsia="zh-CN"/>
              </w:rPr>
            </w:pPr>
            <w:r>
              <w:rPr>
                <w:rFonts w:hint="eastAsia" w:asciiTheme="majorEastAsia" w:hAnsiTheme="majorEastAsia" w:eastAsiaTheme="majorEastAsia" w:cstheme="majorEastAsia"/>
                <w:color w:val="auto"/>
                <w:sz w:val="24"/>
                <w:szCs w:val="24"/>
                <w:highlight w:val="none"/>
                <w:u w:val="none"/>
                <w:lang w:val="en-US" w:eastAsia="zh-CN"/>
              </w:rPr>
              <w:t>1</w:t>
            </w:r>
          </w:p>
        </w:tc>
        <w:tc>
          <w:tcPr>
            <w:tcW w:w="3697" w:type="dxa"/>
            <w:vAlign w:val="center"/>
          </w:tcPr>
          <w:p w14:paraId="2E7045D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一、管养范围</w:t>
            </w:r>
          </w:p>
          <w:p w14:paraId="6B93CD4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lang w:val="en-US" w:eastAsia="zh-CN"/>
              </w:rPr>
              <w:t>（一）</w:t>
            </w:r>
            <w:r>
              <w:rPr>
                <w:rFonts w:hint="eastAsia" w:asciiTheme="majorEastAsia" w:hAnsiTheme="majorEastAsia" w:eastAsiaTheme="majorEastAsia" w:cstheme="majorEastAsia"/>
                <w:color w:val="auto"/>
                <w:sz w:val="24"/>
                <w:szCs w:val="24"/>
                <w:highlight w:val="none"/>
                <w:u w:val="none"/>
              </w:rPr>
              <w:t>、负责南宁市绿化工程管理中心管辖的民族大道、竹溪大道、白沙大道、壮锦大道、机场第一高速、会展路、荔滨大道、茶花园路、滨湖路、双拥路、嘉宾路、迎宾路、机场第二高速、机场高速延长线、平乐大道、五象大道、秋月路、体强路、青山路、歌海路、铜鼓岭路、凤凰岭路等4</w:t>
            </w:r>
            <w:r>
              <w:rPr>
                <w:rFonts w:hint="eastAsia" w:asciiTheme="majorEastAsia" w:hAnsiTheme="majorEastAsia" w:eastAsiaTheme="majorEastAsia" w:cstheme="majorEastAsia"/>
                <w:color w:val="auto"/>
                <w:sz w:val="24"/>
                <w:szCs w:val="24"/>
                <w:highlight w:val="none"/>
                <w:u w:val="none"/>
                <w:lang w:val="en-US" w:eastAsia="zh-CN"/>
              </w:rPr>
              <w:t>54</w:t>
            </w:r>
            <w:r>
              <w:rPr>
                <w:rFonts w:hint="eastAsia" w:asciiTheme="majorEastAsia" w:hAnsiTheme="majorEastAsia" w:eastAsiaTheme="majorEastAsia" w:cstheme="majorEastAsia"/>
                <w:color w:val="auto"/>
                <w:sz w:val="24"/>
                <w:szCs w:val="24"/>
                <w:highlight w:val="none"/>
                <w:u w:val="none"/>
              </w:rPr>
              <w:t>条道路的绿化养护范围，具体详见《</w:t>
            </w:r>
            <w:r>
              <w:rPr>
                <w:rFonts w:hint="eastAsia" w:asciiTheme="majorEastAsia" w:hAnsiTheme="majorEastAsia" w:eastAsiaTheme="majorEastAsia" w:cstheme="majorEastAsia"/>
                <w:color w:val="auto"/>
                <w:sz w:val="24"/>
                <w:szCs w:val="24"/>
                <w:highlight w:val="none"/>
                <w:u w:val="none"/>
                <w:lang w:eastAsia="zh-CN"/>
              </w:rPr>
              <w:t>2025年道路绿化养护服务政府采购项目养护道路统计表</w:t>
            </w:r>
            <w:r>
              <w:rPr>
                <w:rFonts w:hint="eastAsia" w:asciiTheme="majorEastAsia" w:hAnsiTheme="majorEastAsia" w:eastAsiaTheme="majorEastAsia" w:cstheme="majorEastAsia"/>
                <w:color w:val="auto"/>
                <w:sz w:val="24"/>
                <w:szCs w:val="24"/>
                <w:highlight w:val="none"/>
                <w:u w:val="none"/>
              </w:rPr>
              <w:t>》（附件</w:t>
            </w:r>
            <w:r>
              <w:rPr>
                <w:rFonts w:hint="eastAsia" w:asciiTheme="majorEastAsia" w:hAnsiTheme="majorEastAsia" w:eastAsiaTheme="majorEastAsia" w:cstheme="majorEastAsia"/>
                <w:color w:val="auto"/>
                <w:sz w:val="24"/>
                <w:szCs w:val="24"/>
                <w:highlight w:val="none"/>
                <w:u w:val="none"/>
                <w:lang w:val="en-US" w:eastAsia="zh-CN"/>
              </w:rPr>
              <w:t>1</w:t>
            </w:r>
            <w:r>
              <w:rPr>
                <w:rFonts w:hint="eastAsia" w:asciiTheme="majorEastAsia" w:hAnsiTheme="majorEastAsia" w:eastAsiaTheme="majorEastAsia" w:cstheme="majorEastAsia"/>
                <w:color w:val="auto"/>
                <w:sz w:val="24"/>
                <w:szCs w:val="24"/>
                <w:highlight w:val="none"/>
                <w:u w:val="none"/>
              </w:rPr>
              <w:t>）。</w:t>
            </w:r>
          </w:p>
          <w:p w14:paraId="1064451E">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color w:val="auto"/>
                <w:sz w:val="24"/>
                <w:szCs w:val="24"/>
                <w:highlight w:val="none"/>
                <w:u w:val="none"/>
                <w:lang w:val="en-US" w:eastAsia="zh-CN"/>
              </w:rPr>
              <w:t>（二）</w:t>
            </w:r>
            <w:r>
              <w:rPr>
                <w:rFonts w:hint="eastAsia" w:asciiTheme="majorEastAsia" w:hAnsiTheme="majorEastAsia" w:eastAsiaTheme="majorEastAsia" w:cstheme="majorEastAsia"/>
                <w:color w:val="auto"/>
                <w:sz w:val="24"/>
                <w:szCs w:val="24"/>
                <w:highlight w:val="none"/>
                <w:u w:val="none"/>
              </w:rPr>
              <w:t>、</w:t>
            </w:r>
            <w:r>
              <w:rPr>
                <w:rFonts w:hint="eastAsia" w:asciiTheme="majorEastAsia" w:hAnsiTheme="majorEastAsia" w:eastAsiaTheme="majorEastAsia" w:cstheme="majorEastAsia"/>
                <w:bCs/>
                <w:color w:val="auto"/>
                <w:sz w:val="24"/>
                <w:szCs w:val="24"/>
                <w:highlight w:val="none"/>
                <w:u w:val="none"/>
                <w:lang w:val="zh-CN"/>
              </w:rPr>
              <w:t>养护数量</w:t>
            </w:r>
          </w:p>
          <w:p w14:paraId="3BF74D4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color w:val="auto"/>
                <w:sz w:val="24"/>
                <w:highlight w:val="none"/>
                <w:u w:val="none"/>
              </w:rPr>
              <w:t>一级行道树4.29万株、一级整形灌木2.38万株、一级绿地83.38万平方米、一级护坡3.45万平方米、一级桥体三角梅5.67万</w:t>
            </w:r>
            <w:r>
              <w:rPr>
                <w:rFonts w:hint="eastAsia" w:asciiTheme="majorEastAsia" w:hAnsiTheme="majorEastAsia" w:eastAsiaTheme="majorEastAsia" w:cstheme="majorEastAsia"/>
                <w:color w:val="auto"/>
                <w:sz w:val="24"/>
                <w:highlight w:val="none"/>
                <w:u w:val="none"/>
                <w:lang w:eastAsia="zh-CN"/>
              </w:rPr>
              <w:t>延长</w:t>
            </w:r>
            <w:r>
              <w:rPr>
                <w:rFonts w:hint="eastAsia" w:asciiTheme="majorEastAsia" w:hAnsiTheme="majorEastAsia" w:eastAsiaTheme="majorEastAsia" w:cstheme="majorEastAsia"/>
                <w:color w:val="auto"/>
                <w:sz w:val="24"/>
                <w:highlight w:val="none"/>
                <w:u w:val="none"/>
              </w:rPr>
              <w:t>米、二级行道树27.39万株、二级整形灌木10.58万株、二级绿地526.59万平方米、二级护坡1.37万平方米、二级桥体三角梅5.02万</w:t>
            </w:r>
            <w:r>
              <w:rPr>
                <w:rFonts w:hint="eastAsia" w:asciiTheme="majorEastAsia" w:hAnsiTheme="majorEastAsia" w:eastAsiaTheme="majorEastAsia" w:cstheme="majorEastAsia"/>
                <w:color w:val="auto"/>
                <w:sz w:val="24"/>
                <w:highlight w:val="none"/>
                <w:u w:val="none"/>
                <w:lang w:eastAsia="zh-CN"/>
              </w:rPr>
              <w:t>延长</w:t>
            </w:r>
            <w:r>
              <w:rPr>
                <w:rFonts w:hint="eastAsia" w:asciiTheme="majorEastAsia" w:hAnsiTheme="majorEastAsia" w:eastAsiaTheme="majorEastAsia" w:cstheme="majorEastAsia"/>
                <w:color w:val="auto"/>
                <w:sz w:val="24"/>
                <w:highlight w:val="none"/>
                <w:u w:val="none"/>
              </w:rPr>
              <w:t>米、三级行道树10.29万株、三级整形灌木5.33万株、三级绿地383.40万平方米、三级护坡68.57万平方米、四级整形灌木0.52万株、四级绿地25.69万平方米、四级护坡173.45万平方米、挡墙挂网面积12.92万平方米、古树名木31株。具体以养护现场实际情况为准。</w:t>
            </w:r>
          </w:p>
          <w:p w14:paraId="516B4602">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二、管理内容</w:t>
            </w:r>
          </w:p>
          <w:p w14:paraId="6DDB52B8">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 xml:space="preserve">（一）绿化巡查  </w:t>
            </w:r>
          </w:p>
          <w:p w14:paraId="742F6FBE">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1.对管辖范围内的绿地及园林绿化设施开展日常巡查。</w:t>
            </w:r>
          </w:p>
          <w:p w14:paraId="7FCC1A6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2.负责辖区内绿地保护(含绿化植物及园林绿化设施等)，防止人为破坏及随意变更绿地性质，及时发现、制止、上报。</w:t>
            </w:r>
          </w:p>
          <w:p w14:paraId="3D52AAF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 xml:space="preserve">（二）绿化养护  </w:t>
            </w:r>
          </w:p>
          <w:p w14:paraId="1758BBC3">
            <w:pPr>
              <w:keepNext w:val="0"/>
              <w:keepLines w:val="0"/>
              <w:pageBreakBefore w:val="0"/>
              <w:widowControl w:val="0"/>
              <w:kinsoku/>
              <w:wordWrap w:val="0"/>
              <w:overflowPunct/>
              <w:topLinePunct w:val="0"/>
              <w:autoSpaceDE/>
              <w:autoSpaceDN/>
              <w:bidi w:val="0"/>
              <w:adjustRightInd/>
              <w:snapToGrid/>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负责乔木、灌木、草坪、地被、垂直绿化、护坡绿化、桥梁三角梅等植物的日常养护工作，</w:t>
            </w:r>
            <w:r>
              <w:rPr>
                <w:rFonts w:hint="eastAsia" w:asciiTheme="majorEastAsia" w:hAnsiTheme="majorEastAsia" w:eastAsiaTheme="majorEastAsia" w:cstheme="majorEastAsia"/>
                <w:bCs/>
                <w:color w:val="auto"/>
                <w:sz w:val="24"/>
                <w:szCs w:val="24"/>
                <w:highlight w:val="none"/>
                <w:u w:val="none"/>
                <w:lang w:val="en-US" w:eastAsia="zh-CN"/>
              </w:rPr>
              <w:t>具体要求参照《城市绿化养护规范及验收要求》（DB45/T 449—2007）（详见附件2）</w:t>
            </w:r>
            <w:r>
              <w:rPr>
                <w:rFonts w:hint="eastAsia" w:asciiTheme="majorEastAsia" w:hAnsiTheme="majorEastAsia" w:eastAsiaTheme="majorEastAsia" w:cstheme="majorEastAsia"/>
                <w:bCs/>
                <w:color w:val="auto"/>
                <w:sz w:val="24"/>
                <w:szCs w:val="24"/>
                <w:highlight w:val="none"/>
                <w:u w:val="none"/>
                <w:lang w:val="zh-CN"/>
              </w:rPr>
              <w:t>，包括但不限于：</w:t>
            </w:r>
          </w:p>
          <w:p w14:paraId="5B64E6A2">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▲1.水分管理：淋水及排水等。除雨天外，分车绿带、交通岛绿地、行道树绿带、桥梁三角梅等绿化养护范围每天至少须淋水一次，且须淋足淋透。开花植物（如三角梅等）在控花期间按控花计划开展淋水工作。</w:t>
            </w:r>
          </w:p>
          <w:p w14:paraId="772318D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▲2.施肥管理：</w:t>
            </w:r>
          </w:p>
          <w:p w14:paraId="5E749C1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1</w:t>
            </w:r>
            <w:r>
              <w:rPr>
                <w:rFonts w:hint="eastAsia" w:asciiTheme="majorEastAsia" w:hAnsiTheme="majorEastAsia" w:eastAsiaTheme="majorEastAsia" w:cstheme="majorEastAsia"/>
                <w:bCs/>
                <w:color w:val="auto"/>
                <w:sz w:val="24"/>
                <w:szCs w:val="24"/>
                <w:highlight w:val="none"/>
                <w:u w:val="none"/>
                <w:lang w:val="zh-CN"/>
              </w:rPr>
              <w:t>）植物施肥按《南宁市绿化工程管理中心道路绿化植物施肥管理办法（202</w:t>
            </w:r>
            <w:r>
              <w:rPr>
                <w:rFonts w:hint="eastAsia" w:asciiTheme="majorEastAsia" w:hAnsiTheme="majorEastAsia" w:eastAsiaTheme="majorEastAsia" w:cstheme="majorEastAsia"/>
                <w:bCs/>
                <w:color w:val="auto"/>
                <w:sz w:val="24"/>
                <w:szCs w:val="24"/>
                <w:highlight w:val="none"/>
                <w:u w:val="none"/>
                <w:lang w:val="en-US" w:eastAsia="zh-CN"/>
              </w:rPr>
              <w:t>4</w:t>
            </w:r>
            <w:r>
              <w:rPr>
                <w:rFonts w:hint="eastAsia" w:asciiTheme="majorEastAsia" w:hAnsiTheme="majorEastAsia" w:eastAsiaTheme="majorEastAsia" w:cstheme="majorEastAsia"/>
                <w:bCs/>
                <w:color w:val="auto"/>
                <w:sz w:val="24"/>
                <w:szCs w:val="24"/>
                <w:highlight w:val="none"/>
                <w:u w:val="none"/>
                <w:lang w:val="zh-CN"/>
              </w:rPr>
              <w:t>版）》</w:t>
            </w:r>
            <w:r>
              <w:rPr>
                <w:rFonts w:hint="eastAsia" w:asciiTheme="majorEastAsia" w:hAnsiTheme="majorEastAsia" w:eastAsiaTheme="majorEastAsia" w:cstheme="majorEastAsia"/>
                <w:bCs/>
                <w:color w:val="auto"/>
                <w:sz w:val="24"/>
                <w:szCs w:val="24"/>
                <w:highlight w:val="none"/>
                <w:u w:val="none"/>
                <w:lang w:val="zh-CN" w:eastAsia="zh-CN"/>
              </w:rPr>
              <w:t>（</w:t>
            </w:r>
            <w:r>
              <w:rPr>
                <w:rFonts w:hint="eastAsia" w:asciiTheme="majorEastAsia" w:hAnsiTheme="majorEastAsia" w:eastAsiaTheme="majorEastAsia" w:cstheme="majorEastAsia"/>
                <w:bCs/>
                <w:color w:val="auto"/>
                <w:sz w:val="24"/>
                <w:szCs w:val="24"/>
                <w:highlight w:val="none"/>
                <w:u w:val="none"/>
                <w:lang w:val="en-US" w:eastAsia="zh-CN"/>
              </w:rPr>
              <w:t>详见附件3-4</w:t>
            </w:r>
            <w:r>
              <w:rPr>
                <w:rFonts w:hint="eastAsia" w:asciiTheme="majorEastAsia" w:hAnsiTheme="majorEastAsia" w:eastAsiaTheme="majorEastAsia" w:cstheme="majorEastAsia"/>
                <w:bCs/>
                <w:color w:val="auto"/>
                <w:sz w:val="24"/>
                <w:szCs w:val="24"/>
                <w:highlight w:val="none"/>
                <w:u w:val="none"/>
                <w:lang w:val="zh-CN" w:eastAsia="zh-CN"/>
              </w:rPr>
              <w:t>）</w:t>
            </w:r>
            <w:r>
              <w:rPr>
                <w:rFonts w:hint="eastAsia" w:asciiTheme="majorEastAsia" w:hAnsiTheme="majorEastAsia" w:eastAsiaTheme="majorEastAsia" w:cstheme="majorEastAsia"/>
                <w:bCs/>
                <w:color w:val="auto"/>
                <w:sz w:val="24"/>
                <w:szCs w:val="24"/>
                <w:highlight w:val="none"/>
                <w:u w:val="none"/>
                <w:lang w:val="zh-CN"/>
              </w:rPr>
              <w:t>执行。</w:t>
            </w:r>
          </w:p>
          <w:p w14:paraId="1264581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2</w:t>
            </w:r>
            <w:r>
              <w:rPr>
                <w:rFonts w:hint="eastAsia" w:asciiTheme="majorEastAsia" w:hAnsiTheme="majorEastAsia" w:eastAsiaTheme="majorEastAsia" w:cstheme="majorEastAsia"/>
                <w:bCs/>
                <w:color w:val="auto"/>
                <w:sz w:val="24"/>
                <w:szCs w:val="24"/>
                <w:highlight w:val="none"/>
                <w:u w:val="none"/>
                <w:lang w:val="zh-CN"/>
              </w:rPr>
              <w:t>）对于桥梁三角梅：非控花期间，每个季度至少施肥2-3次，含有机肥和化肥。控花期间，按控花计划开展施肥工作。每年需对三角梅花箱（花槽）更换基质土（更换量为花箱或花槽基质总量的1/</w:t>
            </w:r>
            <w:r>
              <w:rPr>
                <w:rFonts w:hint="eastAsia" w:asciiTheme="majorEastAsia" w:hAnsiTheme="majorEastAsia" w:eastAsiaTheme="majorEastAsia" w:cstheme="majorEastAsia"/>
                <w:bCs/>
                <w:color w:val="auto"/>
                <w:sz w:val="24"/>
                <w:szCs w:val="24"/>
                <w:highlight w:val="none"/>
                <w:u w:val="none"/>
              </w:rPr>
              <w:t>4</w:t>
            </w:r>
            <w:r>
              <w:rPr>
                <w:rFonts w:hint="eastAsia" w:asciiTheme="majorEastAsia" w:hAnsiTheme="majorEastAsia" w:eastAsiaTheme="majorEastAsia" w:cstheme="majorEastAsia"/>
                <w:bCs/>
                <w:color w:val="auto"/>
                <w:sz w:val="24"/>
                <w:szCs w:val="24"/>
                <w:highlight w:val="none"/>
                <w:u w:val="none"/>
                <w:lang w:val="zh-CN"/>
              </w:rPr>
              <w:t>-1/</w:t>
            </w:r>
            <w:r>
              <w:rPr>
                <w:rFonts w:hint="eastAsia" w:asciiTheme="majorEastAsia" w:hAnsiTheme="majorEastAsia" w:eastAsiaTheme="majorEastAsia" w:cstheme="majorEastAsia"/>
                <w:bCs/>
                <w:color w:val="auto"/>
                <w:sz w:val="24"/>
                <w:szCs w:val="24"/>
                <w:highlight w:val="none"/>
                <w:u w:val="none"/>
              </w:rPr>
              <w:t>3</w:t>
            </w:r>
            <w:r>
              <w:rPr>
                <w:rFonts w:hint="eastAsia" w:asciiTheme="majorEastAsia" w:hAnsiTheme="majorEastAsia" w:eastAsiaTheme="majorEastAsia" w:cstheme="majorEastAsia"/>
                <w:bCs/>
                <w:color w:val="auto"/>
                <w:sz w:val="24"/>
                <w:szCs w:val="24"/>
                <w:highlight w:val="none"/>
                <w:u w:val="none"/>
                <w:lang w:val="zh-CN"/>
              </w:rPr>
              <w:t>）至少1次，以达到改良基质的目的。</w:t>
            </w:r>
          </w:p>
          <w:p w14:paraId="280F118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rPr>
            </w:pPr>
            <w:r>
              <w:rPr>
                <w:rFonts w:hint="eastAsia" w:asciiTheme="majorEastAsia" w:hAnsiTheme="majorEastAsia" w:eastAsiaTheme="majorEastAsia" w:cstheme="majorEastAsia"/>
                <w:bCs/>
                <w:color w:val="auto"/>
                <w:sz w:val="24"/>
                <w:szCs w:val="24"/>
                <w:highlight w:val="none"/>
                <w:u w:val="none"/>
              </w:rPr>
              <w:t>3.修剪管理：</w:t>
            </w:r>
          </w:p>
          <w:p w14:paraId="48E7C9E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▲（1）行道树：每年对行道树至少开展一次全面修剪工作。</w:t>
            </w:r>
          </w:p>
          <w:p w14:paraId="15D061A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（2）片植灌木：按规范开展修剪工作，应于春季进行回缩修剪，以控制整体高度和保持良好的长势，要求图形清晰，线条明显，整体美观。</w:t>
            </w:r>
          </w:p>
          <w:p w14:paraId="46DA8860">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（3）草坪修剪：视生长情况修剪，草坪高度应控制在8厘米以下。</w:t>
            </w:r>
          </w:p>
          <w:p w14:paraId="141A2828">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4.</w:t>
            </w:r>
            <w:r>
              <w:rPr>
                <w:rFonts w:hint="eastAsia" w:asciiTheme="majorEastAsia" w:hAnsiTheme="majorEastAsia" w:eastAsiaTheme="majorEastAsia" w:cstheme="majorEastAsia"/>
                <w:bCs/>
                <w:color w:val="auto"/>
                <w:sz w:val="24"/>
                <w:szCs w:val="24"/>
                <w:highlight w:val="none"/>
                <w:u w:val="none"/>
                <w:lang w:val="zh-CN"/>
              </w:rPr>
              <w:t>桥梁三角梅：全年长势良好，四季有叶、三季有花。能在中国</w:t>
            </w:r>
            <w:r>
              <w:rPr>
                <w:rFonts w:hint="eastAsia" w:asciiTheme="majorEastAsia" w:hAnsiTheme="majorEastAsia" w:eastAsiaTheme="majorEastAsia" w:cstheme="majorEastAsia"/>
                <w:bCs/>
                <w:color w:val="auto"/>
                <w:sz w:val="24"/>
                <w:szCs w:val="24"/>
                <w:highlight w:val="none"/>
                <w:u w:val="none"/>
              </w:rPr>
              <w:t>-</w:t>
            </w:r>
            <w:r>
              <w:rPr>
                <w:rFonts w:hint="eastAsia" w:asciiTheme="majorEastAsia" w:hAnsiTheme="majorEastAsia" w:eastAsiaTheme="majorEastAsia" w:cstheme="majorEastAsia"/>
                <w:bCs/>
                <w:color w:val="auto"/>
                <w:sz w:val="24"/>
                <w:szCs w:val="24"/>
                <w:highlight w:val="none"/>
                <w:u w:val="none"/>
                <w:lang w:val="zh-CN"/>
              </w:rPr>
              <w:t>东盟博览会期间以及采购人指定一个临时的重大活动期间达到相应开花量。其中，一级养护开花量达到覆盖株冠表面积80%以上，二级养护开花量达到覆盖株冠表面积</w:t>
            </w:r>
            <w:r>
              <w:rPr>
                <w:rFonts w:hint="eastAsia" w:asciiTheme="majorEastAsia" w:hAnsiTheme="majorEastAsia" w:eastAsiaTheme="majorEastAsia" w:cstheme="majorEastAsia"/>
                <w:bCs/>
                <w:color w:val="auto"/>
                <w:sz w:val="24"/>
                <w:szCs w:val="24"/>
                <w:highlight w:val="none"/>
                <w:u w:val="none"/>
              </w:rPr>
              <w:t>5</w:t>
            </w:r>
            <w:r>
              <w:rPr>
                <w:rFonts w:hint="eastAsia" w:asciiTheme="majorEastAsia" w:hAnsiTheme="majorEastAsia" w:eastAsiaTheme="majorEastAsia" w:cstheme="majorEastAsia"/>
                <w:bCs/>
                <w:color w:val="auto"/>
                <w:sz w:val="24"/>
                <w:szCs w:val="24"/>
                <w:highlight w:val="none"/>
                <w:u w:val="none"/>
                <w:lang w:val="zh-CN"/>
              </w:rPr>
              <w:t>0%以上。中标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bCs/>
                <w:color w:val="auto"/>
                <w:sz w:val="24"/>
                <w:szCs w:val="24"/>
                <w:highlight w:val="none"/>
                <w:u w:val="none"/>
                <w:lang w:val="zh-CN"/>
              </w:rPr>
              <w:t>须配备桥梁三角梅养护量</w:t>
            </w:r>
            <w:r>
              <w:rPr>
                <w:rFonts w:hint="eastAsia" w:asciiTheme="majorEastAsia" w:hAnsiTheme="majorEastAsia" w:eastAsiaTheme="majorEastAsia" w:cstheme="majorEastAsia"/>
                <w:bCs/>
                <w:color w:val="auto"/>
                <w:sz w:val="24"/>
                <w:szCs w:val="24"/>
                <w:highlight w:val="none"/>
                <w:u w:val="none"/>
              </w:rPr>
              <w:t>5%的盛花期三角梅，作为重大活动保障的备用苗木。</w:t>
            </w:r>
          </w:p>
          <w:p w14:paraId="25027A94">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5</w:t>
            </w:r>
            <w:r>
              <w:rPr>
                <w:rFonts w:hint="eastAsia" w:asciiTheme="majorEastAsia" w:hAnsiTheme="majorEastAsia" w:eastAsiaTheme="majorEastAsia" w:cstheme="majorEastAsia"/>
                <w:bCs/>
                <w:color w:val="auto"/>
                <w:sz w:val="24"/>
                <w:szCs w:val="24"/>
                <w:highlight w:val="none"/>
                <w:u w:val="none"/>
                <w:lang w:val="zh-CN"/>
              </w:rPr>
              <w:t>.绿地保洁：绿地垃圾（包括生活垃圾和绿化垃圾）须当日清理完毕。</w:t>
            </w:r>
          </w:p>
          <w:p w14:paraId="7B89CB4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rPr>
            </w:pPr>
            <w:r>
              <w:rPr>
                <w:rFonts w:hint="eastAsia" w:asciiTheme="majorEastAsia" w:hAnsiTheme="majorEastAsia" w:eastAsiaTheme="majorEastAsia" w:cstheme="majorEastAsia"/>
                <w:bCs/>
                <w:color w:val="auto"/>
                <w:sz w:val="24"/>
                <w:szCs w:val="24"/>
                <w:highlight w:val="none"/>
                <w:u w:val="none"/>
              </w:rPr>
              <w:t>6.做好辖区范围内古树名木的养护工作，维持良好的生长环境。按照古树管理相关规定，做好施肥、修剪、病虫害防治等工作，科学开展古树复壮工作。</w:t>
            </w:r>
          </w:p>
          <w:p w14:paraId="62476438">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rPr>
            </w:pPr>
            <w:r>
              <w:rPr>
                <w:rFonts w:hint="eastAsia" w:asciiTheme="majorEastAsia" w:hAnsiTheme="majorEastAsia" w:eastAsiaTheme="majorEastAsia" w:cstheme="majorEastAsia"/>
                <w:bCs/>
                <w:color w:val="auto"/>
                <w:sz w:val="24"/>
                <w:szCs w:val="24"/>
                <w:highlight w:val="none"/>
                <w:u w:val="none"/>
              </w:rPr>
              <w:t>7.其他:</w:t>
            </w:r>
          </w:p>
          <w:p w14:paraId="326FB2D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1</w:t>
            </w:r>
            <w:r>
              <w:rPr>
                <w:rFonts w:hint="eastAsia" w:asciiTheme="majorEastAsia" w:hAnsiTheme="majorEastAsia" w:eastAsiaTheme="majorEastAsia" w:cstheme="majorEastAsia"/>
                <w:bCs/>
                <w:color w:val="auto"/>
                <w:sz w:val="24"/>
                <w:szCs w:val="24"/>
                <w:highlight w:val="none"/>
                <w:u w:val="none"/>
                <w:lang w:val="zh-CN"/>
              </w:rPr>
              <w:t>）补种：乔灌木缺株、绿地缺株或黄土裸露的须及时补种。</w:t>
            </w:r>
          </w:p>
          <w:p w14:paraId="5D91C96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2</w:t>
            </w:r>
            <w:r>
              <w:rPr>
                <w:rFonts w:hint="eastAsia" w:asciiTheme="majorEastAsia" w:hAnsiTheme="majorEastAsia" w:eastAsiaTheme="majorEastAsia" w:cstheme="majorEastAsia"/>
                <w:bCs/>
                <w:color w:val="auto"/>
                <w:sz w:val="24"/>
                <w:szCs w:val="24"/>
                <w:highlight w:val="none"/>
                <w:u w:val="none"/>
                <w:lang w:val="zh-CN"/>
              </w:rPr>
              <w:t>）病虫害控制：做好病虫害预测预防工作，如植物遭受病虫害侵害，须及时进行科学防治。</w:t>
            </w:r>
          </w:p>
          <w:p w14:paraId="1C3E830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3</w:t>
            </w:r>
            <w:r>
              <w:rPr>
                <w:rFonts w:hint="eastAsia" w:asciiTheme="majorEastAsia" w:hAnsiTheme="majorEastAsia" w:eastAsiaTheme="majorEastAsia" w:cstheme="majorEastAsia"/>
                <w:bCs/>
                <w:color w:val="auto"/>
                <w:sz w:val="24"/>
                <w:szCs w:val="24"/>
                <w:highlight w:val="none"/>
                <w:u w:val="none"/>
                <w:lang w:val="zh-CN"/>
              </w:rPr>
              <w:t>）其他养护工作按《</w:t>
            </w:r>
            <w:r>
              <w:rPr>
                <w:rFonts w:hint="eastAsia" w:asciiTheme="majorEastAsia" w:hAnsiTheme="majorEastAsia" w:eastAsiaTheme="majorEastAsia" w:cstheme="majorEastAsia"/>
                <w:bCs/>
                <w:color w:val="auto"/>
                <w:sz w:val="24"/>
                <w:szCs w:val="24"/>
                <w:highlight w:val="none"/>
                <w:u w:val="none"/>
                <w:lang w:val="en-US" w:eastAsia="zh-CN"/>
              </w:rPr>
              <w:t>城市绿化养护规范及验收要求</w:t>
            </w:r>
            <w:r>
              <w:rPr>
                <w:rFonts w:hint="eastAsia" w:asciiTheme="majorEastAsia" w:hAnsiTheme="majorEastAsia" w:eastAsiaTheme="majorEastAsia" w:cstheme="majorEastAsia"/>
                <w:bCs/>
                <w:color w:val="auto"/>
                <w:sz w:val="24"/>
                <w:szCs w:val="24"/>
                <w:highlight w:val="none"/>
                <w:u w:val="none"/>
                <w:lang w:val="zh-CN"/>
              </w:rPr>
              <w:t>》（DB45/T 499-2007）（</w:t>
            </w:r>
            <w:r>
              <w:rPr>
                <w:rFonts w:hint="eastAsia" w:asciiTheme="majorEastAsia" w:hAnsiTheme="majorEastAsia" w:eastAsiaTheme="majorEastAsia" w:cstheme="majorEastAsia"/>
                <w:bCs/>
                <w:color w:val="auto"/>
                <w:sz w:val="24"/>
                <w:szCs w:val="24"/>
                <w:highlight w:val="none"/>
                <w:u w:val="none"/>
                <w:lang w:val="en-US" w:eastAsia="zh-CN"/>
              </w:rPr>
              <w:t>详见附件2</w:t>
            </w:r>
            <w:r>
              <w:rPr>
                <w:rFonts w:hint="eastAsia" w:asciiTheme="majorEastAsia" w:hAnsiTheme="majorEastAsia" w:eastAsiaTheme="majorEastAsia" w:cstheme="majorEastAsia"/>
                <w:bCs/>
                <w:color w:val="auto"/>
                <w:sz w:val="24"/>
                <w:szCs w:val="24"/>
                <w:highlight w:val="none"/>
                <w:u w:val="none"/>
                <w:lang w:val="zh-CN"/>
              </w:rPr>
              <w:t>）、《南宁市绿化工程管理中心道路绿化养护市场化管理考核办法（2025年修订版）》（附件</w:t>
            </w:r>
            <w:r>
              <w:rPr>
                <w:rFonts w:hint="eastAsia" w:asciiTheme="majorEastAsia" w:hAnsiTheme="majorEastAsia" w:eastAsiaTheme="majorEastAsia" w:cstheme="majorEastAsia"/>
                <w:bCs/>
                <w:color w:val="auto"/>
                <w:sz w:val="24"/>
                <w:szCs w:val="24"/>
                <w:highlight w:val="none"/>
                <w:u w:val="none"/>
                <w:lang w:val="en-US" w:eastAsia="zh-CN"/>
              </w:rPr>
              <w:t>3</w:t>
            </w:r>
            <w:r>
              <w:rPr>
                <w:rFonts w:hint="eastAsia" w:asciiTheme="majorEastAsia" w:hAnsiTheme="majorEastAsia" w:eastAsiaTheme="majorEastAsia" w:cstheme="majorEastAsia"/>
                <w:bCs/>
                <w:color w:val="auto"/>
                <w:sz w:val="24"/>
                <w:szCs w:val="24"/>
                <w:highlight w:val="none"/>
                <w:u w:val="none"/>
                <w:lang w:val="zh-CN"/>
              </w:rPr>
              <w:t>）执行。</w:t>
            </w:r>
          </w:p>
          <w:p w14:paraId="4C87316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▲（三）园林绿化设施管理维护</w:t>
            </w:r>
          </w:p>
          <w:p w14:paraId="216F30D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负责园林配套附属设施（包括但不限于井盖、铺装、垃圾桶、园路、亭子、花架、园灯、园桌、园凳、护栏、路缘石、花池、树池、树篦子、公厕、三角梅花箱、支架、托架、护栏、给排水设施、电力设施、园林数据采集和检测设备等）维护、修理、更换、清洗及保洁等工作，保证设施设备性能良好，能正常、安全使用。</w:t>
            </w:r>
          </w:p>
          <w:p w14:paraId="3B98F206">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 xml:space="preserve">▲（四）安全生产  </w:t>
            </w:r>
          </w:p>
          <w:p w14:paraId="6E05052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1.负责道路绿化养护安全管理工作。</w:t>
            </w:r>
          </w:p>
          <w:p w14:paraId="177F2AD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2.严格按照交通管理部门关于高速公路占道作业施工的要求开展养护作业，须配备防撞缓冲车并做好各项安全防护措施。</w:t>
            </w:r>
          </w:p>
          <w:p w14:paraId="24BE06EF">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3.对三角梅花箱（花槽）及配套附属设施进行常态化的安全检查，及时处理存在的安全问题。每个季度须提供三角梅附属设施安全检查报告。</w:t>
            </w:r>
          </w:p>
          <w:p w14:paraId="4A630DD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4.工地安全文明施工管理、清洁卫生按“美丽南宁”“数字城管”等工作要求及城市管理的相关规定执行。</w:t>
            </w:r>
          </w:p>
          <w:p w14:paraId="4C2E9AB0">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5.应急抢险或突发事件处理（包括树木抢险、抗台风、防冻抗旱等预防、抢险及灾后恢复工作）。</w:t>
            </w:r>
          </w:p>
          <w:p w14:paraId="006F7BA0">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 xml:space="preserve">（五）其他工作  </w:t>
            </w:r>
          </w:p>
          <w:p w14:paraId="1DD5A629">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1.处理社会投诉、媒体曝光、市长热线投诉、数字城管平台、网上信访、“美丽南宁”案件以及被有关部门督办等情形。</w:t>
            </w:r>
          </w:p>
          <w:p w14:paraId="7ED011E2">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2.上报辖区内养护计划、各类报表及数据等相关资料，以便采购人进行监督考核。</w:t>
            </w:r>
          </w:p>
          <w:p w14:paraId="59826949">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3.遇重要活动保障、重大节庆、迎检等，完成采购人安排的突击任务。</w:t>
            </w:r>
          </w:p>
          <w:p w14:paraId="25860D72">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rPr>
              <w:t>4</w:t>
            </w:r>
            <w:r>
              <w:rPr>
                <w:rFonts w:hint="eastAsia" w:asciiTheme="majorEastAsia" w:hAnsiTheme="majorEastAsia" w:eastAsiaTheme="majorEastAsia" w:cstheme="majorEastAsia"/>
                <w:bCs/>
                <w:color w:val="auto"/>
                <w:sz w:val="24"/>
                <w:szCs w:val="24"/>
                <w:highlight w:val="none"/>
                <w:u w:val="none"/>
                <w:lang w:val="zh-CN"/>
              </w:rPr>
              <w:t>.完成采购人交办的其他相关工作。</w:t>
            </w:r>
          </w:p>
          <w:p w14:paraId="659F5B1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三、配置要求</w:t>
            </w:r>
          </w:p>
          <w:p w14:paraId="4084E664">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▲（一）人员配置</w:t>
            </w:r>
          </w:p>
          <w:p w14:paraId="62C0A194">
            <w:pPr>
              <w:keepNext w:val="0"/>
              <w:keepLines w:val="0"/>
              <w:pageBreakBefore w:val="0"/>
              <w:kinsoku/>
              <w:overflowPunct/>
              <w:topLinePunct w:val="0"/>
              <w:autoSpaceDE/>
              <w:autoSpaceDN/>
              <w:bidi w:val="0"/>
              <w:spacing w:afterLines="0" w:line="360" w:lineRule="auto"/>
              <w:ind w:firstLine="0" w:firstLineChars="0"/>
              <w:textAlignment w:val="auto"/>
              <w:rPr>
                <w:rFonts w:hint="eastAsia" w:asciiTheme="majorEastAsia" w:hAnsiTheme="majorEastAsia" w:eastAsiaTheme="majorEastAsia" w:cstheme="majorEastAsia"/>
                <w:bCs/>
                <w:color w:val="auto"/>
                <w:sz w:val="24"/>
                <w:szCs w:val="24"/>
                <w:highlight w:val="none"/>
                <w:u w:val="none"/>
                <w:lang w:val="en-US" w:eastAsia="zh-CN"/>
              </w:rPr>
            </w:pPr>
            <w:r>
              <w:rPr>
                <w:rFonts w:hint="eastAsia" w:asciiTheme="majorEastAsia" w:hAnsiTheme="majorEastAsia" w:eastAsiaTheme="majorEastAsia" w:cstheme="majorEastAsia"/>
                <w:bCs/>
                <w:color w:val="auto"/>
                <w:sz w:val="24"/>
                <w:szCs w:val="24"/>
                <w:highlight w:val="none"/>
                <w:u w:val="none"/>
                <w:lang w:val="en-US" w:eastAsia="zh-CN"/>
              </w:rPr>
              <w:t>1.一线人员</w:t>
            </w:r>
          </w:p>
          <w:p w14:paraId="351DFE5A">
            <w:pPr>
              <w:keepNext w:val="0"/>
              <w:keepLines w:val="0"/>
              <w:pageBreakBefore w:val="0"/>
              <w:kinsoku/>
              <w:overflowPunct/>
              <w:topLinePunct w:val="0"/>
              <w:autoSpaceDE/>
              <w:autoSpaceDN/>
              <w:bidi w:val="0"/>
              <w:spacing w:afterLines="0" w:line="360" w:lineRule="auto"/>
              <w:ind w:firstLine="0" w:firstLineChars="0"/>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要求配备日常一线养护作业人员（含司机）不少于</w:t>
            </w:r>
            <w:r>
              <w:rPr>
                <w:rFonts w:hint="eastAsia" w:asciiTheme="majorEastAsia" w:hAnsiTheme="majorEastAsia" w:eastAsiaTheme="majorEastAsia" w:cstheme="majorEastAsia"/>
                <w:bCs/>
                <w:color w:val="auto"/>
                <w:sz w:val="24"/>
                <w:szCs w:val="24"/>
                <w:highlight w:val="none"/>
                <w:u w:val="none"/>
                <w:lang w:val="en-US" w:eastAsia="zh-CN"/>
              </w:rPr>
              <w:t>853</w:t>
            </w:r>
            <w:r>
              <w:rPr>
                <w:rFonts w:hint="eastAsia" w:asciiTheme="majorEastAsia" w:hAnsiTheme="majorEastAsia" w:eastAsiaTheme="majorEastAsia" w:cstheme="majorEastAsia"/>
                <w:bCs/>
                <w:color w:val="auto"/>
                <w:sz w:val="24"/>
                <w:szCs w:val="24"/>
                <w:highlight w:val="none"/>
                <w:u w:val="none"/>
                <w:lang w:val="zh-CN"/>
              </w:rPr>
              <w:t>名。其中，需分别注明日常一线养护作业人员人数和司机人数，上述人员配置必须专门用于本项目，不得与其他任何项目混用，从业人员须统一着安全服。</w:t>
            </w:r>
          </w:p>
          <w:p w14:paraId="5F010EDE">
            <w:pPr>
              <w:keepNext w:val="0"/>
              <w:keepLines w:val="0"/>
              <w:pageBreakBefore w:val="0"/>
              <w:kinsoku/>
              <w:overflowPunct/>
              <w:topLinePunct w:val="0"/>
              <w:autoSpaceDE/>
              <w:autoSpaceDN/>
              <w:bidi w:val="0"/>
              <w:spacing w:afterLines="0" w:line="360" w:lineRule="auto"/>
              <w:ind w:firstLine="0" w:firstLineChars="0"/>
              <w:textAlignment w:val="auto"/>
              <w:rPr>
                <w:rFonts w:hint="eastAsia" w:asciiTheme="majorEastAsia" w:hAnsiTheme="majorEastAsia" w:eastAsiaTheme="majorEastAsia" w:cstheme="majorEastAsia"/>
                <w:bCs/>
                <w:color w:val="auto"/>
                <w:sz w:val="24"/>
                <w:szCs w:val="24"/>
                <w:highlight w:val="none"/>
                <w:u w:val="none"/>
                <w:lang w:val="en-US" w:eastAsia="zh-CN"/>
              </w:rPr>
            </w:pPr>
            <w:r>
              <w:rPr>
                <w:rFonts w:hint="eastAsia" w:asciiTheme="majorEastAsia" w:hAnsiTheme="majorEastAsia" w:eastAsiaTheme="majorEastAsia" w:cstheme="majorEastAsia"/>
                <w:bCs/>
                <w:color w:val="auto"/>
                <w:sz w:val="24"/>
                <w:szCs w:val="24"/>
                <w:highlight w:val="none"/>
                <w:u w:val="none"/>
                <w:lang w:val="en-US" w:eastAsia="zh-CN"/>
              </w:rPr>
              <w:t>2.管理人员</w:t>
            </w:r>
          </w:p>
          <w:p w14:paraId="499B7A4D">
            <w:pPr>
              <w:keepNext w:val="0"/>
              <w:keepLines w:val="0"/>
              <w:pageBreakBefore w:val="0"/>
              <w:numPr>
                <w:ilvl w:val="-1"/>
                <w:numId w:val="0"/>
              </w:numPr>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en-US" w:eastAsia="zh-CN"/>
              </w:rPr>
              <w:t>（1）现场负责人：</w:t>
            </w:r>
            <w:r>
              <w:rPr>
                <w:rFonts w:hint="eastAsia" w:asciiTheme="majorEastAsia" w:hAnsiTheme="majorEastAsia" w:eastAsiaTheme="majorEastAsia" w:cstheme="majorEastAsia"/>
                <w:bCs/>
                <w:color w:val="auto"/>
                <w:sz w:val="24"/>
                <w:szCs w:val="24"/>
                <w:highlight w:val="none"/>
                <w:u w:val="none"/>
                <w:lang w:val="zh-CN"/>
              </w:rPr>
              <w:t>要求配备现场负责人不少于5名，能与采购人随时保持联系，接受采购人的检查及指导，必须专门用于本项目，不得与其他任何项目混用，</w:t>
            </w:r>
            <w:r>
              <w:rPr>
                <w:rFonts w:hint="eastAsia" w:asciiTheme="majorEastAsia" w:hAnsiTheme="majorEastAsia" w:eastAsiaTheme="majorEastAsia" w:cstheme="majorEastAsia"/>
                <w:b w:val="0"/>
                <w:bCs/>
                <w:color w:val="auto"/>
                <w:sz w:val="24"/>
                <w:szCs w:val="24"/>
                <w:highlight w:val="none"/>
                <w:u w:val="none"/>
                <w:lang w:val="zh-CN"/>
              </w:rPr>
              <w:t>未经同意不得擅自更换，</w:t>
            </w:r>
            <w:r>
              <w:rPr>
                <w:rFonts w:hint="eastAsia" w:asciiTheme="majorEastAsia" w:hAnsiTheme="majorEastAsia" w:eastAsiaTheme="majorEastAsia" w:cstheme="majorEastAsia"/>
                <w:bCs/>
                <w:color w:val="auto"/>
                <w:sz w:val="24"/>
                <w:szCs w:val="24"/>
                <w:highlight w:val="none"/>
                <w:u w:val="none"/>
                <w:lang w:val="zh-CN"/>
              </w:rPr>
              <w:t>从业人员须统一着安全服。</w:t>
            </w:r>
          </w:p>
          <w:p w14:paraId="590664DB">
            <w:pPr>
              <w:keepNext w:val="0"/>
              <w:keepLines w:val="0"/>
              <w:pageBreakBefore w:val="0"/>
              <w:numPr>
                <w:ilvl w:val="-1"/>
                <w:numId w:val="0"/>
              </w:numPr>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en-US" w:eastAsia="zh-CN"/>
              </w:rPr>
              <w:t>（2）</w:t>
            </w:r>
            <w:r>
              <w:rPr>
                <w:rFonts w:hint="eastAsia" w:asciiTheme="majorEastAsia" w:hAnsiTheme="majorEastAsia" w:eastAsiaTheme="majorEastAsia" w:cstheme="majorEastAsia"/>
                <w:bCs/>
                <w:color w:val="auto"/>
                <w:sz w:val="24"/>
                <w:szCs w:val="24"/>
                <w:highlight w:val="none"/>
                <w:u w:val="none"/>
                <w:lang w:val="zh-CN"/>
              </w:rPr>
              <w:t>技术管理员：要求配备不少于24名，技术管理员必须为园林绿化相关专业人员,持园林、园艺、植物保护</w:t>
            </w:r>
            <w:r>
              <w:rPr>
                <w:rFonts w:hint="eastAsia" w:asciiTheme="majorEastAsia" w:hAnsiTheme="majorEastAsia" w:eastAsiaTheme="majorEastAsia" w:cstheme="majorEastAsia"/>
                <w:bCs/>
                <w:color w:val="auto"/>
                <w:sz w:val="24"/>
                <w:szCs w:val="24"/>
                <w:highlight w:val="none"/>
                <w:u w:val="none"/>
              </w:rPr>
              <w:t>、农学、林学</w:t>
            </w:r>
            <w:r>
              <w:rPr>
                <w:rFonts w:hint="eastAsia" w:asciiTheme="majorEastAsia" w:hAnsiTheme="majorEastAsia" w:eastAsiaTheme="majorEastAsia" w:cstheme="majorEastAsia"/>
                <w:bCs/>
                <w:color w:val="auto"/>
                <w:sz w:val="24"/>
                <w:szCs w:val="24"/>
                <w:highlight w:val="none"/>
                <w:u w:val="none"/>
                <w:lang w:val="zh-CN"/>
              </w:rPr>
              <w:t>等相关专业毕业证或相关专业职业资格证书，能与采购人随时保持联系，接受采购人的检查及指导，上述人员配置必须专门用于本项目，不得与其他任何项目混用，</w:t>
            </w:r>
            <w:r>
              <w:rPr>
                <w:rFonts w:hint="eastAsia" w:asciiTheme="majorEastAsia" w:hAnsiTheme="majorEastAsia" w:eastAsiaTheme="majorEastAsia" w:cstheme="majorEastAsia"/>
                <w:b w:val="0"/>
                <w:bCs/>
                <w:color w:val="auto"/>
                <w:sz w:val="24"/>
                <w:szCs w:val="24"/>
                <w:highlight w:val="none"/>
                <w:u w:val="none"/>
                <w:lang w:val="zh-CN"/>
              </w:rPr>
              <w:t>未经同意不得擅自更换，</w:t>
            </w:r>
            <w:r>
              <w:rPr>
                <w:rFonts w:hint="eastAsia" w:asciiTheme="majorEastAsia" w:hAnsiTheme="majorEastAsia" w:eastAsiaTheme="majorEastAsia" w:cstheme="majorEastAsia"/>
                <w:bCs/>
                <w:color w:val="auto"/>
                <w:sz w:val="24"/>
                <w:szCs w:val="24"/>
                <w:highlight w:val="none"/>
                <w:u w:val="none"/>
                <w:lang w:val="zh-CN"/>
              </w:rPr>
              <w:t>从业人员须统一着安全服。</w:t>
            </w:r>
          </w:p>
          <w:p w14:paraId="42DB929E">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3</w:t>
            </w: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须</w:t>
            </w:r>
            <w:r>
              <w:rPr>
                <w:rFonts w:hint="eastAsia" w:asciiTheme="majorEastAsia" w:hAnsiTheme="majorEastAsia" w:eastAsiaTheme="majorEastAsia" w:cstheme="majorEastAsia"/>
                <w:bCs/>
                <w:color w:val="auto"/>
                <w:sz w:val="24"/>
                <w:szCs w:val="24"/>
                <w:highlight w:val="none"/>
                <w:u w:val="none"/>
                <w:lang w:val="zh-CN"/>
              </w:rPr>
              <w:t>设置施工安全员</w:t>
            </w:r>
            <w:r>
              <w:rPr>
                <w:rFonts w:hint="eastAsia" w:asciiTheme="majorEastAsia" w:hAnsiTheme="majorEastAsia" w:eastAsiaTheme="majorEastAsia" w:cstheme="majorEastAsia"/>
                <w:bCs/>
                <w:color w:val="auto"/>
                <w:sz w:val="24"/>
                <w:szCs w:val="24"/>
                <w:highlight w:val="none"/>
                <w:u w:val="none"/>
              </w:rPr>
              <w:t>5名，可专设或由本项目的现场负责人或技术管理员兼任。</w:t>
            </w:r>
            <w:r>
              <w:rPr>
                <w:rFonts w:hint="eastAsia" w:asciiTheme="majorEastAsia" w:hAnsiTheme="majorEastAsia" w:eastAsiaTheme="majorEastAsia" w:cstheme="majorEastAsia"/>
                <w:bCs/>
                <w:color w:val="auto"/>
                <w:sz w:val="24"/>
                <w:szCs w:val="24"/>
                <w:highlight w:val="none"/>
                <w:u w:val="none"/>
                <w:lang w:val="zh-CN"/>
              </w:rPr>
              <w:t>施工安全员必须持有效的安全生产</w:t>
            </w:r>
            <w:r>
              <w:rPr>
                <w:rFonts w:hint="eastAsia" w:asciiTheme="majorEastAsia" w:hAnsiTheme="majorEastAsia" w:eastAsiaTheme="majorEastAsia" w:cstheme="majorEastAsia"/>
                <w:bCs/>
                <w:color w:val="auto"/>
                <w:sz w:val="24"/>
                <w:szCs w:val="24"/>
                <w:highlight w:val="none"/>
                <w:u w:val="none"/>
                <w:lang w:val="zh-CN" w:eastAsia="zh-CN"/>
              </w:rPr>
              <w:t>考核</w:t>
            </w:r>
            <w:r>
              <w:rPr>
                <w:rFonts w:hint="eastAsia" w:asciiTheme="majorEastAsia" w:hAnsiTheme="majorEastAsia" w:eastAsiaTheme="majorEastAsia" w:cstheme="majorEastAsia"/>
                <w:bCs/>
                <w:color w:val="auto"/>
                <w:sz w:val="24"/>
                <w:szCs w:val="24"/>
                <w:highlight w:val="none"/>
                <w:u w:val="none"/>
                <w:lang w:val="zh-CN"/>
              </w:rPr>
              <w:t>合格证书（</w:t>
            </w:r>
            <w:r>
              <w:rPr>
                <w:rFonts w:hint="eastAsia" w:asciiTheme="majorEastAsia" w:hAnsiTheme="majorEastAsia" w:eastAsiaTheme="majorEastAsia" w:cstheme="majorEastAsia"/>
                <w:bCs/>
                <w:color w:val="auto"/>
                <w:sz w:val="24"/>
                <w:szCs w:val="24"/>
                <w:highlight w:val="none"/>
                <w:u w:val="none"/>
                <w:lang w:val="en-US" w:eastAsia="zh-CN"/>
              </w:rPr>
              <w:t>C类</w:t>
            </w:r>
            <w:r>
              <w:rPr>
                <w:rFonts w:hint="eastAsia" w:asciiTheme="majorEastAsia" w:hAnsiTheme="majorEastAsia" w:eastAsiaTheme="majorEastAsia" w:cstheme="majorEastAsia"/>
                <w:bCs/>
                <w:color w:val="auto"/>
                <w:sz w:val="24"/>
                <w:szCs w:val="24"/>
                <w:highlight w:val="none"/>
                <w:u w:val="none"/>
                <w:lang w:val="zh-CN"/>
              </w:rPr>
              <w:t>）或注册安全工程师资格证，能与采购人随时保持联系，接受采购人的检查及指导，上述人员配置必须专门用于本项目，不得与其他任何项目混用，从业人员须统一着安全服。</w:t>
            </w:r>
          </w:p>
          <w:p w14:paraId="13E4EE03">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4</w:t>
            </w: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rPr>
              <w:t>须</w:t>
            </w:r>
            <w:r>
              <w:rPr>
                <w:rFonts w:hint="eastAsia" w:asciiTheme="majorEastAsia" w:hAnsiTheme="majorEastAsia" w:eastAsiaTheme="majorEastAsia" w:cstheme="majorEastAsia"/>
                <w:bCs/>
                <w:color w:val="auto"/>
                <w:sz w:val="24"/>
                <w:szCs w:val="24"/>
                <w:highlight w:val="none"/>
                <w:u w:val="none"/>
                <w:lang w:val="zh-CN"/>
              </w:rPr>
              <w:t>设置植物保护专业技术人员</w:t>
            </w:r>
            <w:r>
              <w:rPr>
                <w:rFonts w:hint="eastAsia" w:asciiTheme="majorEastAsia" w:hAnsiTheme="majorEastAsia" w:eastAsiaTheme="majorEastAsia" w:cstheme="majorEastAsia"/>
                <w:bCs/>
                <w:color w:val="auto"/>
                <w:sz w:val="24"/>
                <w:szCs w:val="24"/>
                <w:highlight w:val="none"/>
                <w:u w:val="none"/>
              </w:rPr>
              <w:t>2名，可专设或由本项目的技术管理员兼任。</w:t>
            </w:r>
            <w:r>
              <w:rPr>
                <w:rFonts w:hint="eastAsia" w:asciiTheme="majorEastAsia" w:hAnsiTheme="majorEastAsia" w:eastAsiaTheme="majorEastAsia" w:cstheme="majorEastAsia"/>
                <w:bCs/>
                <w:color w:val="auto"/>
                <w:sz w:val="24"/>
                <w:szCs w:val="24"/>
                <w:highlight w:val="none"/>
                <w:u w:val="none"/>
                <w:lang w:val="zh-CN"/>
              </w:rPr>
              <w:t>植物保护专业技术人员毕业专业必须为植物保护专业，能与采购人随时保持联系，接受采购人的检查及指导，上述人员配置必须专门用于本项目，不得与其他任何项目混用，从业人员须统一着安全服。</w:t>
            </w:r>
          </w:p>
          <w:p w14:paraId="1B54341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▲（二）生产、管理车辆配置：日常养护生产所需的生产、管理车辆最低如下配置，含淋水车</w:t>
            </w:r>
            <w:r>
              <w:rPr>
                <w:rFonts w:hint="eastAsia" w:asciiTheme="majorEastAsia" w:hAnsiTheme="majorEastAsia" w:eastAsiaTheme="majorEastAsia" w:cstheme="majorEastAsia"/>
                <w:bCs/>
                <w:color w:val="auto"/>
                <w:sz w:val="24"/>
                <w:szCs w:val="24"/>
                <w:highlight w:val="none"/>
                <w:u w:val="none"/>
                <w:lang w:val="en-US" w:eastAsia="zh-CN"/>
              </w:rPr>
              <w:t>6</w:t>
            </w:r>
            <w:r>
              <w:rPr>
                <w:rFonts w:hint="eastAsia" w:asciiTheme="majorEastAsia" w:hAnsiTheme="majorEastAsia" w:eastAsiaTheme="majorEastAsia" w:cstheme="majorEastAsia"/>
                <w:bCs/>
                <w:color w:val="auto"/>
                <w:sz w:val="24"/>
                <w:szCs w:val="24"/>
                <w:highlight w:val="none"/>
                <w:u w:val="none"/>
              </w:rPr>
              <w:t>6辆</w:t>
            </w:r>
            <w:r>
              <w:rPr>
                <w:rFonts w:hint="eastAsia" w:asciiTheme="majorEastAsia" w:hAnsiTheme="majorEastAsia" w:eastAsiaTheme="majorEastAsia" w:cstheme="majorEastAsia"/>
                <w:bCs/>
                <w:color w:val="auto"/>
                <w:sz w:val="24"/>
                <w:szCs w:val="24"/>
                <w:highlight w:val="none"/>
                <w:u w:val="none"/>
                <w:lang w:val="zh-CN"/>
              </w:rPr>
              <w:t>，喷药车</w:t>
            </w:r>
            <w:r>
              <w:rPr>
                <w:rFonts w:hint="eastAsia" w:asciiTheme="majorEastAsia" w:hAnsiTheme="majorEastAsia" w:eastAsiaTheme="majorEastAsia" w:cstheme="majorEastAsia"/>
                <w:bCs/>
                <w:color w:val="auto"/>
                <w:sz w:val="24"/>
                <w:szCs w:val="24"/>
                <w:highlight w:val="none"/>
                <w:u w:val="none"/>
              </w:rPr>
              <w:t>2</w:t>
            </w:r>
            <w:r>
              <w:rPr>
                <w:rFonts w:hint="eastAsia" w:asciiTheme="majorEastAsia" w:hAnsiTheme="majorEastAsia" w:eastAsiaTheme="majorEastAsia" w:cstheme="majorEastAsia"/>
                <w:bCs/>
                <w:color w:val="auto"/>
                <w:sz w:val="24"/>
                <w:szCs w:val="24"/>
                <w:highlight w:val="none"/>
                <w:u w:val="none"/>
                <w:lang w:val="en-US" w:eastAsia="zh-CN"/>
              </w:rPr>
              <w:t>2</w:t>
            </w:r>
            <w:r>
              <w:rPr>
                <w:rFonts w:hint="eastAsia" w:asciiTheme="majorEastAsia" w:hAnsiTheme="majorEastAsia" w:eastAsiaTheme="majorEastAsia" w:cstheme="majorEastAsia"/>
                <w:bCs/>
                <w:color w:val="auto"/>
                <w:sz w:val="24"/>
                <w:szCs w:val="24"/>
                <w:highlight w:val="none"/>
                <w:u w:val="none"/>
              </w:rPr>
              <w:t>辆</w:t>
            </w:r>
            <w:r>
              <w:rPr>
                <w:rFonts w:hint="eastAsia" w:asciiTheme="majorEastAsia" w:hAnsiTheme="majorEastAsia" w:eastAsiaTheme="majorEastAsia" w:cstheme="majorEastAsia"/>
                <w:bCs/>
                <w:color w:val="auto"/>
                <w:sz w:val="24"/>
                <w:szCs w:val="24"/>
                <w:highlight w:val="none"/>
                <w:u w:val="none"/>
                <w:lang w:val="zh-CN"/>
              </w:rPr>
              <w:t>，货车</w:t>
            </w:r>
            <w:r>
              <w:rPr>
                <w:rFonts w:hint="eastAsia" w:asciiTheme="majorEastAsia" w:hAnsiTheme="majorEastAsia" w:eastAsiaTheme="majorEastAsia" w:cstheme="majorEastAsia"/>
                <w:bCs/>
                <w:color w:val="auto"/>
                <w:sz w:val="24"/>
                <w:szCs w:val="24"/>
                <w:highlight w:val="none"/>
                <w:u w:val="none"/>
                <w:lang w:val="en-US" w:eastAsia="zh-CN"/>
              </w:rPr>
              <w:t>32</w:t>
            </w:r>
            <w:r>
              <w:rPr>
                <w:rFonts w:hint="eastAsia" w:asciiTheme="majorEastAsia" w:hAnsiTheme="majorEastAsia" w:eastAsiaTheme="majorEastAsia" w:cstheme="majorEastAsia"/>
                <w:bCs/>
                <w:color w:val="auto"/>
                <w:sz w:val="24"/>
                <w:szCs w:val="24"/>
                <w:highlight w:val="none"/>
                <w:u w:val="none"/>
              </w:rPr>
              <w:t>辆</w:t>
            </w:r>
            <w:r>
              <w:rPr>
                <w:rFonts w:hint="eastAsia" w:asciiTheme="majorEastAsia" w:hAnsiTheme="majorEastAsia" w:eastAsiaTheme="majorEastAsia" w:cstheme="majorEastAsia"/>
                <w:bCs/>
                <w:color w:val="auto"/>
                <w:sz w:val="24"/>
                <w:szCs w:val="24"/>
                <w:highlight w:val="none"/>
                <w:u w:val="none"/>
                <w:lang w:val="zh-CN"/>
              </w:rPr>
              <w:t>，管理用车</w:t>
            </w:r>
            <w:r>
              <w:rPr>
                <w:rFonts w:hint="eastAsia" w:asciiTheme="majorEastAsia" w:hAnsiTheme="majorEastAsia" w:eastAsiaTheme="majorEastAsia" w:cstheme="majorEastAsia"/>
                <w:bCs/>
                <w:color w:val="auto"/>
                <w:sz w:val="24"/>
                <w:szCs w:val="24"/>
                <w:highlight w:val="none"/>
                <w:u w:val="none"/>
              </w:rPr>
              <w:t>24辆，高空作业车5辆，8吨或以上吊车4辆</w:t>
            </w:r>
            <w:r>
              <w:rPr>
                <w:rFonts w:hint="eastAsia" w:asciiTheme="majorEastAsia" w:hAnsiTheme="majorEastAsia" w:eastAsiaTheme="majorEastAsia" w:cstheme="majorEastAsia"/>
                <w:bCs/>
                <w:color w:val="auto"/>
                <w:sz w:val="24"/>
                <w:szCs w:val="24"/>
                <w:highlight w:val="none"/>
                <w:u w:val="none"/>
                <w:lang w:val="zh-CN"/>
              </w:rPr>
              <w:t>，防撞缓冲车</w:t>
            </w:r>
            <w:r>
              <w:rPr>
                <w:rFonts w:hint="eastAsia" w:asciiTheme="majorEastAsia" w:hAnsiTheme="majorEastAsia" w:eastAsiaTheme="majorEastAsia" w:cstheme="majorEastAsia"/>
                <w:bCs/>
                <w:color w:val="auto"/>
                <w:sz w:val="24"/>
                <w:szCs w:val="24"/>
                <w:highlight w:val="none"/>
                <w:u w:val="none"/>
              </w:rPr>
              <w:t>2辆，30座以上客车2辆</w:t>
            </w:r>
            <w:r>
              <w:rPr>
                <w:rFonts w:hint="eastAsia" w:asciiTheme="majorEastAsia" w:hAnsiTheme="majorEastAsia" w:eastAsiaTheme="majorEastAsia" w:cstheme="majorEastAsia"/>
                <w:bCs/>
                <w:color w:val="auto"/>
                <w:sz w:val="24"/>
                <w:szCs w:val="24"/>
                <w:highlight w:val="none"/>
                <w:u w:val="none"/>
                <w:lang w:val="zh-CN"/>
              </w:rPr>
              <w:t>。</w:t>
            </w:r>
          </w:p>
          <w:p w14:paraId="1E57E10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（三）园林机械设备配置：日常养护生产所需的园林机械设备最低按以下配置，油锯</w:t>
            </w:r>
            <w:r>
              <w:rPr>
                <w:rFonts w:hint="eastAsia" w:asciiTheme="majorEastAsia" w:hAnsiTheme="majorEastAsia" w:eastAsiaTheme="majorEastAsia" w:cstheme="majorEastAsia"/>
                <w:bCs/>
                <w:color w:val="auto"/>
                <w:sz w:val="24"/>
                <w:szCs w:val="24"/>
                <w:highlight w:val="none"/>
                <w:u w:val="none"/>
              </w:rPr>
              <w:t>120</w:t>
            </w:r>
            <w:r>
              <w:rPr>
                <w:rFonts w:hint="eastAsia" w:asciiTheme="majorEastAsia" w:hAnsiTheme="majorEastAsia" w:eastAsiaTheme="majorEastAsia" w:cstheme="majorEastAsia"/>
                <w:bCs/>
                <w:color w:val="auto"/>
                <w:sz w:val="24"/>
                <w:szCs w:val="24"/>
                <w:highlight w:val="none"/>
                <w:u w:val="none"/>
                <w:lang w:val="zh-CN"/>
              </w:rPr>
              <w:t>台，绿篱机</w:t>
            </w:r>
            <w:r>
              <w:rPr>
                <w:rFonts w:hint="eastAsia" w:asciiTheme="majorEastAsia" w:hAnsiTheme="majorEastAsia" w:eastAsiaTheme="majorEastAsia" w:cstheme="majorEastAsia"/>
                <w:bCs/>
                <w:color w:val="auto"/>
                <w:sz w:val="24"/>
                <w:szCs w:val="24"/>
                <w:highlight w:val="none"/>
                <w:u w:val="none"/>
              </w:rPr>
              <w:t>240</w:t>
            </w:r>
            <w:r>
              <w:rPr>
                <w:rFonts w:hint="eastAsia" w:asciiTheme="majorEastAsia" w:hAnsiTheme="majorEastAsia" w:eastAsiaTheme="majorEastAsia" w:cstheme="majorEastAsia"/>
                <w:bCs/>
                <w:color w:val="auto"/>
                <w:sz w:val="24"/>
                <w:szCs w:val="24"/>
                <w:highlight w:val="none"/>
                <w:u w:val="none"/>
                <w:lang w:val="zh-CN"/>
              </w:rPr>
              <w:t>台，打草机</w:t>
            </w:r>
            <w:r>
              <w:rPr>
                <w:rFonts w:hint="eastAsia" w:asciiTheme="majorEastAsia" w:hAnsiTheme="majorEastAsia" w:eastAsiaTheme="majorEastAsia" w:cstheme="majorEastAsia"/>
                <w:bCs/>
                <w:color w:val="auto"/>
                <w:sz w:val="24"/>
                <w:szCs w:val="24"/>
                <w:highlight w:val="none"/>
                <w:u w:val="none"/>
              </w:rPr>
              <w:t>48</w:t>
            </w:r>
            <w:r>
              <w:rPr>
                <w:rFonts w:hint="eastAsia" w:asciiTheme="majorEastAsia" w:hAnsiTheme="majorEastAsia" w:eastAsiaTheme="majorEastAsia" w:cstheme="majorEastAsia"/>
                <w:bCs/>
                <w:color w:val="auto"/>
                <w:sz w:val="24"/>
                <w:szCs w:val="24"/>
                <w:highlight w:val="none"/>
                <w:u w:val="none"/>
                <w:lang w:val="zh-CN"/>
              </w:rPr>
              <w:t>台，割灌机</w:t>
            </w:r>
            <w:r>
              <w:rPr>
                <w:rFonts w:hint="eastAsia" w:asciiTheme="majorEastAsia" w:hAnsiTheme="majorEastAsia" w:eastAsiaTheme="majorEastAsia" w:cstheme="majorEastAsia"/>
                <w:bCs/>
                <w:color w:val="auto"/>
                <w:sz w:val="24"/>
                <w:szCs w:val="24"/>
                <w:highlight w:val="none"/>
                <w:u w:val="none"/>
              </w:rPr>
              <w:t>96</w:t>
            </w:r>
            <w:r>
              <w:rPr>
                <w:rFonts w:hint="eastAsia" w:asciiTheme="majorEastAsia" w:hAnsiTheme="majorEastAsia" w:eastAsiaTheme="majorEastAsia" w:cstheme="majorEastAsia"/>
                <w:bCs/>
                <w:color w:val="auto"/>
                <w:sz w:val="24"/>
                <w:szCs w:val="24"/>
                <w:highlight w:val="none"/>
                <w:u w:val="none"/>
                <w:lang w:val="zh-CN"/>
              </w:rPr>
              <w:t>台，高空绿篱机</w:t>
            </w:r>
            <w:r>
              <w:rPr>
                <w:rFonts w:hint="eastAsia" w:asciiTheme="majorEastAsia" w:hAnsiTheme="majorEastAsia" w:eastAsiaTheme="majorEastAsia" w:cstheme="majorEastAsia"/>
                <w:bCs/>
                <w:color w:val="auto"/>
                <w:sz w:val="24"/>
                <w:szCs w:val="24"/>
                <w:highlight w:val="none"/>
                <w:u w:val="none"/>
              </w:rPr>
              <w:t>30台，</w:t>
            </w:r>
            <w:r>
              <w:rPr>
                <w:rFonts w:hint="eastAsia" w:asciiTheme="majorEastAsia" w:hAnsiTheme="majorEastAsia" w:eastAsiaTheme="majorEastAsia" w:cstheme="majorEastAsia"/>
                <w:bCs/>
                <w:color w:val="auto"/>
                <w:sz w:val="24"/>
                <w:szCs w:val="24"/>
                <w:highlight w:val="none"/>
                <w:u w:val="none"/>
                <w:lang w:val="zh-CN"/>
              </w:rPr>
              <w:t>能够满足养护工作需求。</w:t>
            </w:r>
          </w:p>
          <w:p w14:paraId="0A044BC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四）生产工具、安全设施配置：主要指日常养护所需的生产工具、个人劳保用品及安全防护用具，如铲、锄、手锯、冬青剪、淋水胶管、手套、口罩、草帽、雨衣、安全服、安全锥、安全警示牌、打草防护网等。其中，安全防护用具不得低于以下标准配备：安全服1套/人（需在明显位置印制绿管中心和公司简称字样）、安全锥2个/人、安全警示牌每10人1个。</w:t>
            </w:r>
          </w:p>
          <w:p w14:paraId="23DF6FB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（五）耗材配置：按相关技术要求所需质量、数量的农药、化肥、植物防寒及应急抢险等所需材料。</w:t>
            </w:r>
          </w:p>
          <w:p w14:paraId="03139B9D">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bCs/>
                <w:color w:val="auto"/>
                <w:sz w:val="24"/>
                <w:szCs w:val="24"/>
                <w:highlight w:val="none"/>
                <w:u w:val="none"/>
                <w:lang w:val="zh-CN"/>
              </w:rPr>
            </w:pPr>
            <w:r>
              <w:rPr>
                <w:rFonts w:hint="eastAsia" w:asciiTheme="majorEastAsia" w:hAnsiTheme="majorEastAsia" w:eastAsiaTheme="majorEastAsia" w:cstheme="majorEastAsia"/>
                <w:bCs/>
                <w:color w:val="auto"/>
                <w:sz w:val="24"/>
                <w:szCs w:val="24"/>
                <w:highlight w:val="none"/>
                <w:u w:val="none"/>
                <w:lang w:val="zh-CN"/>
              </w:rPr>
              <w:t>▲（六）养护管理用房：主要指具备办公、仓储、车辆停放等功能的场所。采购人不提供养护管理用房，中标</w:t>
            </w:r>
            <w:r>
              <w:rPr>
                <w:rFonts w:hint="eastAsia" w:asciiTheme="majorEastAsia" w:hAnsiTheme="majorEastAsia" w:eastAsiaTheme="majorEastAsia" w:cstheme="majorEastAsia"/>
                <w:bCs/>
                <w:color w:val="auto"/>
                <w:sz w:val="24"/>
                <w:szCs w:val="24"/>
                <w:highlight w:val="none"/>
                <w:u w:val="none"/>
                <w:lang w:val="en-US" w:eastAsia="zh-CN"/>
              </w:rPr>
              <w:t>供应商须</w:t>
            </w:r>
            <w:r>
              <w:rPr>
                <w:rFonts w:hint="eastAsia" w:asciiTheme="majorEastAsia" w:hAnsiTheme="majorEastAsia" w:eastAsiaTheme="majorEastAsia" w:cstheme="majorEastAsia"/>
                <w:bCs/>
                <w:color w:val="auto"/>
                <w:sz w:val="24"/>
                <w:szCs w:val="24"/>
                <w:highlight w:val="none"/>
                <w:u w:val="none"/>
                <w:lang w:val="zh-CN"/>
              </w:rPr>
              <w:t>在管养路段内或附近最少设有10处养护管理用房，且需按采购人要求设置，要求尽量分布均匀，便于管理和应急抢险。</w:t>
            </w:r>
          </w:p>
          <w:p w14:paraId="630D94A0">
            <w:pPr>
              <w:pStyle w:val="19"/>
              <w:keepNext w:val="0"/>
              <w:keepLines w:val="0"/>
              <w:pageBreakBefore w:val="0"/>
              <w:widowControl w:val="0"/>
              <w:numPr>
                <w:ilvl w:val="0"/>
                <w:numId w:val="0"/>
              </w:numPr>
              <w:kinsoku/>
              <w:wordWrap w:val="0"/>
              <w:overflowPunct/>
              <w:topLinePunct w:val="0"/>
              <w:autoSpaceDE/>
              <w:autoSpaceDN/>
              <w:bidi w:val="0"/>
              <w:adjustRightInd/>
              <w:snapToGrid/>
              <w:spacing w:after="0" w:afterLines="0" w:line="360" w:lineRule="auto"/>
              <w:ind w:firstLine="0" w:firstLineChars="0"/>
              <w:textAlignment w:val="auto"/>
              <w:rPr>
                <w:rFonts w:hint="eastAsia" w:asciiTheme="majorEastAsia" w:hAnsiTheme="majorEastAsia" w:eastAsiaTheme="majorEastAsia" w:cstheme="majorEastAsia"/>
                <w:color w:val="auto"/>
                <w:kern w:val="0"/>
                <w:sz w:val="24"/>
                <w:szCs w:val="24"/>
                <w:highlight w:val="none"/>
                <w:u w:val="none"/>
                <w:lang w:val="en-US" w:eastAsia="zh-CN"/>
              </w:rPr>
            </w:pPr>
            <w:r>
              <w:rPr>
                <w:rFonts w:hint="eastAsia" w:asciiTheme="majorEastAsia" w:hAnsiTheme="majorEastAsia" w:eastAsiaTheme="majorEastAsia" w:cstheme="majorEastAsia"/>
                <w:bCs/>
                <w:color w:val="auto"/>
                <w:sz w:val="24"/>
                <w:szCs w:val="24"/>
                <w:highlight w:val="none"/>
                <w:u w:val="none"/>
                <w:lang w:val="zh-CN"/>
              </w:rPr>
              <w:t>▲</w:t>
            </w:r>
            <w:r>
              <w:rPr>
                <w:rFonts w:hint="eastAsia" w:asciiTheme="majorEastAsia" w:hAnsiTheme="majorEastAsia" w:eastAsiaTheme="majorEastAsia" w:cstheme="majorEastAsia"/>
                <w:bCs/>
                <w:color w:val="auto"/>
                <w:sz w:val="24"/>
                <w:szCs w:val="24"/>
                <w:highlight w:val="none"/>
                <w:u w:val="none"/>
                <w:lang w:eastAsia="zh-CN"/>
              </w:rPr>
              <w:t>（七）</w:t>
            </w:r>
            <w:r>
              <w:rPr>
                <w:rFonts w:hint="eastAsia" w:asciiTheme="majorEastAsia" w:hAnsiTheme="majorEastAsia" w:eastAsiaTheme="majorEastAsia" w:cstheme="majorEastAsia"/>
                <w:bCs/>
                <w:color w:val="auto"/>
                <w:sz w:val="24"/>
                <w:szCs w:val="24"/>
                <w:highlight w:val="none"/>
                <w:u w:val="none"/>
              </w:rPr>
              <w:t>建立道路绿化养护智慧化管理平台，包含3大基础功能：（1）能实现养护管理任务派发、执行反馈、监督考核等全流程闭环的监管系统；（2）具有道路绿化植物生长状态及环境情况监测功能的传感器设备</w:t>
            </w:r>
            <w:r>
              <w:rPr>
                <w:rFonts w:hint="eastAsia" w:asciiTheme="majorEastAsia" w:hAnsiTheme="majorEastAsia" w:eastAsiaTheme="majorEastAsia" w:cstheme="majorEastAsia"/>
                <w:color w:val="auto"/>
                <w:sz w:val="24"/>
                <w:highlight w:val="none"/>
                <w:u w:val="none"/>
                <w:lang w:eastAsia="zh-CN"/>
              </w:rPr>
              <w:t>（包括但不限于</w:t>
            </w:r>
            <w:r>
              <w:rPr>
                <w:rFonts w:hint="eastAsia" w:asciiTheme="majorEastAsia" w:hAnsiTheme="majorEastAsia" w:eastAsiaTheme="majorEastAsia" w:cstheme="majorEastAsia"/>
                <w:bCs/>
                <w:color w:val="auto"/>
                <w:sz w:val="24"/>
                <w:szCs w:val="24"/>
                <w:highlight w:val="none"/>
                <w:u w:val="none"/>
              </w:rPr>
              <w:t>双层土壤水分温度测定仪</w:t>
            </w:r>
            <w:r>
              <w:rPr>
                <w:rFonts w:hint="eastAsia" w:asciiTheme="majorEastAsia" w:hAnsiTheme="majorEastAsia" w:eastAsiaTheme="majorEastAsia" w:cstheme="majorEastAsia"/>
                <w:bCs/>
                <w:color w:val="auto"/>
                <w:sz w:val="24"/>
                <w:szCs w:val="24"/>
                <w:highlight w:val="none"/>
                <w:u w:val="none"/>
                <w:lang w:eastAsia="zh-CN"/>
              </w:rPr>
              <w:t>等</w:t>
            </w:r>
            <w:r>
              <w:rPr>
                <w:rFonts w:hint="eastAsia" w:asciiTheme="majorEastAsia" w:hAnsiTheme="majorEastAsia" w:eastAsiaTheme="majorEastAsia" w:cstheme="majorEastAsia"/>
                <w:color w:val="auto"/>
                <w:sz w:val="24"/>
                <w:highlight w:val="none"/>
                <w:u w:val="none"/>
                <w:lang w:eastAsia="zh-CN"/>
              </w:rPr>
              <w:t>）</w:t>
            </w:r>
            <w:r>
              <w:rPr>
                <w:rFonts w:hint="eastAsia" w:asciiTheme="majorEastAsia" w:hAnsiTheme="majorEastAsia" w:eastAsiaTheme="majorEastAsia" w:cstheme="majorEastAsia"/>
                <w:bCs/>
                <w:color w:val="auto"/>
                <w:sz w:val="24"/>
                <w:szCs w:val="24"/>
                <w:highlight w:val="none"/>
                <w:u w:val="none"/>
              </w:rPr>
              <w:t>，且须按采购人要求在指定的道路安装。其中至少安装10个双层土壤水分温度测定仪，在民族大道、竹溪大道、平乐大道等后排绿地安装至少</w:t>
            </w:r>
            <w:r>
              <w:rPr>
                <w:rFonts w:hint="eastAsia" w:asciiTheme="majorEastAsia" w:hAnsiTheme="majorEastAsia" w:eastAsiaTheme="majorEastAsia" w:cstheme="majorEastAsia"/>
                <w:bCs/>
                <w:color w:val="auto"/>
                <w:sz w:val="24"/>
                <w:szCs w:val="24"/>
                <w:highlight w:val="none"/>
                <w:u w:val="none"/>
                <w:lang w:val="en-US" w:eastAsia="zh-CN"/>
              </w:rPr>
              <w:t>8</w:t>
            </w:r>
            <w:r>
              <w:rPr>
                <w:rFonts w:hint="eastAsia" w:asciiTheme="majorEastAsia" w:hAnsiTheme="majorEastAsia" w:eastAsiaTheme="majorEastAsia" w:cstheme="majorEastAsia"/>
                <w:bCs/>
                <w:color w:val="auto"/>
                <w:sz w:val="24"/>
                <w:szCs w:val="24"/>
                <w:highlight w:val="none"/>
                <w:u w:val="none"/>
              </w:rPr>
              <w:t>00米自动灌溉系统，能实现远程操控和自动灌溉。（3）有树木安全检测仪器，能对树</w:t>
            </w:r>
            <w:r>
              <w:rPr>
                <w:rFonts w:hint="eastAsia" w:asciiTheme="majorEastAsia" w:hAnsiTheme="majorEastAsia" w:eastAsiaTheme="majorEastAsia" w:cstheme="majorEastAsia"/>
                <w:bCs/>
                <w:color w:val="auto"/>
                <w:sz w:val="24"/>
                <w:szCs w:val="24"/>
                <w:highlight w:val="none"/>
                <w:u w:val="none"/>
                <w:lang w:val="en-US" w:eastAsia="zh-CN"/>
              </w:rPr>
              <w:t>体进行</w:t>
            </w:r>
            <w:r>
              <w:rPr>
                <w:rFonts w:hint="eastAsia" w:asciiTheme="majorEastAsia" w:hAnsiTheme="majorEastAsia" w:eastAsiaTheme="majorEastAsia" w:cstheme="majorEastAsia"/>
                <w:bCs/>
                <w:color w:val="auto"/>
                <w:sz w:val="24"/>
                <w:szCs w:val="24"/>
                <w:highlight w:val="none"/>
                <w:u w:val="none"/>
              </w:rPr>
              <w:t>无损检测</w:t>
            </w:r>
            <w:r>
              <w:rPr>
                <w:rFonts w:hint="eastAsia" w:asciiTheme="majorEastAsia" w:hAnsiTheme="majorEastAsia" w:eastAsiaTheme="majorEastAsia" w:cstheme="majorEastAsia"/>
                <w:bCs/>
                <w:color w:val="auto"/>
                <w:sz w:val="24"/>
                <w:szCs w:val="24"/>
                <w:highlight w:val="none"/>
                <w:u w:val="none"/>
                <w:lang w:eastAsia="zh-CN"/>
              </w:rPr>
              <w:t>，</w:t>
            </w:r>
            <w:r>
              <w:rPr>
                <w:rFonts w:hint="eastAsia" w:asciiTheme="majorEastAsia" w:hAnsiTheme="majorEastAsia" w:eastAsiaTheme="majorEastAsia" w:cstheme="majorEastAsia"/>
                <w:bCs/>
                <w:color w:val="auto"/>
                <w:sz w:val="24"/>
                <w:szCs w:val="24"/>
                <w:highlight w:val="none"/>
                <w:u w:val="none"/>
                <w:lang w:val="en-US" w:eastAsia="zh-CN"/>
              </w:rPr>
              <w:t>如树</w:t>
            </w:r>
            <w:r>
              <w:rPr>
                <w:rFonts w:hint="eastAsia" w:asciiTheme="majorEastAsia" w:hAnsiTheme="majorEastAsia" w:eastAsiaTheme="majorEastAsia" w:cstheme="majorEastAsia"/>
                <w:bCs/>
                <w:color w:val="auto"/>
                <w:sz w:val="24"/>
                <w:szCs w:val="24"/>
                <w:highlight w:val="none"/>
                <w:u w:val="none"/>
              </w:rPr>
              <w:t>干空洞、腐蚀</w:t>
            </w:r>
            <w:r>
              <w:rPr>
                <w:rFonts w:hint="eastAsia" w:asciiTheme="majorEastAsia" w:hAnsiTheme="majorEastAsia" w:eastAsiaTheme="majorEastAsia" w:cstheme="majorEastAsia"/>
                <w:bCs/>
                <w:color w:val="auto"/>
                <w:sz w:val="24"/>
                <w:szCs w:val="24"/>
                <w:highlight w:val="none"/>
                <w:u w:val="none"/>
                <w:lang w:val="en-US" w:eastAsia="zh-CN"/>
              </w:rPr>
              <w:t>等</w:t>
            </w:r>
            <w:r>
              <w:rPr>
                <w:rFonts w:hint="eastAsia" w:asciiTheme="majorEastAsia" w:hAnsiTheme="majorEastAsia" w:eastAsiaTheme="majorEastAsia" w:cstheme="majorEastAsia"/>
                <w:bCs/>
                <w:color w:val="auto"/>
                <w:sz w:val="24"/>
                <w:szCs w:val="24"/>
                <w:highlight w:val="none"/>
                <w:u w:val="none"/>
              </w:rPr>
              <w:t>。</w:t>
            </w:r>
          </w:p>
        </w:tc>
        <w:tc>
          <w:tcPr>
            <w:tcW w:w="1632" w:type="dxa"/>
            <w:vAlign w:val="center"/>
          </w:tcPr>
          <w:p w14:paraId="52712DB5">
            <w:pPr>
              <w:keepNext w:val="0"/>
              <w:keepLines w:val="0"/>
              <w:pageBreakBefore w:val="0"/>
              <w:kinsoku/>
              <w:wordWrap/>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lang w:val="en-US" w:eastAsia="zh-CN"/>
              </w:rPr>
            </w:pPr>
            <w:r>
              <w:rPr>
                <w:rFonts w:hint="eastAsia" w:asciiTheme="majorEastAsia" w:hAnsiTheme="majorEastAsia" w:eastAsiaTheme="majorEastAsia" w:cstheme="majorEastAsia"/>
                <w:color w:val="auto"/>
                <w:sz w:val="24"/>
                <w:szCs w:val="24"/>
                <w:highlight w:val="none"/>
                <w:u w:val="none"/>
                <w:lang w:val="en-US" w:eastAsia="zh-CN"/>
              </w:rPr>
              <w:t>76,107,357.31</w:t>
            </w:r>
          </w:p>
        </w:tc>
        <w:tc>
          <w:tcPr>
            <w:tcW w:w="1426" w:type="dxa"/>
            <w:vAlign w:val="center"/>
          </w:tcPr>
          <w:p w14:paraId="6EA66308">
            <w:pPr>
              <w:keepNext w:val="0"/>
              <w:keepLines w:val="0"/>
              <w:pageBreakBefore w:val="0"/>
              <w:kinsoku/>
              <w:wordWrap/>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其他未列明行业</w:t>
            </w:r>
          </w:p>
        </w:tc>
      </w:tr>
      <w:tr w14:paraId="638A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2" w:hRule="atLeast"/>
          <w:jc w:val="center"/>
        </w:trPr>
        <w:tc>
          <w:tcPr>
            <w:tcW w:w="611" w:type="dxa"/>
            <w:vAlign w:val="center"/>
          </w:tcPr>
          <w:p w14:paraId="0A047596">
            <w:pPr>
              <w:keepNext w:val="0"/>
              <w:keepLines w:val="0"/>
              <w:pageBreakBefore w:val="0"/>
              <w:kinsoku/>
              <w:overflowPunct/>
              <w:topLinePunct w:val="0"/>
              <w:autoSpaceDE/>
              <w:autoSpaceDN/>
              <w:bidi w:val="0"/>
              <w:adjustRightInd w:val="0"/>
              <w:snapToGrid w:val="0"/>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b/>
                <w:color w:val="auto"/>
                <w:sz w:val="24"/>
                <w:szCs w:val="24"/>
                <w:highlight w:val="none"/>
                <w:u w:val="none"/>
              </w:rPr>
              <w:t>商务条款</w:t>
            </w:r>
          </w:p>
        </w:tc>
        <w:tc>
          <w:tcPr>
            <w:tcW w:w="9510" w:type="dxa"/>
            <w:gridSpan w:val="7"/>
            <w:vAlign w:val="top"/>
          </w:tcPr>
          <w:p w14:paraId="7D32189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rPr>
              <w:t>一、合同签订期：自中标通知书发出之日起25日内</w:t>
            </w:r>
            <w:r>
              <w:rPr>
                <w:rFonts w:hint="eastAsia" w:asciiTheme="majorEastAsia" w:hAnsiTheme="majorEastAsia" w:eastAsiaTheme="majorEastAsia" w:cstheme="majorEastAsia"/>
                <w:color w:val="auto"/>
                <w:sz w:val="24"/>
                <w:szCs w:val="24"/>
                <w:highlight w:val="none"/>
                <w:u w:val="none"/>
                <w:lang w:eastAsia="zh-CN"/>
              </w:rPr>
              <w:t>。</w:t>
            </w:r>
          </w:p>
          <w:p w14:paraId="0F98253F">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rPr>
              <w:t>▲二、提交服务成果时间：自约定进场养护之日起一年</w:t>
            </w:r>
            <w:r>
              <w:rPr>
                <w:rFonts w:hint="eastAsia" w:asciiTheme="majorEastAsia" w:hAnsiTheme="majorEastAsia" w:eastAsiaTheme="majorEastAsia" w:cstheme="majorEastAsia"/>
                <w:color w:val="auto"/>
                <w:sz w:val="24"/>
                <w:szCs w:val="24"/>
                <w:highlight w:val="none"/>
                <w:u w:val="none"/>
                <w:lang w:eastAsia="zh-CN"/>
              </w:rPr>
              <w:t>。</w:t>
            </w:r>
          </w:p>
          <w:p w14:paraId="7BDD57AF">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三、提交服务成果地点：南宁市采购人指定地点</w:t>
            </w:r>
          </w:p>
          <w:p w14:paraId="7AFA3A56">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四、其他服务要求</w:t>
            </w:r>
          </w:p>
          <w:p w14:paraId="49A09A10">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rPr>
              <w:t>▲1.质量保证期：一年（自约定进场养护之日起计）</w:t>
            </w:r>
            <w:r>
              <w:rPr>
                <w:rFonts w:hint="eastAsia" w:asciiTheme="majorEastAsia" w:hAnsiTheme="majorEastAsia" w:eastAsiaTheme="majorEastAsia" w:cstheme="majorEastAsia"/>
                <w:color w:val="auto"/>
                <w:sz w:val="24"/>
                <w:szCs w:val="24"/>
                <w:highlight w:val="none"/>
                <w:u w:val="none"/>
                <w:lang w:eastAsia="zh-CN"/>
              </w:rPr>
              <w:t>。</w:t>
            </w:r>
          </w:p>
          <w:p w14:paraId="332C303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▲2.处理问题响应时间：接到采购人处理问题通知后半小时内到达采购人指定现场。</w:t>
            </w:r>
          </w:p>
          <w:p w14:paraId="7834E6EF">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3.其他：如遇特殊紧急事件，按采购人要求进行特殊处理。</w:t>
            </w:r>
          </w:p>
          <w:p w14:paraId="6DB8C4D6">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五、其他要求</w:t>
            </w:r>
          </w:p>
          <w:p w14:paraId="5B505019">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▲1.对本养护项目实施养护管理、应急抢险、突击任务等所需的一切劳动力、材料、设备和服务由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自行组织,由此产生的一切费用由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承担。报价必须含以下部分，包括:</w:t>
            </w:r>
          </w:p>
          <w:p w14:paraId="4FA1700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（1）必须含服务的价格，需包含服务人员的工资和按规定提取的福利费、保险费、服装费、社会节假日奖金、加班费用及苗木养护费用；</w:t>
            </w:r>
          </w:p>
          <w:p w14:paraId="258114C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（2）必要的保险费用、各项税金；</w:t>
            </w:r>
          </w:p>
          <w:p w14:paraId="73A61E2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（3）按相关要求所需的个人日常工具、劳保用品、机具、作业车辆；按相关技术要求所需质量和数量的肥料、农药，植物防寒材料，植物支撑材料等；</w:t>
            </w:r>
          </w:p>
          <w:p w14:paraId="7DC043BF">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（4）养护所需水费、电费；</w:t>
            </w:r>
          </w:p>
          <w:p w14:paraId="649FEEC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（5）项目实施过程中产生的其他费用。</w:t>
            </w:r>
          </w:p>
          <w:p w14:paraId="620BECA3">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▲2.如出现养护数量减少时，产生费用变更将按变更的养护量进行核算，具体核算方法如下：变更部分的费用=变更养护类型数量*相应养护类型的预算单价*（本</w:t>
            </w:r>
            <w:r>
              <w:rPr>
                <w:rFonts w:hint="eastAsia" w:asciiTheme="majorEastAsia" w:hAnsiTheme="majorEastAsia" w:eastAsiaTheme="majorEastAsia" w:cstheme="majorEastAsia"/>
                <w:color w:val="auto"/>
                <w:sz w:val="24"/>
                <w:szCs w:val="24"/>
                <w:highlight w:val="none"/>
                <w:u w:val="none"/>
                <w:lang w:val="en-US" w:eastAsia="zh-CN"/>
              </w:rPr>
              <w:t>项目</w:t>
            </w:r>
            <w:r>
              <w:rPr>
                <w:rFonts w:hint="eastAsia" w:asciiTheme="majorEastAsia" w:hAnsiTheme="majorEastAsia" w:eastAsiaTheme="majorEastAsia" w:cstheme="majorEastAsia"/>
                <w:color w:val="auto"/>
                <w:sz w:val="24"/>
                <w:szCs w:val="24"/>
                <w:highlight w:val="none"/>
                <w:u w:val="none"/>
              </w:rPr>
              <w:t>中标价/本</w:t>
            </w:r>
            <w:r>
              <w:rPr>
                <w:rFonts w:hint="eastAsia" w:asciiTheme="majorEastAsia" w:hAnsiTheme="majorEastAsia" w:eastAsiaTheme="majorEastAsia" w:cstheme="majorEastAsia"/>
                <w:color w:val="auto"/>
                <w:sz w:val="24"/>
                <w:szCs w:val="24"/>
                <w:highlight w:val="none"/>
                <w:u w:val="none"/>
                <w:lang w:val="en-US" w:eastAsia="zh-CN"/>
              </w:rPr>
              <w:t>项目</w:t>
            </w:r>
            <w:r>
              <w:rPr>
                <w:rFonts w:hint="eastAsia" w:asciiTheme="majorEastAsia" w:hAnsiTheme="majorEastAsia" w:eastAsiaTheme="majorEastAsia" w:cstheme="majorEastAsia"/>
                <w:color w:val="auto"/>
                <w:sz w:val="24"/>
                <w:szCs w:val="24"/>
                <w:highlight w:val="none"/>
                <w:u w:val="none"/>
              </w:rPr>
              <w:t>采购预算）/当年自然天数*实际变更养护天数。</w:t>
            </w:r>
          </w:p>
          <w:p w14:paraId="7A3B4E6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▲3.合同期内，养护范围中的各类植物、园林设施等发生减少及损毁的，</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应予及时补种、修复，所需费用由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承担。</w:t>
            </w:r>
          </w:p>
          <w:p w14:paraId="713ACB1A">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▲4.</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必须重视安全生产工作，确保全年不出安全生产责任事故。如发生安全生产责任事故，一切责任及损失由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承担。自然灾害或意外造成的非安全责任事故产生损失的，如采购人已购买树木公众责任险的，在保险承保范围内的损失由保险赔付，</w:t>
            </w:r>
            <w:r>
              <w:rPr>
                <w:rFonts w:hint="eastAsia" w:asciiTheme="majorEastAsia" w:hAnsiTheme="majorEastAsia" w:eastAsiaTheme="majorEastAsia" w:cstheme="majorEastAsia"/>
                <w:color w:val="auto"/>
                <w:sz w:val="24"/>
                <w:szCs w:val="24"/>
                <w:highlight w:val="none"/>
                <w:u w:val="none"/>
                <w:lang w:val="en-US" w:eastAsia="zh-CN"/>
              </w:rPr>
              <w:t>如采购人</w:t>
            </w:r>
            <w:r>
              <w:rPr>
                <w:rFonts w:hint="eastAsia" w:asciiTheme="majorEastAsia" w:hAnsiTheme="majorEastAsia" w:eastAsiaTheme="majorEastAsia" w:cstheme="majorEastAsia"/>
                <w:color w:val="auto"/>
                <w:sz w:val="24"/>
                <w:szCs w:val="24"/>
                <w:highlight w:val="none"/>
                <w:u w:val="none"/>
              </w:rPr>
              <w:t>未购买保险或超出承保范围的，由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自行承担赔付。</w:t>
            </w:r>
          </w:p>
          <w:p w14:paraId="7B2E708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5.桥体三角梅专项养护肥料每年投入不少于桥体三角梅专项年养护费的5%且不得使用林业用肥，除三角梅专项养护外其他常规绿化养护肥料每年投入不少于该部分年养护费的2.5%且不得使用林业用肥，施肥时应按计划并通知采购人至现场确认，若实际使用少于中标承诺的施肥投入费用，则将未投入的肥料费用在最后一个月养护经费中扣除。</w:t>
            </w:r>
          </w:p>
          <w:p w14:paraId="2D1D5CA2">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6.付款方式：每批次工作完成并提交验收资料进行验收合格且财政资金到位后，</w:t>
            </w:r>
            <w:r>
              <w:rPr>
                <w:rFonts w:hint="eastAsia" w:asciiTheme="majorEastAsia" w:hAnsiTheme="majorEastAsia" w:eastAsiaTheme="majorEastAsia" w:cstheme="majorEastAsia"/>
                <w:color w:val="auto"/>
                <w:sz w:val="24"/>
                <w:szCs w:val="24"/>
                <w:highlight w:val="none"/>
                <w:u w:val="none"/>
                <w:lang w:val="zh-CN"/>
              </w:rPr>
              <w:t>中标</w:t>
            </w:r>
            <w:r>
              <w:rPr>
                <w:rFonts w:hint="eastAsia" w:asciiTheme="majorEastAsia" w:hAnsiTheme="majorEastAsia" w:eastAsiaTheme="majorEastAsia" w:cstheme="majorEastAsia"/>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提交对应金额合法有效发票，由采购人按批次据实支付费用。</w:t>
            </w:r>
          </w:p>
          <w:p w14:paraId="5F0ED6BE">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▲7.中标合同签订后，</w:t>
            </w:r>
            <w:r>
              <w:rPr>
                <w:rFonts w:hint="eastAsia" w:asciiTheme="majorEastAsia" w:hAnsiTheme="majorEastAsia" w:eastAsiaTheme="majorEastAsia" w:cstheme="majorEastAsia"/>
                <w:color w:val="auto"/>
                <w:sz w:val="24"/>
                <w:szCs w:val="24"/>
                <w:highlight w:val="none"/>
                <w:u w:val="none"/>
                <w:lang w:val="zh-CN"/>
              </w:rPr>
              <w:t>中标</w:t>
            </w:r>
            <w:r>
              <w:rPr>
                <w:rFonts w:hint="eastAsia" w:asciiTheme="majorEastAsia" w:hAnsiTheme="majorEastAsia" w:eastAsiaTheme="majorEastAsia" w:cstheme="majorEastAsia"/>
                <w:color w:val="auto"/>
                <w:sz w:val="24"/>
                <w:szCs w:val="24"/>
                <w:highlight w:val="none"/>
                <w:u w:val="none"/>
                <w:lang w:val="en-US" w:eastAsia="zh-CN"/>
              </w:rPr>
              <w:t>供应商须</w:t>
            </w:r>
            <w:r>
              <w:rPr>
                <w:rFonts w:hint="eastAsia" w:asciiTheme="majorEastAsia" w:hAnsiTheme="majorEastAsia" w:eastAsiaTheme="majorEastAsia" w:cstheme="majorEastAsia"/>
                <w:color w:val="auto"/>
                <w:sz w:val="24"/>
                <w:szCs w:val="24"/>
                <w:highlight w:val="none"/>
                <w:u w:val="none"/>
              </w:rPr>
              <w:t>按要求配备人员、作业车辆、园林机械设备、养护管理用房、道路绿化养护智慧化管理平台等，如</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未按投标响应条件投入，则视为逾期不能提供服务，超过五个工作日采购人有权</w:t>
            </w:r>
            <w:r>
              <w:rPr>
                <w:rFonts w:hint="eastAsia" w:asciiTheme="majorEastAsia" w:hAnsiTheme="majorEastAsia" w:eastAsiaTheme="majorEastAsia" w:cstheme="majorEastAsia"/>
                <w:color w:val="auto"/>
                <w:sz w:val="24"/>
                <w:szCs w:val="24"/>
                <w:highlight w:val="none"/>
                <w:u w:val="none"/>
                <w:lang w:val="en-US" w:eastAsia="zh-CN"/>
              </w:rPr>
              <w:t>上报采购监督管理部门申请</w:t>
            </w:r>
            <w:r>
              <w:rPr>
                <w:rFonts w:hint="eastAsia" w:asciiTheme="majorEastAsia" w:hAnsiTheme="majorEastAsia" w:eastAsiaTheme="majorEastAsia" w:cstheme="majorEastAsia"/>
                <w:color w:val="auto"/>
                <w:sz w:val="24"/>
                <w:szCs w:val="24"/>
                <w:highlight w:val="none"/>
                <w:u w:val="none"/>
              </w:rPr>
              <w:t>解除合同</w:t>
            </w:r>
            <w:r>
              <w:rPr>
                <w:rFonts w:hint="eastAsia" w:asciiTheme="majorEastAsia" w:hAnsiTheme="majorEastAsia" w:eastAsiaTheme="majorEastAsia" w:cstheme="majorEastAsia"/>
                <w:color w:val="auto"/>
                <w:sz w:val="24"/>
                <w:szCs w:val="24"/>
                <w:highlight w:val="none"/>
                <w:u w:val="none"/>
                <w:lang w:eastAsia="zh-CN"/>
              </w:rPr>
              <w:t>、</w:t>
            </w:r>
            <w:r>
              <w:rPr>
                <w:rFonts w:hint="eastAsia" w:asciiTheme="majorEastAsia" w:hAnsiTheme="majorEastAsia" w:eastAsiaTheme="majorEastAsia" w:cstheme="majorEastAsia"/>
                <w:color w:val="auto"/>
                <w:sz w:val="24"/>
                <w:szCs w:val="24"/>
                <w:highlight w:val="none"/>
                <w:u w:val="none"/>
              </w:rPr>
              <w:t>追究</w:t>
            </w:r>
            <w:r>
              <w:rPr>
                <w:rFonts w:hint="eastAsia" w:asciiTheme="majorEastAsia" w:hAnsiTheme="majorEastAsia" w:eastAsiaTheme="majorEastAsia" w:cstheme="majorEastAsia"/>
                <w:color w:val="auto"/>
                <w:sz w:val="24"/>
                <w:szCs w:val="24"/>
                <w:highlight w:val="none"/>
                <w:u w:val="none"/>
                <w:lang w:val="zh-CN"/>
              </w:rPr>
              <w:t>中标</w:t>
            </w:r>
            <w:r>
              <w:rPr>
                <w:rFonts w:hint="eastAsia" w:asciiTheme="majorEastAsia" w:hAnsiTheme="majorEastAsia" w:eastAsiaTheme="majorEastAsia" w:cstheme="majorEastAsia"/>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违约责任。</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在合同期内，须随时接受采购人对以上配备投入情况检查。</w:t>
            </w:r>
          </w:p>
          <w:p w14:paraId="21204F3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▲8.根据《南宁市绿化工程管理中心道路绿化养护市场化管理考核办法（2025年修订版）》（附件</w:t>
            </w:r>
            <w:r>
              <w:rPr>
                <w:rFonts w:hint="eastAsia" w:asciiTheme="majorEastAsia" w:hAnsiTheme="majorEastAsia" w:eastAsiaTheme="majorEastAsia" w:cstheme="majorEastAsia"/>
                <w:color w:val="auto"/>
                <w:sz w:val="24"/>
                <w:szCs w:val="24"/>
                <w:highlight w:val="none"/>
                <w:u w:val="none"/>
                <w:lang w:val="en-US" w:eastAsia="zh-CN"/>
              </w:rPr>
              <w:t>3</w:t>
            </w:r>
            <w:r>
              <w:rPr>
                <w:rFonts w:hint="eastAsia" w:asciiTheme="majorEastAsia" w:hAnsiTheme="majorEastAsia" w:eastAsiaTheme="majorEastAsia" w:cstheme="majorEastAsia"/>
                <w:color w:val="auto"/>
                <w:sz w:val="24"/>
                <w:szCs w:val="24"/>
                <w:highlight w:val="none"/>
                <w:u w:val="none"/>
              </w:rPr>
              <w:t>），考核包括养护月度考核和养护效果考核。</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如果有两次考核不合格，则视为</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未按合同提供服务，采购人有权</w:t>
            </w:r>
            <w:r>
              <w:rPr>
                <w:rFonts w:hint="eastAsia" w:asciiTheme="majorEastAsia" w:hAnsiTheme="majorEastAsia" w:eastAsiaTheme="majorEastAsia" w:cstheme="majorEastAsia"/>
                <w:color w:val="auto"/>
                <w:sz w:val="24"/>
                <w:szCs w:val="24"/>
                <w:highlight w:val="none"/>
                <w:u w:val="none"/>
                <w:lang w:val="en-US" w:eastAsia="zh-CN"/>
              </w:rPr>
              <w:t>上报采购监督管理部门申请</w:t>
            </w:r>
            <w:r>
              <w:rPr>
                <w:rFonts w:hint="eastAsia" w:asciiTheme="majorEastAsia" w:hAnsiTheme="majorEastAsia" w:eastAsiaTheme="majorEastAsia" w:cstheme="majorEastAsia"/>
                <w:color w:val="auto"/>
                <w:sz w:val="24"/>
                <w:szCs w:val="24"/>
                <w:highlight w:val="none"/>
                <w:u w:val="none"/>
              </w:rPr>
              <w:t>解除合同</w:t>
            </w:r>
            <w:r>
              <w:rPr>
                <w:rFonts w:hint="eastAsia" w:asciiTheme="majorEastAsia" w:hAnsiTheme="majorEastAsia" w:eastAsiaTheme="majorEastAsia" w:cstheme="majorEastAsia"/>
                <w:color w:val="auto"/>
                <w:sz w:val="24"/>
                <w:szCs w:val="24"/>
                <w:highlight w:val="none"/>
                <w:u w:val="none"/>
                <w:lang w:eastAsia="zh-CN"/>
              </w:rPr>
              <w:t>、</w:t>
            </w:r>
            <w:r>
              <w:rPr>
                <w:rFonts w:hint="eastAsia" w:asciiTheme="majorEastAsia" w:hAnsiTheme="majorEastAsia" w:eastAsiaTheme="majorEastAsia" w:cstheme="majorEastAsia"/>
                <w:color w:val="auto"/>
                <w:sz w:val="24"/>
                <w:szCs w:val="24"/>
                <w:highlight w:val="none"/>
                <w:u w:val="none"/>
              </w:rPr>
              <w:t>追究</w:t>
            </w:r>
            <w:r>
              <w:rPr>
                <w:rFonts w:hint="eastAsia" w:asciiTheme="majorEastAsia" w:hAnsiTheme="majorEastAsia" w:eastAsiaTheme="majorEastAsia" w:cstheme="majorEastAsia"/>
                <w:color w:val="auto"/>
                <w:sz w:val="24"/>
                <w:szCs w:val="24"/>
                <w:highlight w:val="none"/>
                <w:u w:val="none"/>
                <w:lang w:val="zh-CN"/>
              </w:rPr>
              <w:t>中标</w:t>
            </w:r>
            <w:r>
              <w:rPr>
                <w:rFonts w:hint="eastAsia" w:asciiTheme="majorEastAsia" w:hAnsiTheme="majorEastAsia" w:eastAsiaTheme="majorEastAsia" w:cstheme="majorEastAsia"/>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违约责任。</w:t>
            </w:r>
          </w:p>
          <w:p w14:paraId="7EA12D0C">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▲9.合同续签：在合同期内未出现考核结果（含12次养护月度考核和4次养护效果考核）不合格的情况，且被评定为良好或以上等级至少10次，可提出续签合同申请，经</w:t>
            </w:r>
            <w:r>
              <w:rPr>
                <w:rFonts w:hint="eastAsia" w:asciiTheme="majorEastAsia" w:hAnsiTheme="majorEastAsia" w:eastAsiaTheme="majorEastAsia" w:cstheme="majorEastAsia"/>
                <w:color w:val="auto"/>
                <w:sz w:val="24"/>
                <w:szCs w:val="24"/>
                <w:highlight w:val="none"/>
                <w:u w:val="none"/>
                <w:lang w:val="en-US" w:eastAsia="zh-CN"/>
              </w:rPr>
              <w:t>采购人</w:t>
            </w:r>
            <w:r>
              <w:rPr>
                <w:rFonts w:hint="eastAsia" w:asciiTheme="majorEastAsia" w:hAnsiTheme="majorEastAsia" w:eastAsiaTheme="majorEastAsia" w:cstheme="majorEastAsia"/>
                <w:color w:val="auto"/>
                <w:sz w:val="24"/>
                <w:szCs w:val="24"/>
                <w:highlight w:val="none"/>
                <w:u w:val="none"/>
              </w:rPr>
              <w:t>同意可按照相关要求办理续签合同，最多可续签2次。</w:t>
            </w:r>
          </w:p>
          <w:p w14:paraId="7D3488FD">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▲10.养护范围内有取水口的，将另外签署取水口使用协议，协议期间，</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负责取水口的日常使用和管理，日常管理维修费由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自行解决，产生的水费由</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按市场价支付。</w:t>
            </w:r>
          </w:p>
          <w:p w14:paraId="17D768AB">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11.由于道路养护的特殊性，投标人可在投标前自行进行现场勘察。</w:t>
            </w:r>
          </w:p>
          <w:p w14:paraId="7B3CA0C5">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六、其它</w:t>
            </w:r>
          </w:p>
          <w:p w14:paraId="003A0550">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▲1.本项目采购标的需执行的国家相关标准、行业标准、地方标准或其他强制性标准、规范等要求。</w:t>
            </w:r>
          </w:p>
          <w:p w14:paraId="70C977C1">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2.在投标文件中提供针对本项目的组织服务方案（包含但不限于：养护方案，桥梁三角梅养护专业服务方案，对临时性、突击性应急任务响应、承诺及人员保障，</w:t>
            </w:r>
            <w:r>
              <w:rPr>
                <w:rFonts w:hint="eastAsia" w:asciiTheme="majorEastAsia" w:hAnsiTheme="majorEastAsia" w:eastAsiaTheme="majorEastAsia" w:cstheme="majorEastAsia"/>
                <w:bCs/>
                <w:color w:val="auto"/>
                <w:sz w:val="24"/>
                <w:szCs w:val="24"/>
                <w:highlight w:val="none"/>
                <w:u w:val="none"/>
              </w:rPr>
              <w:t>针对本项目特点制定的内部管理制度</w:t>
            </w:r>
            <w:r>
              <w:rPr>
                <w:rFonts w:hint="eastAsia" w:asciiTheme="majorEastAsia" w:hAnsiTheme="majorEastAsia" w:eastAsiaTheme="majorEastAsia" w:cstheme="majorEastAsia"/>
                <w:color w:val="auto"/>
                <w:sz w:val="24"/>
                <w:szCs w:val="24"/>
                <w:highlight w:val="none"/>
                <w:u w:val="none"/>
              </w:rPr>
              <w:t>，安全、文明施工、环保措施，拟为本项目投入日常一线养护作业人员</w:t>
            </w:r>
            <w:r>
              <w:rPr>
                <w:rFonts w:hint="eastAsia" w:asciiTheme="majorEastAsia" w:hAnsiTheme="majorEastAsia" w:eastAsiaTheme="majorEastAsia" w:cstheme="majorEastAsia"/>
                <w:color w:val="auto"/>
                <w:sz w:val="24"/>
                <w:szCs w:val="24"/>
                <w:highlight w:val="none"/>
                <w:u w:val="none"/>
                <w:lang w:val="en-US" w:eastAsia="zh-CN"/>
              </w:rPr>
              <w:t>数量</w:t>
            </w:r>
            <w:r>
              <w:rPr>
                <w:rFonts w:hint="eastAsia" w:asciiTheme="majorEastAsia" w:hAnsiTheme="majorEastAsia" w:eastAsiaTheme="majorEastAsia" w:cstheme="majorEastAsia"/>
                <w:color w:val="auto"/>
                <w:sz w:val="24"/>
                <w:szCs w:val="24"/>
                <w:highlight w:val="none"/>
                <w:u w:val="none"/>
              </w:rPr>
              <w:t>，拟为本项目投入项目管理人员、技术力量，拟为本项目投入生产、管理用车，拟为本项目投入园林机械配置，拟为本项目投入必要的生产工具及安全设施配置，拟为本项目投入必要数量及质量的肥料</w:t>
            </w:r>
            <w:r>
              <w:rPr>
                <w:rFonts w:hint="eastAsia" w:asciiTheme="majorEastAsia" w:hAnsiTheme="majorEastAsia" w:eastAsiaTheme="majorEastAsia" w:cstheme="majorEastAsia"/>
                <w:color w:val="auto"/>
                <w:sz w:val="24"/>
                <w:szCs w:val="24"/>
                <w:highlight w:val="none"/>
                <w:u w:val="none"/>
                <w:lang w:eastAsia="zh-CN"/>
              </w:rPr>
              <w:t>，</w:t>
            </w:r>
            <w:r>
              <w:rPr>
                <w:rFonts w:hint="eastAsia" w:asciiTheme="majorEastAsia" w:hAnsiTheme="majorEastAsia" w:eastAsiaTheme="majorEastAsia" w:cstheme="majorEastAsia"/>
                <w:bCs/>
                <w:color w:val="auto"/>
                <w:sz w:val="24"/>
                <w:szCs w:val="24"/>
                <w:highlight w:val="none"/>
                <w:u w:val="none"/>
              </w:rPr>
              <w:t>拟为本项目建立道路绿化养护智慧化管理平台</w:t>
            </w:r>
            <w:r>
              <w:rPr>
                <w:rFonts w:hint="eastAsia" w:asciiTheme="majorEastAsia" w:hAnsiTheme="majorEastAsia" w:eastAsiaTheme="majorEastAsia" w:cstheme="majorEastAsia"/>
                <w:color w:val="auto"/>
                <w:sz w:val="24"/>
                <w:szCs w:val="24"/>
                <w:highlight w:val="none"/>
                <w:u w:val="none"/>
              </w:rPr>
              <w:t>）。</w:t>
            </w:r>
          </w:p>
          <w:p w14:paraId="20A6B0B7">
            <w:pPr>
              <w:keepNext w:val="0"/>
              <w:keepLines w:val="0"/>
              <w:pageBreakBefore w:val="0"/>
              <w:kinsoku/>
              <w:overflowPunct/>
              <w:topLinePunct w:val="0"/>
              <w:autoSpaceDE/>
              <w:autoSpaceDN/>
              <w:bidi w:val="0"/>
              <w:spacing w:afterLines="0" w:line="360" w:lineRule="auto"/>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▲3</w:t>
            </w:r>
            <w:r>
              <w:rPr>
                <w:rFonts w:hint="eastAsia" w:asciiTheme="majorEastAsia" w:hAnsiTheme="majorEastAsia" w:eastAsiaTheme="majorEastAsia" w:cstheme="majorEastAsia"/>
                <w:color w:val="auto"/>
                <w:sz w:val="24"/>
                <w:szCs w:val="24"/>
                <w:highlight w:val="none"/>
                <w:u w:val="none"/>
                <w:lang w:val="en-US" w:eastAsia="zh-CN"/>
              </w:rPr>
              <w:t>.</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在进场之前，采购人将对</w:t>
            </w:r>
            <w:r>
              <w:rPr>
                <w:rFonts w:hint="eastAsia" w:asciiTheme="majorEastAsia" w:hAnsiTheme="majorEastAsia" w:eastAsiaTheme="majorEastAsia" w:cstheme="majorEastAsia"/>
                <w:bCs/>
                <w:color w:val="auto"/>
                <w:sz w:val="24"/>
                <w:szCs w:val="24"/>
                <w:highlight w:val="none"/>
                <w:u w:val="none"/>
                <w:lang w:val="zh-CN"/>
              </w:rPr>
              <w:t>中标</w:t>
            </w:r>
            <w:r>
              <w:rPr>
                <w:rFonts w:hint="eastAsia" w:asciiTheme="majorEastAsia" w:hAnsiTheme="majorEastAsia" w:eastAsiaTheme="majorEastAsia" w:cstheme="majorEastAsia"/>
                <w:bCs/>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的人员配置、生产及管理车辆配置、园林机械设备配置、生产工</w:t>
            </w:r>
            <w:r>
              <w:rPr>
                <w:rFonts w:hint="eastAsia" w:asciiTheme="majorEastAsia" w:hAnsiTheme="majorEastAsia" w:eastAsiaTheme="majorEastAsia" w:cstheme="majorEastAsia"/>
                <w:strike w:val="0"/>
                <w:dstrike w:val="0"/>
                <w:color w:val="auto"/>
                <w:sz w:val="24"/>
                <w:szCs w:val="24"/>
                <w:highlight w:val="none"/>
                <w:u w:val="none"/>
              </w:rPr>
              <w:t>具及安全设施配置、养护管理用房、道路绿化养护智慧化管理平台等投标响应内容进行现场查验</w:t>
            </w:r>
            <w:r>
              <w:rPr>
                <w:rFonts w:hint="eastAsia" w:asciiTheme="majorEastAsia" w:hAnsiTheme="majorEastAsia" w:eastAsiaTheme="majorEastAsia" w:cstheme="majorEastAsia"/>
                <w:strike w:val="0"/>
                <w:dstrike w:val="0"/>
                <w:color w:val="auto"/>
                <w:sz w:val="24"/>
                <w:szCs w:val="24"/>
                <w:highlight w:val="none"/>
                <w:u w:val="none"/>
                <w:lang w:eastAsia="zh-CN"/>
              </w:rPr>
              <w:t>，核对真人、实物。</w:t>
            </w:r>
            <w:r>
              <w:rPr>
                <w:rFonts w:hint="eastAsia" w:asciiTheme="majorEastAsia" w:hAnsiTheme="majorEastAsia" w:eastAsiaTheme="majorEastAsia" w:cstheme="majorEastAsia"/>
                <w:bCs/>
                <w:strike w:val="0"/>
                <w:dstrike w:val="0"/>
                <w:color w:val="auto"/>
                <w:sz w:val="24"/>
                <w:szCs w:val="24"/>
                <w:highlight w:val="none"/>
                <w:u w:val="none"/>
                <w:lang w:val="zh-CN"/>
              </w:rPr>
              <w:t>中标</w:t>
            </w:r>
            <w:r>
              <w:rPr>
                <w:rFonts w:hint="eastAsia" w:asciiTheme="majorEastAsia" w:hAnsiTheme="majorEastAsia" w:eastAsiaTheme="majorEastAsia" w:cstheme="majorEastAsia"/>
                <w:bCs/>
                <w:strike w:val="0"/>
                <w:dstrike w:val="0"/>
                <w:color w:val="auto"/>
                <w:sz w:val="24"/>
                <w:szCs w:val="24"/>
                <w:highlight w:val="none"/>
                <w:u w:val="none"/>
                <w:lang w:val="en-US" w:eastAsia="zh-CN"/>
              </w:rPr>
              <w:t>供应商</w:t>
            </w:r>
            <w:r>
              <w:rPr>
                <w:rFonts w:hint="eastAsia" w:asciiTheme="majorEastAsia" w:hAnsiTheme="majorEastAsia" w:eastAsiaTheme="majorEastAsia" w:cstheme="majorEastAsia"/>
                <w:strike w:val="0"/>
                <w:dstrike w:val="0"/>
                <w:color w:val="auto"/>
                <w:sz w:val="24"/>
                <w:szCs w:val="24"/>
                <w:highlight w:val="none"/>
                <w:u w:val="none"/>
              </w:rPr>
              <w:t>应提供</w:t>
            </w:r>
            <w:r>
              <w:rPr>
                <w:rFonts w:hint="eastAsia" w:asciiTheme="majorEastAsia" w:hAnsiTheme="majorEastAsia" w:eastAsiaTheme="majorEastAsia" w:cstheme="majorEastAsia"/>
                <w:strike w:val="0"/>
                <w:dstrike w:val="0"/>
                <w:color w:val="auto"/>
                <w:sz w:val="24"/>
                <w:szCs w:val="24"/>
                <w:highlight w:val="none"/>
                <w:u w:val="none"/>
                <w:lang w:eastAsia="zh-CN"/>
              </w:rPr>
              <w:t>：</w:t>
            </w:r>
            <w:r>
              <w:rPr>
                <w:rFonts w:hint="eastAsia" w:asciiTheme="majorEastAsia" w:hAnsiTheme="majorEastAsia" w:eastAsiaTheme="majorEastAsia" w:cstheme="majorEastAsia"/>
                <w:strike w:val="0"/>
                <w:dstrike w:val="0"/>
                <w:color w:val="auto"/>
                <w:sz w:val="24"/>
                <w:szCs w:val="24"/>
                <w:highlight w:val="none"/>
                <w:u w:val="none"/>
              </w:rPr>
              <w:t>①</w:t>
            </w:r>
            <w:r>
              <w:rPr>
                <w:rFonts w:hint="eastAsia" w:asciiTheme="majorEastAsia" w:hAnsiTheme="majorEastAsia" w:eastAsiaTheme="majorEastAsia" w:cstheme="majorEastAsia"/>
                <w:strike w:val="0"/>
                <w:dstrike w:val="0"/>
                <w:color w:val="auto"/>
                <w:sz w:val="24"/>
                <w:szCs w:val="24"/>
                <w:highlight w:val="none"/>
                <w:u w:val="none"/>
                <w:lang w:eastAsia="zh-CN"/>
              </w:rPr>
              <w:t>一线</w:t>
            </w:r>
            <w:r>
              <w:rPr>
                <w:rFonts w:hint="eastAsia" w:asciiTheme="majorEastAsia" w:hAnsiTheme="majorEastAsia" w:eastAsiaTheme="majorEastAsia" w:cstheme="majorEastAsia"/>
                <w:strike w:val="0"/>
                <w:dstrike w:val="0"/>
                <w:color w:val="auto"/>
                <w:sz w:val="24"/>
                <w:szCs w:val="24"/>
                <w:highlight w:val="none"/>
                <w:u w:val="none"/>
              </w:rPr>
              <w:t>人员</w:t>
            </w:r>
            <w:r>
              <w:rPr>
                <w:rFonts w:hint="eastAsia" w:asciiTheme="majorEastAsia" w:hAnsiTheme="majorEastAsia" w:eastAsiaTheme="majorEastAsia" w:cstheme="majorEastAsia"/>
                <w:strike w:val="0"/>
                <w:dstrike w:val="0"/>
                <w:color w:val="auto"/>
                <w:sz w:val="24"/>
                <w:szCs w:val="24"/>
                <w:highlight w:val="none"/>
                <w:u w:val="none"/>
                <w:lang w:eastAsia="zh-CN"/>
              </w:rPr>
              <w:t>、</w:t>
            </w:r>
            <w:r>
              <w:rPr>
                <w:rFonts w:hint="eastAsia" w:asciiTheme="majorEastAsia" w:hAnsiTheme="majorEastAsia" w:eastAsiaTheme="majorEastAsia" w:cstheme="majorEastAsia"/>
                <w:strike w:val="0"/>
                <w:dstrike w:val="0"/>
                <w:color w:val="auto"/>
                <w:sz w:val="24"/>
                <w:szCs w:val="24"/>
                <w:highlight w:val="none"/>
                <w:u w:val="none"/>
                <w:lang w:val="en-US" w:eastAsia="zh-CN"/>
              </w:rPr>
              <w:t>管理人员</w:t>
            </w:r>
            <w:r>
              <w:rPr>
                <w:rFonts w:hint="eastAsia" w:asciiTheme="majorEastAsia" w:hAnsiTheme="majorEastAsia" w:eastAsiaTheme="majorEastAsia" w:cstheme="majorEastAsia"/>
                <w:strike w:val="0"/>
                <w:dstrike w:val="0"/>
                <w:color w:val="auto"/>
                <w:sz w:val="24"/>
                <w:szCs w:val="24"/>
                <w:highlight w:val="none"/>
                <w:u w:val="none"/>
              </w:rPr>
              <w:t>花名册</w:t>
            </w:r>
            <w:r>
              <w:rPr>
                <w:rFonts w:hint="eastAsia" w:asciiTheme="majorEastAsia" w:hAnsiTheme="majorEastAsia" w:eastAsiaTheme="majorEastAsia" w:cstheme="majorEastAsia"/>
                <w:strike w:val="0"/>
                <w:dstrike w:val="0"/>
                <w:color w:val="auto"/>
                <w:sz w:val="24"/>
                <w:szCs w:val="24"/>
                <w:highlight w:val="none"/>
                <w:u w:val="none"/>
                <w:lang w:eastAsia="zh-CN"/>
              </w:rPr>
              <w:t>，所有人员持本人身份证配合采购人进行现场查验。其中，还需提供司机驾驶证</w:t>
            </w:r>
            <w:r>
              <w:rPr>
                <w:rFonts w:hint="eastAsia" w:asciiTheme="majorEastAsia" w:hAnsiTheme="majorEastAsia" w:eastAsiaTheme="majorEastAsia" w:cstheme="majorEastAsia"/>
                <w:strike w:val="0"/>
                <w:dstrike w:val="0"/>
                <w:color w:val="auto"/>
                <w:sz w:val="24"/>
                <w:szCs w:val="24"/>
                <w:highlight w:val="none"/>
                <w:u w:val="none"/>
              </w:rPr>
              <w:t>、</w:t>
            </w:r>
            <w:r>
              <w:rPr>
                <w:rFonts w:hint="eastAsia" w:asciiTheme="majorEastAsia" w:hAnsiTheme="majorEastAsia" w:eastAsiaTheme="majorEastAsia" w:cstheme="majorEastAsia"/>
                <w:strike w:val="0"/>
                <w:dstrike w:val="0"/>
                <w:color w:val="auto"/>
                <w:sz w:val="24"/>
                <w:szCs w:val="24"/>
                <w:highlight w:val="none"/>
                <w:u w:val="none"/>
                <w:lang w:eastAsia="zh-CN"/>
              </w:rPr>
              <w:t>管理人员采购需求中要求的相关证书、与中标人签订的劳动合同或聘用协议复印件等；②所有车辆均须进行现场</w:t>
            </w:r>
            <w:r>
              <w:rPr>
                <w:rFonts w:hint="eastAsia" w:asciiTheme="majorEastAsia" w:hAnsiTheme="majorEastAsia" w:eastAsiaTheme="majorEastAsia" w:cstheme="majorEastAsia"/>
                <w:strike w:val="0"/>
                <w:dstrike w:val="0"/>
                <w:color w:val="auto"/>
                <w:sz w:val="24"/>
                <w:szCs w:val="24"/>
                <w:highlight w:val="none"/>
                <w:u w:val="none"/>
              </w:rPr>
              <w:t>查验</w:t>
            </w:r>
            <w:r>
              <w:rPr>
                <w:rFonts w:hint="eastAsia" w:asciiTheme="majorEastAsia" w:hAnsiTheme="majorEastAsia" w:eastAsiaTheme="majorEastAsia" w:cstheme="majorEastAsia"/>
                <w:strike w:val="0"/>
                <w:dstrike w:val="0"/>
                <w:color w:val="auto"/>
                <w:sz w:val="24"/>
                <w:szCs w:val="24"/>
                <w:highlight w:val="none"/>
                <w:u w:val="none"/>
                <w:lang w:eastAsia="zh-CN"/>
              </w:rPr>
              <w:t>并提供</w:t>
            </w:r>
            <w:r>
              <w:rPr>
                <w:rFonts w:hint="eastAsia" w:asciiTheme="majorEastAsia" w:hAnsiTheme="majorEastAsia" w:eastAsiaTheme="majorEastAsia" w:cstheme="majorEastAsia"/>
                <w:strike w:val="0"/>
                <w:dstrike w:val="0"/>
                <w:color w:val="auto"/>
                <w:sz w:val="24"/>
                <w:szCs w:val="24"/>
                <w:highlight w:val="none"/>
                <w:u w:val="none"/>
              </w:rPr>
              <w:t>行驶证</w:t>
            </w:r>
            <w:r>
              <w:rPr>
                <w:rFonts w:hint="eastAsia" w:asciiTheme="majorEastAsia" w:hAnsiTheme="majorEastAsia" w:eastAsiaTheme="majorEastAsia" w:cstheme="majorEastAsia"/>
                <w:strike w:val="0"/>
                <w:dstrike w:val="0"/>
                <w:color w:val="auto"/>
                <w:sz w:val="24"/>
                <w:szCs w:val="24"/>
                <w:highlight w:val="none"/>
                <w:u w:val="none"/>
                <w:lang w:eastAsia="zh-CN"/>
              </w:rPr>
              <w:t>，如为租赁车辆还须提供租赁合同复印件</w:t>
            </w:r>
            <w:r>
              <w:rPr>
                <w:rFonts w:hint="eastAsia" w:asciiTheme="majorEastAsia" w:hAnsiTheme="majorEastAsia" w:eastAsiaTheme="majorEastAsia" w:cstheme="majorEastAsia"/>
                <w:color w:val="auto"/>
                <w:sz w:val="24"/>
                <w:szCs w:val="24"/>
                <w:highlight w:val="none"/>
                <w:u w:val="none"/>
                <w:lang w:eastAsia="zh-CN"/>
              </w:rPr>
              <w:t>；③养护</w:t>
            </w:r>
            <w:r>
              <w:rPr>
                <w:rFonts w:hint="eastAsia" w:asciiTheme="majorEastAsia" w:hAnsiTheme="majorEastAsia" w:eastAsiaTheme="majorEastAsia" w:cstheme="majorEastAsia"/>
                <w:color w:val="auto"/>
                <w:sz w:val="24"/>
                <w:szCs w:val="24"/>
                <w:highlight w:val="none"/>
                <w:u w:val="none"/>
              </w:rPr>
              <w:t>管理用房自有或租赁的证明复印件等相关材料</w:t>
            </w:r>
            <w:r>
              <w:rPr>
                <w:rFonts w:hint="eastAsia" w:asciiTheme="majorEastAsia" w:hAnsiTheme="majorEastAsia" w:eastAsiaTheme="majorEastAsia" w:cstheme="majorEastAsia"/>
                <w:color w:val="auto"/>
                <w:sz w:val="24"/>
                <w:szCs w:val="24"/>
                <w:highlight w:val="none"/>
                <w:u w:val="none"/>
                <w:lang w:eastAsia="zh-CN"/>
              </w:rPr>
              <w:t>；④</w:t>
            </w:r>
            <w:r>
              <w:rPr>
                <w:rFonts w:hint="eastAsia" w:asciiTheme="majorEastAsia" w:hAnsiTheme="majorEastAsia" w:eastAsiaTheme="majorEastAsia" w:cstheme="majorEastAsia"/>
                <w:color w:val="auto"/>
                <w:sz w:val="24"/>
                <w:szCs w:val="24"/>
                <w:highlight w:val="none"/>
                <w:u w:val="none"/>
              </w:rPr>
              <w:t>园林机械设备、生产工具及安全设施、道路绿化养护智慧化管理平台无需提供证明材料（安全服需按照采购人要求的版式样式印制），只需查验实物即可</w:t>
            </w:r>
            <w:r>
              <w:rPr>
                <w:rFonts w:hint="eastAsia" w:asciiTheme="majorEastAsia" w:hAnsiTheme="majorEastAsia" w:eastAsiaTheme="majorEastAsia" w:cstheme="majorEastAsia"/>
                <w:color w:val="auto"/>
                <w:sz w:val="24"/>
                <w:szCs w:val="24"/>
                <w:highlight w:val="none"/>
                <w:u w:val="none"/>
                <w:lang w:eastAsia="zh-CN"/>
              </w:rPr>
              <w:t>。上述内容</w:t>
            </w:r>
            <w:r>
              <w:rPr>
                <w:rFonts w:hint="eastAsia" w:asciiTheme="majorEastAsia" w:hAnsiTheme="majorEastAsia" w:eastAsiaTheme="majorEastAsia" w:cstheme="majorEastAsia"/>
                <w:color w:val="auto"/>
                <w:sz w:val="24"/>
                <w:szCs w:val="24"/>
                <w:highlight w:val="none"/>
                <w:u w:val="none"/>
              </w:rPr>
              <w:t>如查验不合格的，超过五个工作日采购人有权</w:t>
            </w:r>
            <w:r>
              <w:rPr>
                <w:rFonts w:hint="eastAsia" w:asciiTheme="majorEastAsia" w:hAnsiTheme="majorEastAsia" w:eastAsiaTheme="majorEastAsia" w:cstheme="majorEastAsia"/>
                <w:color w:val="auto"/>
                <w:sz w:val="24"/>
                <w:szCs w:val="24"/>
                <w:highlight w:val="none"/>
                <w:u w:val="none"/>
                <w:lang w:val="en-US" w:eastAsia="zh-CN"/>
              </w:rPr>
              <w:t>上报采购监督管理部门申请</w:t>
            </w:r>
            <w:r>
              <w:rPr>
                <w:rFonts w:hint="eastAsia" w:asciiTheme="majorEastAsia" w:hAnsiTheme="majorEastAsia" w:eastAsiaTheme="majorEastAsia" w:cstheme="majorEastAsia"/>
                <w:color w:val="auto"/>
                <w:sz w:val="24"/>
                <w:szCs w:val="24"/>
                <w:highlight w:val="none"/>
                <w:u w:val="none"/>
              </w:rPr>
              <w:t>解除合同</w:t>
            </w:r>
            <w:r>
              <w:rPr>
                <w:rFonts w:hint="eastAsia" w:asciiTheme="majorEastAsia" w:hAnsiTheme="majorEastAsia" w:eastAsiaTheme="majorEastAsia" w:cstheme="majorEastAsia"/>
                <w:color w:val="auto"/>
                <w:sz w:val="24"/>
                <w:szCs w:val="24"/>
                <w:highlight w:val="none"/>
                <w:u w:val="none"/>
                <w:lang w:eastAsia="zh-CN"/>
              </w:rPr>
              <w:t>、</w:t>
            </w:r>
            <w:r>
              <w:rPr>
                <w:rFonts w:hint="eastAsia" w:asciiTheme="majorEastAsia" w:hAnsiTheme="majorEastAsia" w:eastAsiaTheme="majorEastAsia" w:cstheme="majorEastAsia"/>
                <w:color w:val="auto"/>
                <w:sz w:val="24"/>
                <w:szCs w:val="24"/>
                <w:highlight w:val="none"/>
                <w:u w:val="none"/>
              </w:rPr>
              <w:t>追究</w:t>
            </w:r>
            <w:r>
              <w:rPr>
                <w:rFonts w:hint="eastAsia" w:asciiTheme="majorEastAsia" w:hAnsiTheme="majorEastAsia" w:eastAsiaTheme="majorEastAsia" w:cstheme="majorEastAsia"/>
                <w:color w:val="auto"/>
                <w:sz w:val="24"/>
                <w:szCs w:val="24"/>
                <w:highlight w:val="none"/>
                <w:u w:val="none"/>
                <w:lang w:val="zh-CN"/>
              </w:rPr>
              <w:t>中标</w:t>
            </w:r>
            <w:r>
              <w:rPr>
                <w:rFonts w:hint="eastAsia" w:asciiTheme="majorEastAsia" w:hAnsiTheme="majorEastAsia" w:eastAsiaTheme="majorEastAsia" w:cstheme="majorEastAsia"/>
                <w:color w:val="auto"/>
                <w:sz w:val="24"/>
                <w:szCs w:val="24"/>
                <w:highlight w:val="none"/>
                <w:u w:val="none"/>
                <w:lang w:val="en-US" w:eastAsia="zh-CN"/>
              </w:rPr>
              <w:t>供应商</w:t>
            </w:r>
            <w:r>
              <w:rPr>
                <w:rFonts w:hint="eastAsia" w:asciiTheme="majorEastAsia" w:hAnsiTheme="majorEastAsia" w:eastAsiaTheme="majorEastAsia" w:cstheme="majorEastAsia"/>
                <w:color w:val="auto"/>
                <w:sz w:val="24"/>
                <w:szCs w:val="24"/>
                <w:highlight w:val="none"/>
                <w:u w:val="none"/>
              </w:rPr>
              <w:t>违约责任</w:t>
            </w:r>
            <w:r>
              <w:rPr>
                <w:rFonts w:hint="eastAsia" w:asciiTheme="majorEastAsia" w:hAnsiTheme="majorEastAsia" w:eastAsiaTheme="majorEastAsia" w:cstheme="majorEastAsia"/>
                <w:color w:val="auto"/>
                <w:sz w:val="24"/>
                <w:szCs w:val="24"/>
                <w:highlight w:val="none"/>
                <w:u w:val="none"/>
                <w:lang w:eastAsia="zh-CN"/>
              </w:rPr>
              <w:t>，</w:t>
            </w:r>
            <w:r>
              <w:rPr>
                <w:rFonts w:hint="eastAsia" w:asciiTheme="majorEastAsia" w:hAnsiTheme="majorEastAsia" w:eastAsiaTheme="majorEastAsia" w:cstheme="majorEastAsia"/>
                <w:color w:val="auto"/>
                <w:sz w:val="24"/>
                <w:szCs w:val="24"/>
                <w:highlight w:val="none"/>
                <w:u w:val="none"/>
                <w:lang w:val="en-US" w:eastAsia="zh-CN"/>
              </w:rPr>
              <w:t>一切后果均由中标供应商承担。</w:t>
            </w:r>
          </w:p>
        </w:tc>
      </w:tr>
      <w:tr w14:paraId="3DA9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11" w:type="dxa"/>
            <w:vAlign w:val="center"/>
          </w:tcPr>
          <w:p w14:paraId="655E0081">
            <w:pPr>
              <w:keepNext w:val="0"/>
              <w:keepLines w:val="0"/>
              <w:pageBreakBefore w:val="0"/>
              <w:kinsoku/>
              <w:wordWrap w:val="0"/>
              <w:overflowPunct/>
              <w:topLinePunct w:val="0"/>
              <w:autoSpaceDE/>
              <w:autoSpaceDN/>
              <w:bidi w:val="0"/>
              <w:adjustRightInd/>
              <w:snapToGrid/>
              <w:spacing w:afterLines="0" w:line="360" w:lineRule="auto"/>
              <w:jc w:val="center"/>
              <w:textAlignment w:val="auto"/>
              <w:rPr>
                <w:rFonts w:hint="eastAsia" w:asciiTheme="majorEastAsia" w:hAnsiTheme="majorEastAsia" w:eastAsiaTheme="majorEastAsia" w:cstheme="majorEastAsia"/>
                <w:color w:val="auto"/>
                <w:sz w:val="24"/>
                <w:szCs w:val="24"/>
                <w:highlight w:val="none"/>
                <w:u w:val="none"/>
              </w:rPr>
            </w:pPr>
            <w:r>
              <w:rPr>
                <w:rFonts w:hint="eastAsia" w:asciiTheme="majorEastAsia" w:hAnsiTheme="majorEastAsia" w:eastAsiaTheme="majorEastAsia" w:cstheme="majorEastAsia"/>
                <w:color w:val="auto"/>
                <w:sz w:val="24"/>
                <w:szCs w:val="24"/>
                <w:highlight w:val="none"/>
                <w:u w:val="none"/>
              </w:rPr>
              <w:t>其他说明</w:t>
            </w:r>
          </w:p>
        </w:tc>
        <w:tc>
          <w:tcPr>
            <w:tcW w:w="9510" w:type="dxa"/>
            <w:gridSpan w:val="7"/>
          </w:tcPr>
          <w:p w14:paraId="7D18E541">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val="en-US" w:eastAsia="zh-CN"/>
              </w:rPr>
              <w:t>1.</w:t>
            </w:r>
            <w:r>
              <w:rPr>
                <w:rFonts w:hint="eastAsia" w:asciiTheme="majorEastAsia" w:hAnsiTheme="majorEastAsia" w:eastAsiaTheme="majorEastAsia" w:cstheme="majorEastAsia"/>
                <w:color w:val="auto"/>
                <w:sz w:val="24"/>
                <w:szCs w:val="24"/>
                <w:highlight w:val="none"/>
                <w:u w:val="none"/>
                <w:lang w:eastAsia="zh-CN"/>
              </w:rPr>
              <w:t>进口产品说明</w:t>
            </w:r>
          </w:p>
          <w:p w14:paraId="464B1B0B">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eastAsia="zh-CN"/>
              </w:rPr>
              <w:t>□本表的第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1952726F">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eastAsia="zh-CN"/>
              </w:rPr>
              <w:t>☑本</w:t>
            </w:r>
            <w:r>
              <w:rPr>
                <w:rFonts w:hint="eastAsia" w:asciiTheme="majorEastAsia" w:hAnsiTheme="majorEastAsia" w:eastAsiaTheme="majorEastAsia" w:cstheme="majorEastAsia"/>
                <w:color w:val="auto"/>
                <w:sz w:val="24"/>
                <w:szCs w:val="24"/>
                <w:highlight w:val="none"/>
                <w:u w:val="none"/>
                <w:lang w:val="en-US" w:eastAsia="zh-CN"/>
              </w:rPr>
              <w:t>项目</w:t>
            </w:r>
            <w:r>
              <w:rPr>
                <w:rFonts w:hint="eastAsia" w:asciiTheme="majorEastAsia" w:hAnsiTheme="majorEastAsia" w:eastAsiaTheme="majorEastAsia" w:cstheme="majorEastAsia"/>
                <w:color w:val="auto"/>
                <w:sz w:val="24"/>
                <w:szCs w:val="24"/>
                <w:highlight w:val="none"/>
                <w:u w:val="none"/>
                <w:lang w:eastAsia="zh-CN"/>
              </w:rPr>
              <w:t>服务所涉及的货物不接受进口产品（即通过中国海关报关验放进入中国境内且产自关境外的产品）参与投标，如有进口产品参与投标的作无效标处理。</w:t>
            </w:r>
          </w:p>
          <w:p w14:paraId="32EF9F02">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val="en-US" w:eastAsia="zh-CN"/>
              </w:rPr>
              <w:t>2.</w:t>
            </w:r>
            <w:r>
              <w:rPr>
                <w:rFonts w:hint="eastAsia" w:asciiTheme="majorEastAsia" w:hAnsiTheme="majorEastAsia" w:eastAsiaTheme="majorEastAsia" w:cstheme="majorEastAsia"/>
                <w:color w:val="auto"/>
                <w:sz w:val="24"/>
                <w:szCs w:val="24"/>
                <w:highlight w:val="none"/>
                <w:u w:val="none"/>
                <w:lang w:eastAsia="zh-CN"/>
              </w:rPr>
              <w:t>其他</w:t>
            </w:r>
          </w:p>
          <w:p w14:paraId="6FDA3A70">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eastAsia="zh-CN"/>
              </w:rPr>
              <w:t>在技术评审时，如发现下列情形之一的，投标文件将被视为无效。</w:t>
            </w:r>
          </w:p>
          <w:p w14:paraId="36C06A63">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color w:val="auto"/>
                <w:sz w:val="24"/>
                <w:szCs w:val="24"/>
                <w:highlight w:val="none"/>
                <w:u w:val="none"/>
                <w:lang w:eastAsia="zh-CN"/>
              </w:rPr>
            </w:pPr>
            <w:r>
              <w:rPr>
                <w:rFonts w:hint="eastAsia" w:asciiTheme="majorEastAsia" w:hAnsiTheme="majorEastAsia" w:eastAsiaTheme="majorEastAsia" w:cstheme="majorEastAsia"/>
                <w:color w:val="auto"/>
                <w:sz w:val="24"/>
                <w:szCs w:val="24"/>
                <w:highlight w:val="none"/>
                <w:u w:val="none"/>
                <w:lang w:eastAsia="zh-CN"/>
              </w:rPr>
              <w:t>（1）服务技术资料表未按格式填写，未提供或未如实提供投标服务的技术参数或技术内容，或者投标文件标明的响应或偏离与事实不符或被视为虚假投标的；</w:t>
            </w:r>
          </w:p>
          <w:p w14:paraId="3AACBBC5">
            <w:pPr>
              <w:keepNext w:val="0"/>
              <w:keepLines w:val="0"/>
              <w:pageBreakBefore w:val="0"/>
              <w:kinsoku/>
              <w:overflowPunct/>
              <w:topLinePunct w:val="0"/>
              <w:autoSpaceDE/>
              <w:autoSpaceDN/>
              <w:bidi w:val="0"/>
              <w:adjustRightInd/>
              <w:snapToGrid/>
              <w:spacing w:afterLines="0" w:line="360" w:lineRule="auto"/>
              <w:ind w:firstLine="480" w:firstLineChars="200"/>
              <w:textAlignment w:val="auto"/>
              <w:rPr>
                <w:rFonts w:hint="eastAsia" w:asciiTheme="majorEastAsia" w:hAnsiTheme="majorEastAsia" w:eastAsiaTheme="majorEastAsia" w:cstheme="majorEastAsia"/>
                <w:i w:val="0"/>
                <w:iCs w:val="0"/>
                <w:color w:val="auto"/>
                <w:sz w:val="24"/>
                <w:szCs w:val="24"/>
                <w:highlight w:val="none"/>
                <w:u w:val="none"/>
                <w:lang w:val="en-US" w:eastAsia="zh-CN"/>
              </w:rPr>
            </w:pPr>
            <w:r>
              <w:rPr>
                <w:rFonts w:hint="eastAsia" w:asciiTheme="majorEastAsia" w:hAnsiTheme="majorEastAsia" w:eastAsiaTheme="majorEastAsia" w:cstheme="majorEastAsia"/>
                <w:color w:val="auto"/>
                <w:sz w:val="24"/>
                <w:szCs w:val="24"/>
                <w:highlight w:val="none"/>
                <w:u w:val="none"/>
                <w:lang w:eastAsia="zh-CN"/>
              </w:rPr>
              <w:t>（2）明显不符合招标文件要求的服务要求、质量标准，或者与招标文件中标“▲”的技术指标、主要功能项目发生实质性负偏离的。</w:t>
            </w:r>
          </w:p>
        </w:tc>
      </w:tr>
      <w:bookmarkEnd w:id="7"/>
    </w:tbl>
    <w:p w14:paraId="6E2E7AB6">
      <w:pPr>
        <w:pageBreakBefore w:val="0"/>
        <w:overflowPunct/>
        <w:topLinePunct w:val="0"/>
        <w:bidi w:val="0"/>
        <w:spacing w:line="360" w:lineRule="auto"/>
        <w:rPr>
          <w:color w:val="auto"/>
          <w:highlight w:val="none"/>
        </w:rPr>
      </w:pPr>
      <w:r>
        <w:rPr>
          <w:color w:val="auto"/>
          <w:highlight w:val="none"/>
        </w:rPr>
        <w:br w:type="page"/>
      </w:r>
    </w:p>
    <w:p w14:paraId="0063DF1A">
      <w:pPr>
        <w:pStyle w:val="12"/>
        <w:keepNext w:val="0"/>
        <w:keepLines w:val="0"/>
        <w:pageBreakBefore w:val="0"/>
        <w:widowControl w:val="0"/>
        <w:kinsoku/>
        <w:overflowPunct/>
        <w:topLinePunct w:val="0"/>
        <w:autoSpaceDE/>
        <w:autoSpaceDN/>
        <w:bidi w:val="0"/>
        <w:adjustRightInd/>
        <w:snapToGrid/>
        <w:spacing w:beforeAutospacing="0" w:afterAutospacing="0" w:line="360" w:lineRule="auto"/>
        <w:jc w:val="both"/>
        <w:textAlignment w:val="baseline"/>
        <w:outlineLvl w:val="9"/>
        <w:rPr>
          <w:rFonts w:hint="eastAsia" w:hAnsi="宋体" w:cs="宋体"/>
          <w:b/>
          <w:i w:val="0"/>
          <w:caps w:val="0"/>
          <w:color w:val="auto"/>
          <w:spacing w:val="0"/>
          <w:w w:val="100"/>
          <w:sz w:val="28"/>
          <w:szCs w:val="28"/>
          <w:highlight w:val="none"/>
          <w:lang w:val="en-US" w:eastAsia="zh-CN"/>
        </w:rPr>
        <w:sectPr>
          <w:headerReference r:id="rId5" w:type="default"/>
          <w:footerReference r:id="rId6" w:type="default"/>
          <w:pgSz w:w="11906" w:h="16838"/>
          <w:pgMar w:top="1440" w:right="1080" w:bottom="1440" w:left="1080" w:header="720" w:footer="720" w:gutter="0"/>
          <w:pgNumType w:fmt="decimal"/>
          <w:cols w:space="720" w:num="1"/>
          <w:docGrid w:type="lines" w:linePitch="331" w:charSpace="0"/>
        </w:sectPr>
      </w:pPr>
    </w:p>
    <w:p w14:paraId="7443FCA0">
      <w:pPr>
        <w:pStyle w:val="12"/>
        <w:keepNext w:val="0"/>
        <w:keepLines w:val="0"/>
        <w:pageBreakBefore w:val="0"/>
        <w:widowControl w:val="0"/>
        <w:kinsoku/>
        <w:overflowPunct/>
        <w:topLinePunct w:val="0"/>
        <w:autoSpaceDE/>
        <w:autoSpaceDN/>
        <w:bidi w:val="0"/>
        <w:adjustRightInd/>
        <w:snapToGrid/>
        <w:spacing w:beforeAutospacing="0" w:afterAutospacing="0" w:line="360" w:lineRule="auto"/>
        <w:jc w:val="both"/>
        <w:textAlignment w:val="baseline"/>
        <w:outlineLvl w:val="1"/>
        <w:rPr>
          <w:rFonts w:hint="eastAsia" w:ascii="方正小标宋简体" w:hAnsi="方正小标宋简体" w:eastAsia="方正小标宋简体" w:cs="方正小标宋简体"/>
          <w:bCs/>
          <w:color w:val="auto"/>
          <w:sz w:val="36"/>
          <w:szCs w:val="36"/>
          <w:highlight w:val="none"/>
          <w:u w:val="none"/>
          <w:lang w:val="en-US" w:eastAsia="zh-CN"/>
        </w:rPr>
      </w:pPr>
      <w:bookmarkStart w:id="8" w:name="_Toc12103"/>
      <w:r>
        <w:rPr>
          <w:rFonts w:hint="eastAsia" w:hAnsi="宋体" w:cs="宋体"/>
          <w:b/>
          <w:i w:val="0"/>
          <w:caps w:val="0"/>
          <w:color w:val="auto"/>
          <w:spacing w:val="0"/>
          <w:w w:val="100"/>
          <w:sz w:val="28"/>
          <w:szCs w:val="28"/>
          <w:highlight w:val="none"/>
          <w:lang w:val="en-US" w:eastAsia="zh-CN"/>
        </w:rPr>
        <w:t>附件1：</w:t>
      </w:r>
      <w:bookmarkEnd w:id="8"/>
      <w:r>
        <w:rPr>
          <w:rFonts w:hint="eastAsia" w:hAnsi="宋体" w:cs="宋体"/>
          <w:b/>
          <w:i w:val="0"/>
          <w:caps w:val="0"/>
          <w:color w:val="auto"/>
          <w:spacing w:val="0"/>
          <w:w w:val="100"/>
          <w:sz w:val="28"/>
          <w:szCs w:val="28"/>
          <w:highlight w:val="none"/>
          <w:lang w:val="en-US" w:eastAsia="zh-CN"/>
        </w:rPr>
        <w:t>2025年道路绿化养护服务政府采购项目养护道路统计表</w:t>
      </w:r>
    </w:p>
    <w:tbl>
      <w:tblPr>
        <w:tblStyle w:val="20"/>
        <w:tblW w:w="97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56"/>
        <w:gridCol w:w="698"/>
        <w:gridCol w:w="4666"/>
      </w:tblGrid>
      <w:tr w14:paraId="735B7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9720" w:type="dxa"/>
            <w:gridSpan w:val="3"/>
            <w:tcBorders>
              <w:top w:val="nil"/>
              <w:left w:val="nil"/>
              <w:bottom w:val="nil"/>
              <w:right w:val="nil"/>
            </w:tcBorders>
            <w:shd w:val="clear" w:color="auto" w:fill="auto"/>
            <w:noWrap/>
            <w:vAlign w:val="center"/>
          </w:tcPr>
          <w:p w14:paraId="6204F049">
            <w:pPr>
              <w:keepNext w:val="0"/>
              <w:keepLines w:val="0"/>
              <w:widowControl/>
              <w:suppressLineNumbers w:val="0"/>
              <w:jc w:val="center"/>
              <w:textAlignment w:val="center"/>
              <w:rPr>
                <w:rFonts w:ascii="方正小标宋简体" w:hAnsi="方正小标宋简体" w:eastAsia="方正小标宋简体" w:cs="方正小标宋简体"/>
                <w:i w:val="0"/>
                <w:iCs w:val="0"/>
                <w:color w:val="auto"/>
                <w:sz w:val="36"/>
                <w:szCs w:val="36"/>
                <w:highlight w:val="none"/>
                <w:u w:val="none"/>
              </w:rPr>
            </w:pPr>
            <w:r>
              <w:rPr>
                <w:rFonts w:hint="eastAsia" w:ascii="方正小标宋简体" w:hAnsi="方正小标宋简体" w:eastAsia="方正小标宋简体" w:cs="方正小标宋简体"/>
                <w:i w:val="0"/>
                <w:iCs w:val="0"/>
                <w:color w:val="auto"/>
                <w:kern w:val="0"/>
                <w:sz w:val="36"/>
                <w:szCs w:val="36"/>
                <w:highlight w:val="none"/>
                <w:u w:val="none"/>
                <w:lang w:val="en-US" w:eastAsia="zh-CN" w:bidi="ar"/>
              </w:rPr>
              <w:t>2025年道路绿化养护服务政府采购项目养护道路统计表</w:t>
            </w:r>
          </w:p>
        </w:tc>
      </w:tr>
      <w:tr w14:paraId="619C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D1D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9B0C">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3BF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62A4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2F6CFA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3E2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98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民族大道</w:t>
            </w:r>
          </w:p>
        </w:tc>
      </w:tr>
      <w:tr w14:paraId="3755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8C0C6D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0D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0D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竹溪大道</w:t>
            </w:r>
          </w:p>
        </w:tc>
      </w:tr>
      <w:tr w14:paraId="57EA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C44A9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DC8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B5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白沙大道</w:t>
            </w:r>
          </w:p>
        </w:tc>
      </w:tr>
      <w:tr w14:paraId="24B7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9B812F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98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73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壮锦大道</w:t>
            </w:r>
          </w:p>
        </w:tc>
      </w:tr>
      <w:tr w14:paraId="3E6B9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AE94D1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06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1C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机场第一高速</w:t>
            </w:r>
          </w:p>
        </w:tc>
      </w:tr>
      <w:tr w14:paraId="2130A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3EE76F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1C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AC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会展路</w:t>
            </w:r>
          </w:p>
        </w:tc>
      </w:tr>
      <w:tr w14:paraId="779E1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66A8C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5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84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荔滨大道</w:t>
            </w:r>
          </w:p>
        </w:tc>
      </w:tr>
      <w:tr w14:paraId="31BC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12F89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F7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3F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茶花园路</w:t>
            </w:r>
          </w:p>
        </w:tc>
      </w:tr>
      <w:tr w14:paraId="29926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69C5CA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73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F4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滨湖路</w:t>
            </w:r>
          </w:p>
        </w:tc>
      </w:tr>
      <w:tr w14:paraId="5DB10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731EF6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508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A7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双拥路</w:t>
            </w:r>
          </w:p>
        </w:tc>
      </w:tr>
      <w:tr w14:paraId="7AB03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38F0E3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AB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9A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嘉宾路</w:t>
            </w:r>
          </w:p>
        </w:tc>
      </w:tr>
      <w:tr w14:paraId="3A57A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6BC18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0A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55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迎宾路</w:t>
            </w:r>
          </w:p>
        </w:tc>
      </w:tr>
      <w:tr w14:paraId="7316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D2206B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D37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5C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机场第二高速</w:t>
            </w:r>
          </w:p>
        </w:tc>
      </w:tr>
      <w:tr w14:paraId="49BE8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2CCB86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09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0E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机场高速延长线</w:t>
            </w:r>
          </w:p>
        </w:tc>
      </w:tr>
      <w:tr w14:paraId="51062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368117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AE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43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平乐大道</w:t>
            </w:r>
          </w:p>
        </w:tc>
      </w:tr>
      <w:tr w14:paraId="347D2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B186AF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AB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13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五象大道</w:t>
            </w:r>
          </w:p>
        </w:tc>
      </w:tr>
      <w:tr w14:paraId="5CEDD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75F7A8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5D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F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秋月路</w:t>
            </w:r>
          </w:p>
        </w:tc>
      </w:tr>
      <w:tr w14:paraId="0C9D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C56387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A7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2E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体强路</w:t>
            </w:r>
          </w:p>
        </w:tc>
      </w:tr>
      <w:tr w14:paraId="4C5B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71433A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825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1B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青山路</w:t>
            </w:r>
          </w:p>
        </w:tc>
      </w:tr>
      <w:tr w14:paraId="3DD37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1CE81A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8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90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歌海路</w:t>
            </w:r>
          </w:p>
        </w:tc>
      </w:tr>
      <w:tr w14:paraId="2E11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07D08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D3D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19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铜鼓岭路</w:t>
            </w:r>
          </w:p>
        </w:tc>
      </w:tr>
      <w:tr w14:paraId="431B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468DC0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CDF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A7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凤凰岭路</w:t>
            </w:r>
          </w:p>
        </w:tc>
      </w:tr>
      <w:tr w14:paraId="4DED2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314098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C2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D3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民乐路</w:t>
            </w:r>
          </w:p>
        </w:tc>
      </w:tr>
      <w:tr w14:paraId="6528B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8E15C1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3C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F3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民生路</w:t>
            </w:r>
          </w:p>
        </w:tc>
      </w:tr>
      <w:tr w14:paraId="33821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B67D3C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5B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C2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思贤路</w:t>
            </w:r>
          </w:p>
        </w:tc>
      </w:tr>
      <w:tr w14:paraId="5DCAB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07F04A9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1F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42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鲤湾路</w:t>
            </w:r>
          </w:p>
        </w:tc>
      </w:tr>
      <w:tr w14:paraId="2B25D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726DF383">
            <w:pPr>
              <w:keepNext w:val="0"/>
              <w:keepLines w:val="0"/>
              <w:widowControl/>
              <w:suppressLineNumbers w:val="0"/>
              <w:jc w:val="center"/>
              <w:textAlignment w:val="center"/>
              <w:rPr>
                <w:rStyle w:val="42"/>
                <w:color w:val="auto"/>
                <w:highlight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BD6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B71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1B42C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35F3F519">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A8D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38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建政路</w:t>
            </w:r>
          </w:p>
        </w:tc>
      </w:tr>
      <w:tr w14:paraId="45838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725C46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305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10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广园路</w:t>
            </w:r>
          </w:p>
        </w:tc>
      </w:tr>
      <w:tr w14:paraId="53B25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694E04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05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E9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古城路</w:t>
            </w:r>
          </w:p>
        </w:tc>
      </w:tr>
      <w:tr w14:paraId="65669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A7A48E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8D5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9C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碧湖路</w:t>
            </w:r>
          </w:p>
        </w:tc>
      </w:tr>
      <w:tr w14:paraId="1BAFE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42519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8D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FB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葛村路</w:t>
            </w:r>
          </w:p>
        </w:tc>
      </w:tr>
      <w:tr w14:paraId="14BFD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3F5ED7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04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50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竹园路</w:t>
            </w:r>
          </w:p>
        </w:tc>
      </w:tr>
      <w:tr w14:paraId="77D26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F3802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A8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A9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共和路</w:t>
            </w:r>
          </w:p>
        </w:tc>
      </w:tr>
      <w:tr w14:paraId="5EFF7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6AE9B4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FC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F8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友爱南延长线</w:t>
            </w:r>
          </w:p>
        </w:tc>
      </w:tr>
      <w:tr w14:paraId="65CA2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41FCD1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0C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F9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教育路</w:t>
            </w:r>
          </w:p>
        </w:tc>
      </w:tr>
      <w:tr w14:paraId="364EF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E11AA5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D1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BE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七星路</w:t>
            </w:r>
          </w:p>
        </w:tc>
      </w:tr>
      <w:tr w14:paraId="7EFDA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B3B192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AE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21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天桃路</w:t>
            </w:r>
          </w:p>
        </w:tc>
      </w:tr>
      <w:tr w14:paraId="0CB54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D2F8E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9C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69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星湖路</w:t>
            </w:r>
          </w:p>
        </w:tc>
      </w:tr>
      <w:tr w14:paraId="0F1B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75CCC4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F5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27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民权路</w:t>
            </w:r>
          </w:p>
        </w:tc>
      </w:tr>
      <w:tr w14:paraId="00EE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20EF88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46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F7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新民路</w:t>
            </w:r>
          </w:p>
        </w:tc>
      </w:tr>
      <w:tr w14:paraId="302F8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C66F26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D0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AC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北大路</w:t>
            </w:r>
          </w:p>
        </w:tc>
      </w:tr>
      <w:tr w14:paraId="5351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82720D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AB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C1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新阳路</w:t>
            </w:r>
          </w:p>
        </w:tc>
      </w:tr>
      <w:tr w14:paraId="31B35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74F702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A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F6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望州南路</w:t>
            </w:r>
          </w:p>
        </w:tc>
      </w:tr>
      <w:tr w14:paraId="336E5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B50DCE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71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8A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华西路</w:t>
            </w:r>
          </w:p>
        </w:tc>
      </w:tr>
      <w:tr w14:paraId="289BD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DCC70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8E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F2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华东路</w:t>
            </w:r>
          </w:p>
        </w:tc>
      </w:tr>
      <w:tr w14:paraId="078E0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5F12F4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8E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D4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新华街</w:t>
            </w:r>
          </w:p>
        </w:tc>
      </w:tr>
      <w:tr w14:paraId="22294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71110D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7CC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AA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人民东路</w:t>
            </w:r>
          </w:p>
        </w:tc>
      </w:tr>
      <w:tr w14:paraId="1E211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51E015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EC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A2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人民西路</w:t>
            </w:r>
          </w:p>
        </w:tc>
      </w:tr>
      <w:tr w14:paraId="34AB3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633809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FD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7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公园路</w:t>
            </w:r>
          </w:p>
        </w:tc>
      </w:tr>
      <w:tr w14:paraId="0374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5C5566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E8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07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西关路</w:t>
            </w:r>
          </w:p>
        </w:tc>
      </w:tr>
      <w:tr w14:paraId="683EE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868417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FA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72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当阳街</w:t>
            </w:r>
          </w:p>
        </w:tc>
      </w:tr>
      <w:tr w14:paraId="7B07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B8634C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8A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7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友爱路</w:t>
            </w:r>
          </w:p>
        </w:tc>
      </w:tr>
      <w:tr w14:paraId="10FFC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5703C2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F2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1E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北湖路</w:t>
            </w:r>
          </w:p>
        </w:tc>
      </w:tr>
      <w:tr w14:paraId="07E79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732706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95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3C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北湖南路</w:t>
            </w:r>
          </w:p>
        </w:tc>
      </w:tr>
      <w:tr w14:paraId="1B9D5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E12615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24C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E0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明秀路</w:t>
            </w:r>
          </w:p>
        </w:tc>
      </w:tr>
      <w:tr w14:paraId="6D65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5169CF6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E9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285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衡阳路</w:t>
            </w:r>
          </w:p>
        </w:tc>
      </w:tr>
      <w:tr w14:paraId="00D7B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57A22A03">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DC36">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nil"/>
              <w:right w:val="single" w:color="000000" w:sz="4" w:space="0"/>
            </w:tcBorders>
            <w:shd w:val="clear" w:color="auto" w:fill="auto"/>
            <w:vAlign w:val="center"/>
          </w:tcPr>
          <w:p w14:paraId="2A9F3AA4">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19F26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29963BC0">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02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w:t>
            </w:r>
          </w:p>
        </w:tc>
        <w:tc>
          <w:tcPr>
            <w:tcW w:w="4666" w:type="dxa"/>
            <w:tcBorders>
              <w:top w:val="single" w:color="000000" w:sz="4" w:space="0"/>
              <w:left w:val="single" w:color="000000" w:sz="4" w:space="0"/>
              <w:bottom w:val="nil"/>
              <w:right w:val="single" w:color="000000" w:sz="4" w:space="0"/>
            </w:tcBorders>
            <w:shd w:val="clear" w:color="auto" w:fill="auto"/>
            <w:vAlign w:val="center"/>
          </w:tcPr>
          <w:p w14:paraId="780C7E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唐山路</w:t>
            </w:r>
          </w:p>
        </w:tc>
      </w:tr>
      <w:tr w14:paraId="1D8D0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33EEC0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5D2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3F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望民路</w:t>
            </w:r>
          </w:p>
        </w:tc>
      </w:tr>
      <w:tr w14:paraId="68394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B8EA24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98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A5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厢竹大道</w:t>
            </w:r>
          </w:p>
        </w:tc>
      </w:tr>
      <w:tr w14:paraId="016C0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7BE73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012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5E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清厢快速路</w:t>
            </w:r>
          </w:p>
        </w:tc>
      </w:tr>
      <w:tr w14:paraId="3F1CD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5162D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DD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00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凤岭北路</w:t>
            </w:r>
          </w:p>
        </w:tc>
      </w:tr>
      <w:tr w14:paraId="36F3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9F9A2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ED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14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高坡岭路</w:t>
            </w:r>
          </w:p>
        </w:tc>
      </w:tr>
      <w:tr w14:paraId="52CA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B2C891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E5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AE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云景路</w:t>
            </w:r>
          </w:p>
        </w:tc>
      </w:tr>
      <w:tr w14:paraId="47649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8C1B0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30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D9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吉祥路</w:t>
            </w:r>
          </w:p>
        </w:tc>
      </w:tr>
      <w:tr w14:paraId="47967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E2BB8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5F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0C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三石路</w:t>
            </w:r>
          </w:p>
        </w:tc>
      </w:tr>
      <w:tr w14:paraId="0D008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696013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6E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1E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屯里东路</w:t>
            </w:r>
          </w:p>
        </w:tc>
      </w:tr>
      <w:tr w14:paraId="4AB6D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0CE282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0C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63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屯里西路</w:t>
            </w:r>
          </w:p>
        </w:tc>
      </w:tr>
      <w:tr w14:paraId="42E6D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AB24E0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BB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31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月湾路</w:t>
            </w:r>
          </w:p>
        </w:tc>
      </w:tr>
      <w:tr w14:paraId="2F2B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201ACE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B8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4C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大渌岭路</w:t>
            </w:r>
          </w:p>
        </w:tc>
      </w:tr>
      <w:tr w14:paraId="77CBA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7CD505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05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A5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东葛路</w:t>
            </w:r>
          </w:p>
        </w:tc>
      </w:tr>
      <w:tr w14:paraId="4977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CDE004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118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99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佛子岭路</w:t>
            </w:r>
          </w:p>
        </w:tc>
      </w:tr>
      <w:tr w14:paraId="1BF6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608ADC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F9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BB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滨湖北路</w:t>
            </w:r>
          </w:p>
        </w:tc>
      </w:tr>
      <w:tr w14:paraId="6D359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C3FED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C6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A4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长湖路</w:t>
            </w:r>
          </w:p>
        </w:tc>
      </w:tr>
      <w:tr w14:paraId="7DEE3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872A1A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06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5F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凤翔路</w:t>
            </w:r>
          </w:p>
        </w:tc>
      </w:tr>
      <w:tr w14:paraId="1AB28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126649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FBB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5C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景秀路</w:t>
            </w:r>
          </w:p>
        </w:tc>
      </w:tr>
      <w:tr w14:paraId="61F2B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252F58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C8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6C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园湖北路</w:t>
            </w:r>
          </w:p>
        </w:tc>
      </w:tr>
      <w:tr w14:paraId="459D0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B75845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CF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E0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望园路</w:t>
            </w:r>
          </w:p>
        </w:tc>
      </w:tr>
      <w:tr w14:paraId="44C52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46AE0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DB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68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新竹路</w:t>
            </w:r>
          </w:p>
        </w:tc>
      </w:tr>
      <w:tr w14:paraId="21A78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24750C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6A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86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三塘南路</w:t>
            </w:r>
          </w:p>
        </w:tc>
      </w:tr>
      <w:tr w14:paraId="338F9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3EC8E0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3A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1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金湖北路</w:t>
            </w:r>
          </w:p>
        </w:tc>
      </w:tr>
      <w:tr w14:paraId="4AE02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1A6933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8B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49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怡宾路</w:t>
            </w:r>
          </w:p>
        </w:tc>
      </w:tr>
      <w:tr w14:paraId="1E21B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D444A8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36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43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悦宾路</w:t>
            </w:r>
          </w:p>
        </w:tc>
      </w:tr>
      <w:tr w14:paraId="2A29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48F88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53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48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裕宾路</w:t>
            </w:r>
          </w:p>
        </w:tc>
      </w:tr>
      <w:tr w14:paraId="391D5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AF1CEC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1B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B0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贤宾路</w:t>
            </w:r>
          </w:p>
        </w:tc>
      </w:tr>
      <w:tr w14:paraId="7AA07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DEAB6F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1B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4A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祥宾路</w:t>
            </w:r>
          </w:p>
        </w:tc>
      </w:tr>
      <w:tr w14:paraId="30E1F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3C6885D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9C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E0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长虹路</w:t>
            </w:r>
          </w:p>
        </w:tc>
      </w:tr>
      <w:tr w14:paraId="7262E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10D1D6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34A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4E0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66987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6ED22725">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39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E9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松柏路</w:t>
            </w:r>
          </w:p>
        </w:tc>
      </w:tr>
      <w:tr w14:paraId="0EE80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49C18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44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80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平安西路</w:t>
            </w:r>
          </w:p>
        </w:tc>
      </w:tr>
      <w:tr w14:paraId="7019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723393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C9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73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站北西路</w:t>
            </w:r>
          </w:p>
        </w:tc>
      </w:tr>
      <w:tr w14:paraId="2BB2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9F0B31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D1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5F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平安东路</w:t>
            </w:r>
          </w:p>
        </w:tc>
      </w:tr>
      <w:tr w14:paraId="0660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DF919C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0D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FF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站北东路</w:t>
            </w:r>
          </w:p>
        </w:tc>
      </w:tr>
      <w:tr w14:paraId="06E1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549504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28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60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站北五支路</w:t>
            </w:r>
          </w:p>
        </w:tc>
      </w:tr>
      <w:tr w14:paraId="1ED6E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523832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240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75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站北四支路</w:t>
            </w:r>
          </w:p>
        </w:tc>
      </w:tr>
      <w:tr w14:paraId="2A60A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FB61DF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D9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B2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站北三支路</w:t>
            </w:r>
          </w:p>
        </w:tc>
      </w:tr>
      <w:tr w14:paraId="353B5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9A5EE9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39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0E5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站北二支路</w:t>
            </w:r>
          </w:p>
        </w:tc>
      </w:tr>
      <w:tr w14:paraId="19AB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E5D7D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85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8D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站北一支路</w:t>
            </w:r>
          </w:p>
        </w:tc>
      </w:tr>
      <w:tr w14:paraId="5ADA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ED3AEC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52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70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站南西路</w:t>
            </w:r>
          </w:p>
        </w:tc>
      </w:tr>
      <w:tr w14:paraId="66C33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FF1672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AC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32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站南东路</w:t>
            </w:r>
          </w:p>
        </w:tc>
      </w:tr>
      <w:tr w14:paraId="0E935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1ACF8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E1B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D6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通达西路</w:t>
            </w:r>
          </w:p>
        </w:tc>
      </w:tr>
      <w:tr w14:paraId="2DE6D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366D22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70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44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通达东路</w:t>
            </w:r>
          </w:p>
        </w:tc>
      </w:tr>
      <w:tr w14:paraId="0A0D7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064936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F5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24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站南四支路</w:t>
            </w:r>
          </w:p>
        </w:tc>
      </w:tr>
      <w:tr w14:paraId="3B05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B3046A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AC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1A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站南三支路</w:t>
            </w:r>
          </w:p>
        </w:tc>
      </w:tr>
      <w:tr w14:paraId="4A802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D07FFF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EE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ED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站南二支路</w:t>
            </w:r>
          </w:p>
        </w:tc>
      </w:tr>
      <w:tr w14:paraId="3DAFA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78C3F1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0F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86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站南一支路</w:t>
            </w:r>
          </w:p>
        </w:tc>
      </w:tr>
      <w:tr w14:paraId="7659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0CBE8C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CB3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F9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那庙路</w:t>
            </w:r>
          </w:p>
        </w:tc>
      </w:tr>
      <w:tr w14:paraId="07B63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134D78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F0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FB8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广岳岭路</w:t>
            </w:r>
          </w:p>
        </w:tc>
      </w:tr>
      <w:tr w14:paraId="0067A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79A228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97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祥开路</w:t>
            </w:r>
          </w:p>
        </w:tc>
      </w:tr>
      <w:tr w14:paraId="6305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D9FD9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ECC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41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翠竹路</w:t>
            </w:r>
          </w:p>
        </w:tc>
      </w:tr>
      <w:tr w14:paraId="63E3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3B0F32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77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E4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枫林路</w:t>
            </w:r>
          </w:p>
        </w:tc>
      </w:tr>
      <w:tr w14:paraId="39479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E82D7F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CF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2D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友爱南路</w:t>
            </w:r>
          </w:p>
        </w:tc>
      </w:tr>
      <w:tr w14:paraId="20D70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150068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EE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D5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金湖南路</w:t>
            </w:r>
          </w:p>
        </w:tc>
      </w:tr>
      <w:tr w14:paraId="21ADB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46DCF0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89D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FD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金浦路</w:t>
            </w:r>
          </w:p>
        </w:tc>
      </w:tr>
      <w:tr w14:paraId="545EA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FAA98B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37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D6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桂春路</w:t>
            </w:r>
          </w:p>
        </w:tc>
      </w:tr>
      <w:tr w14:paraId="1AACC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6C3E2D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64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F5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锦春路</w:t>
            </w:r>
          </w:p>
        </w:tc>
      </w:tr>
      <w:tr w14:paraId="47D3D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C558D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A09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2C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汇春路</w:t>
            </w:r>
          </w:p>
        </w:tc>
      </w:tr>
      <w:tr w14:paraId="171C8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74CF5D2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65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41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金龙路</w:t>
            </w:r>
          </w:p>
        </w:tc>
      </w:tr>
      <w:tr w14:paraId="1AEF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041135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FFB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B36F">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311D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0CB9668A">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12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7AC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飞龙路</w:t>
            </w:r>
          </w:p>
        </w:tc>
      </w:tr>
      <w:tr w14:paraId="6F6A4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1E5C18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50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C8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玉凤路</w:t>
            </w:r>
          </w:p>
        </w:tc>
      </w:tr>
      <w:tr w14:paraId="7267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121109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EF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A3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广艺路</w:t>
            </w:r>
          </w:p>
        </w:tc>
      </w:tr>
      <w:tr w14:paraId="6789C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8BAB70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9E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35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彩凤路</w:t>
            </w:r>
          </w:p>
        </w:tc>
      </w:tr>
      <w:tr w14:paraId="42DBC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4E57E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C1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2B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仙葫大道</w:t>
            </w:r>
          </w:p>
        </w:tc>
      </w:tr>
      <w:tr w14:paraId="43C61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FC132C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05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C8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彩虹路</w:t>
            </w:r>
          </w:p>
        </w:tc>
      </w:tr>
      <w:tr w14:paraId="43A1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F12877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C2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A1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龙堤路</w:t>
            </w:r>
          </w:p>
        </w:tc>
      </w:tr>
      <w:tr w14:paraId="2BA72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21286A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EE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7B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宋厢路</w:t>
            </w:r>
          </w:p>
        </w:tc>
      </w:tr>
      <w:tr w14:paraId="30FA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7542B2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13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87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龙村路</w:t>
            </w:r>
          </w:p>
        </w:tc>
      </w:tr>
      <w:tr w14:paraId="32D0C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C14787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25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1A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万锦路</w:t>
            </w:r>
          </w:p>
        </w:tc>
      </w:tr>
      <w:tr w14:paraId="0D393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777869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D7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E8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良堤路</w:t>
            </w:r>
          </w:p>
        </w:tc>
      </w:tr>
      <w:tr w14:paraId="2D6A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33AC1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E8E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6D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博艺路</w:t>
            </w:r>
          </w:p>
        </w:tc>
      </w:tr>
      <w:tr w14:paraId="62617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B5C2FB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8A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9D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平江路</w:t>
            </w:r>
          </w:p>
        </w:tc>
      </w:tr>
      <w:tr w14:paraId="13166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707D9F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CF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66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云兴街</w:t>
            </w:r>
          </w:p>
        </w:tc>
      </w:tr>
      <w:tr w14:paraId="000B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8595FE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989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A5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云龙街</w:t>
            </w:r>
          </w:p>
        </w:tc>
      </w:tr>
      <w:tr w14:paraId="23DCA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B79665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25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77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玉凤北二里</w:t>
            </w:r>
          </w:p>
        </w:tc>
      </w:tr>
      <w:tr w14:paraId="1F906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FE59C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C5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4E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龙佑北一里</w:t>
            </w:r>
          </w:p>
        </w:tc>
      </w:tr>
      <w:tr w14:paraId="16E1A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879749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31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D7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石排岭路</w:t>
            </w:r>
          </w:p>
        </w:tc>
      </w:tr>
      <w:tr w14:paraId="3F5D8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9C28A7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C1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6C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缸瓦窑路</w:t>
            </w:r>
          </w:p>
        </w:tc>
      </w:tr>
      <w:tr w14:paraId="70EB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CA3EEA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810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23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玉凤路北一里</w:t>
            </w:r>
          </w:p>
        </w:tc>
      </w:tr>
      <w:tr w14:paraId="4B39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6AE1D1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39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32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歌韵路</w:t>
            </w:r>
          </w:p>
        </w:tc>
      </w:tr>
      <w:tr w14:paraId="495BD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7D46DE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29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AB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龙德街</w:t>
            </w:r>
          </w:p>
        </w:tc>
      </w:tr>
      <w:tr w14:paraId="5AA0B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09198B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C4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73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龙佑路</w:t>
            </w:r>
          </w:p>
        </w:tc>
      </w:tr>
      <w:tr w14:paraId="6FC55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B10EE9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738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E4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艺华街</w:t>
            </w:r>
          </w:p>
        </w:tc>
      </w:tr>
      <w:tr w14:paraId="1B3FD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773F9A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F9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22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那黄大道</w:t>
            </w:r>
          </w:p>
        </w:tc>
      </w:tr>
      <w:tr w14:paraId="4E685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A74CAF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778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FC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东风路</w:t>
            </w:r>
          </w:p>
        </w:tc>
      </w:tr>
      <w:tr w14:paraId="1B96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91C7CB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B3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09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玉象路</w:t>
            </w:r>
          </w:p>
        </w:tc>
      </w:tr>
      <w:tr w14:paraId="5775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81F03A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9D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DC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银沙大道</w:t>
            </w:r>
          </w:p>
        </w:tc>
      </w:tr>
      <w:tr w14:paraId="1E49C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39B25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1BF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46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凤岭南路</w:t>
            </w:r>
          </w:p>
        </w:tc>
      </w:tr>
      <w:tr w14:paraId="08FCA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12579B9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CF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B2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青环路</w:t>
            </w:r>
          </w:p>
        </w:tc>
      </w:tr>
      <w:tr w14:paraId="7579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0E502B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C4DA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9B67">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3360F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0A9E8EA6">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732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EE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柳象路</w:t>
            </w:r>
          </w:p>
        </w:tc>
      </w:tr>
      <w:tr w14:paraId="08622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7BA21E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53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F4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柳园路</w:t>
            </w:r>
          </w:p>
        </w:tc>
      </w:tr>
      <w:tr w14:paraId="4F735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AEEA6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774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58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汇歌路</w:t>
            </w:r>
          </w:p>
        </w:tc>
      </w:tr>
      <w:tr w14:paraId="59487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FCEE33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06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3F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柳和路</w:t>
            </w:r>
          </w:p>
        </w:tc>
      </w:tr>
      <w:tr w14:paraId="45D0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20B7F0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B6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92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石园路</w:t>
            </w:r>
          </w:p>
        </w:tc>
      </w:tr>
      <w:tr w14:paraId="1A5B0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551B09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03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EE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植物路</w:t>
            </w:r>
          </w:p>
        </w:tc>
      </w:tr>
      <w:tr w14:paraId="50FF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292C10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BA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51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江北大道</w:t>
            </w:r>
          </w:p>
        </w:tc>
      </w:tr>
      <w:tr w14:paraId="640FA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3F36A1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3AD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63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桂雅路</w:t>
            </w:r>
          </w:p>
        </w:tc>
      </w:tr>
      <w:tr w14:paraId="30EDF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657ABB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11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5F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桂花路</w:t>
            </w:r>
          </w:p>
        </w:tc>
      </w:tr>
      <w:tr w14:paraId="0054E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A0338B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C2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28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朱槿路</w:t>
            </w:r>
          </w:p>
        </w:tc>
      </w:tr>
      <w:tr w14:paraId="77724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8DEE03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18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09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合作路</w:t>
            </w:r>
          </w:p>
        </w:tc>
      </w:tr>
      <w:tr w14:paraId="66E9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EC381F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75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76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中泰路</w:t>
            </w:r>
          </w:p>
        </w:tc>
      </w:tr>
      <w:tr w14:paraId="01CD2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5A2CB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BC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9A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中柬路</w:t>
            </w:r>
          </w:p>
        </w:tc>
      </w:tr>
      <w:tr w14:paraId="0B40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249F9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9D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576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中新路</w:t>
            </w:r>
          </w:p>
        </w:tc>
      </w:tr>
      <w:tr w14:paraId="07B11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15F012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5F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50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中马路</w:t>
            </w:r>
          </w:p>
        </w:tc>
      </w:tr>
      <w:tr w14:paraId="0793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6D25E4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BE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54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中越路</w:t>
            </w:r>
          </w:p>
        </w:tc>
      </w:tr>
      <w:tr w14:paraId="3DD9E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3FBC37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2D8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CD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青秀路</w:t>
            </w:r>
          </w:p>
        </w:tc>
      </w:tr>
      <w:tr w14:paraId="69131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C7681C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B0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EB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越秀路</w:t>
            </w:r>
          </w:p>
        </w:tc>
      </w:tr>
      <w:tr w14:paraId="1BD1A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87E188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5C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AE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雷公岭北路</w:t>
            </w:r>
          </w:p>
        </w:tc>
      </w:tr>
      <w:tr w14:paraId="6111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6D557B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BB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8C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青林路</w:t>
            </w:r>
          </w:p>
        </w:tc>
      </w:tr>
      <w:tr w14:paraId="1BEC3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54F6D9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10D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F0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灵龟路</w:t>
            </w:r>
          </w:p>
        </w:tc>
      </w:tr>
      <w:tr w14:paraId="4F72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E90D7C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A9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87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中山路</w:t>
            </w:r>
          </w:p>
        </w:tc>
      </w:tr>
      <w:tr w14:paraId="1A673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4B20B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BB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33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临江街</w:t>
            </w:r>
          </w:p>
        </w:tc>
      </w:tr>
      <w:tr w14:paraId="2E83B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44232C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2F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B5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桃源路</w:t>
            </w:r>
          </w:p>
        </w:tc>
      </w:tr>
      <w:tr w14:paraId="2D6D3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BDEDD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529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6A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柳沙路</w:t>
            </w:r>
          </w:p>
        </w:tc>
      </w:tr>
      <w:tr w14:paraId="549F8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E4ED41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74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A1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英华路</w:t>
            </w:r>
          </w:p>
        </w:tc>
      </w:tr>
      <w:tr w14:paraId="4136E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5E288D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88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90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唐城路</w:t>
            </w:r>
          </w:p>
        </w:tc>
      </w:tr>
      <w:tr w14:paraId="68EFE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0AEE10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BE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6E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林里桥路</w:t>
            </w:r>
          </w:p>
        </w:tc>
      </w:tr>
      <w:tr w14:paraId="724E8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7E1216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08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BC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昆仑大道</w:t>
            </w:r>
          </w:p>
        </w:tc>
      </w:tr>
      <w:tr w14:paraId="3D18F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024BB8B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0F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0F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邕武路</w:t>
            </w:r>
          </w:p>
        </w:tc>
      </w:tr>
      <w:tr w14:paraId="7908F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5B93A6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B2C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84F7">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35030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403A8BAD">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BD5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22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沙江路</w:t>
            </w:r>
          </w:p>
        </w:tc>
      </w:tr>
      <w:tr w14:paraId="0EBE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DB01CF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62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04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永安北二路</w:t>
            </w:r>
          </w:p>
        </w:tc>
      </w:tr>
      <w:tr w14:paraId="1BA15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B93D32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EA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7C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金宁路</w:t>
            </w:r>
          </w:p>
        </w:tc>
      </w:tr>
      <w:tr w14:paraId="49136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A01EFB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AEB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4A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金桥路</w:t>
            </w:r>
          </w:p>
        </w:tc>
      </w:tr>
      <w:tr w14:paraId="5A29C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B5155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A6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1A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兴桂路</w:t>
            </w:r>
          </w:p>
        </w:tc>
      </w:tr>
      <w:tr w14:paraId="4F681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E34538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8A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B8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大乌路</w:t>
            </w:r>
          </w:p>
        </w:tc>
      </w:tr>
      <w:tr w14:paraId="0326B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13D881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7E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142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玉蟾路</w:t>
            </w:r>
          </w:p>
        </w:tc>
      </w:tr>
      <w:tr w14:paraId="4A73F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E62E3D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A4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615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降桥路</w:t>
            </w:r>
          </w:p>
        </w:tc>
      </w:tr>
      <w:tr w14:paraId="5E22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21D1F4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14E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2E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金川路</w:t>
            </w:r>
          </w:p>
        </w:tc>
      </w:tr>
      <w:tr w14:paraId="62780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38253D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5DA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04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建兴路</w:t>
            </w:r>
          </w:p>
        </w:tc>
      </w:tr>
      <w:tr w14:paraId="3D15E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5D9E79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C0B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5E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天狮岭路</w:t>
            </w:r>
          </w:p>
        </w:tc>
      </w:tr>
      <w:tr w14:paraId="357B6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F971F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D8C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84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长兴路</w:t>
            </w:r>
          </w:p>
        </w:tc>
      </w:tr>
      <w:tr w14:paraId="0464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35AC2D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BC0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F9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金禾路</w:t>
            </w:r>
          </w:p>
        </w:tc>
      </w:tr>
      <w:tr w14:paraId="7902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2213A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00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72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东洲路</w:t>
            </w:r>
          </w:p>
        </w:tc>
      </w:tr>
      <w:tr w14:paraId="4D60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B2C489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70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69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望州路</w:t>
            </w:r>
          </w:p>
        </w:tc>
      </w:tr>
      <w:tr w14:paraId="7BF2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E461A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DB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35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兴东路</w:t>
            </w:r>
          </w:p>
        </w:tc>
      </w:tr>
      <w:tr w14:paraId="1B29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971E10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5B3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A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兴和路</w:t>
            </w:r>
          </w:p>
        </w:tc>
      </w:tr>
      <w:tr w14:paraId="5713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942587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99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28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南梧路</w:t>
            </w:r>
          </w:p>
        </w:tc>
      </w:tr>
      <w:tr w14:paraId="47F7C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D647B7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02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65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苏州路</w:t>
            </w:r>
          </w:p>
        </w:tc>
      </w:tr>
      <w:tr w14:paraId="6FD1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20DE25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56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AF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济南路</w:t>
            </w:r>
          </w:p>
        </w:tc>
      </w:tr>
      <w:tr w14:paraId="40722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9E0B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13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C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民主路</w:t>
            </w:r>
          </w:p>
        </w:tc>
      </w:tr>
      <w:tr w14:paraId="634BD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7BF96A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60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20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中华路</w:t>
            </w:r>
          </w:p>
        </w:tc>
      </w:tr>
      <w:tr w14:paraId="46114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C73EF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8A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BC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朝阳溪</w:t>
            </w:r>
          </w:p>
        </w:tc>
      </w:tr>
      <w:tr w14:paraId="5830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B87AEE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31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7A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大学东路</w:t>
            </w:r>
          </w:p>
        </w:tc>
      </w:tr>
      <w:tr w14:paraId="6D9F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63CD85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43E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F4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秀东路</w:t>
            </w:r>
          </w:p>
        </w:tc>
      </w:tr>
      <w:tr w14:paraId="7ED21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7D7C5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1D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4C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秀田路</w:t>
            </w:r>
          </w:p>
        </w:tc>
      </w:tr>
      <w:tr w14:paraId="2A9E0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870855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C0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EC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友爱北路</w:t>
            </w:r>
          </w:p>
        </w:tc>
      </w:tr>
      <w:tr w14:paraId="541B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A8EE0B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640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2F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南站大道</w:t>
            </w:r>
          </w:p>
        </w:tc>
      </w:tr>
      <w:tr w14:paraId="1E11E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5413E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C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DE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凤江路</w:t>
            </w:r>
          </w:p>
        </w:tc>
      </w:tr>
      <w:tr w14:paraId="515F6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1DAD198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62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18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江南大道</w:t>
            </w:r>
          </w:p>
        </w:tc>
      </w:tr>
      <w:tr w14:paraId="53D1B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296B52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901D">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96C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24E9D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707BD22A">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3AD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1E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南建路</w:t>
            </w:r>
          </w:p>
        </w:tc>
      </w:tr>
      <w:tr w14:paraId="5393A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8CB695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D76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4D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亭洪路</w:t>
            </w:r>
          </w:p>
        </w:tc>
      </w:tr>
      <w:tr w14:paraId="74984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DFCD4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23F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AB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淡村路</w:t>
            </w:r>
          </w:p>
        </w:tc>
      </w:tr>
      <w:tr w14:paraId="28E0A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867194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7E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FF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西江路</w:t>
            </w:r>
          </w:p>
        </w:tc>
      </w:tr>
      <w:tr w14:paraId="2EBEC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F0F97D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3B3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B2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西园路</w:t>
            </w:r>
          </w:p>
        </w:tc>
      </w:tr>
      <w:tr w14:paraId="59063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28B402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AF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6E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五一北四里</w:t>
            </w:r>
          </w:p>
        </w:tc>
      </w:tr>
      <w:tr w14:paraId="7D31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76EE88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707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A2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五一路</w:t>
            </w:r>
          </w:p>
        </w:tc>
      </w:tr>
      <w:tr w14:paraId="75A4E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EA73E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D85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5D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福建路</w:t>
            </w:r>
          </w:p>
        </w:tc>
      </w:tr>
      <w:tr w14:paraId="639C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49BEF8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55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9F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云举路</w:t>
            </w:r>
          </w:p>
        </w:tc>
      </w:tr>
      <w:tr w14:paraId="57F39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4742BF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5E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6C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亭江路</w:t>
            </w:r>
          </w:p>
        </w:tc>
      </w:tr>
      <w:tr w14:paraId="5FFE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3968B8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F6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54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星光大道</w:t>
            </w:r>
          </w:p>
        </w:tc>
      </w:tr>
      <w:tr w14:paraId="060EE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63E1BA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D96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AA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那洪大道</w:t>
            </w:r>
          </w:p>
        </w:tc>
      </w:tr>
      <w:tr w14:paraId="76D1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22A5C2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4F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93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尧头岭路</w:t>
            </w:r>
          </w:p>
        </w:tc>
      </w:tr>
      <w:tr w14:paraId="07B2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EEDE8E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69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43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华南大道</w:t>
            </w:r>
          </w:p>
        </w:tc>
      </w:tr>
      <w:tr w14:paraId="523C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EC4BA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00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1B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洪历路</w:t>
            </w:r>
          </w:p>
        </w:tc>
      </w:tr>
      <w:tr w14:paraId="70F4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ECD87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C83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EE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邕津路</w:t>
            </w:r>
          </w:p>
        </w:tc>
      </w:tr>
      <w:tr w14:paraId="4123E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27CCE5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78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0E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仁和路</w:t>
            </w:r>
          </w:p>
        </w:tc>
      </w:tr>
      <w:tr w14:paraId="0CDD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908801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A5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B6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干坪路</w:t>
            </w:r>
          </w:p>
        </w:tc>
      </w:tr>
      <w:tr w14:paraId="1FD5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7E3427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2B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AC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智兴路</w:t>
            </w:r>
          </w:p>
        </w:tc>
      </w:tr>
      <w:tr w14:paraId="2130B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874C30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7B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9E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定秋路</w:t>
            </w:r>
          </w:p>
        </w:tc>
      </w:tr>
      <w:tr w14:paraId="7B5C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DC5CA0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55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E99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定津路</w:t>
            </w:r>
          </w:p>
        </w:tc>
      </w:tr>
      <w:tr w14:paraId="0162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ACC4D6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F0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56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三津大道</w:t>
            </w:r>
          </w:p>
        </w:tc>
      </w:tr>
      <w:tr w14:paraId="722FD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3D042E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13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93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沙井大道</w:t>
            </w:r>
          </w:p>
        </w:tc>
      </w:tr>
      <w:tr w14:paraId="66E63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9D99CD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32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C8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堤园路</w:t>
            </w:r>
          </w:p>
        </w:tc>
      </w:tr>
      <w:tr w14:paraId="60F43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80E7BE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9E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0D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五一西路</w:t>
            </w:r>
          </w:p>
        </w:tc>
      </w:tr>
      <w:tr w14:paraId="2E7D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41F6E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FDB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3D9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锦成路</w:t>
            </w:r>
          </w:p>
        </w:tc>
      </w:tr>
      <w:tr w14:paraId="5F9D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332A80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F8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85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锦富路</w:t>
            </w:r>
          </w:p>
        </w:tc>
      </w:tr>
      <w:tr w14:paraId="2E298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0165E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72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B2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同乐大道</w:t>
            </w:r>
          </w:p>
        </w:tc>
      </w:tr>
      <w:tr w14:paraId="50C08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FF6FD7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05A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92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智和路</w:t>
            </w:r>
          </w:p>
        </w:tc>
      </w:tr>
      <w:tr w14:paraId="3C445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73A2763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44E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FA8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翠湖路</w:t>
            </w:r>
          </w:p>
        </w:tc>
      </w:tr>
      <w:tr w14:paraId="3EAB0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2E2E8D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AF67">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07E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00899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64F009DA">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A6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4A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南乡路</w:t>
            </w:r>
          </w:p>
        </w:tc>
      </w:tr>
      <w:tr w14:paraId="7ADC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BA3F19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C7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05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乐贤路</w:t>
            </w:r>
          </w:p>
        </w:tc>
      </w:tr>
      <w:tr w14:paraId="3EEB5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5A7BC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27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57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玉洞大道</w:t>
            </w:r>
          </w:p>
        </w:tc>
      </w:tr>
      <w:tr w14:paraId="3B107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4B8F5C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30B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4D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良玉大道</w:t>
            </w:r>
          </w:p>
        </w:tc>
      </w:tr>
      <w:tr w14:paraId="2D2FC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4D0D78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87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C7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凤凰路</w:t>
            </w:r>
          </w:p>
        </w:tc>
      </w:tr>
      <w:tr w14:paraId="37A3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CDFA7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41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F1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华兴路</w:t>
            </w:r>
          </w:p>
        </w:tc>
      </w:tr>
      <w:tr w14:paraId="38280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3262F7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B8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4D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那安快速路</w:t>
            </w:r>
          </w:p>
        </w:tc>
      </w:tr>
      <w:tr w14:paraId="772BD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3A1215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24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E2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金良路</w:t>
            </w:r>
          </w:p>
        </w:tc>
      </w:tr>
      <w:tr w14:paraId="157D3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F7DECE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92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32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利华路</w:t>
            </w:r>
          </w:p>
        </w:tc>
      </w:tr>
      <w:tr w14:paraId="32C9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9DB279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38E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99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金海路</w:t>
            </w:r>
          </w:p>
        </w:tc>
      </w:tr>
      <w:tr w14:paraId="5032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5A0116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62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D4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华安路</w:t>
            </w:r>
          </w:p>
        </w:tc>
      </w:tr>
      <w:tr w14:paraId="2AD9F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1EB7F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0C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E2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银海大道</w:t>
            </w:r>
          </w:p>
        </w:tc>
      </w:tr>
      <w:tr w14:paraId="108F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83D191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C0D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C2C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那马大道</w:t>
            </w:r>
          </w:p>
        </w:tc>
      </w:tr>
      <w:tr w14:paraId="272A5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0A143D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32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8A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华威路</w:t>
            </w:r>
          </w:p>
        </w:tc>
      </w:tr>
      <w:tr w14:paraId="7355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106D04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CC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E9A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那解岭路</w:t>
            </w:r>
          </w:p>
        </w:tc>
      </w:tr>
      <w:tr w14:paraId="68BC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2377A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E74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8D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丰华路</w:t>
            </w:r>
          </w:p>
        </w:tc>
      </w:tr>
      <w:tr w14:paraId="1858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66088B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5C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23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海兴路</w:t>
            </w:r>
          </w:p>
        </w:tc>
      </w:tr>
      <w:tr w14:paraId="0E5FB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0ED30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47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22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海德路</w:t>
            </w:r>
          </w:p>
        </w:tc>
      </w:tr>
      <w:tr w14:paraId="48D7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CA8F2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DA3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60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华良路</w:t>
            </w:r>
          </w:p>
        </w:tc>
      </w:tr>
      <w:tr w14:paraId="40582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882CF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55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ED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磨岭路</w:t>
            </w:r>
          </w:p>
        </w:tc>
      </w:tr>
      <w:tr w14:paraId="59AE5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BA3130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4F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6A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海坛路</w:t>
            </w:r>
          </w:p>
        </w:tc>
      </w:tr>
      <w:tr w14:paraId="3FCA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35E6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33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69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金村路</w:t>
            </w:r>
          </w:p>
        </w:tc>
      </w:tr>
      <w:tr w14:paraId="4E87F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1AC1AD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A5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56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华海路</w:t>
            </w:r>
          </w:p>
        </w:tc>
      </w:tr>
      <w:tr w14:paraId="720A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792671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AB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B8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杜鹃路</w:t>
            </w:r>
          </w:p>
        </w:tc>
      </w:tr>
      <w:tr w14:paraId="3A94F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5840D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E87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F4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明月西路</w:t>
            </w:r>
          </w:p>
        </w:tc>
      </w:tr>
      <w:tr w14:paraId="45E2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51743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6D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8F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明月东路</w:t>
            </w:r>
          </w:p>
        </w:tc>
      </w:tr>
      <w:tr w14:paraId="4F2A2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AF752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5D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6C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明辉路</w:t>
            </w:r>
          </w:p>
        </w:tc>
      </w:tr>
      <w:tr w14:paraId="69F99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A5F3E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78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21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天雀岭路</w:t>
            </w:r>
          </w:p>
        </w:tc>
      </w:tr>
      <w:tr w14:paraId="1827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A83D03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9A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58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明月东路一里</w:t>
            </w:r>
          </w:p>
        </w:tc>
      </w:tr>
      <w:tr w14:paraId="3F3BE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2D74517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5B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F9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庆歌路</w:t>
            </w:r>
          </w:p>
        </w:tc>
      </w:tr>
      <w:tr w14:paraId="0F05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231F86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08DE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19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38F51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118A37B0">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9F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D4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弘良路</w:t>
            </w:r>
          </w:p>
        </w:tc>
      </w:tr>
      <w:tr w14:paraId="192E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F29587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544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C0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凯旋路</w:t>
            </w:r>
          </w:p>
        </w:tc>
      </w:tr>
      <w:tr w14:paraId="7A261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B186EB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52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F3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良兴路</w:t>
            </w:r>
          </w:p>
        </w:tc>
      </w:tr>
      <w:tr w14:paraId="73A6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C732F3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72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22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仙鹤路</w:t>
            </w:r>
          </w:p>
        </w:tc>
      </w:tr>
      <w:tr w14:paraId="73E9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33748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88E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65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新良路</w:t>
            </w:r>
          </w:p>
        </w:tc>
      </w:tr>
      <w:tr w14:paraId="00A11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EA7B6F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C09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AF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规划三路</w:t>
            </w:r>
          </w:p>
        </w:tc>
      </w:tr>
      <w:tr w14:paraId="2DA06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7B794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18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FC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规划七路</w:t>
            </w:r>
          </w:p>
        </w:tc>
      </w:tr>
      <w:tr w14:paraId="3734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9350F9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9F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08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盘歌路</w:t>
            </w:r>
          </w:p>
        </w:tc>
      </w:tr>
      <w:tr w14:paraId="4296B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D5B110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0F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58A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飞云路</w:t>
            </w:r>
          </w:p>
        </w:tc>
      </w:tr>
      <w:tr w14:paraId="3915B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22154D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91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06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庆安街</w:t>
            </w:r>
          </w:p>
        </w:tc>
      </w:tr>
      <w:tr w14:paraId="1A4E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69D235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C7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E4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梁村大道</w:t>
            </w:r>
          </w:p>
        </w:tc>
      </w:tr>
      <w:tr w14:paraId="05609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B39A58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83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9D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通湾岭路</w:t>
            </w:r>
          </w:p>
        </w:tc>
      </w:tr>
      <w:tr w14:paraId="228D8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D24D63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06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44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自治区重大公益性项目片区路网12号路</w:t>
            </w:r>
          </w:p>
        </w:tc>
      </w:tr>
      <w:tr w14:paraId="2E43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A88B21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FA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B9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自治区重大公益性项目片区路网13号路</w:t>
            </w:r>
          </w:p>
        </w:tc>
      </w:tr>
      <w:tr w14:paraId="7A97C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10D0EB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25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7F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稔水路</w:t>
            </w:r>
          </w:p>
        </w:tc>
      </w:tr>
      <w:tr w14:paraId="64320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49515F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F57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5E7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良坛街</w:t>
            </w:r>
          </w:p>
        </w:tc>
      </w:tr>
      <w:tr w14:paraId="04FDD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3B5FEE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F1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CD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良泽路</w:t>
            </w:r>
          </w:p>
        </w:tc>
      </w:tr>
      <w:tr w14:paraId="5BE19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25CFD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E25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32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庆歌北一里</w:t>
            </w:r>
          </w:p>
        </w:tc>
      </w:tr>
      <w:tr w14:paraId="0BF0A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E8F224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66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A1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324国道</w:t>
            </w:r>
          </w:p>
        </w:tc>
      </w:tr>
      <w:tr w14:paraId="1C4E0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62ACF6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8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47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新村大道</w:t>
            </w:r>
          </w:p>
        </w:tc>
      </w:tr>
      <w:tr w14:paraId="2C88E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A4545D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7B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3F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秀厢大道</w:t>
            </w:r>
          </w:p>
        </w:tc>
      </w:tr>
      <w:tr w14:paraId="28229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48E565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9C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B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大学西路</w:t>
            </w:r>
          </w:p>
        </w:tc>
      </w:tr>
      <w:tr w14:paraId="5A1B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6DB4BA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9F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B9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鲁班路</w:t>
            </w:r>
          </w:p>
        </w:tc>
      </w:tr>
      <w:tr w14:paraId="428DF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AE815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31F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96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秀灵路</w:t>
            </w:r>
          </w:p>
        </w:tc>
      </w:tr>
      <w:tr w14:paraId="54EE2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C9087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28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F3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永和路</w:t>
            </w:r>
          </w:p>
        </w:tc>
      </w:tr>
      <w:tr w14:paraId="33A3A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87D7C1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A74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D6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台湾街</w:t>
            </w:r>
          </w:p>
        </w:tc>
      </w:tr>
      <w:tr w14:paraId="6068F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525A5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1CF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56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龙腾路</w:t>
            </w:r>
          </w:p>
        </w:tc>
      </w:tr>
      <w:tr w14:paraId="7A4D2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1CB877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D9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63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中尧路</w:t>
            </w:r>
          </w:p>
        </w:tc>
      </w:tr>
      <w:tr w14:paraId="7C2C1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3D37D2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37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85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江滨路</w:t>
            </w:r>
          </w:p>
        </w:tc>
      </w:tr>
      <w:tr w14:paraId="1EEB8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4ABDCDD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DD4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67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安园西路</w:t>
            </w:r>
          </w:p>
        </w:tc>
      </w:tr>
      <w:tr w14:paraId="5316A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4A9ABE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257E">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2075">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077BC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49949D67">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B1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49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安阳路</w:t>
            </w:r>
          </w:p>
        </w:tc>
      </w:tr>
      <w:tr w14:paraId="6DDA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D5BB1C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79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AC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安吉大道</w:t>
            </w:r>
          </w:p>
        </w:tc>
      </w:tr>
      <w:tr w14:paraId="49C0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BC553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5C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FE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安园东路</w:t>
            </w:r>
          </w:p>
        </w:tc>
      </w:tr>
      <w:tr w14:paraId="0A9B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C60DF5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7D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6A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秀安路</w:t>
            </w:r>
          </w:p>
        </w:tc>
      </w:tr>
      <w:tr w14:paraId="52374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B3823E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8FF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B0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安吉西一里</w:t>
            </w:r>
          </w:p>
        </w:tc>
      </w:tr>
      <w:tr w14:paraId="2B79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667EDA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B3C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E1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清川大道</w:t>
            </w:r>
          </w:p>
        </w:tc>
      </w:tr>
      <w:tr w14:paraId="48E44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95161A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57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13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富德路</w:t>
            </w:r>
          </w:p>
        </w:tc>
      </w:tr>
      <w:tr w14:paraId="6AE06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CAD793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AD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05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富成路</w:t>
            </w:r>
          </w:p>
        </w:tc>
      </w:tr>
      <w:tr w14:paraId="47B47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8B43B3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055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8D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园湖南路</w:t>
            </w:r>
          </w:p>
        </w:tc>
      </w:tr>
      <w:tr w14:paraId="2B184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5BAB9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FE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E1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盘龙路</w:t>
            </w:r>
          </w:p>
        </w:tc>
      </w:tr>
      <w:tr w14:paraId="5E0B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D3FBB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CCE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9C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南环路</w:t>
            </w:r>
          </w:p>
        </w:tc>
      </w:tr>
      <w:tr w14:paraId="6A8E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1BD96B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BF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3E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金洲路</w:t>
            </w:r>
          </w:p>
        </w:tc>
      </w:tr>
      <w:tr w14:paraId="06703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7EC778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9EC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E7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人民中路</w:t>
            </w:r>
          </w:p>
        </w:tc>
      </w:tr>
      <w:tr w14:paraId="483C9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858CA3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335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BEC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金湾路</w:t>
            </w:r>
          </w:p>
        </w:tc>
      </w:tr>
      <w:tr w14:paraId="42A8C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52D08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4C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16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站南八支路</w:t>
            </w:r>
          </w:p>
        </w:tc>
      </w:tr>
      <w:tr w14:paraId="41230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B318FD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904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312</w:t>
            </w:r>
          </w:p>
        </w:tc>
        <w:tc>
          <w:tcPr>
            <w:tcW w:w="4666" w:type="dxa"/>
            <w:tcBorders>
              <w:top w:val="single" w:color="000000" w:sz="4" w:space="0"/>
              <w:left w:val="single" w:color="000000" w:sz="4" w:space="0"/>
              <w:bottom w:val="nil"/>
              <w:right w:val="single" w:color="000000" w:sz="4" w:space="0"/>
            </w:tcBorders>
            <w:shd w:val="clear" w:color="auto" w:fill="auto"/>
            <w:vAlign w:val="center"/>
          </w:tcPr>
          <w:p w14:paraId="7AA0C9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五象湖广场东路</w:t>
            </w:r>
          </w:p>
        </w:tc>
      </w:tr>
      <w:tr w14:paraId="3167D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57226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D6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52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岭乐路</w:t>
            </w:r>
          </w:p>
        </w:tc>
      </w:tr>
      <w:tr w14:paraId="5658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8D9733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E0A9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8F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玉兰路</w:t>
            </w:r>
          </w:p>
        </w:tc>
      </w:tr>
      <w:tr w14:paraId="1F5F4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D0A34B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29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12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江湾路</w:t>
            </w:r>
          </w:p>
        </w:tc>
      </w:tr>
      <w:tr w14:paraId="15A56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A3E9D3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D7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F0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开泰路</w:t>
            </w:r>
          </w:p>
        </w:tc>
      </w:tr>
      <w:tr w14:paraId="3C6B6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7527B6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12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73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泰安路</w:t>
            </w:r>
          </w:p>
        </w:tc>
      </w:tr>
      <w:tr w14:paraId="417E8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3147D3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85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96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长福路</w:t>
            </w:r>
          </w:p>
        </w:tc>
      </w:tr>
      <w:tr w14:paraId="5751B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2C1ED7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5B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5B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宏达路</w:t>
            </w:r>
          </w:p>
        </w:tc>
      </w:tr>
      <w:tr w14:paraId="3CE49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2C1535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3F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AF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利福路</w:t>
            </w:r>
          </w:p>
        </w:tc>
      </w:tr>
      <w:tr w14:paraId="3B17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ABDE27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7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7A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马岭路</w:t>
            </w:r>
          </w:p>
        </w:tc>
      </w:tr>
      <w:tr w14:paraId="2433F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F7C18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34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40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平云路</w:t>
            </w:r>
          </w:p>
        </w:tc>
      </w:tr>
      <w:tr w14:paraId="1B3A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ED0FFA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4C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0D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滨堤路</w:t>
            </w:r>
          </w:p>
        </w:tc>
      </w:tr>
      <w:tr w14:paraId="25A71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1E330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FB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33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盘古路</w:t>
            </w:r>
          </w:p>
        </w:tc>
      </w:tr>
      <w:tr w14:paraId="7F27E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A69951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8A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E3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新邕路</w:t>
            </w:r>
          </w:p>
        </w:tc>
      </w:tr>
      <w:tr w14:paraId="42DCC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73094CC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0C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4D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永福路</w:t>
            </w:r>
          </w:p>
        </w:tc>
      </w:tr>
      <w:tr w14:paraId="61D4D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42C56E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104F">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F948">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57A94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2C37F78E">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E6A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2C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那造路</w:t>
            </w:r>
          </w:p>
        </w:tc>
      </w:tr>
      <w:tr w14:paraId="7513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9632BE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59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90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龙祥路</w:t>
            </w:r>
          </w:p>
        </w:tc>
      </w:tr>
      <w:tr w14:paraId="4093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2E8E12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A4C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F4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新坡路</w:t>
            </w:r>
          </w:p>
        </w:tc>
      </w:tr>
      <w:tr w14:paraId="6FA0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62C449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45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D4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和合路</w:t>
            </w:r>
          </w:p>
        </w:tc>
      </w:tr>
      <w:tr w14:paraId="06960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2051FF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D02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28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龙华路</w:t>
            </w:r>
          </w:p>
        </w:tc>
      </w:tr>
      <w:tr w14:paraId="61F9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F162FA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86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B7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步云路</w:t>
            </w:r>
          </w:p>
        </w:tc>
      </w:tr>
      <w:tr w14:paraId="51271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E6CC8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D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F0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祥邕路</w:t>
            </w:r>
          </w:p>
        </w:tc>
      </w:tr>
      <w:tr w14:paraId="1B437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822CE0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8AE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C9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大村街</w:t>
            </w:r>
          </w:p>
        </w:tc>
      </w:tr>
      <w:tr w14:paraId="460D9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EB99A5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4D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5E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攀界岭路</w:t>
            </w:r>
          </w:p>
        </w:tc>
      </w:tr>
      <w:tr w14:paraId="08F5A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75B7B1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668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7C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龙岗大道</w:t>
            </w:r>
          </w:p>
        </w:tc>
      </w:tr>
      <w:tr w14:paraId="2519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E8AEAE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2DE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CD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阳峰路</w:t>
            </w:r>
          </w:p>
        </w:tc>
      </w:tr>
      <w:tr w14:paraId="2EDD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BEBC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AE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F1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联合路</w:t>
            </w:r>
          </w:p>
        </w:tc>
      </w:tr>
      <w:tr w14:paraId="08797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83DDF7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669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C5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东虹路</w:t>
            </w:r>
          </w:p>
        </w:tc>
      </w:tr>
      <w:tr w14:paraId="4F391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CC799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7A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68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雅岭路</w:t>
            </w:r>
          </w:p>
        </w:tc>
      </w:tr>
      <w:tr w14:paraId="35E8B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DAFFFF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91A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DB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三塘北路</w:t>
            </w:r>
          </w:p>
        </w:tc>
      </w:tr>
      <w:tr w14:paraId="4E915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4F0B62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EC1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D9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虹桥路</w:t>
            </w:r>
          </w:p>
        </w:tc>
      </w:tr>
      <w:tr w14:paraId="4F3F2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F2F28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B9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9C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天德路</w:t>
            </w:r>
          </w:p>
        </w:tc>
      </w:tr>
      <w:tr w14:paraId="57147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62FA3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BB4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8D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那况路</w:t>
            </w:r>
          </w:p>
        </w:tc>
      </w:tr>
      <w:tr w14:paraId="3AAAD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25B245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1D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75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甘泉路</w:t>
            </w:r>
          </w:p>
        </w:tc>
      </w:tr>
      <w:tr w14:paraId="1172A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E2F7C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AB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B3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金仑路</w:t>
            </w:r>
          </w:p>
        </w:tc>
      </w:tr>
      <w:tr w14:paraId="55BEA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61CF5B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CB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37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昆岭路</w:t>
            </w:r>
          </w:p>
        </w:tc>
      </w:tr>
      <w:tr w14:paraId="44C5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9E9684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62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10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那拌路</w:t>
            </w:r>
          </w:p>
        </w:tc>
      </w:tr>
      <w:tr w14:paraId="79F18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B49D19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85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45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邕宾路</w:t>
            </w:r>
          </w:p>
        </w:tc>
      </w:tr>
      <w:tr w14:paraId="02758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45A550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EF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CE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那荷路</w:t>
            </w:r>
          </w:p>
        </w:tc>
      </w:tr>
      <w:tr w14:paraId="32DE4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75052F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A3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7D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蓉茉湖东路</w:t>
            </w:r>
          </w:p>
        </w:tc>
      </w:tr>
      <w:tr w14:paraId="07FEF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DC0CE0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513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0A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建宁路</w:t>
            </w:r>
          </w:p>
        </w:tc>
      </w:tr>
      <w:tr w14:paraId="419F7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4E177E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6EC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CA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兴望路</w:t>
            </w:r>
          </w:p>
        </w:tc>
      </w:tr>
      <w:tr w14:paraId="5B699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3463A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5D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C1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石柱岭街</w:t>
            </w:r>
          </w:p>
        </w:tc>
      </w:tr>
      <w:tr w14:paraId="28910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8C261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0C2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BD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金华路</w:t>
            </w:r>
          </w:p>
        </w:tc>
      </w:tr>
      <w:tr w14:paraId="291B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1CFB66C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53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47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文岭街</w:t>
            </w:r>
          </w:p>
        </w:tc>
      </w:tr>
      <w:tr w14:paraId="6E798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3ED900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27BC">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3C2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731C9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1F0E3BE3">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64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9CC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朋云路</w:t>
            </w:r>
          </w:p>
        </w:tc>
      </w:tr>
      <w:tr w14:paraId="26CC9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6F21F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4B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94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乐村路</w:t>
            </w:r>
          </w:p>
        </w:tc>
      </w:tr>
      <w:tr w14:paraId="156C9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F14B1A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92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35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上津路</w:t>
            </w:r>
          </w:p>
        </w:tc>
      </w:tr>
      <w:tr w14:paraId="33A18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8C014B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93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47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下津路</w:t>
            </w:r>
          </w:p>
        </w:tc>
      </w:tr>
      <w:tr w14:paraId="108C3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584FB3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856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A0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洪运路</w:t>
            </w:r>
          </w:p>
        </w:tc>
      </w:tr>
      <w:tr w14:paraId="04CA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399370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016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BE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坛屋路</w:t>
            </w:r>
          </w:p>
        </w:tc>
      </w:tr>
      <w:tr w14:paraId="7A306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AC221C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D7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2D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英岭路</w:t>
            </w:r>
          </w:p>
        </w:tc>
      </w:tr>
      <w:tr w14:paraId="11BC5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F896A2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FF1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A7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桅杆路</w:t>
            </w:r>
          </w:p>
        </w:tc>
      </w:tr>
      <w:tr w14:paraId="4154C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B9FDD6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A5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03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云村路</w:t>
            </w:r>
          </w:p>
        </w:tc>
      </w:tr>
      <w:tr w14:paraId="5D157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E2E84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8D3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C4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红玉路</w:t>
            </w:r>
          </w:p>
        </w:tc>
      </w:tr>
      <w:tr w14:paraId="4A471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7E7A2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ACC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66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坛洋路</w:t>
            </w:r>
          </w:p>
        </w:tc>
      </w:tr>
      <w:tr w14:paraId="319FC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4EB146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9C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99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玉德路</w:t>
            </w:r>
          </w:p>
        </w:tc>
      </w:tr>
      <w:tr w14:paraId="0E170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145A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8E8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73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那福路</w:t>
            </w:r>
          </w:p>
        </w:tc>
      </w:tr>
      <w:tr w14:paraId="1079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C3F03C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CA7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583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那浪路</w:t>
            </w:r>
          </w:p>
        </w:tc>
      </w:tr>
      <w:tr w14:paraId="4EF6F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61D344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38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1D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物流路网纬一路</w:t>
            </w:r>
          </w:p>
        </w:tc>
      </w:tr>
      <w:tr w14:paraId="21964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A5E372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8D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86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物流路网经一路</w:t>
            </w:r>
          </w:p>
        </w:tc>
      </w:tr>
      <w:tr w14:paraId="5E63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58F6AF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8D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95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物流路网经三路</w:t>
            </w:r>
          </w:p>
        </w:tc>
      </w:tr>
      <w:tr w14:paraId="0E3F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EA3783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35D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19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庆显岭路</w:t>
            </w:r>
          </w:p>
        </w:tc>
      </w:tr>
      <w:tr w14:paraId="6F44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3C3F99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BA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97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振邦路</w:t>
            </w:r>
          </w:p>
        </w:tc>
      </w:tr>
      <w:tr w14:paraId="26B6D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F8A1F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B13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75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国际物流基地中片区路网纬3路</w:t>
            </w:r>
          </w:p>
        </w:tc>
      </w:tr>
      <w:tr w14:paraId="5BE7B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06C7EC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DC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4B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国际物流基地中片区路网纬4路</w:t>
            </w:r>
          </w:p>
        </w:tc>
      </w:tr>
      <w:tr w14:paraId="75926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40AD45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2C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FD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国际物流基地中片区路网经2路</w:t>
            </w:r>
          </w:p>
        </w:tc>
      </w:tr>
      <w:tr w14:paraId="244D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F4A2B7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DF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12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岗平路</w:t>
            </w:r>
          </w:p>
        </w:tc>
      </w:tr>
      <w:tr w14:paraId="45B86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E18E2F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79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C8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海晖路</w:t>
            </w:r>
          </w:p>
        </w:tc>
      </w:tr>
      <w:tr w14:paraId="5CF7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E172CD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A0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FB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物流49号路</w:t>
            </w:r>
          </w:p>
        </w:tc>
      </w:tr>
      <w:tr w14:paraId="7637B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4611CA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6A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95C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振良大道</w:t>
            </w:r>
          </w:p>
        </w:tc>
      </w:tr>
      <w:tr w14:paraId="53665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9126A3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06C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B4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花美路</w:t>
            </w:r>
          </w:p>
        </w:tc>
      </w:tr>
      <w:tr w14:paraId="08DEA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2CA75B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479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57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那丰路</w:t>
            </w:r>
          </w:p>
        </w:tc>
      </w:tr>
      <w:tr w14:paraId="0F1E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080E5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1E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06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春华路</w:t>
            </w:r>
          </w:p>
        </w:tc>
      </w:tr>
      <w:tr w14:paraId="5BB6A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497E553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878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2D9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东风南路</w:t>
            </w:r>
          </w:p>
        </w:tc>
      </w:tr>
      <w:tr w14:paraId="0B3C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06666D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A123">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B4E3">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078DD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461CBA10">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13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72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兰海高速</w:t>
            </w:r>
          </w:p>
        </w:tc>
      </w:tr>
      <w:tr w14:paraId="28211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1FE07D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8F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F3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光山路</w:t>
            </w:r>
          </w:p>
        </w:tc>
      </w:tr>
      <w:tr w14:paraId="526E4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0C6A20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E1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4E2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五月岭路</w:t>
            </w:r>
          </w:p>
        </w:tc>
      </w:tr>
      <w:tr w14:paraId="7E4C5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F53023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E51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1F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坛兴路</w:t>
            </w:r>
          </w:p>
        </w:tc>
      </w:tr>
      <w:tr w14:paraId="0896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F428DA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D0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64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玉岭路</w:t>
            </w:r>
          </w:p>
        </w:tc>
      </w:tr>
      <w:tr w14:paraId="00796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20E20C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F9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A0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银良路</w:t>
            </w:r>
          </w:p>
        </w:tc>
      </w:tr>
      <w:tr w14:paraId="75481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BEE8B8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06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2A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六连路</w:t>
            </w:r>
          </w:p>
        </w:tc>
      </w:tr>
      <w:tr w14:paraId="7EFEB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A4C4D3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B5A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75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立田路</w:t>
            </w:r>
          </w:p>
        </w:tc>
      </w:tr>
      <w:tr w14:paraId="2B72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4BFDDC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70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CA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海东路</w:t>
            </w:r>
          </w:p>
        </w:tc>
      </w:tr>
      <w:tr w14:paraId="2CD8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464D5C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FD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B1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春阳路</w:t>
            </w:r>
          </w:p>
        </w:tc>
      </w:tr>
      <w:tr w14:paraId="62781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2F361F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D2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05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夏林路</w:t>
            </w:r>
          </w:p>
        </w:tc>
      </w:tr>
      <w:tr w14:paraId="11F6E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0B2DF4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A4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74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永乐路</w:t>
            </w:r>
          </w:p>
        </w:tc>
      </w:tr>
      <w:tr w14:paraId="69DA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4FE3AC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E13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26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橙山路</w:t>
            </w:r>
          </w:p>
        </w:tc>
      </w:tr>
      <w:tr w14:paraId="1B17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767EF8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00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E1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新福路</w:t>
            </w:r>
          </w:p>
        </w:tc>
      </w:tr>
      <w:tr w14:paraId="6AFE1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7048A1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A67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F6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顶美路</w:t>
            </w:r>
          </w:p>
        </w:tc>
      </w:tr>
      <w:tr w14:paraId="2D16A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56FB90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88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FA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新美路</w:t>
            </w:r>
          </w:p>
        </w:tc>
      </w:tr>
      <w:tr w14:paraId="779C5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5F4F47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D3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0F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平龙路</w:t>
            </w:r>
          </w:p>
        </w:tc>
      </w:tr>
      <w:tr w14:paraId="4D816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658BEB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4A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1D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良信路</w:t>
            </w:r>
          </w:p>
        </w:tc>
      </w:tr>
      <w:tr w14:paraId="77F69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B6967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2A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AF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美泉路</w:t>
            </w:r>
          </w:p>
        </w:tc>
      </w:tr>
      <w:tr w14:paraId="3456A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C2FE11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9CC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DB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茶泉大道</w:t>
            </w:r>
          </w:p>
        </w:tc>
      </w:tr>
      <w:tr w14:paraId="3C79E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57A21E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512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B5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那元路</w:t>
            </w:r>
          </w:p>
        </w:tc>
      </w:tr>
      <w:tr w14:paraId="2973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D72417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0B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A4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良庆大道</w:t>
            </w:r>
          </w:p>
        </w:tc>
      </w:tr>
      <w:tr w14:paraId="7C4CC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A32894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63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2E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庆林路</w:t>
            </w:r>
          </w:p>
        </w:tc>
      </w:tr>
      <w:tr w14:paraId="4C516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3ED2FE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5A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EB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延庆路</w:t>
            </w:r>
          </w:p>
        </w:tc>
      </w:tr>
      <w:tr w14:paraId="0783F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957F62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26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5E3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书林路</w:t>
            </w:r>
          </w:p>
        </w:tc>
      </w:tr>
      <w:tr w14:paraId="6DE35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E783C0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DA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B7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上济路</w:t>
            </w:r>
          </w:p>
        </w:tc>
      </w:tr>
      <w:tr w14:paraId="2097E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2D9ED7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288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11C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上峰路</w:t>
            </w:r>
          </w:p>
        </w:tc>
      </w:tr>
      <w:tr w14:paraId="0BAD7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83863D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87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3E1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公曹路</w:t>
            </w:r>
          </w:p>
        </w:tc>
      </w:tr>
      <w:tr w14:paraId="0025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22DC4F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AC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56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良晖街</w:t>
            </w:r>
          </w:p>
        </w:tc>
      </w:tr>
      <w:tr w14:paraId="3C0FF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4AD57EB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A7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C3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腾鲤路</w:t>
            </w:r>
          </w:p>
        </w:tc>
      </w:tr>
      <w:tr w14:paraId="4C778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1ACE8B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50F0">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21F7B">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55C3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6ABD9C4A">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624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80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仁信路</w:t>
            </w:r>
          </w:p>
        </w:tc>
      </w:tr>
      <w:tr w14:paraId="0E1C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AC823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87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97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广信路</w:t>
            </w:r>
          </w:p>
        </w:tc>
      </w:tr>
      <w:tr w14:paraId="55DF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1477C2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37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B3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腾云路</w:t>
            </w:r>
          </w:p>
        </w:tc>
      </w:tr>
      <w:tr w14:paraId="799F1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EFA6EB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F76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F4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蒲兴大道</w:t>
            </w:r>
          </w:p>
        </w:tc>
      </w:tr>
      <w:tr w14:paraId="26738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A823EA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A5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18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龙蕾街</w:t>
            </w:r>
          </w:p>
        </w:tc>
      </w:tr>
      <w:tr w14:paraId="138DB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5062C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79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10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那美大道</w:t>
            </w:r>
          </w:p>
        </w:tc>
      </w:tr>
      <w:tr w14:paraId="4FE68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27CEA5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06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23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龙福路</w:t>
            </w:r>
          </w:p>
        </w:tc>
      </w:tr>
      <w:tr w14:paraId="47839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A1D6CE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BC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194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龙门路</w:t>
            </w:r>
          </w:p>
        </w:tc>
      </w:tr>
      <w:tr w14:paraId="05956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0F5B5D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52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D1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永福南路</w:t>
            </w:r>
          </w:p>
        </w:tc>
      </w:tr>
      <w:tr w14:paraId="6D19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780428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F1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73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莲塘里路</w:t>
            </w:r>
          </w:p>
        </w:tc>
      </w:tr>
      <w:tr w14:paraId="1F75F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6073D0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EC5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6E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银峰路</w:t>
            </w:r>
          </w:p>
        </w:tc>
      </w:tr>
      <w:tr w14:paraId="6C3E0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276E5DF">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E6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61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蒲灵路</w:t>
            </w:r>
          </w:p>
        </w:tc>
      </w:tr>
      <w:tr w14:paraId="704B5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027A16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1FF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EA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清风路</w:t>
            </w:r>
          </w:p>
        </w:tc>
      </w:tr>
      <w:tr w14:paraId="7DF52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6F4809D">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D7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80B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江南2号路</w:t>
            </w:r>
          </w:p>
        </w:tc>
      </w:tr>
      <w:tr w14:paraId="7D6F2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0DCD95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29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6C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邕大北路</w:t>
            </w:r>
          </w:p>
        </w:tc>
      </w:tr>
      <w:tr w14:paraId="0AAE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F409CA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3F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E8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江南39号路</w:t>
            </w:r>
          </w:p>
        </w:tc>
      </w:tr>
      <w:tr w14:paraId="2F437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00F944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A5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F9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石灵路</w:t>
            </w:r>
          </w:p>
        </w:tc>
      </w:tr>
      <w:tr w14:paraId="778DD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B76D0C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F96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74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商院路</w:t>
            </w:r>
          </w:p>
        </w:tc>
      </w:tr>
      <w:tr w14:paraId="4E0F4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498766C">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B4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435</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35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鲁班路东一巷</w:t>
            </w:r>
          </w:p>
        </w:tc>
      </w:tr>
      <w:tr w14:paraId="6BAEA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C5D3254">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B5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436</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04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连兴路</w:t>
            </w:r>
          </w:p>
        </w:tc>
      </w:tr>
      <w:tr w14:paraId="75297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B9225B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4B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0E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吉兴西路</w:t>
            </w:r>
          </w:p>
        </w:tc>
      </w:tr>
      <w:tr w14:paraId="6ED5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1D9CFE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BF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438</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21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新峰路</w:t>
            </w:r>
          </w:p>
        </w:tc>
      </w:tr>
      <w:tr w14:paraId="56799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6F3D61">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126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4D7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安武大道</w:t>
            </w:r>
          </w:p>
        </w:tc>
      </w:tr>
      <w:tr w14:paraId="37529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0429E98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11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AE8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秀峰路</w:t>
            </w:r>
          </w:p>
        </w:tc>
      </w:tr>
      <w:tr w14:paraId="751CA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EFD0CA5">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40B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2A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坛黎路</w:t>
            </w:r>
          </w:p>
        </w:tc>
      </w:tr>
      <w:tr w14:paraId="5E49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EA204C0">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332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442</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86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鲁班路西一巷</w:t>
            </w:r>
          </w:p>
        </w:tc>
      </w:tr>
      <w:tr w14:paraId="77C16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412FDCF6">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139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CA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打铁岭路</w:t>
            </w:r>
          </w:p>
        </w:tc>
      </w:tr>
      <w:tr w14:paraId="6AF8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58E8262E">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5C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638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渌坛路</w:t>
            </w:r>
          </w:p>
        </w:tc>
      </w:tr>
      <w:tr w14:paraId="0751F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33360FF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6F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43D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古井路</w:t>
            </w:r>
          </w:p>
        </w:tc>
      </w:tr>
      <w:tr w14:paraId="7203D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1C28BA59">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FBB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60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花坛路</w:t>
            </w:r>
          </w:p>
        </w:tc>
      </w:tr>
      <w:tr w14:paraId="484FA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tcBorders>
              <w:top w:val="single" w:color="000000" w:sz="4" w:space="0"/>
              <w:left w:val="single" w:color="000000" w:sz="4" w:space="0"/>
              <w:right w:val="single" w:color="000000" w:sz="4" w:space="0"/>
            </w:tcBorders>
            <w:shd w:val="clear" w:color="auto" w:fill="auto"/>
            <w:noWrap/>
            <w:vAlign w:val="center"/>
          </w:tcPr>
          <w:p w14:paraId="3084A2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项目名称</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9969">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FC84">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道路名称</w:t>
            </w:r>
          </w:p>
        </w:tc>
      </w:tr>
      <w:tr w14:paraId="4E0E5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restart"/>
            <w:tcBorders>
              <w:top w:val="single" w:color="000000" w:sz="4" w:space="0"/>
              <w:left w:val="single" w:color="000000" w:sz="4" w:space="0"/>
              <w:right w:val="single" w:color="000000" w:sz="4" w:space="0"/>
            </w:tcBorders>
            <w:shd w:val="clear" w:color="auto" w:fill="auto"/>
            <w:noWrap/>
            <w:vAlign w:val="center"/>
          </w:tcPr>
          <w:p w14:paraId="2B2A579E">
            <w:pPr>
              <w:jc w:val="center"/>
              <w:rPr>
                <w:rFonts w:hint="eastAsia" w:ascii="宋体" w:hAnsi="宋体" w:eastAsia="宋体" w:cs="宋体"/>
                <w:i w:val="0"/>
                <w:iCs w:val="0"/>
                <w:color w:val="auto"/>
                <w:sz w:val="24"/>
                <w:szCs w:val="24"/>
                <w:highlight w:val="none"/>
                <w:u w:val="none"/>
              </w:rPr>
            </w:pPr>
            <w:r>
              <w:rPr>
                <w:rStyle w:val="42"/>
                <w:color w:val="auto"/>
                <w:highlight w:val="none"/>
                <w:lang w:val="en-US" w:eastAsia="zh-CN" w:bidi="ar"/>
              </w:rPr>
              <w:t>2025</w:t>
            </w:r>
            <w:r>
              <w:rPr>
                <w:rStyle w:val="43"/>
                <w:color w:val="auto"/>
                <w:highlight w:val="none"/>
                <w:lang w:val="en-US" w:eastAsia="zh-CN" w:bidi="ar"/>
              </w:rPr>
              <w:t>年道路绿化养护服务政府采购项目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4E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447</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6E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稔叶路</w:t>
            </w:r>
          </w:p>
        </w:tc>
      </w:tr>
      <w:tr w14:paraId="2AC79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7302A5A7">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5E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448</w:t>
            </w:r>
          </w:p>
        </w:tc>
        <w:tc>
          <w:tcPr>
            <w:tcW w:w="4666" w:type="dxa"/>
            <w:tcBorders>
              <w:top w:val="single" w:color="000000" w:sz="4" w:space="0"/>
              <w:left w:val="single" w:color="000000" w:sz="4" w:space="0"/>
              <w:bottom w:val="nil"/>
              <w:right w:val="single" w:color="000000" w:sz="4" w:space="0"/>
            </w:tcBorders>
            <w:shd w:val="clear" w:color="auto" w:fill="auto"/>
            <w:vAlign w:val="center"/>
          </w:tcPr>
          <w:p w14:paraId="1B3DA4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长岭大道</w:t>
            </w:r>
          </w:p>
        </w:tc>
      </w:tr>
      <w:tr w14:paraId="5E5F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610334D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761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449</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48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万有纬三路</w:t>
            </w:r>
          </w:p>
        </w:tc>
      </w:tr>
      <w:tr w14:paraId="637A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D49BA9B">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F6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450</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37F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万有南北向支路</w:t>
            </w:r>
          </w:p>
        </w:tc>
      </w:tr>
      <w:tr w14:paraId="778EB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1B390642">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47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451</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D7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木塘里路</w:t>
            </w:r>
          </w:p>
        </w:tc>
      </w:tr>
      <w:tr w14:paraId="6B92A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1EF83F3">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E2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452</w:t>
            </w:r>
          </w:p>
        </w:tc>
        <w:tc>
          <w:tcPr>
            <w:tcW w:w="4666" w:type="dxa"/>
            <w:tcBorders>
              <w:top w:val="single" w:color="000000" w:sz="4" w:space="0"/>
              <w:left w:val="single" w:color="000000" w:sz="4" w:space="0"/>
              <w:bottom w:val="nil"/>
              <w:right w:val="single" w:color="000000" w:sz="4" w:space="0"/>
            </w:tcBorders>
            <w:shd w:val="clear" w:color="auto" w:fill="auto"/>
            <w:vAlign w:val="center"/>
          </w:tcPr>
          <w:p w14:paraId="32DCD1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定旧路</w:t>
            </w:r>
          </w:p>
        </w:tc>
      </w:tr>
      <w:tr w14:paraId="3BF07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4356" w:type="dxa"/>
            <w:vMerge w:val="continue"/>
            <w:tcBorders>
              <w:left w:val="single" w:color="000000" w:sz="4" w:space="0"/>
              <w:right w:val="single" w:color="000000" w:sz="4" w:space="0"/>
            </w:tcBorders>
            <w:shd w:val="clear" w:color="auto" w:fill="auto"/>
            <w:noWrap/>
            <w:vAlign w:val="center"/>
          </w:tcPr>
          <w:p w14:paraId="24C98138">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EE6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453</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419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东站东环快速路</w:t>
            </w:r>
          </w:p>
        </w:tc>
      </w:tr>
      <w:tr w14:paraId="05AFF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4356" w:type="dxa"/>
            <w:vMerge w:val="continue"/>
            <w:tcBorders>
              <w:left w:val="single" w:color="000000" w:sz="4" w:space="0"/>
              <w:bottom w:val="single" w:color="000000" w:sz="4" w:space="0"/>
              <w:right w:val="single" w:color="000000" w:sz="4" w:space="0"/>
            </w:tcBorders>
            <w:shd w:val="clear" w:color="auto" w:fill="auto"/>
            <w:noWrap/>
            <w:vAlign w:val="center"/>
          </w:tcPr>
          <w:p w14:paraId="62AA43DA">
            <w:pPr>
              <w:jc w:val="center"/>
              <w:rPr>
                <w:rFonts w:hint="eastAsia" w:ascii="宋体" w:hAnsi="宋体" w:eastAsia="宋体" w:cs="宋体"/>
                <w:i w:val="0"/>
                <w:iCs w:val="0"/>
                <w:color w:val="auto"/>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E4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454</w:t>
            </w:r>
          </w:p>
        </w:tc>
        <w:tc>
          <w:tcPr>
            <w:tcW w:w="4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0D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庆玉快速路</w:t>
            </w:r>
          </w:p>
        </w:tc>
      </w:tr>
    </w:tbl>
    <w:p w14:paraId="134D7CF3">
      <w:pPr>
        <w:keepNext w:val="0"/>
        <w:keepLines w:val="0"/>
        <w:pageBreakBefore w:val="0"/>
        <w:widowControl w:val="0"/>
        <w:kinsoku/>
        <w:overflowPunct/>
        <w:topLinePunct w:val="0"/>
        <w:autoSpaceDE/>
        <w:autoSpaceDN/>
        <w:bidi w:val="0"/>
        <w:adjustRightInd/>
        <w:snapToGrid/>
        <w:spacing w:line="360" w:lineRule="auto"/>
        <w:jc w:val="center"/>
        <w:outlineLvl w:val="9"/>
        <w:rPr>
          <w:rFonts w:hint="eastAsia" w:ascii="方正小标宋简体" w:hAnsi="方正小标宋简体" w:eastAsia="方正小标宋简体" w:cs="方正小标宋简体"/>
          <w:bCs/>
          <w:color w:val="auto"/>
          <w:sz w:val="36"/>
          <w:szCs w:val="36"/>
          <w:highlight w:val="none"/>
          <w:u w:val="none"/>
          <w:lang w:val="en-US" w:eastAsia="zh-CN"/>
        </w:rPr>
        <w:sectPr>
          <w:pgSz w:w="11906" w:h="16838"/>
          <w:pgMar w:top="1440" w:right="1080" w:bottom="1440" w:left="1080" w:header="720" w:footer="720" w:gutter="0"/>
          <w:pgNumType w:fmt="decimal"/>
          <w:cols w:space="720" w:num="1"/>
          <w:docGrid w:type="lines" w:linePitch="331" w:charSpace="0"/>
        </w:sectPr>
      </w:pPr>
    </w:p>
    <w:p w14:paraId="32EB88AF">
      <w:pPr>
        <w:pageBreakBefore w:val="0"/>
        <w:widowControl/>
        <w:topLinePunct w:val="0"/>
        <w:bidi w:val="0"/>
        <w:spacing w:line="360" w:lineRule="auto"/>
        <w:jc w:val="left"/>
        <w:outlineLvl w:val="1"/>
        <w:rPr>
          <w:b/>
          <w:color w:val="auto"/>
          <w:highlight w:val="none"/>
        </w:rPr>
      </w:pPr>
      <w:bookmarkStart w:id="9" w:name="_Toc26176027"/>
      <w:bookmarkStart w:id="10" w:name="_Toc20947"/>
      <w:bookmarkStart w:id="11" w:name="_Toc17792008"/>
      <w:r>
        <w:rPr>
          <w:rFonts w:hint="eastAsia"/>
          <w:b/>
          <w:color w:val="auto"/>
          <w:sz w:val="28"/>
          <w:szCs w:val="28"/>
          <w:highlight w:val="none"/>
        </w:rPr>
        <w:t>附件2：</w:t>
      </w:r>
      <w:bookmarkEnd w:id="9"/>
      <w:bookmarkEnd w:id="10"/>
      <w:bookmarkEnd w:id="11"/>
      <w:r>
        <w:rPr>
          <w:rFonts w:hint="eastAsia"/>
          <w:b/>
          <w:color w:val="auto"/>
          <w:sz w:val="28"/>
          <w:szCs w:val="28"/>
          <w:highlight w:val="none"/>
          <w:lang w:eastAsia="zh-CN"/>
        </w:rPr>
        <w:t>城市绿化养护规范及验收要求</w:t>
      </w:r>
    </w:p>
    <w:p w14:paraId="32C8030F">
      <w:pPr>
        <w:keepNext w:val="0"/>
        <w:keepLines w:val="0"/>
        <w:pageBreakBefore w:val="0"/>
        <w:widowControl/>
        <w:kinsoku/>
        <w:topLinePunct w:val="0"/>
        <w:bidi w:val="0"/>
        <w:adjustRightInd/>
        <w:snapToGrid/>
        <w:spacing w:line="360" w:lineRule="auto"/>
        <w:jc w:val="left"/>
        <w:outlineLvl w:val="9"/>
        <w:rPr>
          <w:rFonts w:ascii="宋体" w:hAnsi="宋体"/>
          <w:b/>
          <w:bCs/>
          <w:color w:val="auto"/>
          <w:kern w:val="0"/>
          <w:sz w:val="24"/>
          <w:highlight w:val="none"/>
        </w:rPr>
      </w:pPr>
    </w:p>
    <w:p w14:paraId="6143C02A">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b/>
          <w:bCs/>
          <w:color w:val="auto"/>
          <w:kern w:val="0"/>
          <w:sz w:val="28"/>
          <w:szCs w:val="28"/>
          <w:highlight w:val="none"/>
          <w:lang w:eastAsia="zh-CN"/>
        </w:rPr>
      </w:pPr>
      <w:r>
        <w:rPr>
          <w:rFonts w:hint="eastAsia" w:ascii="宋体" w:hAnsi="宋体"/>
          <w:b/>
          <w:color w:val="auto"/>
          <w:sz w:val="28"/>
          <w:szCs w:val="28"/>
          <w:highlight w:val="none"/>
          <w:lang w:eastAsia="zh-CN"/>
        </w:rPr>
        <w:t>城市绿化养护规范及验收要求</w:t>
      </w:r>
    </w:p>
    <w:p w14:paraId="6193B926">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（DB45/T 449—2007）</w:t>
      </w:r>
    </w:p>
    <w:p w14:paraId="14C4708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范围</w:t>
      </w:r>
    </w:p>
    <w:p w14:paraId="18F9A64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标准规定了广西壮族自治区城市绿化养护术语、养护验收、养护质量要求，并规定了水分管理、土肥管理、修剪、松土除杂、病虫害控制、植物防护、清理工作、补种、古树名木养护、环境卫生等城市绿化养护操作。</w:t>
      </w:r>
    </w:p>
    <w:p w14:paraId="129F4787">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本标准适用于广西壮族自治区城市公园绿地、防护绿地、附属绿地、其他绿地等绿化养护。</w:t>
      </w:r>
    </w:p>
    <w:p w14:paraId="07EED8BC">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各类绿地的养护，除应按本规范执行外，还应遵守国家、行业、地方有关标准的规定。</w:t>
      </w:r>
    </w:p>
    <w:p w14:paraId="47EF30E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 术语</w:t>
      </w:r>
    </w:p>
    <w:p w14:paraId="669CDE1B">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下列术语和定义适用于本标准。</w:t>
      </w:r>
    </w:p>
    <w:p w14:paraId="33B4C79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 树盘</w:t>
      </w:r>
    </w:p>
    <w:p w14:paraId="4327A7A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种植乔灌木位置并与周围有明显界线的一定地面范围。</w:t>
      </w:r>
    </w:p>
    <w:p w14:paraId="0D9DBB8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 有地被树盘</w:t>
      </w:r>
    </w:p>
    <w:p w14:paraId="6489894B">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在树干基部周围地面，种植有地被植物的树盘。</w:t>
      </w:r>
    </w:p>
    <w:p w14:paraId="2309BDB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 无地被树盘</w:t>
      </w:r>
    </w:p>
    <w:p w14:paraId="02859C83">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在树干基部周围地面，没有种植地被的树盘。</w:t>
      </w:r>
    </w:p>
    <w:p w14:paraId="1D26E0C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 孤植灌木</w:t>
      </w:r>
    </w:p>
    <w:p w14:paraId="561C246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单株或数株灌木种植在一个树穴内，树穴之间有明显距离，外观上可直观到一株或一丛，此类以孤植方式种植的灌木称为孤植灌木。</w:t>
      </w:r>
    </w:p>
    <w:p w14:paraId="71E53F2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 整形灌木</w:t>
      </w:r>
    </w:p>
    <w:p w14:paraId="5AA65AE8">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按设计要求和观赏要求将灌木修剪成各种特定的形状，主要以植物造型为观赏目的的灌木称为整形灌木。</w:t>
      </w:r>
    </w:p>
    <w:p w14:paraId="6812756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 色块</w:t>
      </w:r>
    </w:p>
    <w:p w14:paraId="1D9A667D">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指成片种植的灌木或草本植物，外观上没有明显的株行距。色块一般分为灌木色块和草本色块（也称草本地被）。</w:t>
      </w:r>
    </w:p>
    <w:p w14:paraId="3E7F07A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 古树名木</w:t>
      </w:r>
    </w:p>
    <w:p w14:paraId="2A934137">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指树龄在一百年以上或稀有珍贵树木，或具有历史价值或重要纪念意义的树木。</w:t>
      </w:r>
    </w:p>
    <w:p w14:paraId="1F2C72B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2.8 疏枝</w:t>
      </w:r>
    </w:p>
    <w:p w14:paraId="697528FE">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将枝条从其着生部位剪去。</w:t>
      </w:r>
    </w:p>
    <w:p w14:paraId="1CF38CD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2.9 短截</w:t>
      </w:r>
    </w:p>
    <w:p w14:paraId="0D443601">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将枝条先端一部或大部剪去，保留基部枝段。</w:t>
      </w:r>
    </w:p>
    <w:p w14:paraId="1D906EC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2.10 行道树</w:t>
      </w:r>
    </w:p>
    <w:p w14:paraId="551E5042">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指沿车行道或人行道边种植的乔木。</w:t>
      </w:r>
    </w:p>
    <w:p w14:paraId="7D51890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2.11 分车绿带</w:t>
      </w:r>
    </w:p>
    <w:p w14:paraId="04DC0345">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车行道之间可以绿化的分隔带,其位于上下行机动车道之间的为中间分车绿带；位于机动车道与非机动车道之间或同方向机动车道之间的为两侧分车绿带。</w:t>
      </w:r>
    </w:p>
    <w:p w14:paraId="1051B85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2.12 定干高度</w:t>
      </w:r>
    </w:p>
    <w:p w14:paraId="4606CAD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乔木主干第一个分叉点离地面高度。</w:t>
      </w:r>
    </w:p>
    <w:p w14:paraId="5466B54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 水分管理</w:t>
      </w:r>
    </w:p>
    <w:p w14:paraId="12DC540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 水质</w:t>
      </w:r>
    </w:p>
    <w:p w14:paraId="0A2A7B6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灌溉用水应使用自来水或经水质化验适用于灌溉的水源。</w:t>
      </w:r>
    </w:p>
    <w:p w14:paraId="05C6331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 淋水时间</w:t>
      </w:r>
    </w:p>
    <w:p w14:paraId="1C6C4B11">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阴天全天均可淋水，遇高温、太阳辐射强应在上午11时前或下午4时后淋水。</w:t>
      </w:r>
    </w:p>
    <w:p w14:paraId="3D651F2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 淋水量</w:t>
      </w:r>
    </w:p>
    <w:p w14:paraId="5CCA9D06">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水分供给以能保证植物正常生长、发育需要为宜。淋、灌水量应符合以下规定：</w:t>
      </w:r>
    </w:p>
    <w:p w14:paraId="46464B7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新种植的乔灌木第一次定根水必须及时，并且淋足淋透，在植株未恢复正常生长之前经常性保持土壤湿润。幼龄树（种植5年内），干旱天气，每周灌、淋1次～2次； 不耐旱的成年乔木，干旱季节，每月应灌、淋1次～3次。灌木、草坪、遮荫的地被植物，淋水应湿透表层10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cm以上；干旱天气，每周应喷淋2次～4次。无遮荫的地被及盆栽草花应每天淋水1次～2次（干旱天气）。</w:t>
      </w:r>
    </w:p>
    <w:p w14:paraId="7C68A15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 淋水方法</w:t>
      </w:r>
    </w:p>
    <w:p w14:paraId="78DFBEC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可采取滴灌、喷灌、喷淋、灌淋。养护要求精细、需水量多的时花类在条件的应采用滴灌或喷灌，以节约用水，提高淋水效果。采用喷淋方法淋水，必须掌握好出水量及喷淋方向，不得冲倒、冲歪植株及冲翻树根。对于乔灌木淋水应先给树体洗尘。</w:t>
      </w:r>
    </w:p>
    <w:p w14:paraId="3B357C6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 排水</w:t>
      </w:r>
    </w:p>
    <w:p w14:paraId="3FB28EA2">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乔灌木树盘、色块、地被、草坪必要时设排水盲沟，以保证雨季雨水能从地面顺畅排走，绿地不得有积水现象。</w:t>
      </w:r>
    </w:p>
    <w:p w14:paraId="5BD73CE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 土肥管理</w:t>
      </w:r>
    </w:p>
    <w:p w14:paraId="24B0716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4.1 土壤的疏松通透</w:t>
      </w:r>
    </w:p>
    <w:p w14:paraId="53DD0D71">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灌木色块及分车绿带土壤必须保持疏松通透，绿地种植5年内的乔木及整形灌木、孤植灌木应做树盘，即在树木周围距离树干留直径0.8</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m～1.2</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m的土壤裸露，定期松土保持土壤疏松。</w:t>
      </w:r>
    </w:p>
    <w:p w14:paraId="32CA90A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4.2 各类植物种植土壤理化性状</w:t>
      </w:r>
    </w:p>
    <w:p w14:paraId="3F90A4F6">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各类植物的种植土必须达到以下要求(见表1)。</w:t>
      </w:r>
    </w:p>
    <w:p w14:paraId="313F41AB">
      <w:pPr>
        <w:keepNext w:val="0"/>
        <w:keepLines w:val="0"/>
        <w:pageBreakBefore w:val="0"/>
        <w:widowControl/>
        <w:kinsoku/>
        <w:topLinePunct w:val="0"/>
        <w:bidi w:val="0"/>
        <w:adjustRightInd/>
        <w:snapToGrid/>
        <w:spacing w:line="360" w:lineRule="auto"/>
        <w:ind w:firstLine="42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EE6C517">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表1 各类植物种植土壤理化性状要求</w:t>
      </w:r>
    </w:p>
    <w:tbl>
      <w:tblPr>
        <w:tblStyle w:val="20"/>
        <w:tblW w:w="0" w:type="auto"/>
        <w:tblInd w:w="-34" w:type="dxa"/>
        <w:tblLayout w:type="fixed"/>
        <w:tblCellMar>
          <w:top w:w="0" w:type="dxa"/>
          <w:left w:w="108" w:type="dxa"/>
          <w:bottom w:w="0" w:type="dxa"/>
          <w:right w:w="108" w:type="dxa"/>
        </w:tblCellMar>
      </w:tblPr>
      <w:tblGrid>
        <w:gridCol w:w="1702"/>
        <w:gridCol w:w="1417"/>
        <w:gridCol w:w="1308"/>
        <w:gridCol w:w="1376"/>
        <w:gridCol w:w="1376"/>
        <w:gridCol w:w="1377"/>
      </w:tblGrid>
      <w:tr w14:paraId="07632C82">
        <w:tblPrEx>
          <w:tblCellMar>
            <w:top w:w="0" w:type="dxa"/>
            <w:left w:w="108" w:type="dxa"/>
            <w:bottom w:w="0" w:type="dxa"/>
            <w:right w:w="108" w:type="dxa"/>
          </w:tblCellMar>
        </w:tblPrEx>
        <w:trPr>
          <w:trHeight w:val="418" w:hRule="atLeast"/>
        </w:trPr>
        <w:tc>
          <w:tcPr>
            <w:tcW w:w="1702" w:type="dxa"/>
            <w:tcBorders>
              <w:top w:val="single" w:color="000000" w:sz="12" w:space="0"/>
              <w:left w:val="single" w:color="000000" w:sz="12" w:space="0"/>
              <w:bottom w:val="single" w:color="000000" w:sz="12" w:space="0"/>
              <w:right w:val="single" w:color="000000" w:sz="4" w:space="0"/>
            </w:tcBorders>
            <w:vAlign w:val="center"/>
          </w:tcPr>
          <w:p w14:paraId="7F31943B">
            <w:pPr>
              <w:keepNext w:val="0"/>
              <w:keepLines w:val="0"/>
              <w:pageBreakBefore w:val="0"/>
              <w:widowControl/>
              <w:kinsoku/>
              <w:topLinePunct w:val="0"/>
              <w:bidi w:val="0"/>
              <w:adjustRightInd/>
              <w:snapToGrid/>
              <w:spacing w:line="360" w:lineRule="auto"/>
              <w:ind w:right="265"/>
              <w:jc w:val="center"/>
              <w:outlineLvl w:val="9"/>
              <w:rPr>
                <w:rFonts w:hint="eastAsia" w:ascii="宋体" w:hAnsi="宋体" w:eastAsia="宋体" w:cs="宋体"/>
                <w:color w:val="auto"/>
                <w:kern w:val="0"/>
                <w:sz w:val="24"/>
                <w:szCs w:val="24"/>
                <w:highlight w:val="none"/>
              </w:rPr>
            </w:pPr>
          </w:p>
        </w:tc>
        <w:tc>
          <w:tcPr>
            <w:tcW w:w="1417" w:type="dxa"/>
            <w:tcBorders>
              <w:top w:val="single" w:color="000000" w:sz="12" w:space="0"/>
              <w:left w:val="nil"/>
              <w:bottom w:val="single" w:color="000000" w:sz="12" w:space="0"/>
              <w:right w:val="single" w:color="000000" w:sz="4" w:space="0"/>
            </w:tcBorders>
            <w:vAlign w:val="center"/>
          </w:tcPr>
          <w:p w14:paraId="7437E197">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w:t>
            </w:r>
          </w:p>
        </w:tc>
        <w:tc>
          <w:tcPr>
            <w:tcW w:w="1308" w:type="dxa"/>
            <w:tcBorders>
              <w:top w:val="single" w:color="000000" w:sz="12" w:space="0"/>
              <w:left w:val="nil"/>
              <w:bottom w:val="single" w:color="000000" w:sz="12" w:space="0"/>
              <w:right w:val="single" w:color="000000" w:sz="4" w:space="0"/>
            </w:tcBorders>
            <w:vAlign w:val="center"/>
          </w:tcPr>
          <w:p w14:paraId="43957F30">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w:t>
            </w:r>
          </w:p>
        </w:tc>
        <w:tc>
          <w:tcPr>
            <w:tcW w:w="1376" w:type="dxa"/>
            <w:tcBorders>
              <w:top w:val="single" w:color="000000" w:sz="12" w:space="0"/>
              <w:left w:val="nil"/>
              <w:bottom w:val="single" w:color="000000" w:sz="12" w:space="0"/>
              <w:right w:val="single" w:color="000000" w:sz="4" w:space="0"/>
            </w:tcBorders>
            <w:vAlign w:val="center"/>
          </w:tcPr>
          <w:p w14:paraId="59ADAF56">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地被</w:t>
            </w:r>
          </w:p>
        </w:tc>
        <w:tc>
          <w:tcPr>
            <w:tcW w:w="1376" w:type="dxa"/>
            <w:tcBorders>
              <w:top w:val="single" w:color="000000" w:sz="12" w:space="0"/>
              <w:left w:val="nil"/>
              <w:bottom w:val="single" w:color="000000" w:sz="12" w:space="0"/>
              <w:right w:val="single" w:color="000000" w:sz="4" w:space="0"/>
            </w:tcBorders>
            <w:vAlign w:val="center"/>
          </w:tcPr>
          <w:p w14:paraId="230FD8E5">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草坪</w:t>
            </w:r>
          </w:p>
        </w:tc>
        <w:tc>
          <w:tcPr>
            <w:tcW w:w="1377" w:type="dxa"/>
            <w:tcBorders>
              <w:top w:val="single" w:color="000000" w:sz="12" w:space="0"/>
              <w:left w:val="nil"/>
              <w:bottom w:val="single" w:color="000000" w:sz="12" w:space="0"/>
              <w:right w:val="single" w:color="000000" w:sz="12" w:space="0"/>
            </w:tcBorders>
            <w:vAlign w:val="center"/>
          </w:tcPr>
          <w:p w14:paraId="4DEC479B">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花坛</w:t>
            </w:r>
          </w:p>
        </w:tc>
      </w:tr>
      <w:tr w14:paraId="5EB8279D">
        <w:tblPrEx>
          <w:tblCellMar>
            <w:top w:w="0" w:type="dxa"/>
            <w:left w:w="108" w:type="dxa"/>
            <w:bottom w:w="0" w:type="dxa"/>
            <w:right w:w="108" w:type="dxa"/>
          </w:tblCellMar>
        </w:tblPrEx>
        <w:trPr>
          <w:trHeight w:val="390" w:hRule="atLeast"/>
        </w:trPr>
        <w:tc>
          <w:tcPr>
            <w:tcW w:w="1702" w:type="dxa"/>
            <w:tcBorders>
              <w:top w:val="single" w:color="000000" w:sz="12" w:space="0"/>
              <w:left w:val="single" w:color="000000" w:sz="12" w:space="0"/>
              <w:bottom w:val="single" w:color="000000" w:sz="4" w:space="0"/>
              <w:right w:val="single" w:color="000000" w:sz="4" w:space="0"/>
            </w:tcBorders>
            <w:vAlign w:val="center"/>
          </w:tcPr>
          <w:p w14:paraId="77E6DA4D">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1417" w:type="dxa"/>
            <w:tcBorders>
              <w:top w:val="single" w:color="000000" w:sz="12" w:space="0"/>
              <w:left w:val="nil"/>
              <w:bottom w:val="single" w:color="000000" w:sz="4" w:space="0"/>
              <w:right w:val="single" w:color="000000" w:sz="4" w:space="0"/>
            </w:tcBorders>
            <w:vAlign w:val="center"/>
          </w:tcPr>
          <w:p w14:paraId="48635355">
            <w:pPr>
              <w:keepNext w:val="0"/>
              <w:keepLines w:val="0"/>
              <w:pageBreakBefore w:val="0"/>
              <w:widowControl/>
              <w:kinsoku/>
              <w:topLinePunct w:val="0"/>
              <w:bidi w:val="0"/>
              <w:adjustRightInd/>
              <w:snapToGrid/>
              <w:spacing w:line="360" w:lineRule="auto"/>
              <w:ind w:firstLine="24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5.0～8.0</w:t>
            </w:r>
          </w:p>
        </w:tc>
        <w:tc>
          <w:tcPr>
            <w:tcW w:w="1308" w:type="dxa"/>
            <w:tcBorders>
              <w:top w:val="single" w:color="000000" w:sz="12" w:space="0"/>
              <w:left w:val="nil"/>
              <w:bottom w:val="single" w:color="000000" w:sz="4" w:space="0"/>
              <w:right w:val="single" w:color="000000" w:sz="4" w:space="0"/>
            </w:tcBorders>
            <w:vAlign w:val="center"/>
          </w:tcPr>
          <w:p w14:paraId="08634F1C">
            <w:pPr>
              <w:keepNext w:val="0"/>
              <w:keepLines w:val="0"/>
              <w:pageBreakBefore w:val="0"/>
              <w:widowControl/>
              <w:kinsoku/>
              <w:topLinePunct w:val="0"/>
              <w:bidi w:val="0"/>
              <w:adjustRightInd/>
              <w:snapToGrid/>
              <w:spacing w:line="360" w:lineRule="auto"/>
              <w:ind w:firstLine="24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5.5～8.0</w:t>
            </w:r>
          </w:p>
        </w:tc>
        <w:tc>
          <w:tcPr>
            <w:tcW w:w="1376" w:type="dxa"/>
            <w:tcBorders>
              <w:top w:val="single" w:color="000000" w:sz="12" w:space="0"/>
              <w:left w:val="nil"/>
              <w:bottom w:val="single" w:color="000000" w:sz="4" w:space="0"/>
              <w:right w:val="single" w:color="000000" w:sz="4" w:space="0"/>
            </w:tcBorders>
            <w:vAlign w:val="center"/>
          </w:tcPr>
          <w:p w14:paraId="16933F67">
            <w:pPr>
              <w:keepNext w:val="0"/>
              <w:keepLines w:val="0"/>
              <w:pageBreakBefore w:val="0"/>
              <w:widowControl/>
              <w:kinsoku/>
              <w:topLinePunct w:val="0"/>
              <w:bidi w:val="0"/>
              <w:adjustRightInd/>
              <w:snapToGrid/>
              <w:spacing w:line="360" w:lineRule="auto"/>
              <w:ind w:firstLine="24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5.0～8.0</w:t>
            </w:r>
          </w:p>
        </w:tc>
        <w:tc>
          <w:tcPr>
            <w:tcW w:w="1376" w:type="dxa"/>
            <w:tcBorders>
              <w:top w:val="single" w:color="000000" w:sz="12" w:space="0"/>
              <w:left w:val="nil"/>
              <w:bottom w:val="single" w:color="000000" w:sz="4" w:space="0"/>
              <w:right w:val="single" w:color="000000" w:sz="4" w:space="0"/>
            </w:tcBorders>
            <w:vAlign w:val="center"/>
          </w:tcPr>
          <w:p w14:paraId="4D5809D2">
            <w:pPr>
              <w:keepNext w:val="0"/>
              <w:keepLines w:val="0"/>
              <w:pageBreakBefore w:val="0"/>
              <w:widowControl/>
              <w:kinsoku/>
              <w:topLinePunct w:val="0"/>
              <w:bidi w:val="0"/>
              <w:adjustRightInd/>
              <w:snapToGrid/>
              <w:spacing w:line="360" w:lineRule="auto"/>
              <w:ind w:firstLine="24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5.0～8.0</w:t>
            </w:r>
          </w:p>
        </w:tc>
        <w:tc>
          <w:tcPr>
            <w:tcW w:w="1377" w:type="dxa"/>
            <w:tcBorders>
              <w:top w:val="single" w:color="000000" w:sz="12" w:space="0"/>
              <w:left w:val="nil"/>
              <w:bottom w:val="single" w:color="000000" w:sz="4" w:space="0"/>
              <w:right w:val="single" w:color="000000" w:sz="12" w:space="0"/>
            </w:tcBorders>
            <w:vAlign w:val="center"/>
          </w:tcPr>
          <w:p w14:paraId="594348A6">
            <w:pPr>
              <w:keepNext w:val="0"/>
              <w:keepLines w:val="0"/>
              <w:pageBreakBefore w:val="0"/>
              <w:widowControl/>
              <w:kinsoku/>
              <w:topLinePunct w:val="0"/>
              <w:bidi w:val="0"/>
              <w:adjustRightInd/>
              <w:snapToGrid/>
              <w:spacing w:line="360" w:lineRule="auto"/>
              <w:ind w:firstLine="240"/>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5.5～7.5</w:t>
            </w:r>
          </w:p>
        </w:tc>
      </w:tr>
      <w:tr w14:paraId="331EF997">
        <w:tblPrEx>
          <w:tblCellMar>
            <w:top w:w="0" w:type="dxa"/>
            <w:left w:w="108" w:type="dxa"/>
            <w:bottom w:w="0" w:type="dxa"/>
            <w:right w:w="108" w:type="dxa"/>
          </w:tblCellMar>
        </w:tblPrEx>
        <w:trPr>
          <w:trHeight w:val="418" w:hRule="atLeast"/>
        </w:trPr>
        <w:tc>
          <w:tcPr>
            <w:tcW w:w="1702" w:type="dxa"/>
            <w:tcBorders>
              <w:top w:val="single" w:color="000000" w:sz="4" w:space="0"/>
              <w:left w:val="single" w:color="000000" w:sz="12" w:space="0"/>
              <w:bottom w:val="single" w:color="000000" w:sz="4" w:space="0"/>
              <w:right w:val="single" w:color="000000" w:sz="4" w:space="0"/>
            </w:tcBorders>
            <w:vAlign w:val="center"/>
          </w:tcPr>
          <w:p w14:paraId="5D6714BA">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有机质(g/㎏)</w:t>
            </w:r>
          </w:p>
        </w:tc>
        <w:tc>
          <w:tcPr>
            <w:tcW w:w="1417" w:type="dxa"/>
            <w:tcBorders>
              <w:top w:val="single" w:color="000000" w:sz="4" w:space="0"/>
              <w:left w:val="nil"/>
              <w:bottom w:val="single" w:color="000000" w:sz="4" w:space="0"/>
              <w:right w:val="single" w:color="000000" w:sz="4" w:space="0"/>
            </w:tcBorders>
            <w:vAlign w:val="center"/>
          </w:tcPr>
          <w:p w14:paraId="3F126C0E">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308" w:type="dxa"/>
            <w:tcBorders>
              <w:top w:val="single" w:color="000000" w:sz="4" w:space="0"/>
              <w:left w:val="nil"/>
              <w:bottom w:val="single" w:color="000000" w:sz="4" w:space="0"/>
              <w:right w:val="single" w:color="000000" w:sz="4" w:space="0"/>
            </w:tcBorders>
            <w:vAlign w:val="center"/>
          </w:tcPr>
          <w:p w14:paraId="48B2A679">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376" w:type="dxa"/>
            <w:tcBorders>
              <w:top w:val="single" w:color="000000" w:sz="4" w:space="0"/>
              <w:left w:val="nil"/>
              <w:bottom w:val="single" w:color="000000" w:sz="4" w:space="0"/>
              <w:right w:val="single" w:color="000000" w:sz="4" w:space="0"/>
            </w:tcBorders>
            <w:vAlign w:val="center"/>
          </w:tcPr>
          <w:p w14:paraId="0CA88F0F">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376" w:type="dxa"/>
            <w:tcBorders>
              <w:top w:val="single" w:color="000000" w:sz="4" w:space="0"/>
              <w:left w:val="nil"/>
              <w:bottom w:val="single" w:color="000000" w:sz="4" w:space="0"/>
              <w:right w:val="single" w:color="000000" w:sz="4" w:space="0"/>
            </w:tcBorders>
            <w:vAlign w:val="center"/>
          </w:tcPr>
          <w:p w14:paraId="30D14E3E">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1377" w:type="dxa"/>
            <w:tcBorders>
              <w:top w:val="single" w:color="000000" w:sz="4" w:space="0"/>
              <w:left w:val="nil"/>
              <w:bottom w:val="single" w:color="000000" w:sz="4" w:space="0"/>
              <w:right w:val="single" w:color="000000" w:sz="12" w:space="0"/>
            </w:tcBorders>
            <w:vAlign w:val="center"/>
          </w:tcPr>
          <w:p w14:paraId="33A79604">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r>
      <w:tr w14:paraId="752B09EC">
        <w:tblPrEx>
          <w:tblCellMar>
            <w:top w:w="0" w:type="dxa"/>
            <w:left w:w="108" w:type="dxa"/>
            <w:bottom w:w="0" w:type="dxa"/>
            <w:right w:w="108" w:type="dxa"/>
          </w:tblCellMar>
        </w:tblPrEx>
        <w:trPr>
          <w:trHeight w:val="404" w:hRule="atLeast"/>
        </w:trPr>
        <w:tc>
          <w:tcPr>
            <w:tcW w:w="1702" w:type="dxa"/>
            <w:tcBorders>
              <w:top w:val="single" w:color="000000" w:sz="4" w:space="0"/>
              <w:left w:val="single" w:color="000000" w:sz="12" w:space="0"/>
              <w:bottom w:val="single" w:color="000000" w:sz="4" w:space="0"/>
              <w:right w:val="single" w:color="000000" w:sz="4" w:space="0"/>
            </w:tcBorders>
            <w:vAlign w:val="center"/>
          </w:tcPr>
          <w:p w14:paraId="01936E3F">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通气空隙度(%)</w:t>
            </w:r>
          </w:p>
        </w:tc>
        <w:tc>
          <w:tcPr>
            <w:tcW w:w="1417" w:type="dxa"/>
            <w:tcBorders>
              <w:top w:val="single" w:color="000000" w:sz="4" w:space="0"/>
              <w:left w:val="nil"/>
              <w:bottom w:val="single" w:color="000000" w:sz="4" w:space="0"/>
              <w:right w:val="single" w:color="000000" w:sz="4" w:space="0"/>
            </w:tcBorders>
            <w:vAlign w:val="center"/>
          </w:tcPr>
          <w:p w14:paraId="213AAF6A">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308" w:type="dxa"/>
            <w:tcBorders>
              <w:top w:val="single" w:color="000000" w:sz="4" w:space="0"/>
              <w:left w:val="nil"/>
              <w:bottom w:val="single" w:color="000000" w:sz="4" w:space="0"/>
              <w:right w:val="single" w:color="000000" w:sz="4" w:space="0"/>
            </w:tcBorders>
            <w:vAlign w:val="center"/>
          </w:tcPr>
          <w:p w14:paraId="6E41BD24">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376" w:type="dxa"/>
            <w:tcBorders>
              <w:top w:val="single" w:color="000000" w:sz="4" w:space="0"/>
              <w:left w:val="nil"/>
              <w:bottom w:val="single" w:color="000000" w:sz="4" w:space="0"/>
              <w:right w:val="single" w:color="000000" w:sz="4" w:space="0"/>
            </w:tcBorders>
            <w:vAlign w:val="center"/>
          </w:tcPr>
          <w:p w14:paraId="680F8082">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376" w:type="dxa"/>
            <w:tcBorders>
              <w:top w:val="single" w:color="000000" w:sz="4" w:space="0"/>
              <w:left w:val="nil"/>
              <w:bottom w:val="single" w:color="000000" w:sz="4" w:space="0"/>
              <w:right w:val="single" w:color="000000" w:sz="4" w:space="0"/>
            </w:tcBorders>
            <w:vAlign w:val="center"/>
          </w:tcPr>
          <w:p w14:paraId="05A7F0EB">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377" w:type="dxa"/>
            <w:tcBorders>
              <w:top w:val="single" w:color="000000" w:sz="4" w:space="0"/>
              <w:left w:val="nil"/>
              <w:bottom w:val="single" w:color="000000" w:sz="4" w:space="0"/>
              <w:right w:val="single" w:color="000000" w:sz="12" w:space="0"/>
            </w:tcBorders>
            <w:vAlign w:val="center"/>
          </w:tcPr>
          <w:p w14:paraId="6993F803">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r>
      <w:tr w14:paraId="0B9549AB">
        <w:tblPrEx>
          <w:tblCellMar>
            <w:top w:w="0" w:type="dxa"/>
            <w:left w:w="108" w:type="dxa"/>
            <w:bottom w:w="0" w:type="dxa"/>
            <w:right w:w="108" w:type="dxa"/>
          </w:tblCellMar>
        </w:tblPrEx>
        <w:trPr>
          <w:trHeight w:val="459" w:hRule="atLeast"/>
        </w:trPr>
        <w:tc>
          <w:tcPr>
            <w:tcW w:w="1702" w:type="dxa"/>
            <w:tcBorders>
              <w:top w:val="single" w:color="000000" w:sz="4" w:space="0"/>
              <w:left w:val="single" w:color="000000" w:sz="12" w:space="0"/>
              <w:bottom w:val="single" w:color="000000" w:sz="12" w:space="0"/>
              <w:right w:val="single" w:color="000000" w:sz="4" w:space="0"/>
            </w:tcBorders>
            <w:vAlign w:val="center"/>
          </w:tcPr>
          <w:p w14:paraId="499F6616">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有效土层(㎝)</w:t>
            </w:r>
          </w:p>
        </w:tc>
        <w:tc>
          <w:tcPr>
            <w:tcW w:w="1417" w:type="dxa"/>
            <w:tcBorders>
              <w:top w:val="single" w:color="000000" w:sz="4" w:space="0"/>
              <w:left w:val="nil"/>
              <w:bottom w:val="single" w:color="000000" w:sz="12" w:space="0"/>
              <w:right w:val="single" w:color="000000" w:sz="4" w:space="0"/>
            </w:tcBorders>
            <w:vAlign w:val="center"/>
          </w:tcPr>
          <w:p w14:paraId="5D32523C">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1308" w:type="dxa"/>
            <w:tcBorders>
              <w:top w:val="single" w:color="000000" w:sz="4" w:space="0"/>
              <w:left w:val="nil"/>
              <w:bottom w:val="single" w:color="000000" w:sz="12" w:space="0"/>
              <w:right w:val="single" w:color="000000" w:sz="4" w:space="0"/>
            </w:tcBorders>
            <w:vAlign w:val="center"/>
          </w:tcPr>
          <w:p w14:paraId="291F84CE">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1376" w:type="dxa"/>
            <w:tcBorders>
              <w:top w:val="single" w:color="000000" w:sz="4" w:space="0"/>
              <w:left w:val="nil"/>
              <w:bottom w:val="single" w:color="000000" w:sz="12" w:space="0"/>
              <w:right w:val="single" w:color="000000" w:sz="4" w:space="0"/>
            </w:tcBorders>
            <w:vAlign w:val="center"/>
          </w:tcPr>
          <w:p w14:paraId="4F5D6C99">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1376" w:type="dxa"/>
            <w:tcBorders>
              <w:top w:val="single" w:color="000000" w:sz="4" w:space="0"/>
              <w:left w:val="nil"/>
              <w:bottom w:val="single" w:color="000000" w:sz="12" w:space="0"/>
              <w:right w:val="single" w:color="000000" w:sz="4" w:space="0"/>
            </w:tcBorders>
            <w:vAlign w:val="center"/>
          </w:tcPr>
          <w:p w14:paraId="2EE3D56B">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w:t>
            </w:r>
          </w:p>
        </w:tc>
        <w:tc>
          <w:tcPr>
            <w:tcW w:w="1377" w:type="dxa"/>
            <w:tcBorders>
              <w:top w:val="single" w:color="000000" w:sz="4" w:space="0"/>
              <w:left w:val="nil"/>
              <w:bottom w:val="single" w:color="000000" w:sz="12" w:space="0"/>
              <w:right w:val="single" w:color="000000" w:sz="12" w:space="0"/>
            </w:tcBorders>
            <w:vAlign w:val="center"/>
          </w:tcPr>
          <w:p w14:paraId="54BC323C">
            <w:pPr>
              <w:keepNext w:val="0"/>
              <w:keepLines w:val="0"/>
              <w:pageBreakBefore w:val="0"/>
              <w:widowControl/>
              <w:kinsoku/>
              <w:topLinePunct w:val="0"/>
              <w:bidi w:val="0"/>
              <w:adjustRightInd/>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r>
    </w:tbl>
    <w:p w14:paraId="424AB858">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FF6BD2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 施肥</w:t>
      </w:r>
    </w:p>
    <w:p w14:paraId="4EDA4DD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4.3.1 定植五年内的乔木，全年施肥1次～3次，春季以氮肥为主，秋季、冬季施复合肥或磷钾肥或有机肥，每株每次施尿素0.05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kg～0.15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kg或复合肥0.1</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kg～0.4</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w:t>
      </w:r>
    </w:p>
    <w:p w14:paraId="7566CE6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4.3.2 定植5年后的乔木，视长势定全年施1次～2次根外肥，肥料可用0.1</w:t>
      </w:r>
      <w:r>
        <w:rPr>
          <w:rFonts w:hint="eastAsia" w:ascii="宋体" w:hAnsi="宋体" w:eastAsia="宋体" w:cs="宋体"/>
          <w:color w:val="auto"/>
          <w:spacing w:val="-30"/>
          <w:kern w:val="0"/>
          <w:sz w:val="24"/>
          <w:szCs w:val="24"/>
          <w:highlight w:val="none"/>
        </w:rPr>
        <w:t>％</w:t>
      </w:r>
      <w:r>
        <w:rPr>
          <w:rFonts w:hint="eastAsia" w:ascii="宋体" w:hAnsi="宋体" w:eastAsia="宋体" w:cs="宋体"/>
          <w:color w:val="auto"/>
          <w:kern w:val="0"/>
          <w:sz w:val="24"/>
          <w:szCs w:val="24"/>
          <w:highlight w:val="none"/>
        </w:rPr>
        <w:t>～1.0</w:t>
      </w:r>
      <w:r>
        <w:rPr>
          <w:rFonts w:hint="eastAsia" w:ascii="宋体" w:hAnsi="宋体" w:eastAsia="宋体" w:cs="宋体"/>
          <w:color w:val="auto"/>
          <w:spacing w:val="-30"/>
          <w:kern w:val="0"/>
          <w:sz w:val="24"/>
          <w:szCs w:val="24"/>
          <w:highlight w:val="none"/>
        </w:rPr>
        <w:t>％</w:t>
      </w:r>
      <w:r>
        <w:rPr>
          <w:rFonts w:hint="eastAsia" w:ascii="宋体" w:hAnsi="宋体" w:eastAsia="宋体" w:cs="宋体"/>
          <w:color w:val="auto"/>
          <w:kern w:val="0"/>
          <w:sz w:val="24"/>
          <w:szCs w:val="24"/>
          <w:highlight w:val="none"/>
        </w:rPr>
        <w:t>尿素、磷酸二氢钾等；古树、衰老树冬季应深耕根施迟效性肥料一次，以骨粉、堆肥、垃圾肥等有机肥为主，平均每株施10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kg～25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kg有机物或施复合肥0.3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kg～1.0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kg，观花、观果类乔木还应在花后、果后追施一次复合肥或尿素。</w:t>
      </w:r>
    </w:p>
    <w:p w14:paraId="16EDECC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4.3.3 灌木全年施3次～8次（视植物长势而定），生长期以施氮肥为主，开花期、冬季以磷钾肥为主；片植灌木，每次每平方米施化肥0.025 kg～0.100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kg；孤植灌木，每株每次施化肥0.05 kg～0.15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w:t>
      </w:r>
    </w:p>
    <w:p w14:paraId="6237385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4.3.4 草坪、草本地被植物。全年施2次～4次，生长期施尿素或复合肥1次～3次，每平方米施0.01 kg～0.05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kg；入冬前施1次复合肥，观花地被花前施1次复合肥。</w:t>
      </w:r>
    </w:p>
    <w:p w14:paraId="1E62478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4.3.5 花坛种植后应施一次以上干肥（复合肥）或每隔10天施一次水肥（复合肥）。</w:t>
      </w:r>
    </w:p>
    <w:p w14:paraId="3D1C57E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4.3.6 应多施有机肥，尽量利用落叶及修剪出来的枝叶埋入土中或堆沤后施用，以改良土壤，增加土壤肥力。</w:t>
      </w:r>
    </w:p>
    <w:p w14:paraId="687F860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4.3.7 乔木与孤植灌木可采用沟施、穴施或叶面喷施；沟施或穴施位置有地被的，先将地被植物带根移开，挖沟或穴深施，施肥盖土后再复植原位。片植地被、草坪、花坛可采用撤施或叶面喷施或淋水肥；撒施时，肥料不能粘在叶面上。</w:t>
      </w:r>
    </w:p>
    <w:p w14:paraId="54B5B13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4.3.8 使用化肥进行根施或撤施时,施肥后应及时淋水。</w:t>
      </w:r>
    </w:p>
    <w:p w14:paraId="7781E41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 修剪</w:t>
      </w:r>
    </w:p>
    <w:p w14:paraId="53A00F4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 绿地乔木修剪</w:t>
      </w:r>
    </w:p>
    <w:p w14:paraId="31221A2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 自然修剪</w:t>
      </w:r>
    </w:p>
    <w:p w14:paraId="0FD6C5E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5.1.1.1 幼龄树修剪，以培养树形为主，全年修剪2次，冬、夏各进行1次，剪去过密枝、下垂枝、交叉枝、病虫枝，剪口要求平滑，直径5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cm以上的剪口应涂上防腐剂。</w:t>
      </w:r>
    </w:p>
    <w:p w14:paraId="1F371BA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5.1.1.2 成年树修剪，以维持本身树形特征为主，全年修剪数次，平时1个～2个月钩干枯枝1次；冬季和夏季台风到来之前进行适度修剪，把病虫枝、下垂枝、过密枝、交叉枝剪去，剪口要求平整，不留桩头，大枝的剪口应涂上防腐剂。</w:t>
      </w:r>
    </w:p>
    <w:p w14:paraId="6EECAE8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5.1.1.3 对影响主要树种树体定向生长的其它次要树应进行避让修剪，以保证主体树有足够的生长定向空间。</w:t>
      </w:r>
    </w:p>
    <w:p w14:paraId="0F1F9EE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 造型修剪</w:t>
      </w:r>
    </w:p>
    <w:p w14:paraId="3BE5458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根据设计和景观要求,把乔木剪成并维持特定的形状.修剪次数与强度以能维持其形状为宜,修剪时必须注意剪去过密的内膛枝、交叉枝，以利病虫害的防治。</w:t>
      </w:r>
    </w:p>
    <w:p w14:paraId="129ED13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181B446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 行道树修剪</w:t>
      </w:r>
    </w:p>
    <w:p w14:paraId="3262CDB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5.1.3.1 枝下高：胸径5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cm～9</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cm的小乔木，不低于2</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m；胸径10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cm～19</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cm的中等乔木，不低于2.5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m；胸径20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cm～30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cm的大乔木，不低于3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m；胸径35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cm以上特大乔木，不低于3.5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w:t>
      </w:r>
    </w:p>
    <w:p w14:paraId="194FA21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5.1.3.2 同路段同树种的树形、高度应基本一致，且不得影响车辆和行人的安全，树冠不应遮挡交通指示灯。</w:t>
      </w:r>
    </w:p>
    <w:p w14:paraId="088EBBD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5.1.3.3 中、小行道树，修剪应以培养树形或树种特征为主，每年冬季重剪1次，夏季适当轻剪。树体不应有钉挂物、缠绕物等。</w:t>
      </w:r>
    </w:p>
    <w:p w14:paraId="3361646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5.1.3.4 大、特大乔木，修剪应以维持树种特征为主，经常检查并钩除干枯枝，拆除钉挂物、缠绕物。冬季修剪1次，剪去病虫枝、交叉枝、过密枝、下垂枝。</w:t>
      </w:r>
    </w:p>
    <w:p w14:paraId="2250105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5.1.3.5 行道树为棕榈科乔木的，中小乔木每月应钩干黄叶2次，高大的大王椰类应每周钩干黄叶两次。</w:t>
      </w:r>
    </w:p>
    <w:p w14:paraId="3B2AC1D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5.1.3.6 及时处理危树，伐去死树。</w:t>
      </w:r>
    </w:p>
    <w:p w14:paraId="34C5092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5.1.3.7 行道树上方有架空线的，必须定期修剪，树冠与电话线的垂直距离应保持1.5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m以上,与高压线的垂直距离视其电压的高低及电线的类型，应保持1.5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m～4.0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m以上。</w:t>
      </w:r>
    </w:p>
    <w:p w14:paraId="4F0FA8B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 灌木修剪</w:t>
      </w:r>
    </w:p>
    <w:p w14:paraId="1EBB9E4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 孤植灌木修剪</w:t>
      </w:r>
    </w:p>
    <w:p w14:paraId="747ABAA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5.2.1.1 观叶、观茎的棕榈科灌木和其它慢生性观叶灌木，主要适当控制灌木的形状，根据树种特性进行疏枝、剪除枯枝黄叶。</w:t>
      </w:r>
    </w:p>
    <w:p w14:paraId="7FD8CD6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5.2.1.2 萌发力强，生长快的观花、观叶灌木，春季或花期过后进行重剪，以控制植株徒长，维持一定的高度与形状。</w:t>
      </w:r>
    </w:p>
    <w:p w14:paraId="6F35E53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5.2.1.3 疏枝，剪口必须贴近干枝，平滑、不撕裂，不伤及干枝，不留桩头。</w:t>
      </w:r>
    </w:p>
    <w:p w14:paraId="63075AD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5.2.1.4 短剪，剪口平滑稍斜，剪口芽方向合理，距离剪口芽约0.5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cm左右。</w:t>
      </w:r>
    </w:p>
    <w:p w14:paraId="7FBCEA4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5.2.2 整形灌木修剪</w:t>
      </w:r>
    </w:p>
    <w:p w14:paraId="5935DE1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5.2.2.1 必须按设计要求或观赏要求，逐步修剪养成一定的形状，并且要求成形美观、曲线变化明显，与周围环境相协调；规则式的同一品种植物造型，其形状、大小应基本一致。</w:t>
      </w:r>
    </w:p>
    <w:p w14:paraId="36BC636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5.2.2.2 整形灌木成形后应保持原来的形状，随着植物的生长，其形体大于设计观赏要求或因频繁修剪造成长势趋弱，应于春季进行回缩修剪。</w:t>
      </w:r>
    </w:p>
    <w:p w14:paraId="4F7C833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 片植灌木</w:t>
      </w:r>
    </w:p>
    <w:p w14:paraId="0B6B40B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5.2.3.1 按设计或观赏要求修剪，并剪去干枯枝、寄生与缠绕物，要求图形清晰，线条明显，整体美观。</w:t>
      </w:r>
    </w:p>
    <w:p w14:paraId="1B05F2E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5.2.3.2 萌芽力强、生长快的观叶片植灌木，应于春季进行回缩修剪，以控制整体高度和保持良好的长势。</w:t>
      </w:r>
    </w:p>
    <w:p w14:paraId="6836DB5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5.2.3.3 观花片植灌木应于花后适度修剪或重剪。</w:t>
      </w:r>
    </w:p>
    <w:p w14:paraId="2875AB8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 地被修剪</w:t>
      </w:r>
    </w:p>
    <w:p w14:paraId="460E705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5.3.1 球根地被及不耐修剪的地被，如麦冬、罗裙带，要求保持整洁，及时清除黄叶、杂物；过密的应适当疏株、移植；过高的应间高留矮，促萌新株，逐步更新。</w:t>
      </w:r>
    </w:p>
    <w:p w14:paraId="6229203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5.3.2 蔓生性较强的地被，应适当修剪，保持整体整齐或有规律变化。</w:t>
      </w:r>
    </w:p>
    <w:p w14:paraId="67FB849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5.3.3 树盘地被应定时修剪，形状、大小应规范、整齐；地被植物不能缠绕乔灌木。</w:t>
      </w:r>
    </w:p>
    <w:p w14:paraId="2B08FC2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5.4 花坛修剪</w:t>
      </w:r>
    </w:p>
    <w:p w14:paraId="686DB41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及时剪除残花、枯枝、黄叶，并短截或疏去过高的枝叶，保持花坛中同一色块顶面高度基本一致。</w:t>
      </w:r>
    </w:p>
    <w:p w14:paraId="02172B5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5.5 草坪修剪</w:t>
      </w:r>
    </w:p>
    <w:p w14:paraId="196B845C">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视草坪生长情况全年修剪6次～12次，秋、冬季1月～2月剪1次，春季、夏季每月剪1次。草坪高度应控制在8cm以下。</w:t>
      </w:r>
    </w:p>
    <w:p w14:paraId="3453C2A5">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6CBCCD0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5.6 藤本植物修剪</w:t>
      </w:r>
    </w:p>
    <w:p w14:paraId="1EF9543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5.6.1 桥上、栏杆上藤本植物，主要剪去过密枝、衰老枝，控制枝条下垂的长度基本一致，而又不影响交通、视线。花期过后应适当更新重剪。</w:t>
      </w:r>
    </w:p>
    <w:p w14:paraId="66A0759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5.6.2 攀援藤本，种植后进行重剪，每株促发几条健壮主蔓；爬满墙、棚后，主要适当修剪交叉蔓藤，病弱衰老蔓枝；有光脚或中空现象时，采用局部重剪、曲枝蔓诱引措施来弥补空缺。</w:t>
      </w:r>
    </w:p>
    <w:p w14:paraId="38F4B0B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 松土除杂</w:t>
      </w:r>
    </w:p>
    <w:p w14:paraId="1542594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6.1 无地被树盘,片植灌木必须定期松土除杂，对小乔木的树盘可用中耕的方法连根锄掉，埋入土中，以改良土壤。</w:t>
      </w:r>
    </w:p>
    <w:p w14:paraId="3D02A3C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6.2 应经常对草坪进行人工除杂，对生长快、侵延力强的杂草应除早、除小、除了。亦可采用除草剂除杂，结合剪草机定期剪草，控制杂草的开花及蔓延，草坪纯度应保持在85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以上，无大型、异型杂草。</w:t>
      </w:r>
    </w:p>
    <w:p w14:paraId="43CFCE3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6.3 每年春季或冬季用草坪疏草机或草坪打孔机，对草坪进行疏草或打孔，以防草过密起团，增加草坪土壤通透性。</w:t>
      </w:r>
    </w:p>
    <w:p w14:paraId="38CF927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 病虫害控制</w:t>
      </w:r>
    </w:p>
    <w:p w14:paraId="6B7F5FA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 经常检查，随时掌握病虫的生长繁殖及危害情况，做好预测预防工作。</w:t>
      </w:r>
    </w:p>
    <w:p w14:paraId="2056CF5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7.2 掌握在幼虫期和病虫害大发生前进行防治，根据病虫害种类，天气情况、农药性质，合理使用农药。</w:t>
      </w:r>
    </w:p>
    <w:p w14:paraId="2C53532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7.3 喷药应选择在无风无雨时进行，喷药必须到位、均匀，文明操作，药水不能喷到行人身上，对于人为活动多或人流量大的地段，应提前告示；根部埋药，应挖沟、坑，把药放在细根集中部位，并覆土。</w:t>
      </w:r>
    </w:p>
    <w:p w14:paraId="426D429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 药水随用随配，药水配用浓度应按使用说明，需要加大浓度或两种以上农药混用必须先小面积试用安全或经专业技术人员确认后才能大面积使用。</w:t>
      </w:r>
    </w:p>
    <w:p w14:paraId="6F43CF0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 应该选择使用低毒、低残留农药或生物制剂，尽量保护天敌，采用化学防治、生物防治相结合进行综合治理。</w:t>
      </w:r>
    </w:p>
    <w:p w14:paraId="73736DB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7.6 交替使用农药，不能长期使用单一种农药防治同一病虫害，以防病菌和害虫产生抗药性。用药后应检查用药效果，做到对症下药，及时纠正。</w:t>
      </w:r>
    </w:p>
    <w:p w14:paraId="749BAD90">
      <w:pPr>
        <w:keepNext w:val="0"/>
        <w:keepLines w:val="0"/>
        <w:pageBreakBefore w:val="0"/>
        <w:widowControl/>
        <w:kinsoku/>
        <w:topLinePunct w:val="0"/>
        <w:bidi w:val="0"/>
        <w:adjustRightInd/>
        <w:snapToGrid/>
        <w:spacing w:line="360" w:lineRule="auto"/>
        <w:ind w:firstLine="120" w:firstLineChars="5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7.7 及时剪除销毁病虫害引起的树枝败叶，并结合修枝，把徒长枝、过密枝剪去，创造透风透光环境，杜绝病虫害滋生蔓延。</w:t>
      </w:r>
    </w:p>
    <w:p w14:paraId="521411E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7.8 修剪时，对大枝的剪口应涂药以防病虫害的侵入。</w:t>
      </w:r>
    </w:p>
    <w:p w14:paraId="0D65BFF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7.9 及时清除植株上的寄生物。</w:t>
      </w:r>
    </w:p>
    <w:p w14:paraId="66FC9F9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7.10 严禁使用带检疫对象病虫的苗木进行补种，外地苗木必须经过检疫，本地苗木必须经检查及处理后没有病虫为害的苗木才能使用。</w:t>
      </w:r>
    </w:p>
    <w:p w14:paraId="2567C99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7.11 病虫害控制必须在不影响景观效果程度之内。</w:t>
      </w:r>
    </w:p>
    <w:p w14:paraId="1F2CB31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 植物防护</w:t>
      </w:r>
    </w:p>
    <w:p w14:paraId="29F5340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 防寒、防冻(对不耐寒的植物品种)</w:t>
      </w:r>
    </w:p>
    <w:p w14:paraId="266ADA0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8.1.1 浇封冻水和返青水</w:t>
      </w:r>
    </w:p>
    <w:p w14:paraId="1B51979E">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应在土壤封冻前浇一次透水，并在早春浇返青水。原因是土壤中含有水分较多，严冬时能减缓表层地温的下降，开春表层地浊升温也缓慢，避免春寒为害植物根系。</w:t>
      </w:r>
    </w:p>
    <w:p w14:paraId="6F774CE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8.1.2 洗霜</w:t>
      </w:r>
    </w:p>
    <w:p w14:paraId="23EB2712">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在有霜日，太阳未出来前，给植株洗霜，即用水喷洒叶面或枝干。</w:t>
      </w:r>
    </w:p>
    <w:p w14:paraId="28A4891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8.1.3 加强水肥管理，增强抗寒能力</w:t>
      </w:r>
    </w:p>
    <w:p w14:paraId="64F96F7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合理浇灌，科学施肥，如秋冬季应停止单纯施放尿素等氮肥，宜施用有机物或以磷、钾为主的化肥，或采用叶面喷施磷酸二氢钾、叶面宝等措施，控制植株徒长，促进植株生长健壮，增强其抗寒能力。</w:t>
      </w:r>
    </w:p>
    <w:p w14:paraId="3AE27CD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8.1.4 覆盖</w:t>
      </w:r>
    </w:p>
    <w:p w14:paraId="0E331B76">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对不耐寒树木，在霜冻和大雪来临前，根据树高用竹子搭一个方形棚架，外围用遮荫布或塑料布；对一些不耐寒的小形植物、露地花卉、地被等可直接加盖草帘或遮荫布或塑料布。</w:t>
      </w:r>
    </w:p>
    <w:p w14:paraId="751DD09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8.1.5 树干防护</w:t>
      </w:r>
    </w:p>
    <w:p w14:paraId="00727607">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常见的为树干包裹或涂白。树干包裹应在入冬前进行，将不耐寒的树木主干用草绳或麻袋片等缠绕或包裹起来，涂白高度在1.5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m～2</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m。树干涂白宜在秋季进行, 用石灰加石硫合剂对枝干涂白。</w:t>
      </w:r>
    </w:p>
    <w:p w14:paraId="4A298DE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8.1.6 防冻除雪</w:t>
      </w:r>
    </w:p>
    <w:p w14:paraId="22D33DEF">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在下大雪期间或之后,应把树枝上的积雪及时打掉,以免雪压过重,使树枝弯垂,难以恢复原状,甚至折断。</w:t>
      </w:r>
    </w:p>
    <w:p w14:paraId="2076C80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 防风(对高大乔木)</w:t>
      </w:r>
    </w:p>
    <w:p w14:paraId="3837385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8.2.1 对高大乔木尤其是行道树、衰老树，台风季节到来前必须进行适当修剪，剪除病虫枝、过密枝、干枯枝、下垂枝、回缩偏冠树枝。</w:t>
      </w:r>
    </w:p>
    <w:p w14:paraId="0260225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8.2.2 风雨过后应及时巡查行道树，及时处理风折、风倒、雷击树枝。</w:t>
      </w:r>
    </w:p>
    <w:p w14:paraId="0C09CAE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8.2.3 严重偏冠树或危树必须架设护桩，确保行人、车辆安全。</w:t>
      </w:r>
    </w:p>
    <w:p w14:paraId="5D61AA4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8.2.4 移植和管道施工应避免断粗2</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cm以上的主根、侧根。</w:t>
      </w:r>
    </w:p>
    <w:p w14:paraId="3E90AA9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8.3 设备设施</w:t>
      </w:r>
    </w:p>
    <w:p w14:paraId="6AA9108C">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定期维修游园、绿地的设备、设施、护桩，保持设备设施完好、整洁，护桩整齐、美观。</w:t>
      </w:r>
    </w:p>
    <w:p w14:paraId="577409D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 清理工作</w:t>
      </w:r>
    </w:p>
    <w:p w14:paraId="69E25A8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9.1 修剪后的枝叶必须当天清理。</w:t>
      </w:r>
    </w:p>
    <w:p w14:paraId="7A31CB8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9.2 因车祸、风雨造成的树木伤残枝、倒树应当天及时处理。</w:t>
      </w:r>
    </w:p>
    <w:p w14:paraId="4D5B5D2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9.3 及时伐去死树，挖去树木桩头。</w:t>
      </w:r>
    </w:p>
    <w:p w14:paraId="4330C9C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9.4 挖埋管线或建筑施工时，泥、砖不能堆放在树盘及绿化带上；树盘、绿化带上有余泥、砖碎等杂物应督促施工单位及时清走。</w:t>
      </w:r>
    </w:p>
    <w:p w14:paraId="1304569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 补种</w:t>
      </w:r>
    </w:p>
    <w:p w14:paraId="46B1AE3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10.1 行道树不应缺株，补植的行道树必须是原来品种，树干正直，定干高度应2</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m以上。</w:t>
      </w:r>
    </w:p>
    <w:p w14:paraId="6C69F8E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10.2 主干道的行道树为幼龄树，补植乔木的规格、大小必须与同路段同品种乔木基本一致；主干道的行道树为成龄树，补植的阔叶树胸径必须8</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cm以上，棕榈科乔木地径必须25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w:t>
      </w:r>
    </w:p>
    <w:p w14:paraId="3301975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10.3 次干道行道树补种，阔叶树胸径必须5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cm以上，高度2.5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m以上；棕榈科乔木胸径必须20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cm以上，自然高度3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m以上。</w:t>
      </w:r>
    </w:p>
    <w:p w14:paraId="32300B1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10.4 绿地缺株或黄土裸露的，应在一个月内完成补种；因车祸或其它原因造成缺株或黄土裸露的，应在一周内完成补种。补种的品种应与原品种一致。</w:t>
      </w:r>
    </w:p>
    <w:p w14:paraId="188FDD1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10.5 补种的苗木必须健壮，无病虫害。草坪纯度必须达95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以上。</w:t>
      </w:r>
    </w:p>
    <w:p w14:paraId="63313AC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10.6 草坪及灌木已老化的,应在衰老期到来初期更新改造。</w:t>
      </w:r>
    </w:p>
    <w:p w14:paraId="7EACDE3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 古树名木的养护</w:t>
      </w:r>
    </w:p>
    <w:p w14:paraId="6633675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11.1 不要随意改变生长环境条件，不宜在其周围建高大建筑、挖方、填方；距树干3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m以内不能有水泥、砖石等不透气铺装或建筑物。</w:t>
      </w:r>
    </w:p>
    <w:p w14:paraId="01CDB67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11.2 防止土壤板结改变通气条件，在距树干3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m内应设栅栏隔离或种植地被植物，以防行人入内践踏，每年在距树干5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m以内中耕松土2次～3次，对衰老树有条件的可逐步换土或改土（表层50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cm以上）。</w:t>
      </w:r>
    </w:p>
    <w:p w14:paraId="5928946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11.3 施肥，每年生长季节喷施叶面肥1次～3次，每年秋冬季在距树干5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m内开辐射状沟施放无病虫害的落叶、草加复合肥（每株施0.5</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kg～1.0</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kg复合肥）或施沤熟的有机肥。</w:t>
      </w:r>
    </w:p>
    <w:p w14:paraId="626A814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11.4 古树易受蛀干害虫及白蚁的危害，必须经常检查，及时防治。修剪的剪口及损伤部分应涂药防腐、防虫。有空洞的树干必须清理干净洞内污垢，涂药消毒后进行补洞；对洞抹上一层麻刀灰，洞大的可加入清洁的砖、石填满后，再外抹青灰或水泥，在水泥中加入颜料调色至跟原树干颜色一致。</w:t>
      </w:r>
    </w:p>
    <w:p w14:paraId="347D19B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11.5 修剪复壮，古树名木的修剪主要修剪干枯枝、病虫枝、下垂枝。对具潜芽且寿命长的树种，当树冠外围枝条衰老枯梢时，应该采取适当回缩修剪来更新。对无潜芽或寿命短的树种，通过深翻改土，切断1</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cm以下的粗根系、刺激诱发新根（亦可配制生根粉类兑水灌断根处），促进根系更新。修剪或断根后，必须加强水肥管理。</w:t>
      </w:r>
    </w:p>
    <w:p w14:paraId="65737DA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11.6 对生长不均衡树主干及延伸较长的枝杈，必须加设支柱或在树干适当部位打桩，以防风折。</w:t>
      </w:r>
    </w:p>
    <w:p w14:paraId="67F6069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 环境卫生</w:t>
      </w:r>
    </w:p>
    <w:p w14:paraId="413E101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12.1 行道树树盘应保持清洁卫生。人行道乔木周围（直径3</w:t>
      </w:r>
      <w:r>
        <w:rPr>
          <w:rFonts w:hint="eastAsia" w:ascii="宋体" w:hAnsi="宋体" w:eastAsia="宋体" w:cs="宋体"/>
          <w:color w:val="auto"/>
          <w:spacing w:val="-30"/>
          <w:kern w:val="0"/>
          <w:sz w:val="24"/>
          <w:szCs w:val="24"/>
          <w:highlight w:val="none"/>
        </w:rPr>
        <w:t xml:space="preserve"> </w:t>
      </w:r>
      <w:r>
        <w:rPr>
          <w:rFonts w:hint="eastAsia" w:ascii="宋体" w:hAnsi="宋体" w:eastAsia="宋体" w:cs="宋体"/>
          <w:color w:val="auto"/>
          <w:kern w:val="0"/>
          <w:sz w:val="24"/>
          <w:szCs w:val="24"/>
          <w:highlight w:val="none"/>
        </w:rPr>
        <w:t>m以内）不应有建筑堆积物及圈棚、摆摊，树盘内无砖块、垃圾、杂物。</w:t>
      </w:r>
    </w:p>
    <w:p w14:paraId="10231D60">
      <w:pPr>
        <w:keepNext w:val="0"/>
        <w:keepLines w:val="0"/>
        <w:pageBreakBefore w:val="0"/>
        <w:widowControl/>
        <w:kinsoku/>
        <w:topLinePunct w:val="0"/>
        <w:bidi w:val="0"/>
        <w:adjustRightInd/>
        <w:snapToGrid/>
        <w:spacing w:line="360" w:lineRule="auto"/>
        <w:ind w:firstLine="120" w:firstLineChars="5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12.2 绿地及行道树花带、分车绿带清洁卫生，不能有砖石、堆积物及修剪过后的枝叶堆积，表面无明显垃圾，分车绿带及色块内无陈旧垃圾；花坛外缘的土面应略低于花池砌边顶面，行道树花带与分车绿带外缘土面略低于路缘石顶面，不能有泥土污染周围环境。</w:t>
      </w:r>
    </w:p>
    <w:p w14:paraId="5E98BDA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 绿地验收</w:t>
      </w:r>
    </w:p>
    <w:p w14:paraId="764563D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13.1 绿地验收范围</w:t>
      </w:r>
    </w:p>
    <w:p w14:paraId="5449781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绿地内所种植的乔木、灌木、地被及园林设施、防护设施等附属设施。</w:t>
      </w:r>
    </w:p>
    <w:p w14:paraId="05B19F6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13.2 绿地验收内容</w:t>
      </w:r>
    </w:p>
    <w:p w14:paraId="4029BC50">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群落结构与整体效果、植物生长、整形修剪、树盘、病虫害控制、补种与改造、环境卫生。</w:t>
      </w:r>
    </w:p>
    <w:p w14:paraId="00FB27D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 绿地养护质量要求</w:t>
      </w:r>
    </w:p>
    <w:p w14:paraId="00AD9EA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13.3.1 一级绿地</w:t>
      </w:r>
    </w:p>
    <w:p w14:paraId="2B63C138">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景观优良，以植物造景为主，具景观特色，观赏效果好；养护精细，植物长势良好，各类植物配置合理。详见表A.1。</w:t>
      </w:r>
    </w:p>
    <w:p w14:paraId="41CFA73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13.3.2 二级绿地</w:t>
      </w:r>
    </w:p>
    <w:p w14:paraId="691FDDE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景观良好，植物造景具一定的观赏性；植物配置合理。详见表A.2。</w:t>
      </w:r>
    </w:p>
    <w:p w14:paraId="553CBFB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13.3.3 三级绿地</w:t>
      </w:r>
    </w:p>
    <w:p w14:paraId="51107E5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景观尚可，具绿化效果。详见表A.3。</w:t>
      </w:r>
    </w:p>
    <w:p w14:paraId="495ED9FA">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 分车绿带验收</w:t>
      </w:r>
    </w:p>
    <w:p w14:paraId="58228FA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14.1 分车绿带验收范围</w:t>
      </w:r>
    </w:p>
    <w:p w14:paraId="52217FA8">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包括分车绿带上的片植灌木、草本地被、草坪及行道树绿带上成带状配置的地被植物、灌木。</w:t>
      </w:r>
    </w:p>
    <w:p w14:paraId="3254FC4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14.2 分车绿带验收内容</w:t>
      </w:r>
    </w:p>
    <w:p w14:paraId="6C3DAFE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整体效果、植物生长、整形修剪、病虫害控制、补种与改造、环境卫生。</w:t>
      </w:r>
    </w:p>
    <w:p w14:paraId="5743404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14.3 分车绿带养护质量要求</w:t>
      </w:r>
    </w:p>
    <w:p w14:paraId="50B1308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14.3.1 一级分车绿带</w:t>
      </w:r>
    </w:p>
    <w:p w14:paraId="0EC1C6B5">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沿主干道或主要景观道路的分车绿带，景观优良，养护精细，植物长势良好。详见表A.4。</w:t>
      </w:r>
    </w:p>
    <w:p w14:paraId="1A04799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14.3.2 二级分车绿带</w:t>
      </w:r>
    </w:p>
    <w:p w14:paraId="20EAE7D3">
      <w:pPr>
        <w:keepNext w:val="0"/>
        <w:keepLines w:val="0"/>
        <w:pageBreakBefore w:val="0"/>
        <w:widowControl/>
        <w:kinsoku/>
        <w:topLinePunct w:val="0"/>
        <w:bidi w:val="0"/>
        <w:adjustRightInd/>
        <w:snapToGrid/>
        <w:spacing w:line="360" w:lineRule="auto"/>
        <w:ind w:firstLine="36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沿次干道或次要景观道路的分车绿带，景观良好，养护较好，植物生长正常。详见表A.5。</w:t>
      </w:r>
    </w:p>
    <w:p w14:paraId="0B967806">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14.3.3 三级分车绿带</w:t>
      </w:r>
    </w:p>
    <w:p w14:paraId="0F685691">
      <w:pPr>
        <w:keepNext w:val="0"/>
        <w:keepLines w:val="0"/>
        <w:pageBreakBefore w:val="0"/>
        <w:widowControl/>
        <w:kinsoku/>
        <w:topLinePunct w:val="0"/>
        <w:bidi w:val="0"/>
        <w:adjustRightInd/>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沿一般道路或其它普通路径的分车绿带，景观尚可，养护一般，植物生长基本正常。详见表A.6。</w:t>
      </w:r>
    </w:p>
    <w:p w14:paraId="7EB4E853">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 行道树验收</w:t>
      </w:r>
    </w:p>
    <w:p w14:paraId="3D6AA60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15.1 行道树验收范围</w:t>
      </w:r>
    </w:p>
    <w:p w14:paraId="6656BE0D">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行道树及间种在人行道上的孤植灌木、整形灌木。</w:t>
      </w:r>
    </w:p>
    <w:p w14:paraId="58048A60">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15.2 行道树验收内容</w:t>
      </w:r>
    </w:p>
    <w:p w14:paraId="693D4714">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整体效果、植物生长、整形修剪、定干高度、树盘、病虫害控制、防护设施、补种。</w:t>
      </w:r>
    </w:p>
    <w:p w14:paraId="038DB42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 行道树养护质量要求</w:t>
      </w:r>
    </w:p>
    <w:p w14:paraId="6E15E59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15.3.1 一级行道树</w:t>
      </w:r>
    </w:p>
    <w:p w14:paraId="1FAFEBFE">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沿主干道或主要景观路径、观赏效果好、排列整齐的乔木。详见表A.7。</w:t>
      </w:r>
    </w:p>
    <w:p w14:paraId="112FD7D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15.3.2 二级行道树</w:t>
      </w:r>
    </w:p>
    <w:p w14:paraId="4F8B5D0F">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沿次干道或次要景观路径、排列整齐的乔木。详见表A.8。</w:t>
      </w:r>
    </w:p>
    <w:p w14:paraId="0AE346C1">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15.3.3 三级行道树</w:t>
      </w:r>
    </w:p>
    <w:p w14:paraId="6D5EE51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沿一般道路或其它普通路径、排列成行的乔木。详见表A.9。</w:t>
      </w:r>
    </w:p>
    <w:p w14:paraId="293B657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 花坛验收</w:t>
      </w:r>
    </w:p>
    <w:p w14:paraId="0B27E99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 花坛验收范围</w:t>
      </w:r>
    </w:p>
    <w:p w14:paraId="49F5491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摆放在人行道或公共绿地上的花卉、盆景、饰物及设施，及栽种在绿地、分车绿带里的时花。</w:t>
      </w:r>
    </w:p>
    <w:p w14:paraId="40BF2B5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16.2 花坛验收内容</w:t>
      </w:r>
    </w:p>
    <w:p w14:paraId="52DB2522">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整体效果、植物生长、水肥管理、病虫害控制、植株修剪、补种与更换、环境卫生。</w:t>
      </w:r>
    </w:p>
    <w:p w14:paraId="32AE9D7C">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16.3 花坛养护质量要求</w:t>
      </w:r>
    </w:p>
    <w:p w14:paraId="2F32CEE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16.3.1 一级花坛</w:t>
      </w:r>
    </w:p>
    <w:p w14:paraId="327E2271">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景观优良，具明显的景观特色；花卉养护精细，花的色泽鲜艳、应时；饰物、设施美观；花卉、饰物、设施、环境等配置相互协调。详见表A.10。</w:t>
      </w:r>
    </w:p>
    <w:p w14:paraId="38D7005B">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16.3.2 二级花坛</w:t>
      </w:r>
    </w:p>
    <w:p w14:paraId="50453E43">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景观良好，以花卉造景为主；养护较好，花、叶的大小、色泽正常，开花应时、整齐；饰物、设施美观。详见表A.11。</w:t>
      </w:r>
    </w:p>
    <w:p w14:paraId="2288A727">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 护坡验收</w:t>
      </w:r>
    </w:p>
    <w:p w14:paraId="373337FD">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17.1 护坡验收范围</w:t>
      </w:r>
    </w:p>
    <w:p w14:paraId="26672BE3">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护坡内所种植的乔木、灌木、地被、草坪及防护等附属设施。</w:t>
      </w:r>
    </w:p>
    <w:p w14:paraId="15F96332">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17.2 护坡验收内容</w:t>
      </w:r>
    </w:p>
    <w:p w14:paraId="7BEA55ED">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同绿地。</w:t>
      </w:r>
    </w:p>
    <w:p w14:paraId="1809E854">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 护坡养护质量要求</w:t>
      </w:r>
    </w:p>
    <w:p w14:paraId="693B15AE">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17.3.1 特级护坡</w:t>
      </w:r>
    </w:p>
    <w:p w14:paraId="0DB9E519">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景观优良，以植物造景为主，具景观特色；养护精细，植物长势良好。详见表A.12。</w:t>
      </w:r>
    </w:p>
    <w:p w14:paraId="355136CF">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17.3.2 一级护坡</w:t>
      </w:r>
    </w:p>
    <w:p w14:paraId="126DFD96">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景观较好，具固土护坡作用，植物造景具一定的观赏性。详见表A.13。</w:t>
      </w:r>
    </w:p>
    <w:p w14:paraId="138595E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17.3.3 二级护坡</w:t>
      </w:r>
    </w:p>
    <w:p w14:paraId="3C9B297D">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景观尚可，具固定护坡作用及绿化效果，无需车辆喷淋水或人工淋水。详见表A.14。</w:t>
      </w:r>
    </w:p>
    <w:p w14:paraId="2DD29B25">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17.3.4 三级护坡</w:t>
      </w:r>
    </w:p>
    <w:p w14:paraId="79BC810B">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具固定护坡作用及绿化效果，基本保持原自然景观。详见表A.15。</w:t>
      </w:r>
    </w:p>
    <w:p w14:paraId="3F8DA51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 验收周期与养护质量等级认定</w:t>
      </w:r>
    </w:p>
    <w:p w14:paraId="266F25E3">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09578569">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18.1 验收周期</w:t>
      </w:r>
    </w:p>
    <w:p w14:paraId="36DEFF4A">
      <w:pPr>
        <w:keepNext w:val="0"/>
        <w:keepLines w:val="0"/>
        <w:pageBreakBefore w:val="0"/>
        <w:widowControl/>
        <w:kinsoku/>
        <w:topLinePunct w:val="0"/>
        <w:bidi w:val="0"/>
        <w:adjustRightInd/>
        <w:snapToGrid/>
        <w:spacing w:line="360" w:lineRule="auto"/>
        <w:ind w:firstLine="48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宜定期验收与平时检查相结合，定期验收宜每年4次以上。</w:t>
      </w:r>
    </w:p>
    <w:p w14:paraId="1934ECF8">
      <w:pPr>
        <w:keepNext w:val="0"/>
        <w:keepLines w:val="0"/>
        <w:pageBreakBefore w:val="0"/>
        <w:widowControl/>
        <w:kinsoku/>
        <w:topLinePunct w:val="0"/>
        <w:bidi w:val="0"/>
        <w:adjustRightInd/>
        <w:snapToGrid/>
        <w:spacing w:line="360" w:lineRule="auto"/>
        <w:ind w:firstLine="105"/>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18.2 养护质量等级认定</w:t>
      </w:r>
    </w:p>
    <w:p w14:paraId="4D964441">
      <w:pPr>
        <w:keepNext w:val="0"/>
        <w:keepLines w:val="0"/>
        <w:pageBreakBefore w:val="0"/>
        <w:widowControl/>
        <w:kinsoku/>
        <w:topLinePunct w:val="0"/>
        <w:bidi w:val="0"/>
        <w:adjustRightInd/>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根据所对应级别的养护验收质量要求，其中所含分项全部达到相应要求的即评为合格。</w:t>
      </w:r>
    </w:p>
    <w:p w14:paraId="4C6271EF">
      <w:pPr>
        <w:keepNext w:val="0"/>
        <w:keepLines w:val="0"/>
        <w:pageBreakBefore w:val="0"/>
        <w:widowControl/>
        <w:kinsoku/>
        <w:topLinePunct w:val="0"/>
        <w:bidi w:val="0"/>
        <w:adjustRightInd/>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4C8A118C">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p>
    <w:p w14:paraId="679F4390">
      <w:pPr>
        <w:pStyle w:val="37"/>
        <w:keepNext w:val="0"/>
        <w:keepLines w:val="0"/>
        <w:pageBreakBefore w:val="0"/>
        <w:shd w:val="clear" w:color="FFFFFF" w:fill="FFFFFF"/>
        <w:kinsoku/>
        <w:topLinePunct w:val="0"/>
        <w:bidi w:val="0"/>
        <w:adjustRightInd/>
        <w:snapToGrid/>
        <w:spacing w:before="0" w:after="0"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br w:type="textWrapping"/>
      </w:r>
      <w:bookmarkStart w:id="12" w:name="_Toc17791730"/>
      <w:bookmarkStart w:id="13" w:name="_Toc17792010"/>
      <w:bookmarkStart w:id="14" w:name="_Toc17791948"/>
      <w:bookmarkStart w:id="15" w:name="_Toc421120714"/>
      <w:bookmarkStart w:id="16" w:name="_Toc26176029"/>
      <w:bookmarkStart w:id="17" w:name="_Toc26175940"/>
      <w:r>
        <w:rPr>
          <w:rFonts w:hint="eastAsia" w:ascii="宋体" w:hAnsi="宋体" w:eastAsia="宋体" w:cs="宋体"/>
          <w:color w:val="auto"/>
          <w:sz w:val="24"/>
          <w:szCs w:val="24"/>
          <w:highlight w:val="none"/>
        </w:rPr>
        <w:t>（规范性附录）</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养护质量要求</w:t>
      </w:r>
      <w:bookmarkEnd w:id="12"/>
      <w:bookmarkEnd w:id="13"/>
      <w:bookmarkEnd w:id="14"/>
      <w:bookmarkEnd w:id="15"/>
      <w:bookmarkEnd w:id="16"/>
      <w:bookmarkEnd w:id="17"/>
    </w:p>
    <w:p w14:paraId="00A1C90E">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18" w:name="_Toc17791949"/>
      <w:bookmarkStart w:id="19" w:name="_Toc26176030"/>
      <w:bookmarkStart w:id="20" w:name="_Toc17791731"/>
      <w:bookmarkStart w:id="21" w:name="_Toc421120715"/>
      <w:bookmarkStart w:id="22" w:name="_Toc26175941"/>
      <w:bookmarkStart w:id="23" w:name="_Toc17792011"/>
      <w:r>
        <w:rPr>
          <w:rFonts w:hint="eastAsia" w:ascii="宋体" w:hAnsi="宋体" w:eastAsia="宋体" w:cs="宋体"/>
          <w:color w:val="auto"/>
          <w:sz w:val="24"/>
          <w:szCs w:val="24"/>
          <w:highlight w:val="none"/>
        </w:rPr>
        <w:t>一级绿地养护质量要求</w:t>
      </w:r>
      <w:bookmarkEnd w:id="18"/>
      <w:bookmarkEnd w:id="19"/>
      <w:bookmarkEnd w:id="20"/>
      <w:bookmarkEnd w:id="21"/>
      <w:bookmarkEnd w:id="22"/>
      <w:bookmarkEnd w:id="23"/>
    </w:p>
    <w:p w14:paraId="496AFA2B">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应符合表A.1的规定。</w:t>
      </w:r>
    </w:p>
    <w:p w14:paraId="6D8858D0">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 一级绿地养护质量要求表</w:t>
      </w:r>
    </w:p>
    <w:tbl>
      <w:tblPr>
        <w:tblStyle w:val="20"/>
        <w:tblW w:w="0" w:type="auto"/>
        <w:tblInd w:w="7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
        <w:gridCol w:w="1440"/>
        <w:gridCol w:w="7154"/>
      </w:tblGrid>
      <w:tr w14:paraId="6C7C66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51" w:type="dxa"/>
            <w:tcBorders>
              <w:top w:val="single" w:color="auto" w:sz="12" w:space="0"/>
              <w:left w:val="single" w:color="auto" w:sz="12" w:space="0"/>
              <w:bottom w:val="single" w:color="auto" w:sz="12" w:space="0"/>
              <w:right w:val="single" w:color="auto" w:sz="4" w:space="0"/>
            </w:tcBorders>
            <w:vAlign w:val="center"/>
          </w:tcPr>
          <w:p w14:paraId="16A44A4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top w:val="single" w:color="auto" w:sz="12" w:space="0"/>
              <w:left w:val="single" w:color="auto" w:sz="4" w:space="0"/>
              <w:bottom w:val="single" w:color="auto" w:sz="12" w:space="0"/>
              <w:right w:val="single" w:color="auto" w:sz="4" w:space="0"/>
            </w:tcBorders>
            <w:vAlign w:val="center"/>
          </w:tcPr>
          <w:p w14:paraId="1E7E3C3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154" w:type="dxa"/>
            <w:tcBorders>
              <w:top w:val="single" w:color="auto" w:sz="12" w:space="0"/>
              <w:left w:val="single" w:color="auto" w:sz="4" w:space="0"/>
              <w:bottom w:val="single" w:color="auto" w:sz="12" w:space="0"/>
              <w:right w:val="single" w:color="auto" w:sz="12" w:space="0"/>
            </w:tcBorders>
            <w:vAlign w:val="center"/>
          </w:tcPr>
          <w:p w14:paraId="5551792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4AFCDE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751" w:type="dxa"/>
            <w:tcBorders>
              <w:top w:val="single" w:color="auto" w:sz="12" w:space="0"/>
              <w:left w:val="single" w:color="auto" w:sz="12" w:space="0"/>
              <w:bottom w:val="single" w:color="auto" w:sz="4" w:space="0"/>
              <w:right w:val="single" w:color="auto" w:sz="4" w:space="0"/>
            </w:tcBorders>
            <w:vAlign w:val="center"/>
          </w:tcPr>
          <w:p w14:paraId="1BFB107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440" w:type="dxa"/>
            <w:tcBorders>
              <w:top w:val="single" w:color="auto" w:sz="12" w:space="0"/>
              <w:left w:val="single" w:color="auto" w:sz="4" w:space="0"/>
              <w:bottom w:val="single" w:color="auto" w:sz="4" w:space="0"/>
              <w:right w:val="single" w:color="auto" w:sz="4" w:space="0"/>
            </w:tcBorders>
            <w:vAlign w:val="center"/>
          </w:tcPr>
          <w:p w14:paraId="061CDDA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群落结构与整体效果</w:t>
            </w:r>
          </w:p>
        </w:tc>
        <w:tc>
          <w:tcPr>
            <w:tcW w:w="7154" w:type="dxa"/>
            <w:tcBorders>
              <w:top w:val="single" w:color="auto" w:sz="12" w:space="0"/>
              <w:left w:val="single" w:color="auto" w:sz="4" w:space="0"/>
              <w:bottom w:val="single" w:color="auto" w:sz="4" w:space="0"/>
              <w:right w:val="single" w:color="auto" w:sz="12" w:space="0"/>
            </w:tcBorders>
            <w:vAlign w:val="center"/>
          </w:tcPr>
          <w:p w14:paraId="30CC0E85">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植物配置合理、层次丰富，植株生长空间与层次处理得当，具有完整的群落结构，绿量大，基本无积尘，整体观赏效果优良。</w:t>
            </w:r>
          </w:p>
        </w:tc>
      </w:tr>
      <w:tr w14:paraId="0D2B2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751" w:type="dxa"/>
            <w:tcBorders>
              <w:top w:val="single" w:color="auto" w:sz="4" w:space="0"/>
              <w:left w:val="single" w:color="auto" w:sz="12" w:space="0"/>
              <w:bottom w:val="single" w:color="auto" w:sz="4" w:space="0"/>
              <w:right w:val="single" w:color="auto" w:sz="4" w:space="0"/>
            </w:tcBorders>
            <w:vAlign w:val="center"/>
          </w:tcPr>
          <w:p w14:paraId="7FE97F2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440" w:type="dxa"/>
            <w:tcBorders>
              <w:top w:val="single" w:color="auto" w:sz="4" w:space="0"/>
              <w:left w:val="single" w:color="auto" w:sz="4" w:space="0"/>
              <w:bottom w:val="single" w:color="auto" w:sz="4" w:space="0"/>
              <w:right w:val="single" w:color="auto" w:sz="4" w:space="0"/>
            </w:tcBorders>
            <w:vAlign w:val="center"/>
          </w:tcPr>
          <w:p w14:paraId="1ED869A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154" w:type="dxa"/>
            <w:tcBorders>
              <w:top w:val="single" w:color="auto" w:sz="4" w:space="0"/>
              <w:left w:val="single" w:color="auto" w:sz="4" w:space="0"/>
              <w:bottom w:val="single" w:color="auto" w:sz="4" w:space="0"/>
              <w:right w:val="single" w:color="auto" w:sz="12" w:space="0"/>
            </w:tcBorders>
            <w:vAlign w:val="center"/>
          </w:tcPr>
          <w:p w14:paraId="3A5ACA9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生长良好，符合物候状况，叶的颜色、形状、大小正常，树体自然；观花植物适时开花，花期基本一致。达标率＞95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AFE6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8" w:hRule="atLeast"/>
        </w:trPr>
        <w:tc>
          <w:tcPr>
            <w:tcW w:w="751" w:type="dxa"/>
            <w:tcBorders>
              <w:top w:val="single" w:color="auto" w:sz="4" w:space="0"/>
              <w:left w:val="single" w:color="auto" w:sz="12" w:space="0"/>
              <w:bottom w:val="single" w:color="auto" w:sz="4" w:space="0"/>
              <w:right w:val="single" w:color="auto" w:sz="4" w:space="0"/>
            </w:tcBorders>
            <w:vAlign w:val="center"/>
          </w:tcPr>
          <w:p w14:paraId="7EF6B45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440" w:type="dxa"/>
            <w:tcBorders>
              <w:top w:val="single" w:color="auto" w:sz="4" w:space="0"/>
              <w:left w:val="single" w:color="auto" w:sz="4" w:space="0"/>
              <w:bottom w:val="single" w:color="auto" w:sz="4" w:space="0"/>
              <w:right w:val="single" w:color="auto" w:sz="4" w:space="0"/>
            </w:tcBorders>
            <w:vAlign w:val="center"/>
          </w:tcPr>
          <w:p w14:paraId="5EED4E3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54" w:type="dxa"/>
            <w:tcBorders>
              <w:top w:val="single" w:color="auto" w:sz="4" w:space="0"/>
              <w:left w:val="single" w:color="auto" w:sz="4" w:space="0"/>
              <w:bottom w:val="single" w:color="auto" w:sz="4" w:space="0"/>
              <w:right w:val="single" w:color="auto" w:sz="12" w:space="0"/>
            </w:tcBorders>
            <w:vAlign w:val="center"/>
          </w:tcPr>
          <w:p w14:paraId="29C71B6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定时修剪，无干枯枝、缠绕物、钉挂物，分枝合理，树冠匀称，观赏效果良好。整型乔灌木：按要求养成并维持一定形态，生长茂密，脚叶丰满。形态优美。孤植灌木：按要求养成观花或观叶形态，同一品种物候基本一致，树形美观，无枯枝。片植灌木：图形清晰、线条明显、流畅，无明显杂草。草本地被为常绿观花或观叶形态，整体基本整齐，基本无枯黄叶、杂草。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7052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751" w:type="dxa"/>
            <w:tcBorders>
              <w:top w:val="single" w:color="auto" w:sz="4" w:space="0"/>
              <w:left w:val="single" w:color="auto" w:sz="12" w:space="0"/>
              <w:bottom w:val="single" w:color="auto" w:sz="4" w:space="0"/>
              <w:right w:val="single" w:color="auto" w:sz="4" w:space="0"/>
            </w:tcBorders>
            <w:vAlign w:val="center"/>
          </w:tcPr>
          <w:p w14:paraId="54DE6FD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440" w:type="dxa"/>
            <w:tcBorders>
              <w:top w:val="single" w:color="auto" w:sz="4" w:space="0"/>
              <w:left w:val="single" w:color="auto" w:sz="4" w:space="0"/>
              <w:bottom w:val="single" w:color="auto" w:sz="4" w:space="0"/>
              <w:right w:val="single" w:color="auto" w:sz="4" w:space="0"/>
            </w:tcBorders>
            <w:vAlign w:val="center"/>
          </w:tcPr>
          <w:p w14:paraId="3B23445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154" w:type="dxa"/>
            <w:tcBorders>
              <w:top w:val="single" w:color="auto" w:sz="4" w:space="0"/>
              <w:left w:val="single" w:color="auto" w:sz="4" w:space="0"/>
              <w:bottom w:val="single" w:color="auto" w:sz="4" w:space="0"/>
              <w:right w:val="single" w:color="auto" w:sz="12" w:space="0"/>
            </w:tcBorders>
            <w:vAlign w:val="center"/>
          </w:tcPr>
          <w:p w14:paraId="755F188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有地被树盘：其形状、大小整齐规范，满盘，不攀缠植株，无明显杂草、杂物。无地被树盘：大小合适，边线整齐，土壤疏松、细碎，基本无杂草、杂物。达标率＞95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5695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751" w:type="dxa"/>
            <w:tcBorders>
              <w:top w:val="single" w:color="auto" w:sz="4" w:space="0"/>
              <w:left w:val="single" w:color="auto" w:sz="12" w:space="0"/>
              <w:bottom w:val="single" w:color="auto" w:sz="4" w:space="0"/>
              <w:right w:val="single" w:color="auto" w:sz="4" w:space="0"/>
            </w:tcBorders>
            <w:vAlign w:val="center"/>
          </w:tcPr>
          <w:p w14:paraId="7833764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440" w:type="dxa"/>
            <w:tcBorders>
              <w:top w:val="single" w:color="auto" w:sz="4" w:space="0"/>
              <w:left w:val="single" w:color="auto" w:sz="4" w:space="0"/>
              <w:bottom w:val="single" w:color="auto" w:sz="4" w:space="0"/>
              <w:right w:val="single" w:color="auto" w:sz="4" w:space="0"/>
            </w:tcBorders>
            <w:vAlign w:val="center"/>
          </w:tcPr>
          <w:p w14:paraId="33A7033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154" w:type="dxa"/>
            <w:tcBorders>
              <w:top w:val="single" w:color="auto" w:sz="4" w:space="0"/>
              <w:left w:val="single" w:color="auto" w:sz="4" w:space="0"/>
              <w:bottom w:val="single" w:color="auto" w:sz="4" w:space="0"/>
              <w:right w:val="single" w:color="auto" w:sz="12" w:space="0"/>
            </w:tcBorders>
            <w:vAlign w:val="center"/>
          </w:tcPr>
          <w:p w14:paraId="2E779C7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观赏性草坪，青绿无枯黄，无大型杂草和异型杂草，目的草种纯度95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以上。开放类草坪，生长季节青绿，无明显枯黄现象，无大型杂草，目的草种纯度90</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以上。草坪平整不起团，高度在8cm以下；无明显坑洼、小洞，草坪边缘线（与路面、色块交界处）清晰。达标率＞95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0BAA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751" w:type="dxa"/>
            <w:tcBorders>
              <w:top w:val="single" w:color="auto" w:sz="4" w:space="0"/>
              <w:left w:val="single" w:color="auto" w:sz="12" w:space="0"/>
              <w:bottom w:val="single" w:color="auto" w:sz="4" w:space="0"/>
              <w:right w:val="single" w:color="auto" w:sz="4" w:space="0"/>
            </w:tcBorders>
            <w:vAlign w:val="center"/>
          </w:tcPr>
          <w:p w14:paraId="1FE3B61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440" w:type="dxa"/>
            <w:tcBorders>
              <w:top w:val="single" w:color="auto" w:sz="4" w:space="0"/>
              <w:left w:val="single" w:color="auto" w:sz="4" w:space="0"/>
              <w:bottom w:val="single" w:color="auto" w:sz="4" w:space="0"/>
              <w:right w:val="single" w:color="auto" w:sz="4" w:space="0"/>
            </w:tcBorders>
            <w:vAlign w:val="center"/>
          </w:tcPr>
          <w:p w14:paraId="0B65979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44F54E7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7154" w:type="dxa"/>
            <w:tcBorders>
              <w:top w:val="single" w:color="auto" w:sz="4" w:space="0"/>
              <w:left w:val="single" w:color="auto" w:sz="4" w:space="0"/>
              <w:bottom w:val="single" w:color="auto" w:sz="4" w:space="0"/>
              <w:right w:val="single" w:color="auto" w:sz="12" w:space="0"/>
            </w:tcBorders>
            <w:vAlign w:val="center"/>
          </w:tcPr>
          <w:p w14:paraId="7C033B7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基本无危害迹象；病虫害总为害率＜10%，其中蛀干、根部害虫、食叶性害虫＜5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，基本无寄生，病害感染率＜5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BF6A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vAlign w:val="center"/>
          </w:tcPr>
          <w:p w14:paraId="516CFFA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440" w:type="dxa"/>
            <w:tcBorders>
              <w:top w:val="single" w:color="auto" w:sz="4" w:space="0"/>
              <w:left w:val="single" w:color="auto" w:sz="4" w:space="0"/>
              <w:bottom w:val="single" w:color="auto" w:sz="4" w:space="0"/>
              <w:right w:val="single" w:color="auto" w:sz="4" w:space="0"/>
            </w:tcBorders>
            <w:vAlign w:val="center"/>
          </w:tcPr>
          <w:p w14:paraId="697E5BB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w:t>
            </w:r>
          </w:p>
          <w:p w14:paraId="60B9FBB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覆盖率</w:t>
            </w:r>
          </w:p>
        </w:tc>
        <w:tc>
          <w:tcPr>
            <w:tcW w:w="7154" w:type="dxa"/>
            <w:tcBorders>
              <w:top w:val="single" w:color="auto" w:sz="4" w:space="0"/>
              <w:left w:val="single" w:color="auto" w:sz="4" w:space="0"/>
              <w:bottom w:val="single" w:color="auto" w:sz="4" w:space="0"/>
              <w:right w:val="single" w:color="auto" w:sz="12" w:space="0"/>
            </w:tcBorders>
            <w:vAlign w:val="center"/>
          </w:tcPr>
          <w:p w14:paraId="59B39937">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；花坛色块中的时花及时换种，保持常年有花。</w:t>
            </w:r>
          </w:p>
        </w:tc>
      </w:tr>
      <w:tr w14:paraId="1C33D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vAlign w:val="center"/>
          </w:tcPr>
          <w:p w14:paraId="5F53AE2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440" w:type="dxa"/>
            <w:tcBorders>
              <w:top w:val="single" w:color="auto" w:sz="4" w:space="0"/>
              <w:left w:val="single" w:color="auto" w:sz="4" w:space="0"/>
              <w:bottom w:val="single" w:color="auto" w:sz="4" w:space="0"/>
              <w:right w:val="single" w:color="auto" w:sz="4" w:space="0"/>
            </w:tcBorders>
            <w:vAlign w:val="center"/>
          </w:tcPr>
          <w:p w14:paraId="75B30F2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54" w:type="dxa"/>
            <w:tcBorders>
              <w:top w:val="single" w:color="auto" w:sz="4" w:space="0"/>
              <w:left w:val="single" w:color="auto" w:sz="4" w:space="0"/>
              <w:bottom w:val="single" w:color="auto" w:sz="4" w:space="0"/>
              <w:right w:val="single" w:color="auto" w:sz="12" w:space="0"/>
            </w:tcBorders>
            <w:vAlign w:val="center"/>
          </w:tcPr>
          <w:p w14:paraId="4B58A44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建筑小品、辅助设施整洁无损；水池无悬浮物，水体清洁；无死树、残桩头、堆积物；无明显垃圾，基本无果皮、烟头、瓜子壳、纸屑等垃圾。达标率＞95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7990E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96" w:hRule="atLeast"/>
        </w:trPr>
        <w:tc>
          <w:tcPr>
            <w:tcW w:w="9345" w:type="dxa"/>
            <w:gridSpan w:val="3"/>
            <w:tcBorders>
              <w:top w:val="single" w:color="auto" w:sz="4" w:space="0"/>
              <w:left w:val="single" w:color="auto" w:sz="12" w:space="0"/>
              <w:bottom w:val="single" w:color="auto" w:sz="12" w:space="0"/>
              <w:right w:val="single" w:color="auto" w:sz="12" w:space="0"/>
            </w:tcBorders>
            <w:vAlign w:val="center"/>
          </w:tcPr>
          <w:p w14:paraId="3755463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注：达标率指乔木、灌木、地被、草坪等被检目标达到相应要求的植株数（或面积）占总株数（或总面积）的百分比。</w:t>
            </w:r>
          </w:p>
        </w:tc>
      </w:tr>
    </w:tbl>
    <w:p w14:paraId="3B0E3709">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kern w:val="21"/>
          <w:sz w:val="24"/>
          <w:szCs w:val="24"/>
          <w:highlight w:val="none"/>
        </w:rPr>
      </w:pPr>
    </w:p>
    <w:p w14:paraId="1478BB84">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p>
    <w:p w14:paraId="652ECBE6">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24" w:name="_Toc421120716"/>
      <w:r>
        <w:rPr>
          <w:rFonts w:hint="eastAsia" w:ascii="宋体" w:hAnsi="宋体" w:eastAsia="宋体" w:cs="宋体"/>
          <w:color w:val="auto"/>
          <w:sz w:val="24"/>
          <w:szCs w:val="24"/>
          <w:highlight w:val="none"/>
        </w:rPr>
        <w:br w:type="page"/>
      </w:r>
      <w:bookmarkStart w:id="25" w:name="_Toc26176031"/>
      <w:bookmarkStart w:id="26" w:name="_Toc17792012"/>
      <w:bookmarkStart w:id="27" w:name="_Toc17791950"/>
      <w:bookmarkStart w:id="28" w:name="_Toc26175942"/>
      <w:bookmarkStart w:id="29" w:name="_Toc17791732"/>
      <w:r>
        <w:rPr>
          <w:rFonts w:hint="eastAsia" w:ascii="宋体" w:hAnsi="宋体" w:eastAsia="宋体" w:cs="宋体"/>
          <w:color w:val="auto"/>
          <w:sz w:val="24"/>
          <w:szCs w:val="24"/>
          <w:highlight w:val="none"/>
        </w:rPr>
        <w:t>二级绿地养护质量要求</w:t>
      </w:r>
      <w:bookmarkEnd w:id="24"/>
      <w:bookmarkEnd w:id="25"/>
      <w:bookmarkEnd w:id="26"/>
      <w:bookmarkEnd w:id="27"/>
      <w:bookmarkEnd w:id="28"/>
      <w:bookmarkEnd w:id="29"/>
    </w:p>
    <w:p w14:paraId="4E2414C9">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应符合表A.2的规定。</w:t>
      </w:r>
    </w:p>
    <w:p w14:paraId="3DB8D236">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表A.2  二级绿地养护质量要求表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28"/>
        <w:gridCol w:w="6240"/>
      </w:tblGrid>
      <w:tr w14:paraId="64081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46" w:type="dxa"/>
            <w:tcBorders>
              <w:bottom w:val="single" w:color="auto" w:sz="12" w:space="0"/>
            </w:tcBorders>
            <w:vAlign w:val="center"/>
          </w:tcPr>
          <w:p w14:paraId="5726F35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28" w:type="dxa"/>
            <w:tcBorders>
              <w:bottom w:val="single" w:color="auto" w:sz="12" w:space="0"/>
            </w:tcBorders>
            <w:vAlign w:val="center"/>
          </w:tcPr>
          <w:p w14:paraId="78739BE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6240" w:type="dxa"/>
            <w:tcBorders>
              <w:bottom w:val="single" w:color="auto" w:sz="12" w:space="0"/>
            </w:tcBorders>
            <w:vAlign w:val="center"/>
          </w:tcPr>
          <w:p w14:paraId="2F80DE7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0B21C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46" w:type="dxa"/>
            <w:tcBorders>
              <w:top w:val="single" w:color="auto" w:sz="12" w:space="0"/>
            </w:tcBorders>
            <w:vAlign w:val="center"/>
          </w:tcPr>
          <w:p w14:paraId="5CAD910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328" w:type="dxa"/>
            <w:tcBorders>
              <w:top w:val="single" w:color="auto" w:sz="12" w:space="0"/>
            </w:tcBorders>
            <w:vAlign w:val="center"/>
          </w:tcPr>
          <w:p w14:paraId="045F8BE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群落结构与整体效果</w:t>
            </w:r>
          </w:p>
        </w:tc>
        <w:tc>
          <w:tcPr>
            <w:tcW w:w="6240" w:type="dxa"/>
            <w:tcBorders>
              <w:top w:val="single" w:color="auto" w:sz="12" w:space="0"/>
            </w:tcBorders>
            <w:vAlign w:val="center"/>
          </w:tcPr>
          <w:p w14:paraId="764FA0DD">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植物配置合理、层次较丰富，植株生长空间与层次处理得当，具有较完整的群落结构，积尘少，整体观赏效果良好。</w:t>
            </w:r>
          </w:p>
        </w:tc>
      </w:tr>
      <w:tr w14:paraId="714A3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46" w:type="dxa"/>
            <w:vAlign w:val="center"/>
          </w:tcPr>
          <w:p w14:paraId="02658DE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328" w:type="dxa"/>
            <w:vAlign w:val="center"/>
          </w:tcPr>
          <w:p w14:paraId="799F04B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6240" w:type="dxa"/>
            <w:vAlign w:val="center"/>
          </w:tcPr>
          <w:p w14:paraId="705AC82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植株生长良好，符合物候状况，叶的颜色、形状、大小正常，树体正直不偏斜；观花植物适时开花。达标率＞90</w:t>
            </w:r>
            <w:r>
              <w:rPr>
                <w:rFonts w:hint="eastAsia" w:ascii="宋体" w:hAnsi="宋体" w:eastAsia="宋体" w:cs="宋体"/>
                <w:color w:val="auto"/>
                <w:spacing w:val="-30"/>
                <w:sz w:val="24"/>
                <w:szCs w:val="24"/>
                <w:highlight w:val="none"/>
              </w:rPr>
              <w:t xml:space="preserve"> ％</w:t>
            </w:r>
          </w:p>
        </w:tc>
      </w:tr>
      <w:tr w14:paraId="7F2B1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846" w:type="dxa"/>
            <w:vAlign w:val="center"/>
          </w:tcPr>
          <w:p w14:paraId="0356315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328" w:type="dxa"/>
            <w:vAlign w:val="center"/>
          </w:tcPr>
          <w:p w14:paraId="60F6D15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6240" w:type="dxa"/>
            <w:vAlign w:val="center"/>
          </w:tcPr>
          <w:p w14:paraId="29C1B1B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定时修剪，无干枯枝、缠绕物、钉挂物，树冠匀称，具良好观赏效果；整形乔灌木：按要求养成并维持一定形态，生长茂密，脚叶丰满形态良好；一般孤植灌木：按要求养成观花或观叶形态，树形良好，无枯枝；片植灌木：图形清晰、线条明显、流畅，无明显杂草；地被植物常绿、整洁，无明显杂草、枯黄叶。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9F28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846" w:type="dxa"/>
            <w:vAlign w:val="center"/>
          </w:tcPr>
          <w:p w14:paraId="3535D45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328" w:type="dxa"/>
            <w:vAlign w:val="center"/>
          </w:tcPr>
          <w:p w14:paraId="130B7E5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6240" w:type="dxa"/>
            <w:vAlign w:val="center"/>
          </w:tcPr>
          <w:p w14:paraId="0C18C4F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有地被树盘：其形状、大小整齐规范，满盘，不攀缠植株；无明显杂草、杂物。无地被树盘：大小合适，边线整齐，土壤疏松、细碎，无明显杂草、杂物。达标率＞90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8CE4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846" w:type="dxa"/>
            <w:vAlign w:val="center"/>
          </w:tcPr>
          <w:p w14:paraId="029087D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328" w:type="dxa"/>
            <w:vAlign w:val="center"/>
          </w:tcPr>
          <w:p w14:paraId="140660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6240" w:type="dxa"/>
            <w:vAlign w:val="center"/>
          </w:tcPr>
          <w:p w14:paraId="7131780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观赏性草坪，生长季节青绿无枯黄，无大型杂草和异型杂草，目的草种纯度90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以上。开放类草坪，生长季节青绿，无明显枯黄现象，无大型杂草，目的草种纯度85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以上。各类草坪均要求平整，无明显起团，高度在8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cm以下；无明显坑洼，草坪边缘线基本清晰。达标率＞90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720E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846" w:type="dxa"/>
            <w:vAlign w:val="center"/>
          </w:tcPr>
          <w:p w14:paraId="6F83244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328" w:type="dxa"/>
            <w:vAlign w:val="center"/>
          </w:tcPr>
          <w:p w14:paraId="586F97F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237A007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6240" w:type="dxa"/>
            <w:vAlign w:val="center"/>
          </w:tcPr>
          <w:p w14:paraId="43B4299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无明显危害迹象；总的病虫害为害率＜15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，其中蛀干、根部害虫＜5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，食叶害虫＜10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1A216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846" w:type="dxa"/>
            <w:vAlign w:val="center"/>
          </w:tcPr>
          <w:p w14:paraId="77F1803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328" w:type="dxa"/>
            <w:vAlign w:val="center"/>
          </w:tcPr>
          <w:p w14:paraId="60DECF1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w:t>
            </w:r>
          </w:p>
          <w:p w14:paraId="27E261F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覆盖率</w:t>
            </w:r>
          </w:p>
        </w:tc>
        <w:tc>
          <w:tcPr>
            <w:tcW w:w="6240" w:type="dxa"/>
            <w:vAlign w:val="center"/>
          </w:tcPr>
          <w:p w14:paraId="359A454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；花坛色块中的时花及时换种，一年中6个月以上有花观赏。</w:t>
            </w:r>
          </w:p>
        </w:tc>
      </w:tr>
      <w:tr w14:paraId="474B5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846" w:type="dxa"/>
            <w:tcBorders>
              <w:bottom w:val="single" w:color="auto" w:sz="8" w:space="0"/>
            </w:tcBorders>
            <w:vAlign w:val="center"/>
          </w:tcPr>
          <w:p w14:paraId="4E563D1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328" w:type="dxa"/>
            <w:tcBorders>
              <w:bottom w:val="single" w:color="auto" w:sz="8" w:space="0"/>
            </w:tcBorders>
            <w:vAlign w:val="center"/>
          </w:tcPr>
          <w:p w14:paraId="59A9079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6240" w:type="dxa"/>
            <w:tcBorders>
              <w:bottom w:val="single" w:color="auto" w:sz="8" w:space="0"/>
            </w:tcBorders>
            <w:vAlign w:val="center"/>
          </w:tcPr>
          <w:p w14:paraId="0426BB5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绿地设施完好、整洁；无死树、残桩头及陈旧堆积物；水池无明显悬浮物，水体基本清洁；无明显垃圾，基本无果皮、烟头、瓜子壳、纸屑等垃圾。达标率＞90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1C17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8414" w:type="dxa"/>
            <w:gridSpan w:val="3"/>
            <w:tcBorders>
              <w:top w:val="single" w:color="auto" w:sz="8" w:space="0"/>
            </w:tcBorders>
            <w:vAlign w:val="center"/>
          </w:tcPr>
          <w:p w14:paraId="756EC9E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755A0C5E">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0DA0713C">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30" w:name="_Toc17791733"/>
      <w:bookmarkStart w:id="31" w:name="_Toc17791951"/>
      <w:bookmarkStart w:id="32" w:name="_Toc26175943"/>
      <w:bookmarkStart w:id="33" w:name="_Toc17792013"/>
      <w:bookmarkStart w:id="34" w:name="_Toc26176032"/>
      <w:bookmarkStart w:id="35" w:name="_Toc421120717"/>
      <w:r>
        <w:rPr>
          <w:rFonts w:hint="eastAsia" w:ascii="宋体" w:hAnsi="宋体" w:eastAsia="宋体" w:cs="宋体"/>
          <w:color w:val="auto"/>
          <w:sz w:val="24"/>
          <w:szCs w:val="24"/>
          <w:highlight w:val="none"/>
        </w:rPr>
        <w:t>三级绿地养护质量要求</w:t>
      </w:r>
      <w:bookmarkEnd w:id="30"/>
      <w:bookmarkEnd w:id="31"/>
      <w:bookmarkEnd w:id="32"/>
      <w:bookmarkEnd w:id="33"/>
      <w:bookmarkEnd w:id="34"/>
      <w:bookmarkEnd w:id="35"/>
    </w:p>
    <w:p w14:paraId="1AAA5055">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应符合表A.3的规定。</w:t>
      </w:r>
    </w:p>
    <w:p w14:paraId="42359B53">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表A.3  三级绿地养护质量要求表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67"/>
        <w:gridCol w:w="6468"/>
      </w:tblGrid>
      <w:tr w14:paraId="6E692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10" w:type="dxa"/>
            <w:tcBorders>
              <w:bottom w:val="single" w:color="auto" w:sz="12" w:space="0"/>
            </w:tcBorders>
            <w:vAlign w:val="center"/>
          </w:tcPr>
          <w:p w14:paraId="0B0A8C5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67" w:type="dxa"/>
            <w:tcBorders>
              <w:bottom w:val="single" w:color="auto" w:sz="12" w:space="0"/>
            </w:tcBorders>
            <w:vAlign w:val="center"/>
          </w:tcPr>
          <w:p w14:paraId="3030635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6468" w:type="dxa"/>
            <w:tcBorders>
              <w:bottom w:val="single" w:color="auto" w:sz="12" w:space="0"/>
            </w:tcBorders>
            <w:vAlign w:val="center"/>
          </w:tcPr>
          <w:p w14:paraId="377F80E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713AD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tcBorders>
              <w:top w:val="single" w:color="auto" w:sz="12" w:space="0"/>
            </w:tcBorders>
            <w:vAlign w:val="center"/>
          </w:tcPr>
          <w:p w14:paraId="060CA77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267" w:type="dxa"/>
            <w:tcBorders>
              <w:top w:val="single" w:color="auto" w:sz="12" w:space="0"/>
            </w:tcBorders>
            <w:vAlign w:val="center"/>
          </w:tcPr>
          <w:p w14:paraId="110E43C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群落结构与整体效果</w:t>
            </w:r>
          </w:p>
        </w:tc>
        <w:tc>
          <w:tcPr>
            <w:tcW w:w="6468" w:type="dxa"/>
            <w:tcBorders>
              <w:top w:val="single" w:color="auto" w:sz="12" w:space="0"/>
            </w:tcBorders>
            <w:vAlign w:val="center"/>
          </w:tcPr>
          <w:p w14:paraId="1E33D3F1">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植物配置基本合理，积尘少，具绿化效果和一定的观赏效果。</w:t>
            </w:r>
          </w:p>
        </w:tc>
      </w:tr>
      <w:tr w14:paraId="54A22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4C83010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267" w:type="dxa"/>
            <w:vAlign w:val="center"/>
          </w:tcPr>
          <w:p w14:paraId="50D147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6468" w:type="dxa"/>
            <w:vAlign w:val="center"/>
          </w:tcPr>
          <w:p w14:paraId="76B7DCC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植物生长良好，符合物候状况，叶的颜色、形状、大小正常，树体基本正直。达标率＞85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1564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37C2AC5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267" w:type="dxa"/>
            <w:vAlign w:val="center"/>
          </w:tcPr>
          <w:p w14:paraId="0365FA7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6468" w:type="dxa"/>
            <w:vAlign w:val="center"/>
          </w:tcPr>
          <w:p w14:paraId="494E1E85">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定时修剪，无大的干枯枝、病虫枝、过密枝，树冠匀称，观赏效果较好。孤植灌木按观赏要求养成一定形态，无明显枯枝，生长茂密，脚叶丰满具有一定的观赏效果；片植灌木：图形清晰、线条明显，无明显杂草；地被常绿，无明显枯黄叶、杂草，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DC14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2A1911A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267" w:type="dxa"/>
            <w:vAlign w:val="center"/>
          </w:tcPr>
          <w:p w14:paraId="73724A3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6468" w:type="dxa"/>
            <w:vAlign w:val="center"/>
          </w:tcPr>
          <w:p w14:paraId="0389B14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有地被树盘：其形状、大小基本一致，基本满盘；不攀缠植株，无明显杂草、杂物。无地被树盘：大小合适，土壤疏松；无明显杂草、杂物。达标率＞85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21F0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0730E6D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267" w:type="dxa"/>
            <w:vAlign w:val="center"/>
          </w:tcPr>
          <w:p w14:paraId="60FD9AC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6468" w:type="dxa"/>
            <w:vAlign w:val="center"/>
          </w:tcPr>
          <w:p w14:paraId="1064B80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生长季节青绿，无明显枯黄现象；基本无大型杂草，目的草种纯度85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以上；草坪平整，无明显起团，高度在10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cm以下，边缘线基本清晰。达标率＞85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0091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5CA589D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267" w:type="dxa"/>
            <w:vAlign w:val="center"/>
          </w:tcPr>
          <w:p w14:paraId="57BAAAE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08C4C30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6468" w:type="dxa"/>
            <w:vAlign w:val="center"/>
          </w:tcPr>
          <w:p w14:paraId="4DC9850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无严重病虫危害迹象；病虫为害率＜25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，其中蛀干、根部害虫＜10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，食叶害虫＜15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4680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10" w:type="dxa"/>
            <w:vAlign w:val="center"/>
          </w:tcPr>
          <w:p w14:paraId="0763DB6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267" w:type="dxa"/>
            <w:vAlign w:val="center"/>
          </w:tcPr>
          <w:p w14:paraId="743C7C0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w:t>
            </w:r>
          </w:p>
          <w:p w14:paraId="71E1EC8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覆盖率</w:t>
            </w:r>
          </w:p>
        </w:tc>
        <w:tc>
          <w:tcPr>
            <w:tcW w:w="6468" w:type="dxa"/>
            <w:vAlign w:val="center"/>
          </w:tcPr>
          <w:p w14:paraId="32BFB64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r>
      <w:tr w14:paraId="3F9DF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710" w:type="dxa"/>
            <w:tcBorders>
              <w:bottom w:val="single" w:color="auto" w:sz="8" w:space="0"/>
            </w:tcBorders>
            <w:vAlign w:val="center"/>
          </w:tcPr>
          <w:p w14:paraId="704EA7B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267" w:type="dxa"/>
            <w:tcBorders>
              <w:bottom w:val="single" w:color="auto" w:sz="8" w:space="0"/>
            </w:tcBorders>
            <w:vAlign w:val="center"/>
          </w:tcPr>
          <w:p w14:paraId="26EED36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6468" w:type="dxa"/>
            <w:tcBorders>
              <w:bottom w:val="single" w:color="auto" w:sz="8" w:space="0"/>
            </w:tcBorders>
            <w:vAlign w:val="center"/>
          </w:tcPr>
          <w:p w14:paraId="61F43E6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绿地设施基本完好、整洁；无死树、残桩头及陈旧堆积物；远观无明显垃圾，基本无果皮、烟头、瓜子壳、纸屑等垃圾。达标率＞85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DD1C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8445" w:type="dxa"/>
            <w:gridSpan w:val="3"/>
            <w:tcBorders>
              <w:top w:val="single" w:color="auto" w:sz="8" w:space="0"/>
            </w:tcBorders>
            <w:vAlign w:val="center"/>
          </w:tcPr>
          <w:p w14:paraId="380F5561">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1C7F49F1">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36" w:name="_Toc17792014"/>
      <w:bookmarkStart w:id="37" w:name="_Toc17791734"/>
      <w:bookmarkStart w:id="38" w:name="_Toc421120718"/>
      <w:bookmarkStart w:id="39" w:name="_Toc17791952"/>
      <w:bookmarkStart w:id="40" w:name="_Toc26175944"/>
      <w:bookmarkStart w:id="41" w:name="_Toc26176033"/>
      <w:r>
        <w:rPr>
          <w:rFonts w:hint="eastAsia" w:ascii="宋体" w:hAnsi="宋体" w:eastAsia="宋体" w:cs="宋体"/>
          <w:color w:val="auto"/>
          <w:sz w:val="24"/>
          <w:szCs w:val="24"/>
          <w:highlight w:val="none"/>
        </w:rPr>
        <w:t>一级分车绿带养护质量要求</w:t>
      </w:r>
      <w:bookmarkEnd w:id="36"/>
      <w:bookmarkEnd w:id="37"/>
      <w:bookmarkEnd w:id="38"/>
      <w:bookmarkEnd w:id="39"/>
      <w:bookmarkEnd w:id="40"/>
      <w:bookmarkEnd w:id="41"/>
    </w:p>
    <w:p w14:paraId="55D192AF">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应符合表A.4的规定。</w:t>
      </w:r>
    </w:p>
    <w:p w14:paraId="3A14FEBE">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表A.4 一级分车绿带养护质量要求表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5"/>
        <w:gridCol w:w="1109"/>
        <w:gridCol w:w="7381"/>
      </w:tblGrid>
      <w:tr w14:paraId="0B8E5B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07" w:hRule="atLeast"/>
        </w:trPr>
        <w:tc>
          <w:tcPr>
            <w:tcW w:w="855" w:type="dxa"/>
            <w:tcBorders>
              <w:bottom w:val="single" w:color="auto" w:sz="12" w:space="0"/>
            </w:tcBorders>
            <w:vAlign w:val="center"/>
          </w:tcPr>
          <w:p w14:paraId="01536140">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109" w:type="dxa"/>
            <w:tcBorders>
              <w:bottom w:val="single" w:color="auto" w:sz="12" w:space="0"/>
            </w:tcBorders>
            <w:vAlign w:val="center"/>
          </w:tcPr>
          <w:p w14:paraId="65390AFF">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7381" w:type="dxa"/>
            <w:tcBorders>
              <w:bottom w:val="single" w:color="auto" w:sz="12" w:space="0"/>
            </w:tcBorders>
            <w:vAlign w:val="center"/>
          </w:tcPr>
          <w:p w14:paraId="0B12B115">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质量要求</w:t>
            </w:r>
          </w:p>
        </w:tc>
      </w:tr>
      <w:tr w14:paraId="3FB51E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tcBorders>
              <w:top w:val="single" w:color="auto" w:sz="12" w:space="0"/>
            </w:tcBorders>
            <w:vAlign w:val="center"/>
          </w:tcPr>
          <w:p w14:paraId="5FD2A67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109" w:type="dxa"/>
            <w:tcBorders>
              <w:top w:val="single" w:color="auto" w:sz="12" w:space="0"/>
            </w:tcBorders>
            <w:vAlign w:val="center"/>
          </w:tcPr>
          <w:p w14:paraId="0256CF5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381" w:type="dxa"/>
            <w:tcBorders>
              <w:top w:val="single" w:color="auto" w:sz="12" w:space="0"/>
            </w:tcBorders>
            <w:vAlign w:val="center"/>
          </w:tcPr>
          <w:p w14:paraId="109210F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植株生长空间与层次处理得当，基本无积尘，整体观赏效果良好。</w:t>
            </w:r>
          </w:p>
        </w:tc>
      </w:tr>
      <w:tr w14:paraId="22B0F7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vAlign w:val="center"/>
          </w:tcPr>
          <w:p w14:paraId="3562412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109" w:type="dxa"/>
            <w:vAlign w:val="center"/>
          </w:tcPr>
          <w:p w14:paraId="66F82FF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381" w:type="dxa"/>
            <w:vAlign w:val="center"/>
          </w:tcPr>
          <w:p w14:paraId="7C6DA4F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植物生长良好，符合物候状况，叶的颜色、形状、大小正常，植株正直；观花植物适时开花，花色艳丽，花期基本一致。达标率＞95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03B15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vAlign w:val="center"/>
          </w:tcPr>
          <w:p w14:paraId="15D0550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109" w:type="dxa"/>
            <w:vAlign w:val="center"/>
          </w:tcPr>
          <w:p w14:paraId="1BAC2CD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381" w:type="dxa"/>
            <w:vAlign w:val="center"/>
          </w:tcPr>
          <w:p w14:paraId="0754F1C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整形片植灌木：图形清晰、优美，线条明显、流畅，无明显杂草；非整形片植灌木和草本地被按要求养成常绿、观花或观叶形态，整体基本整齐，基本无枯黄叶、杂草。达标率＞95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8BB38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vAlign w:val="center"/>
          </w:tcPr>
          <w:p w14:paraId="22DBCAA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109" w:type="dxa"/>
            <w:vAlign w:val="center"/>
          </w:tcPr>
          <w:p w14:paraId="6EEB30D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381" w:type="dxa"/>
            <w:vAlign w:val="center"/>
          </w:tcPr>
          <w:p w14:paraId="4CDB0B2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草坪青绿，无明显枯黄现象；无大型杂草，目的草种纯度95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以上；草坪平整，基本无起团，高度控制在8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cm以下；无明显坑洼、小洞，草坪边缘线清晰。达标率＞95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9747B5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vAlign w:val="center"/>
          </w:tcPr>
          <w:p w14:paraId="29D078A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109" w:type="dxa"/>
            <w:vAlign w:val="center"/>
          </w:tcPr>
          <w:p w14:paraId="7FDEA9C6">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病虫害</w:t>
            </w:r>
          </w:p>
          <w:p w14:paraId="5720622D">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控制</w:t>
            </w:r>
          </w:p>
        </w:tc>
        <w:tc>
          <w:tcPr>
            <w:tcW w:w="7381" w:type="dxa"/>
            <w:vAlign w:val="center"/>
          </w:tcPr>
          <w:p w14:paraId="6B13252A">
            <w:pPr>
              <w:pStyle w:val="41"/>
              <w:keepNext w:val="0"/>
              <w:keepLines w:val="0"/>
              <w:pageBreakBefore w:val="0"/>
              <w:widowControl w:val="0"/>
              <w:kinsoku/>
              <w:topLinePunct w:val="0"/>
              <w:bidi w:val="0"/>
              <w:adjustRightInd/>
              <w:snapToGrid/>
              <w:spacing w:before="0" w:line="360" w:lineRule="auto"/>
              <w:ind w:firstLine="480" w:firstLineChars="200"/>
              <w:jc w:val="both"/>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无明显危害迹象；总的病虫为害率＜10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，其中蛀干、根部害虫＜5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，食叶害虫＜5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，刺吸性害虫＜10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，病害感染率＜5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，基本无寄生。</w:t>
            </w:r>
          </w:p>
        </w:tc>
      </w:tr>
      <w:tr w14:paraId="30BD77E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vAlign w:val="center"/>
          </w:tcPr>
          <w:p w14:paraId="59032B8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109" w:type="dxa"/>
            <w:vAlign w:val="center"/>
          </w:tcPr>
          <w:p w14:paraId="308BFE2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保存率与覆盖率</w:t>
            </w:r>
          </w:p>
        </w:tc>
        <w:tc>
          <w:tcPr>
            <w:tcW w:w="7381" w:type="dxa"/>
            <w:vAlign w:val="center"/>
          </w:tcPr>
          <w:p w14:paraId="0A72135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 xml:space="preserve">；花坛色块中的时花及时换种，保持常年有花。 </w:t>
            </w:r>
          </w:p>
        </w:tc>
      </w:tr>
      <w:tr w14:paraId="201545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95" w:hRule="atLeast"/>
        </w:trPr>
        <w:tc>
          <w:tcPr>
            <w:tcW w:w="855" w:type="dxa"/>
            <w:tcBorders>
              <w:bottom w:val="single" w:color="auto" w:sz="8" w:space="0"/>
            </w:tcBorders>
            <w:vAlign w:val="center"/>
          </w:tcPr>
          <w:p w14:paraId="3152020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109" w:type="dxa"/>
            <w:tcBorders>
              <w:bottom w:val="single" w:color="auto" w:sz="8" w:space="0"/>
            </w:tcBorders>
            <w:vAlign w:val="center"/>
          </w:tcPr>
          <w:p w14:paraId="70F7FFE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381" w:type="dxa"/>
            <w:tcBorders>
              <w:bottom w:val="single" w:color="auto" w:sz="8" w:space="0"/>
            </w:tcBorders>
            <w:vAlign w:val="center"/>
          </w:tcPr>
          <w:p w14:paraId="45F8D6D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分车带的色块及草坪上无散落枝叶、泥土、堆积物；泥土面略低于路沿石，色块里无石头、砖块。达标率＞95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1D45C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766" w:hRule="atLeast"/>
        </w:trPr>
        <w:tc>
          <w:tcPr>
            <w:tcW w:w="9345" w:type="dxa"/>
            <w:gridSpan w:val="3"/>
            <w:tcBorders>
              <w:top w:val="single" w:color="auto" w:sz="8" w:space="0"/>
            </w:tcBorders>
            <w:vAlign w:val="center"/>
          </w:tcPr>
          <w:p w14:paraId="5C20266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26F0FCF8">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kern w:val="21"/>
          <w:sz w:val="24"/>
          <w:szCs w:val="24"/>
          <w:highlight w:val="none"/>
        </w:rPr>
      </w:pPr>
    </w:p>
    <w:p w14:paraId="30CA042C">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14D5E147">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42" w:name="_Toc17791953"/>
      <w:bookmarkStart w:id="43" w:name="_Toc17792015"/>
      <w:bookmarkStart w:id="44" w:name="_Toc17791735"/>
      <w:bookmarkStart w:id="45" w:name="_Toc421120719"/>
      <w:bookmarkStart w:id="46" w:name="_Toc26176034"/>
      <w:bookmarkStart w:id="47" w:name="_Toc26175945"/>
      <w:r>
        <w:rPr>
          <w:rFonts w:hint="eastAsia" w:ascii="宋体" w:hAnsi="宋体" w:eastAsia="宋体" w:cs="宋体"/>
          <w:color w:val="auto"/>
          <w:sz w:val="24"/>
          <w:szCs w:val="24"/>
          <w:highlight w:val="none"/>
        </w:rPr>
        <w:t>二级分车绿带养护质量要求</w:t>
      </w:r>
      <w:bookmarkEnd w:id="42"/>
      <w:bookmarkEnd w:id="43"/>
      <w:bookmarkEnd w:id="44"/>
      <w:bookmarkEnd w:id="45"/>
      <w:bookmarkEnd w:id="46"/>
      <w:bookmarkEnd w:id="47"/>
    </w:p>
    <w:p w14:paraId="095DD88A">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应符合表A.5的规定。</w:t>
      </w:r>
    </w:p>
    <w:p w14:paraId="08217DA9">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表A.5 二级分车绿带养护质量要求表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86"/>
        <w:gridCol w:w="1035"/>
        <w:gridCol w:w="7424"/>
      </w:tblGrid>
      <w:tr w14:paraId="5F8230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58" w:hRule="atLeast"/>
        </w:trPr>
        <w:tc>
          <w:tcPr>
            <w:tcW w:w="886" w:type="dxa"/>
            <w:tcBorders>
              <w:bottom w:val="single" w:color="auto" w:sz="12" w:space="0"/>
            </w:tcBorders>
            <w:vAlign w:val="center"/>
          </w:tcPr>
          <w:p w14:paraId="70763395">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35" w:type="dxa"/>
            <w:tcBorders>
              <w:bottom w:val="single" w:color="auto" w:sz="12" w:space="0"/>
            </w:tcBorders>
            <w:vAlign w:val="center"/>
          </w:tcPr>
          <w:p w14:paraId="0C90B6BC">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7424" w:type="dxa"/>
            <w:tcBorders>
              <w:bottom w:val="single" w:color="auto" w:sz="12" w:space="0"/>
            </w:tcBorders>
            <w:vAlign w:val="center"/>
          </w:tcPr>
          <w:p w14:paraId="26F436CF">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质量要求</w:t>
            </w:r>
          </w:p>
        </w:tc>
      </w:tr>
      <w:tr w14:paraId="53710A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tcBorders>
              <w:top w:val="single" w:color="auto" w:sz="12" w:space="0"/>
            </w:tcBorders>
            <w:vAlign w:val="center"/>
          </w:tcPr>
          <w:p w14:paraId="1F0D6A7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035" w:type="dxa"/>
            <w:tcBorders>
              <w:top w:val="single" w:color="auto" w:sz="12" w:space="0"/>
            </w:tcBorders>
            <w:vAlign w:val="center"/>
          </w:tcPr>
          <w:p w14:paraId="17976BD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424" w:type="dxa"/>
            <w:tcBorders>
              <w:top w:val="single" w:color="auto" w:sz="12" w:space="0"/>
            </w:tcBorders>
            <w:vAlign w:val="center"/>
          </w:tcPr>
          <w:p w14:paraId="7588CB4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植物生长空间与层次处理得当，积尘少，整体观赏效果较好。</w:t>
            </w:r>
          </w:p>
        </w:tc>
      </w:tr>
      <w:tr w14:paraId="75B7A1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vAlign w:val="center"/>
          </w:tcPr>
          <w:p w14:paraId="75EE590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035" w:type="dxa"/>
            <w:vAlign w:val="center"/>
          </w:tcPr>
          <w:p w14:paraId="3CB7A2A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424" w:type="dxa"/>
            <w:vAlign w:val="center"/>
          </w:tcPr>
          <w:p w14:paraId="33D1BAA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植物生长较好，符合物候状况，叶的颜色、形状、大小正常，树体基本正直；观花植物适时开花，花期基本一致。达标率＞90</w:t>
            </w:r>
            <w:r>
              <w:rPr>
                <w:rFonts w:hint="eastAsia" w:ascii="宋体" w:hAnsi="宋体" w:eastAsia="宋体" w:cs="宋体"/>
                <w:color w:val="auto"/>
                <w:spacing w:val="-30"/>
                <w:sz w:val="24"/>
                <w:szCs w:val="24"/>
                <w:highlight w:val="none"/>
              </w:rPr>
              <w:t xml:space="preserve"> ％</w:t>
            </w:r>
          </w:p>
        </w:tc>
      </w:tr>
      <w:tr w14:paraId="2DC6C9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vAlign w:val="center"/>
          </w:tcPr>
          <w:p w14:paraId="2FBF2A7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035" w:type="dxa"/>
            <w:vAlign w:val="center"/>
          </w:tcPr>
          <w:p w14:paraId="05EE602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424" w:type="dxa"/>
            <w:vAlign w:val="center"/>
          </w:tcPr>
          <w:p w14:paraId="4352C92D">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整形片植灌木：图形清晰、美观，线条明显、流畅，无明显杂草；非整形片植灌木和草本地被按要求养成常绿、观花或观叶形态，整体基本整齐，无明显枯黄叶、杂草。达标率＞90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3878F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vAlign w:val="center"/>
          </w:tcPr>
          <w:p w14:paraId="11B9C3F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035" w:type="dxa"/>
            <w:vAlign w:val="center"/>
          </w:tcPr>
          <w:p w14:paraId="2D44300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424" w:type="dxa"/>
            <w:vAlign w:val="center"/>
          </w:tcPr>
          <w:p w14:paraId="1E58768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草坪青绿，无明显枯黄现象；无大型杂草，目的草种纯度90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以上；草坪平整，无明显起团，高度控制在8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cm以下；无明显坑洼、小洞，草坪边缘线基本清晰。达标率＞90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0DC94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vAlign w:val="center"/>
          </w:tcPr>
          <w:p w14:paraId="05D740F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035" w:type="dxa"/>
            <w:vAlign w:val="center"/>
          </w:tcPr>
          <w:p w14:paraId="7EA5A936">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病虫害</w:t>
            </w:r>
          </w:p>
          <w:p w14:paraId="70FAC80E">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控制</w:t>
            </w:r>
          </w:p>
        </w:tc>
        <w:tc>
          <w:tcPr>
            <w:tcW w:w="7424" w:type="dxa"/>
            <w:vAlign w:val="center"/>
          </w:tcPr>
          <w:p w14:paraId="0000A14C">
            <w:pPr>
              <w:pStyle w:val="41"/>
              <w:keepNext w:val="0"/>
              <w:keepLines w:val="0"/>
              <w:pageBreakBefore w:val="0"/>
              <w:widowControl w:val="0"/>
              <w:kinsoku/>
              <w:topLinePunct w:val="0"/>
              <w:bidi w:val="0"/>
              <w:adjustRightInd/>
              <w:snapToGrid/>
              <w:spacing w:before="0" w:line="360" w:lineRule="auto"/>
              <w:ind w:firstLine="480" w:firstLineChars="200"/>
              <w:jc w:val="both"/>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无明显危害迹象；总的病虫为害率＜15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，其中蛀干、根部害虫＜5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，食叶害虫＜10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，刺吸性害虫＜15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，病害感染率＜10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，寄生＜5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w:t>
            </w:r>
          </w:p>
        </w:tc>
      </w:tr>
      <w:tr w14:paraId="782691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vAlign w:val="center"/>
          </w:tcPr>
          <w:p w14:paraId="287FCC5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035" w:type="dxa"/>
            <w:vAlign w:val="center"/>
          </w:tcPr>
          <w:p w14:paraId="69C865C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保存率与覆盖率</w:t>
            </w:r>
          </w:p>
        </w:tc>
        <w:tc>
          <w:tcPr>
            <w:tcW w:w="7424" w:type="dxa"/>
            <w:vAlign w:val="center"/>
          </w:tcPr>
          <w:p w14:paraId="0AF2146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，乔灌木缺株率＜3</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，单处明显裸露面积＜8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 xml:space="preserve">；花坛色块中的时花及时换种，保持常年有花。 </w:t>
            </w:r>
          </w:p>
        </w:tc>
      </w:tr>
      <w:tr w14:paraId="7B0184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886" w:type="dxa"/>
            <w:tcBorders>
              <w:bottom w:val="single" w:color="auto" w:sz="8" w:space="0"/>
            </w:tcBorders>
            <w:vAlign w:val="center"/>
          </w:tcPr>
          <w:p w14:paraId="5C3403A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035" w:type="dxa"/>
            <w:tcBorders>
              <w:bottom w:val="single" w:color="auto" w:sz="8" w:space="0"/>
            </w:tcBorders>
            <w:vAlign w:val="center"/>
          </w:tcPr>
          <w:p w14:paraId="237C12E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424" w:type="dxa"/>
            <w:tcBorders>
              <w:bottom w:val="single" w:color="auto" w:sz="8" w:space="0"/>
            </w:tcBorders>
            <w:vAlign w:val="center"/>
          </w:tcPr>
          <w:p w14:paraId="262A141F">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分车带的色块、草坪上基本无散落枝叶、泥土；泥土面略低于路沿石，色块里无明显的石头、砖块。达标率＞90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5F380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15" w:hRule="atLeast"/>
        </w:trPr>
        <w:tc>
          <w:tcPr>
            <w:tcW w:w="9345" w:type="dxa"/>
            <w:gridSpan w:val="3"/>
            <w:tcBorders>
              <w:top w:val="single" w:color="auto" w:sz="8" w:space="0"/>
            </w:tcBorders>
            <w:vAlign w:val="center"/>
          </w:tcPr>
          <w:p w14:paraId="25DDF2A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4428C740">
      <w:pPr>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p>
    <w:p w14:paraId="76F6D5A8">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48" w:name="_Toc421120720"/>
      <w:bookmarkStart w:id="49" w:name="_Toc17791954"/>
      <w:bookmarkStart w:id="50" w:name="_Toc26175946"/>
      <w:bookmarkStart w:id="51" w:name="_Toc17792016"/>
      <w:bookmarkStart w:id="52" w:name="_Toc26176035"/>
      <w:bookmarkStart w:id="53" w:name="_Toc17791736"/>
      <w:r>
        <w:rPr>
          <w:rFonts w:hint="eastAsia" w:ascii="宋体" w:hAnsi="宋体" w:eastAsia="宋体" w:cs="宋体"/>
          <w:color w:val="auto"/>
          <w:sz w:val="24"/>
          <w:szCs w:val="24"/>
          <w:highlight w:val="none"/>
        </w:rPr>
        <w:t>三级分车绿带养护质量要求</w:t>
      </w:r>
      <w:bookmarkEnd w:id="48"/>
      <w:bookmarkEnd w:id="49"/>
      <w:bookmarkEnd w:id="50"/>
      <w:bookmarkEnd w:id="51"/>
      <w:bookmarkEnd w:id="52"/>
      <w:bookmarkEnd w:id="53"/>
    </w:p>
    <w:p w14:paraId="26D7F5E1">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应符合表A.6的规定。</w:t>
      </w:r>
    </w:p>
    <w:p w14:paraId="7939965A">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表A.6 三级分车绿带养护质量要求表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86"/>
        <w:gridCol w:w="1529"/>
        <w:gridCol w:w="6930"/>
      </w:tblGrid>
      <w:tr w14:paraId="6BE179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91" w:hRule="atLeast"/>
        </w:trPr>
        <w:tc>
          <w:tcPr>
            <w:tcW w:w="886" w:type="dxa"/>
            <w:tcBorders>
              <w:bottom w:val="single" w:color="auto" w:sz="12" w:space="0"/>
            </w:tcBorders>
            <w:vAlign w:val="center"/>
          </w:tcPr>
          <w:p w14:paraId="177A4DE7">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529" w:type="dxa"/>
            <w:tcBorders>
              <w:bottom w:val="single" w:color="auto" w:sz="12" w:space="0"/>
            </w:tcBorders>
            <w:vAlign w:val="center"/>
          </w:tcPr>
          <w:p w14:paraId="7EEFA5E9">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6930" w:type="dxa"/>
            <w:tcBorders>
              <w:bottom w:val="single" w:color="auto" w:sz="12" w:space="0"/>
            </w:tcBorders>
            <w:vAlign w:val="center"/>
          </w:tcPr>
          <w:p w14:paraId="05C74BFC">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质量要求</w:t>
            </w:r>
          </w:p>
        </w:tc>
      </w:tr>
      <w:tr w14:paraId="119908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tcBorders>
              <w:top w:val="single" w:color="auto" w:sz="12" w:space="0"/>
            </w:tcBorders>
            <w:vAlign w:val="center"/>
          </w:tcPr>
          <w:p w14:paraId="4B505A0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529" w:type="dxa"/>
            <w:tcBorders>
              <w:top w:val="single" w:color="auto" w:sz="12" w:space="0"/>
            </w:tcBorders>
            <w:vAlign w:val="center"/>
          </w:tcPr>
          <w:p w14:paraId="602C2E6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6930" w:type="dxa"/>
            <w:tcBorders>
              <w:top w:val="single" w:color="auto" w:sz="12" w:space="0"/>
            </w:tcBorders>
            <w:vAlign w:val="center"/>
          </w:tcPr>
          <w:p w14:paraId="375BD83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植物生长空间与层次处理得当，具绿化、观赏效果。</w:t>
            </w:r>
          </w:p>
        </w:tc>
      </w:tr>
      <w:tr w14:paraId="50BF02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vAlign w:val="center"/>
          </w:tcPr>
          <w:p w14:paraId="2A09724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529" w:type="dxa"/>
            <w:vAlign w:val="center"/>
          </w:tcPr>
          <w:p w14:paraId="08FBB92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6930" w:type="dxa"/>
            <w:vAlign w:val="center"/>
          </w:tcPr>
          <w:p w14:paraId="63F1C07F">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植物生长正常，符合物候状况，叶的颜色、形状、大小正常，树体基本正直；观花植物适时开花。达标率＞85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181EF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vAlign w:val="center"/>
          </w:tcPr>
          <w:p w14:paraId="36D5C7C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529" w:type="dxa"/>
            <w:vAlign w:val="center"/>
          </w:tcPr>
          <w:p w14:paraId="6D2768D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6930" w:type="dxa"/>
            <w:vAlign w:val="center"/>
          </w:tcPr>
          <w:p w14:paraId="31FDB93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整形片植灌木：图形清晰，线条明显，无明显杂草；非整形片植灌木和草本地被按要求养成常绿、观花或观叶形态，整体基本整齐，无明显枯黄叶、杂草。达标率＞85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739F3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vAlign w:val="center"/>
          </w:tcPr>
          <w:p w14:paraId="46D6A7B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529" w:type="dxa"/>
            <w:vAlign w:val="center"/>
          </w:tcPr>
          <w:p w14:paraId="6905D41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6930" w:type="dxa"/>
            <w:vAlign w:val="center"/>
          </w:tcPr>
          <w:p w14:paraId="0BF33C27">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草坪青绿，无明显枯黄现象；基本无大型杂草，目的草种纯度85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以上；草坪平整，无明显起团，高度控制在10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cm以下；无明显坑洼，草坪边缘线基本清晰。达标率＞85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B2EB1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vAlign w:val="center"/>
          </w:tcPr>
          <w:p w14:paraId="66B8F255">
            <w:pPr>
              <w:pStyle w:val="14"/>
              <w:keepNext w:val="0"/>
              <w:keepLines w:val="0"/>
              <w:pageBreakBefore w:val="0"/>
              <w:pBdr>
                <w:bottom w:val="none" w:color="auto" w:sz="0" w:space="0"/>
              </w:pBdr>
              <w:tabs>
                <w:tab w:val="clear" w:pos="4153"/>
                <w:tab w:val="clear" w:pos="8306"/>
              </w:tabs>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529" w:type="dxa"/>
            <w:vAlign w:val="center"/>
          </w:tcPr>
          <w:p w14:paraId="7E5C1424">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病虫害控制</w:t>
            </w:r>
          </w:p>
        </w:tc>
        <w:tc>
          <w:tcPr>
            <w:tcW w:w="6930" w:type="dxa"/>
            <w:vAlign w:val="center"/>
          </w:tcPr>
          <w:p w14:paraId="7621056E">
            <w:pPr>
              <w:pStyle w:val="41"/>
              <w:keepNext w:val="0"/>
              <w:keepLines w:val="0"/>
              <w:pageBreakBefore w:val="0"/>
              <w:widowControl w:val="0"/>
              <w:kinsoku/>
              <w:topLinePunct w:val="0"/>
              <w:bidi w:val="0"/>
              <w:adjustRightInd/>
              <w:snapToGrid/>
              <w:spacing w:before="0" w:line="360" w:lineRule="auto"/>
              <w:ind w:firstLine="480" w:firstLineChars="200"/>
              <w:jc w:val="both"/>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无明显危害迹象；总的病虫为害率＜25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，其中蛀干、根部害虫＜5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，食叶害虫＜15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，刺吸性害虫＜20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，病害感染率＜10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，寄生＜5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w:t>
            </w:r>
          </w:p>
        </w:tc>
      </w:tr>
      <w:tr w14:paraId="6678A8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vAlign w:val="center"/>
          </w:tcPr>
          <w:p w14:paraId="33389D7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529" w:type="dxa"/>
            <w:vAlign w:val="center"/>
          </w:tcPr>
          <w:p w14:paraId="6A32A0F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保存率与覆盖率</w:t>
            </w:r>
          </w:p>
        </w:tc>
        <w:tc>
          <w:tcPr>
            <w:tcW w:w="6930" w:type="dxa"/>
            <w:vAlign w:val="center"/>
          </w:tcPr>
          <w:p w14:paraId="6233C2A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，单处明显裸露面积＜12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 xml:space="preserve">。 </w:t>
            </w:r>
          </w:p>
        </w:tc>
      </w:tr>
      <w:tr w14:paraId="6F43D9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40" w:hRule="atLeast"/>
        </w:trPr>
        <w:tc>
          <w:tcPr>
            <w:tcW w:w="886" w:type="dxa"/>
            <w:tcBorders>
              <w:bottom w:val="single" w:color="auto" w:sz="8" w:space="0"/>
            </w:tcBorders>
            <w:vAlign w:val="center"/>
          </w:tcPr>
          <w:p w14:paraId="590CE13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529" w:type="dxa"/>
            <w:tcBorders>
              <w:bottom w:val="single" w:color="auto" w:sz="8" w:space="0"/>
            </w:tcBorders>
            <w:vAlign w:val="center"/>
          </w:tcPr>
          <w:p w14:paraId="1B986EB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6930" w:type="dxa"/>
            <w:tcBorders>
              <w:bottom w:val="single" w:color="auto" w:sz="8" w:space="0"/>
            </w:tcBorders>
            <w:vAlign w:val="center"/>
          </w:tcPr>
          <w:p w14:paraId="423A70A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分车带的色块、草坪上基本无散落枝叶、泥土；泥土面略低于路沿石，色块里无明显的石头、砖块。达标率＞85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13596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915" w:hRule="atLeast"/>
        </w:trPr>
        <w:tc>
          <w:tcPr>
            <w:tcW w:w="9345" w:type="dxa"/>
            <w:gridSpan w:val="3"/>
            <w:tcBorders>
              <w:top w:val="single" w:color="auto" w:sz="8" w:space="0"/>
            </w:tcBorders>
            <w:vAlign w:val="center"/>
          </w:tcPr>
          <w:p w14:paraId="7EF0D09D">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0CD8297D">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54" w:name="_Toc26176036"/>
      <w:bookmarkStart w:id="55" w:name="_Toc421120721"/>
      <w:bookmarkStart w:id="56" w:name="_Toc17791737"/>
      <w:bookmarkStart w:id="57" w:name="_Toc17792017"/>
      <w:bookmarkStart w:id="58" w:name="_Toc17791955"/>
      <w:bookmarkStart w:id="59" w:name="_Toc26175947"/>
      <w:r>
        <w:rPr>
          <w:rFonts w:hint="eastAsia" w:ascii="宋体" w:hAnsi="宋体" w:eastAsia="宋体" w:cs="宋体"/>
          <w:color w:val="auto"/>
          <w:sz w:val="24"/>
          <w:szCs w:val="24"/>
          <w:highlight w:val="none"/>
        </w:rPr>
        <w:t>一级行道树养护质量要求</w:t>
      </w:r>
      <w:bookmarkEnd w:id="54"/>
      <w:bookmarkEnd w:id="55"/>
      <w:bookmarkEnd w:id="56"/>
      <w:bookmarkEnd w:id="57"/>
      <w:bookmarkEnd w:id="58"/>
      <w:bookmarkEnd w:id="59"/>
    </w:p>
    <w:p w14:paraId="140873D8">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应符合表A.7的规定。</w:t>
      </w:r>
    </w:p>
    <w:p w14:paraId="4BE472CE">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表A.7 一级行道树养护质量要求表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0"/>
        <w:gridCol w:w="960"/>
        <w:gridCol w:w="7783"/>
      </w:tblGrid>
      <w:tr w14:paraId="230267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11" w:hRule="atLeast"/>
        </w:trPr>
        <w:tc>
          <w:tcPr>
            <w:tcW w:w="720" w:type="dxa"/>
            <w:tcBorders>
              <w:bottom w:val="single" w:color="auto" w:sz="12" w:space="0"/>
            </w:tcBorders>
            <w:vAlign w:val="center"/>
          </w:tcPr>
          <w:p w14:paraId="6E9063B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60" w:type="dxa"/>
            <w:tcBorders>
              <w:bottom w:val="single" w:color="auto" w:sz="12" w:space="0"/>
            </w:tcBorders>
            <w:vAlign w:val="center"/>
          </w:tcPr>
          <w:p w14:paraId="5B747DD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783" w:type="dxa"/>
            <w:tcBorders>
              <w:bottom w:val="single" w:color="auto" w:sz="12" w:space="0"/>
            </w:tcBorders>
            <w:vAlign w:val="center"/>
          </w:tcPr>
          <w:p w14:paraId="2DC22F5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59170F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15" w:hRule="atLeast"/>
        </w:trPr>
        <w:tc>
          <w:tcPr>
            <w:tcW w:w="720" w:type="dxa"/>
            <w:tcBorders>
              <w:top w:val="single" w:color="auto" w:sz="12" w:space="0"/>
            </w:tcBorders>
            <w:vAlign w:val="center"/>
          </w:tcPr>
          <w:p w14:paraId="0BA876A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960" w:type="dxa"/>
            <w:tcBorders>
              <w:top w:val="single" w:color="auto" w:sz="12" w:space="0"/>
            </w:tcBorders>
            <w:vAlign w:val="center"/>
          </w:tcPr>
          <w:p w14:paraId="18354F4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783" w:type="dxa"/>
            <w:tcBorders>
              <w:top w:val="single" w:color="auto" w:sz="12" w:space="0"/>
            </w:tcBorders>
            <w:vAlign w:val="center"/>
          </w:tcPr>
          <w:p w14:paraId="386AC603">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同一路段的第一排行道树、分车绿带上的行道树及其间的灌木，其树型与高度基本一致，树体干净，积尘少，具有良好的整体观赏效果。</w:t>
            </w:r>
          </w:p>
        </w:tc>
      </w:tr>
      <w:tr w14:paraId="15AAB9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15" w:hRule="atLeast"/>
        </w:trPr>
        <w:tc>
          <w:tcPr>
            <w:tcW w:w="720" w:type="dxa"/>
            <w:vAlign w:val="center"/>
          </w:tcPr>
          <w:p w14:paraId="27B5D0B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960" w:type="dxa"/>
            <w:vAlign w:val="center"/>
          </w:tcPr>
          <w:p w14:paraId="345A498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783" w:type="dxa"/>
            <w:vAlign w:val="center"/>
          </w:tcPr>
          <w:p w14:paraId="2CC6EDD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植物生长良好，符合物候状况，枝叶健壮；观花植物适时开花。达标率＞95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81109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95" w:hRule="atLeast"/>
        </w:trPr>
        <w:tc>
          <w:tcPr>
            <w:tcW w:w="720" w:type="dxa"/>
            <w:vAlign w:val="center"/>
          </w:tcPr>
          <w:p w14:paraId="54BAE8B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960" w:type="dxa"/>
            <w:vAlign w:val="center"/>
          </w:tcPr>
          <w:p w14:paraId="6615E51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783" w:type="dxa"/>
            <w:vAlign w:val="center"/>
          </w:tcPr>
          <w:p w14:paraId="782F782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乔灌木按设计要求修剪并保持一定形状，同路段同品种的树冠形状、大小基本一致，树型优美，线条流畅。一般乔木修剪要求维持树种特征，树冠优美，树体无病虫枝、过密枝、交叉枝、低垂枝、伤残枝，无钉挂物、缠绕物。一般孤植灌木按要求养成观花或观叶形态，树型美观，无枯枝，同一品种的物候、高度基本一致；无死树、残桩头，修剪的枝叶及时清理。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4DFEF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95" w:hRule="atLeast"/>
        </w:trPr>
        <w:tc>
          <w:tcPr>
            <w:tcW w:w="720" w:type="dxa"/>
            <w:vAlign w:val="center"/>
          </w:tcPr>
          <w:p w14:paraId="6CFBDEE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960" w:type="dxa"/>
            <w:vAlign w:val="center"/>
          </w:tcPr>
          <w:p w14:paraId="4ABC45A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定干高度</w:t>
            </w:r>
          </w:p>
        </w:tc>
        <w:tc>
          <w:tcPr>
            <w:tcW w:w="7783" w:type="dxa"/>
            <w:vAlign w:val="center"/>
          </w:tcPr>
          <w:p w14:paraId="7D5343F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树木的定干高度和枝下高不能影响车辆行驶及行人安全。位于人行道和非机动车车行道边的行道树，胸径在5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cm～9</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cm的阔叶树小乔木定干高度不应低于2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m；其它乔木的定干高度不应低于2.5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m，枝下高不应低于3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m。位于机动车车行道边的行道树定干高度不应低于2.5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m，伸出车行道路上方的枝条距离路面高度不应低于4.5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91403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55" w:hRule="atLeast"/>
        </w:trPr>
        <w:tc>
          <w:tcPr>
            <w:tcW w:w="720" w:type="dxa"/>
            <w:vAlign w:val="center"/>
          </w:tcPr>
          <w:p w14:paraId="60DC2D4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960" w:type="dxa"/>
            <w:vAlign w:val="center"/>
          </w:tcPr>
          <w:p w14:paraId="2DB12D0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783" w:type="dxa"/>
            <w:vAlign w:val="center"/>
          </w:tcPr>
          <w:p w14:paraId="72DEA3D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穴有条件的应满植地被，且树穴地被生长良好，整齐规范，不缠绕树木，无明显杂草、杂物；不宜种植地被的树穴，盘面应略低于路面，定期松土、除杂；新植乔木的树穴，无明显杂草杂物，土壤疏松通透。达标率＞95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783F0F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55" w:hRule="atLeast"/>
        </w:trPr>
        <w:tc>
          <w:tcPr>
            <w:tcW w:w="720" w:type="dxa"/>
            <w:vAlign w:val="center"/>
          </w:tcPr>
          <w:p w14:paraId="5E8E948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960" w:type="dxa"/>
            <w:vAlign w:val="center"/>
          </w:tcPr>
          <w:p w14:paraId="7F34CDC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3745C07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7783" w:type="dxa"/>
            <w:vAlign w:val="center"/>
          </w:tcPr>
          <w:p w14:paraId="17A8B10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基本无危害迹象；病虫总为害率＜10</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，其中蛀干、根部害虫、食叶性害虫＜5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9DDFAD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55" w:hRule="atLeast"/>
        </w:trPr>
        <w:tc>
          <w:tcPr>
            <w:tcW w:w="720" w:type="dxa"/>
            <w:vAlign w:val="center"/>
          </w:tcPr>
          <w:p w14:paraId="0DBC25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960" w:type="dxa"/>
            <w:vAlign w:val="center"/>
          </w:tcPr>
          <w:p w14:paraId="3C25B188">
            <w:pPr>
              <w:keepNext w:val="0"/>
              <w:keepLines w:val="0"/>
              <w:pageBreakBefore w:val="0"/>
              <w:kinsoku/>
              <w:topLinePunct w:val="0"/>
              <w:bidi w:val="0"/>
              <w:adjustRightInd/>
              <w:snapToGrid/>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防护设施</w:t>
            </w:r>
          </w:p>
        </w:tc>
        <w:tc>
          <w:tcPr>
            <w:tcW w:w="7783" w:type="dxa"/>
            <w:vAlign w:val="center"/>
          </w:tcPr>
          <w:p w14:paraId="0882A18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对有安全隐患的行道树必须设置防护设施；防护设施稳固、完好，整齐、美观。达标率＞95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26290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55" w:hRule="atLeast"/>
        </w:trPr>
        <w:tc>
          <w:tcPr>
            <w:tcW w:w="720" w:type="dxa"/>
            <w:tcBorders>
              <w:left w:val="single" w:color="auto" w:sz="12" w:space="0"/>
              <w:bottom w:val="single" w:color="auto" w:sz="8" w:space="0"/>
            </w:tcBorders>
            <w:vAlign w:val="center"/>
          </w:tcPr>
          <w:p w14:paraId="699499A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960" w:type="dxa"/>
            <w:tcBorders>
              <w:bottom w:val="single" w:color="auto" w:sz="8" w:space="0"/>
            </w:tcBorders>
            <w:vAlign w:val="center"/>
          </w:tcPr>
          <w:p w14:paraId="630DE5F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保存率与补种</w:t>
            </w:r>
          </w:p>
        </w:tc>
        <w:tc>
          <w:tcPr>
            <w:tcW w:w="7783" w:type="dxa"/>
            <w:tcBorders>
              <w:bottom w:val="single" w:color="auto" w:sz="8" w:space="0"/>
            </w:tcBorders>
            <w:vAlign w:val="center"/>
          </w:tcPr>
          <w:p w14:paraId="27822E2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第一排行道树、分车绿带上的行道树及其间的灌木无缺株；补种的乔灌木品种、规格、株距应与同路段原种植的相同；补植苗木规格：棕榈科乔木地径＞25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cm，其它乔木胸径＞7</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 xml:space="preserve">cm。 </w:t>
            </w:r>
          </w:p>
        </w:tc>
      </w:tr>
      <w:tr w14:paraId="3E26ED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00" w:hRule="atLeast"/>
        </w:trPr>
        <w:tc>
          <w:tcPr>
            <w:tcW w:w="9463" w:type="dxa"/>
            <w:gridSpan w:val="3"/>
            <w:tcBorders>
              <w:top w:val="single" w:color="auto" w:sz="8" w:space="0"/>
              <w:left w:val="single" w:color="auto" w:sz="12" w:space="0"/>
            </w:tcBorders>
            <w:vAlign w:val="center"/>
          </w:tcPr>
          <w:p w14:paraId="7D6E26B7">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48DCC0FF">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7415A9A3">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66EF10FC">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60" w:name="_Toc17791738"/>
      <w:bookmarkStart w:id="61" w:name="_Toc421120722"/>
      <w:bookmarkStart w:id="62" w:name="_Toc17791956"/>
      <w:bookmarkStart w:id="63" w:name="_Toc26176037"/>
      <w:bookmarkStart w:id="64" w:name="_Toc17792018"/>
      <w:bookmarkStart w:id="65" w:name="_Toc26175948"/>
      <w:r>
        <w:rPr>
          <w:rFonts w:hint="eastAsia" w:ascii="宋体" w:hAnsi="宋体" w:eastAsia="宋体" w:cs="宋体"/>
          <w:color w:val="auto"/>
          <w:sz w:val="24"/>
          <w:szCs w:val="24"/>
          <w:highlight w:val="none"/>
        </w:rPr>
        <w:t>二级行道树养护质量要求</w:t>
      </w:r>
      <w:bookmarkEnd w:id="60"/>
      <w:bookmarkEnd w:id="61"/>
      <w:bookmarkEnd w:id="62"/>
      <w:bookmarkEnd w:id="63"/>
      <w:bookmarkEnd w:id="64"/>
      <w:bookmarkEnd w:id="65"/>
    </w:p>
    <w:p w14:paraId="1A604414">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应符合表A.8的规定。</w:t>
      </w:r>
    </w:p>
    <w:p w14:paraId="4CF09580">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表A.8 二级行道树养护质量要求表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975"/>
        <w:gridCol w:w="6774"/>
      </w:tblGrid>
      <w:tr w14:paraId="31103F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4" w:hRule="atLeast"/>
        </w:trPr>
        <w:tc>
          <w:tcPr>
            <w:tcW w:w="696" w:type="dxa"/>
            <w:tcBorders>
              <w:bottom w:val="single" w:color="auto" w:sz="12" w:space="0"/>
            </w:tcBorders>
            <w:vAlign w:val="center"/>
          </w:tcPr>
          <w:p w14:paraId="47572CC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75" w:type="dxa"/>
            <w:tcBorders>
              <w:bottom w:val="single" w:color="auto" w:sz="12" w:space="0"/>
            </w:tcBorders>
            <w:vAlign w:val="center"/>
          </w:tcPr>
          <w:p w14:paraId="0C0492F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6774" w:type="dxa"/>
            <w:tcBorders>
              <w:bottom w:val="single" w:color="auto" w:sz="12" w:space="0"/>
            </w:tcBorders>
            <w:vAlign w:val="center"/>
          </w:tcPr>
          <w:p w14:paraId="2750795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1EE8EF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5" w:hRule="atLeast"/>
        </w:trPr>
        <w:tc>
          <w:tcPr>
            <w:tcW w:w="696" w:type="dxa"/>
            <w:tcBorders>
              <w:top w:val="single" w:color="auto" w:sz="12" w:space="0"/>
            </w:tcBorders>
            <w:vAlign w:val="center"/>
          </w:tcPr>
          <w:p w14:paraId="7B3C18F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975" w:type="dxa"/>
            <w:tcBorders>
              <w:top w:val="single" w:color="auto" w:sz="12" w:space="0"/>
            </w:tcBorders>
            <w:vAlign w:val="center"/>
          </w:tcPr>
          <w:p w14:paraId="4018AE6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6774" w:type="dxa"/>
            <w:tcBorders>
              <w:top w:val="single" w:color="auto" w:sz="12" w:space="0"/>
            </w:tcBorders>
            <w:vAlign w:val="center"/>
          </w:tcPr>
          <w:p w14:paraId="71F2B4F1">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同一路段的第一排行道树、分车绿带上的行道树及其间的灌木，同品种的树型与高度基本一致；树体基本干净，无明显积尘；具有较好的整体观赏效果。</w:t>
            </w:r>
          </w:p>
        </w:tc>
      </w:tr>
      <w:tr w14:paraId="183479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1" w:hRule="atLeast"/>
        </w:trPr>
        <w:tc>
          <w:tcPr>
            <w:tcW w:w="696" w:type="dxa"/>
            <w:vAlign w:val="center"/>
          </w:tcPr>
          <w:p w14:paraId="74D229E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975" w:type="dxa"/>
            <w:vAlign w:val="center"/>
          </w:tcPr>
          <w:p w14:paraId="5A7C3F9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6774" w:type="dxa"/>
            <w:vAlign w:val="center"/>
          </w:tcPr>
          <w:p w14:paraId="6C83344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生长良好，符合物候状况，枝叶健壮，树体正直不偏斜，观花植物适时开花。达标率＞90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C7DF7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45" w:hRule="atLeast"/>
        </w:trPr>
        <w:tc>
          <w:tcPr>
            <w:tcW w:w="696" w:type="dxa"/>
            <w:vAlign w:val="center"/>
          </w:tcPr>
          <w:p w14:paraId="48558B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975" w:type="dxa"/>
            <w:vAlign w:val="center"/>
          </w:tcPr>
          <w:p w14:paraId="2522A7D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6774" w:type="dxa"/>
            <w:vAlign w:val="center"/>
          </w:tcPr>
          <w:p w14:paraId="47FB2BA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乔灌木按要求修剪并保持一定形状，同路段同品种的树冠形状、大小基本一致，树型良好，线条流畅；一般乔木修剪要求维持树种特征，树冠匀称，分枝合理，基本无病虫枝、过密枝、交叉枝、低垂枝、伤残枝，无明显钉挂物、缠绕物；一般孤植灌木按要求养成观花或观叶形态，树型良好，无枯枝，同品种的植株高度基本一致；无死树、残桩头，修剪的枝叶及时清理。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1D732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45" w:hRule="atLeast"/>
        </w:trPr>
        <w:tc>
          <w:tcPr>
            <w:tcW w:w="696" w:type="dxa"/>
            <w:vAlign w:val="center"/>
          </w:tcPr>
          <w:p w14:paraId="36AFF0F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975" w:type="dxa"/>
            <w:vAlign w:val="center"/>
          </w:tcPr>
          <w:p w14:paraId="45AEFE7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定干高度</w:t>
            </w:r>
          </w:p>
        </w:tc>
        <w:tc>
          <w:tcPr>
            <w:tcW w:w="6774" w:type="dxa"/>
            <w:vAlign w:val="center"/>
          </w:tcPr>
          <w:p w14:paraId="1B197FB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树木的定干高度和枝下高不能影响车辆行驶及行人安全。位于人行道和非机动车车行道边的行道树，胸径在5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cm～9</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cm的阔叶小乔木定干高度不应低于2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m；其它乔木的定干高度不应低于2.5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m，枝下高不应低于3m。位于机动车车行道边的行道树定干高度不应低于2.5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m，伸出车行道路上方的枝条距离路面高度不应低于4.5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m。达标率＞90%。</w:t>
            </w:r>
          </w:p>
        </w:tc>
      </w:tr>
      <w:tr w14:paraId="66F9D9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20" w:hRule="atLeast"/>
        </w:trPr>
        <w:tc>
          <w:tcPr>
            <w:tcW w:w="696" w:type="dxa"/>
            <w:vAlign w:val="center"/>
          </w:tcPr>
          <w:p w14:paraId="4908890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975" w:type="dxa"/>
            <w:vAlign w:val="center"/>
          </w:tcPr>
          <w:p w14:paraId="5FB9BB4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6774" w:type="dxa"/>
            <w:vAlign w:val="center"/>
          </w:tcPr>
          <w:p w14:paraId="2B63F18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穴有条件的应满植地被，且树穴地被生长良好，基本整齐，不缠绕树木，无明显杂草、杂物。不宜种植地被的树穴盘面应略低于路面，无明显杂草、杂物，新植乔木的树穴，无明显杂草杂物，土壤疏松通透。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B94D5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20" w:hRule="atLeast"/>
        </w:trPr>
        <w:tc>
          <w:tcPr>
            <w:tcW w:w="696" w:type="dxa"/>
            <w:vAlign w:val="center"/>
          </w:tcPr>
          <w:p w14:paraId="0BB0EEF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975" w:type="dxa"/>
            <w:vAlign w:val="center"/>
          </w:tcPr>
          <w:p w14:paraId="1CF7B77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67CD805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6774" w:type="dxa"/>
            <w:vAlign w:val="center"/>
          </w:tcPr>
          <w:p w14:paraId="12708F15">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无明显危害迹象；总的病虫为害率＜15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，其中蛀干、根部害虫＜5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，食叶害虫＜15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8F337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20" w:hRule="atLeast"/>
        </w:trPr>
        <w:tc>
          <w:tcPr>
            <w:tcW w:w="696" w:type="dxa"/>
            <w:vAlign w:val="center"/>
          </w:tcPr>
          <w:p w14:paraId="1BCC5BA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975" w:type="dxa"/>
            <w:vAlign w:val="center"/>
          </w:tcPr>
          <w:p w14:paraId="590445E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防护设施</w:t>
            </w:r>
          </w:p>
        </w:tc>
        <w:tc>
          <w:tcPr>
            <w:tcW w:w="6774" w:type="dxa"/>
            <w:vAlign w:val="center"/>
          </w:tcPr>
          <w:p w14:paraId="485CACF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对有安全隐患的行道树必须设置防护设施；防护设施稳固、完好，整齐、美观。达标率＞90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ED9C5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20" w:hRule="atLeast"/>
        </w:trPr>
        <w:tc>
          <w:tcPr>
            <w:tcW w:w="696" w:type="dxa"/>
            <w:tcBorders>
              <w:bottom w:val="single" w:color="auto" w:sz="8" w:space="0"/>
            </w:tcBorders>
            <w:vAlign w:val="center"/>
          </w:tcPr>
          <w:p w14:paraId="3B0D7B5F">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八</w:t>
            </w:r>
          </w:p>
        </w:tc>
        <w:tc>
          <w:tcPr>
            <w:tcW w:w="975" w:type="dxa"/>
            <w:tcBorders>
              <w:bottom w:val="single" w:color="auto" w:sz="8" w:space="0"/>
            </w:tcBorders>
            <w:vAlign w:val="center"/>
          </w:tcPr>
          <w:p w14:paraId="0D90E07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保存率与补种</w:t>
            </w:r>
          </w:p>
        </w:tc>
        <w:tc>
          <w:tcPr>
            <w:tcW w:w="6774" w:type="dxa"/>
            <w:tcBorders>
              <w:bottom w:val="single" w:color="auto" w:sz="8" w:space="0"/>
            </w:tcBorders>
            <w:vAlign w:val="center"/>
          </w:tcPr>
          <w:p w14:paraId="5F51283F">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第一排行道树以及分车绿带上的行道树基本无缺株，缺株率＜1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；其它乔灌木缺株率＜3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；补种的乔灌木品种、规格、株距应与同路段原种植的相同；补植苗木规格：棕榈科乔木地径＞20㎝，其它乔木胸径＞6㎝。</w:t>
            </w:r>
          </w:p>
        </w:tc>
      </w:tr>
      <w:tr w14:paraId="1D0C624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56" w:hRule="atLeast"/>
        </w:trPr>
        <w:tc>
          <w:tcPr>
            <w:tcW w:w="8445" w:type="dxa"/>
            <w:gridSpan w:val="3"/>
            <w:tcBorders>
              <w:top w:val="single" w:color="auto" w:sz="8" w:space="0"/>
            </w:tcBorders>
            <w:vAlign w:val="center"/>
          </w:tcPr>
          <w:p w14:paraId="7143E64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78B3077E">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66" w:name="_Toc421120723"/>
      <w:bookmarkStart w:id="67" w:name="_Toc17792019"/>
      <w:bookmarkStart w:id="68" w:name="_Toc26175949"/>
      <w:bookmarkStart w:id="69" w:name="_Toc26176038"/>
      <w:bookmarkStart w:id="70" w:name="_Toc17791957"/>
      <w:bookmarkStart w:id="71" w:name="_Toc17791739"/>
      <w:r>
        <w:rPr>
          <w:rFonts w:hint="eastAsia" w:ascii="宋体" w:hAnsi="宋体" w:eastAsia="宋体" w:cs="宋体"/>
          <w:color w:val="auto"/>
          <w:sz w:val="24"/>
          <w:szCs w:val="24"/>
          <w:highlight w:val="none"/>
        </w:rPr>
        <w:t>三级行道树养护质量要求</w:t>
      </w:r>
      <w:bookmarkEnd w:id="66"/>
      <w:bookmarkEnd w:id="67"/>
      <w:bookmarkEnd w:id="68"/>
      <w:bookmarkEnd w:id="69"/>
      <w:bookmarkEnd w:id="70"/>
      <w:bookmarkEnd w:id="71"/>
    </w:p>
    <w:p w14:paraId="0F8B9D5B">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应符合表A.9的规定。</w:t>
      </w:r>
    </w:p>
    <w:p w14:paraId="11C5953F">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表A.9  三级行道树养护质量要求表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67"/>
        <w:gridCol w:w="907"/>
        <w:gridCol w:w="6840"/>
      </w:tblGrid>
      <w:tr w14:paraId="6156CE2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0" w:hRule="atLeast"/>
        </w:trPr>
        <w:tc>
          <w:tcPr>
            <w:tcW w:w="667" w:type="dxa"/>
            <w:tcBorders>
              <w:bottom w:val="single" w:color="auto" w:sz="12" w:space="0"/>
            </w:tcBorders>
            <w:vAlign w:val="center"/>
          </w:tcPr>
          <w:p w14:paraId="1B1827E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07" w:type="dxa"/>
            <w:tcBorders>
              <w:bottom w:val="single" w:color="auto" w:sz="12" w:space="0"/>
            </w:tcBorders>
            <w:vAlign w:val="center"/>
          </w:tcPr>
          <w:p w14:paraId="284205BD">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w:t>
            </w:r>
          </w:p>
        </w:tc>
        <w:tc>
          <w:tcPr>
            <w:tcW w:w="6840" w:type="dxa"/>
            <w:tcBorders>
              <w:bottom w:val="single" w:color="auto" w:sz="12" w:space="0"/>
            </w:tcBorders>
            <w:vAlign w:val="center"/>
          </w:tcPr>
          <w:p w14:paraId="1FA12B4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14EEBA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667" w:type="dxa"/>
            <w:tcBorders>
              <w:top w:val="single" w:color="auto" w:sz="12" w:space="0"/>
            </w:tcBorders>
            <w:vAlign w:val="center"/>
          </w:tcPr>
          <w:p w14:paraId="1B48B61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907" w:type="dxa"/>
            <w:tcBorders>
              <w:top w:val="single" w:color="auto" w:sz="12" w:space="0"/>
            </w:tcBorders>
            <w:vAlign w:val="center"/>
          </w:tcPr>
          <w:p w14:paraId="19CC609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6840" w:type="dxa"/>
            <w:tcBorders>
              <w:top w:val="single" w:color="auto" w:sz="12" w:space="0"/>
            </w:tcBorders>
            <w:vAlign w:val="center"/>
          </w:tcPr>
          <w:p w14:paraId="24375ADF">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同路段同品种第一排行道的树型与高度基本一致，具有绿化效果和一定的观赏效果。</w:t>
            </w:r>
          </w:p>
        </w:tc>
      </w:tr>
      <w:tr w14:paraId="431F3F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667" w:type="dxa"/>
            <w:vAlign w:val="center"/>
          </w:tcPr>
          <w:p w14:paraId="0C55FB5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907" w:type="dxa"/>
            <w:vAlign w:val="center"/>
          </w:tcPr>
          <w:p w14:paraId="37017A9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6840" w:type="dxa"/>
            <w:vAlign w:val="center"/>
          </w:tcPr>
          <w:p w14:paraId="0B5BDDE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生长良好，符合物候状况，枝叶健壮，树体正直不偏斜。达标率＞85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A5C09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667" w:type="dxa"/>
            <w:vAlign w:val="center"/>
          </w:tcPr>
          <w:p w14:paraId="3E753E3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907" w:type="dxa"/>
            <w:vAlign w:val="center"/>
          </w:tcPr>
          <w:p w14:paraId="1CAF5C2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6840" w:type="dxa"/>
            <w:vAlign w:val="center"/>
          </w:tcPr>
          <w:p w14:paraId="7A6AB10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修剪能保持树种本来特征，树冠匀称，分枝合理，无明显病虫枝、过密枝、交叉枝、低垂枝、干枯枝、伤残枝，无明显钉挂物、缠绕物；无死树、残桩头，修剪的枝叶及时清理。达标率＞85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0D663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10" w:hRule="atLeast"/>
        </w:trPr>
        <w:tc>
          <w:tcPr>
            <w:tcW w:w="667" w:type="dxa"/>
            <w:vAlign w:val="center"/>
          </w:tcPr>
          <w:p w14:paraId="6D64CE2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907" w:type="dxa"/>
            <w:vAlign w:val="center"/>
          </w:tcPr>
          <w:p w14:paraId="3F1E5BC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定干高度</w:t>
            </w:r>
          </w:p>
        </w:tc>
        <w:tc>
          <w:tcPr>
            <w:tcW w:w="6840" w:type="dxa"/>
            <w:vAlign w:val="center"/>
          </w:tcPr>
          <w:p w14:paraId="048506A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树木的定干高度和枝下高不能影响车辆行驶及行人安全。位于人行道和非机动车车行道边的行道树，胸径在5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cm～9</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cm的阔叶树小乔木定干高度不低于2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m；其它乔木的定干高度不低于2.5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m，枝下高不低于3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m。位于机动车车行道边的行道树定干高度不低于2.5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m，伸出车行道路上方的枝条距离路面高度不应低于4.5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29152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0" w:hRule="atLeast"/>
        </w:trPr>
        <w:tc>
          <w:tcPr>
            <w:tcW w:w="667" w:type="dxa"/>
            <w:vAlign w:val="center"/>
          </w:tcPr>
          <w:p w14:paraId="01B4188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907" w:type="dxa"/>
            <w:vAlign w:val="center"/>
          </w:tcPr>
          <w:p w14:paraId="10289BA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6840" w:type="dxa"/>
            <w:vAlign w:val="center"/>
          </w:tcPr>
          <w:p w14:paraId="3CFFD17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穴有条件的应满植地被，并要求树穴地被生地被长良好，基本整齐，不缠绕树木，无明显杂草、杂物。不宜种植的树穴盘面应略低于路面，无明显杂草、杂物，新植乔木的树穴，无明显杂草杂物，且土壤应疏松通透。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5BCD2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79" w:hRule="atLeast"/>
        </w:trPr>
        <w:tc>
          <w:tcPr>
            <w:tcW w:w="667" w:type="dxa"/>
            <w:vAlign w:val="center"/>
          </w:tcPr>
          <w:p w14:paraId="4DAAB3C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907" w:type="dxa"/>
            <w:vAlign w:val="center"/>
          </w:tcPr>
          <w:p w14:paraId="6A08D56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49E0158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6840" w:type="dxa"/>
            <w:vAlign w:val="center"/>
          </w:tcPr>
          <w:p w14:paraId="51552CF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无严重病虫危害迹象；病虫为害率＜25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，其中蛀干、根部害虫＜10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，食叶害虫＜15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35A38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29" w:hRule="atLeast"/>
        </w:trPr>
        <w:tc>
          <w:tcPr>
            <w:tcW w:w="667" w:type="dxa"/>
            <w:vAlign w:val="center"/>
          </w:tcPr>
          <w:p w14:paraId="2D6F824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907" w:type="dxa"/>
            <w:vAlign w:val="center"/>
          </w:tcPr>
          <w:p w14:paraId="7BD6D6A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防护设施</w:t>
            </w:r>
          </w:p>
        </w:tc>
        <w:tc>
          <w:tcPr>
            <w:tcW w:w="6840" w:type="dxa"/>
            <w:vAlign w:val="center"/>
          </w:tcPr>
          <w:p w14:paraId="54CDE70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对有安全隐患的行道树必须设置防护设施；防护设施稳固、完好。达标率＞90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E75FE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0" w:hRule="atLeast"/>
        </w:trPr>
        <w:tc>
          <w:tcPr>
            <w:tcW w:w="667" w:type="dxa"/>
            <w:tcBorders>
              <w:bottom w:val="single" w:color="auto" w:sz="8" w:space="0"/>
            </w:tcBorders>
            <w:vAlign w:val="center"/>
          </w:tcPr>
          <w:p w14:paraId="032AD1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907" w:type="dxa"/>
            <w:tcBorders>
              <w:bottom w:val="single" w:color="auto" w:sz="8" w:space="0"/>
            </w:tcBorders>
            <w:vAlign w:val="center"/>
          </w:tcPr>
          <w:p w14:paraId="1782AB3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保存率与补种</w:t>
            </w:r>
          </w:p>
        </w:tc>
        <w:tc>
          <w:tcPr>
            <w:tcW w:w="6840" w:type="dxa"/>
            <w:tcBorders>
              <w:bottom w:val="single" w:color="auto" w:sz="8" w:space="0"/>
            </w:tcBorders>
            <w:vAlign w:val="center"/>
          </w:tcPr>
          <w:p w14:paraId="6DEE168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人行道第一排行道树基本无缺株，人行道第一排行道树缺株率＜5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；补植的乔木品种、规格、株距应与同路段原种植的基本相同；补植苗木规格：棕榈科乔木地径＞20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cm，其它乔木胸径＞5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w:t>
            </w:r>
          </w:p>
        </w:tc>
      </w:tr>
      <w:tr w14:paraId="3C760F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15" w:hRule="atLeast"/>
        </w:trPr>
        <w:tc>
          <w:tcPr>
            <w:tcW w:w="8414" w:type="dxa"/>
            <w:gridSpan w:val="3"/>
            <w:tcBorders>
              <w:top w:val="single" w:color="auto" w:sz="8" w:space="0"/>
              <w:bottom w:val="single" w:color="auto" w:sz="8" w:space="0"/>
            </w:tcBorders>
            <w:vAlign w:val="center"/>
          </w:tcPr>
          <w:p w14:paraId="209B30E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2E5C85C7">
      <w:pPr>
        <w:pStyle w:val="39"/>
        <w:keepNext w:val="0"/>
        <w:keepLines w:val="0"/>
        <w:pageBreakBefore w:val="0"/>
        <w:numPr>
          <w:ilvl w:val="0"/>
          <w:numId w:val="0"/>
        </w:numPr>
        <w:kinsoku/>
        <w:topLinePunct w:val="0"/>
        <w:bidi w:val="0"/>
        <w:adjustRightInd/>
        <w:snapToGrid/>
        <w:spacing w:beforeLines="0" w:afterLines="0" w:line="360" w:lineRule="auto"/>
        <w:outlineLvl w:val="9"/>
        <w:rPr>
          <w:rFonts w:hint="eastAsia" w:ascii="宋体" w:hAnsi="宋体" w:eastAsia="宋体" w:cs="宋体"/>
          <w:color w:val="auto"/>
          <w:sz w:val="24"/>
          <w:szCs w:val="24"/>
          <w:highlight w:val="none"/>
        </w:rPr>
      </w:pPr>
      <w:bookmarkStart w:id="72" w:name="_Toc421120724"/>
    </w:p>
    <w:p w14:paraId="096DE759">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73" w:name="_Toc17791740"/>
      <w:bookmarkStart w:id="74" w:name="_Toc26176039"/>
      <w:bookmarkStart w:id="75" w:name="_Toc26175950"/>
      <w:bookmarkStart w:id="76" w:name="_Toc17791958"/>
      <w:bookmarkStart w:id="77" w:name="_Toc17792020"/>
      <w:r>
        <w:rPr>
          <w:rFonts w:hint="eastAsia" w:ascii="宋体" w:hAnsi="宋体" w:eastAsia="宋体" w:cs="宋体"/>
          <w:color w:val="auto"/>
          <w:sz w:val="24"/>
          <w:szCs w:val="24"/>
          <w:highlight w:val="none"/>
        </w:rPr>
        <w:t>一级花坛养护质量要求</w:t>
      </w:r>
      <w:bookmarkEnd w:id="72"/>
      <w:bookmarkEnd w:id="73"/>
      <w:bookmarkEnd w:id="74"/>
      <w:bookmarkEnd w:id="75"/>
      <w:bookmarkEnd w:id="76"/>
      <w:bookmarkEnd w:id="77"/>
    </w:p>
    <w:p w14:paraId="5946639F">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应符合表A.10的规定。</w:t>
      </w:r>
    </w:p>
    <w:p w14:paraId="1F01235E">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表A.10一级花坛养护质量要求表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5"/>
        <w:gridCol w:w="1361"/>
        <w:gridCol w:w="7129"/>
      </w:tblGrid>
      <w:tr w14:paraId="0320BC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855" w:type="dxa"/>
            <w:tcBorders>
              <w:bottom w:val="single" w:color="auto" w:sz="12" w:space="0"/>
            </w:tcBorders>
            <w:vAlign w:val="center"/>
          </w:tcPr>
          <w:p w14:paraId="7DC54BE6">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361" w:type="dxa"/>
            <w:tcBorders>
              <w:bottom w:val="single" w:color="auto" w:sz="12" w:space="0"/>
            </w:tcBorders>
            <w:vAlign w:val="center"/>
          </w:tcPr>
          <w:p w14:paraId="75E8E5B9">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7129" w:type="dxa"/>
            <w:tcBorders>
              <w:bottom w:val="single" w:color="auto" w:sz="12" w:space="0"/>
            </w:tcBorders>
            <w:vAlign w:val="center"/>
          </w:tcPr>
          <w:p w14:paraId="538B801D">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质量要求</w:t>
            </w:r>
          </w:p>
        </w:tc>
      </w:tr>
      <w:tr w14:paraId="09081A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7" w:hRule="atLeast"/>
        </w:trPr>
        <w:tc>
          <w:tcPr>
            <w:tcW w:w="855" w:type="dxa"/>
            <w:tcBorders>
              <w:top w:val="single" w:color="auto" w:sz="12" w:space="0"/>
            </w:tcBorders>
            <w:vAlign w:val="center"/>
          </w:tcPr>
          <w:p w14:paraId="0045C27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361" w:type="dxa"/>
            <w:tcBorders>
              <w:top w:val="single" w:color="auto" w:sz="12" w:space="0"/>
            </w:tcBorders>
            <w:vAlign w:val="center"/>
          </w:tcPr>
          <w:p w14:paraId="4413F56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129" w:type="dxa"/>
            <w:tcBorders>
              <w:top w:val="single" w:color="auto" w:sz="12" w:space="0"/>
            </w:tcBorders>
            <w:vAlign w:val="center"/>
          </w:tcPr>
          <w:p w14:paraId="037569C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花坛布置主题鲜明，花卉、饰物、设施、环境等配置相互协调；色彩搭配层次处理得当，色块分界明显，线条流畅，同一色块顶面高度保持一致，整体观赏效果优良。</w:t>
            </w:r>
          </w:p>
        </w:tc>
      </w:tr>
      <w:tr w14:paraId="46DA61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14" w:hRule="atLeast"/>
        </w:trPr>
        <w:tc>
          <w:tcPr>
            <w:tcW w:w="855" w:type="dxa"/>
            <w:vAlign w:val="center"/>
          </w:tcPr>
          <w:p w14:paraId="542A1CF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361" w:type="dxa"/>
            <w:vAlign w:val="center"/>
          </w:tcPr>
          <w:p w14:paraId="76B1636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花卉生长</w:t>
            </w:r>
          </w:p>
        </w:tc>
        <w:tc>
          <w:tcPr>
            <w:tcW w:w="7129" w:type="dxa"/>
            <w:vAlign w:val="center"/>
          </w:tcPr>
          <w:p w14:paraId="60EF79E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植株健壮，叶的形状、大小、色泽正常，开花整齐、应时，花型正，花色艳，花期达至规定要求。达标率＞95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E912E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trPr>
        <w:tc>
          <w:tcPr>
            <w:tcW w:w="855" w:type="dxa"/>
            <w:vAlign w:val="center"/>
          </w:tcPr>
          <w:p w14:paraId="6CDF96D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361" w:type="dxa"/>
            <w:vAlign w:val="center"/>
          </w:tcPr>
          <w:p w14:paraId="1B2D5B1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29" w:type="dxa"/>
            <w:vAlign w:val="center"/>
          </w:tcPr>
          <w:p w14:paraId="07664735">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无残花、枯枝、黄叶，无杂草，无倒伏现象，花坛同一色块顶面高度保持一致，保持良好的观赏效果。达标率＞95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CB8DC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1" w:hRule="atLeast"/>
        </w:trPr>
        <w:tc>
          <w:tcPr>
            <w:tcW w:w="855" w:type="dxa"/>
            <w:vAlign w:val="center"/>
          </w:tcPr>
          <w:p w14:paraId="6185990B">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四</w:t>
            </w:r>
          </w:p>
        </w:tc>
        <w:tc>
          <w:tcPr>
            <w:tcW w:w="1361" w:type="dxa"/>
            <w:vAlign w:val="center"/>
          </w:tcPr>
          <w:p w14:paraId="2ADE00E9">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病虫害控制</w:t>
            </w:r>
          </w:p>
        </w:tc>
        <w:tc>
          <w:tcPr>
            <w:tcW w:w="7129" w:type="dxa"/>
            <w:vAlign w:val="center"/>
          </w:tcPr>
          <w:p w14:paraId="0F59D203">
            <w:pPr>
              <w:pStyle w:val="41"/>
              <w:keepNext w:val="0"/>
              <w:keepLines w:val="0"/>
              <w:pageBreakBefore w:val="0"/>
              <w:widowControl w:val="0"/>
              <w:kinsoku/>
              <w:topLinePunct w:val="0"/>
              <w:bidi w:val="0"/>
              <w:adjustRightInd/>
              <w:snapToGrid/>
              <w:spacing w:before="0" w:line="360" w:lineRule="auto"/>
              <w:ind w:firstLine="480" w:firstLineChars="200"/>
              <w:jc w:val="both"/>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无明显危害迹象；总的病虫为害率＜5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w:t>
            </w:r>
          </w:p>
        </w:tc>
      </w:tr>
      <w:tr w14:paraId="48505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62" w:hRule="atLeast"/>
        </w:trPr>
        <w:tc>
          <w:tcPr>
            <w:tcW w:w="855" w:type="dxa"/>
            <w:vAlign w:val="center"/>
          </w:tcPr>
          <w:p w14:paraId="3BBFCA4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361" w:type="dxa"/>
            <w:vAlign w:val="center"/>
          </w:tcPr>
          <w:p w14:paraId="216B2D5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补种与</w:t>
            </w:r>
          </w:p>
          <w:p w14:paraId="35ED540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更换</w:t>
            </w:r>
          </w:p>
        </w:tc>
        <w:tc>
          <w:tcPr>
            <w:tcW w:w="7129" w:type="dxa"/>
            <w:vAlign w:val="center"/>
          </w:tcPr>
          <w:p w14:paraId="2E147D8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花坛应黄土裸露、缺株和萎蔫现象。存在黄土裸露、缺株和萎蔫现象时应及时补种和更换。更换时边缘土面低于花坛边缘石顶5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cm～7</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cm，同一色块的顶面保持一致。达标率＞98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65830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855" w:type="dxa"/>
            <w:vAlign w:val="center"/>
          </w:tcPr>
          <w:p w14:paraId="5CCA997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361" w:type="dxa"/>
            <w:vAlign w:val="center"/>
          </w:tcPr>
          <w:p w14:paraId="2ACDDDF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w:t>
            </w:r>
          </w:p>
        </w:tc>
        <w:tc>
          <w:tcPr>
            <w:tcW w:w="7129" w:type="dxa"/>
            <w:vAlign w:val="center"/>
          </w:tcPr>
          <w:p w14:paraId="77D322B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设施稳固、整洁、完好，与花坛协调美观。饰物和雕塑等应安全、美观。</w:t>
            </w:r>
          </w:p>
        </w:tc>
      </w:tr>
      <w:tr w14:paraId="4A8B5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9" w:hRule="atLeast"/>
        </w:trPr>
        <w:tc>
          <w:tcPr>
            <w:tcW w:w="855" w:type="dxa"/>
            <w:tcBorders>
              <w:bottom w:val="single" w:color="auto" w:sz="8" w:space="0"/>
            </w:tcBorders>
            <w:vAlign w:val="center"/>
          </w:tcPr>
          <w:p w14:paraId="36DE35D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361" w:type="dxa"/>
            <w:tcBorders>
              <w:bottom w:val="single" w:color="auto" w:sz="8" w:space="0"/>
            </w:tcBorders>
            <w:vAlign w:val="center"/>
          </w:tcPr>
          <w:p w14:paraId="337E44C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29" w:type="dxa"/>
            <w:tcBorders>
              <w:bottom w:val="single" w:color="auto" w:sz="8" w:space="0"/>
            </w:tcBorders>
            <w:vAlign w:val="center"/>
          </w:tcPr>
          <w:p w14:paraId="56BD577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无垃圾，无泥土散落、污染道路和周围环境现象；假花、饰物无散落现象。达标率＞98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2DE8D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26" w:hRule="atLeast"/>
        </w:trPr>
        <w:tc>
          <w:tcPr>
            <w:tcW w:w="9345" w:type="dxa"/>
            <w:gridSpan w:val="3"/>
            <w:tcBorders>
              <w:top w:val="single" w:color="auto" w:sz="8" w:space="0"/>
            </w:tcBorders>
            <w:vAlign w:val="center"/>
          </w:tcPr>
          <w:p w14:paraId="74FD5F9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6A9D08C5">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54BA5523">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2004D43E">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1FC451AE">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78" w:name="_Toc26175951"/>
      <w:bookmarkStart w:id="79" w:name="_Toc421120725"/>
      <w:bookmarkStart w:id="80" w:name="_Toc17792021"/>
      <w:bookmarkStart w:id="81" w:name="_Toc17791959"/>
      <w:bookmarkStart w:id="82" w:name="_Toc17791741"/>
      <w:bookmarkStart w:id="83" w:name="_Toc26176040"/>
      <w:r>
        <w:rPr>
          <w:rFonts w:hint="eastAsia" w:ascii="宋体" w:hAnsi="宋体" w:eastAsia="宋体" w:cs="宋体"/>
          <w:color w:val="auto"/>
          <w:sz w:val="24"/>
          <w:szCs w:val="24"/>
          <w:highlight w:val="none"/>
        </w:rPr>
        <w:t>二级花坛养护质量要求</w:t>
      </w:r>
      <w:bookmarkEnd w:id="78"/>
      <w:bookmarkEnd w:id="79"/>
      <w:bookmarkEnd w:id="80"/>
      <w:bookmarkEnd w:id="81"/>
      <w:bookmarkEnd w:id="82"/>
      <w:bookmarkEnd w:id="83"/>
    </w:p>
    <w:p w14:paraId="1C7DAE0E">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应符合表A.11的规定。</w:t>
      </w:r>
    </w:p>
    <w:p w14:paraId="5F2267C1">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表A.11 二级花坛养护质量要求表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5"/>
        <w:gridCol w:w="1361"/>
        <w:gridCol w:w="7129"/>
      </w:tblGrid>
      <w:tr w14:paraId="45F8D9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855" w:type="dxa"/>
            <w:tcBorders>
              <w:bottom w:val="single" w:color="auto" w:sz="12" w:space="0"/>
            </w:tcBorders>
            <w:vAlign w:val="center"/>
          </w:tcPr>
          <w:p w14:paraId="3032AAA6">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361" w:type="dxa"/>
            <w:tcBorders>
              <w:bottom w:val="single" w:color="auto" w:sz="12" w:space="0"/>
            </w:tcBorders>
            <w:vAlign w:val="center"/>
          </w:tcPr>
          <w:p w14:paraId="5E7B3E62">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w:t>
            </w:r>
          </w:p>
        </w:tc>
        <w:tc>
          <w:tcPr>
            <w:tcW w:w="7129" w:type="dxa"/>
            <w:tcBorders>
              <w:bottom w:val="single" w:color="auto" w:sz="12" w:space="0"/>
            </w:tcBorders>
            <w:vAlign w:val="center"/>
          </w:tcPr>
          <w:p w14:paraId="579FDBFB">
            <w:pPr>
              <w:keepNext w:val="0"/>
              <w:keepLines w:val="0"/>
              <w:pageBreakBefore w:val="0"/>
              <w:kinsoku/>
              <w:topLinePunct w:val="0"/>
              <w:bidi w:val="0"/>
              <w:adjustRightInd/>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质量要求</w:t>
            </w:r>
          </w:p>
        </w:tc>
      </w:tr>
      <w:tr w14:paraId="00BAF9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6" w:hRule="atLeast"/>
        </w:trPr>
        <w:tc>
          <w:tcPr>
            <w:tcW w:w="855" w:type="dxa"/>
            <w:tcBorders>
              <w:top w:val="single" w:color="auto" w:sz="12" w:space="0"/>
            </w:tcBorders>
            <w:vAlign w:val="center"/>
          </w:tcPr>
          <w:p w14:paraId="488EF33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361" w:type="dxa"/>
            <w:tcBorders>
              <w:top w:val="single" w:color="auto" w:sz="12" w:space="0"/>
            </w:tcBorders>
            <w:vAlign w:val="center"/>
          </w:tcPr>
          <w:p w14:paraId="50341B7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129" w:type="dxa"/>
            <w:tcBorders>
              <w:top w:val="single" w:color="auto" w:sz="12" w:space="0"/>
            </w:tcBorders>
            <w:vAlign w:val="center"/>
          </w:tcPr>
          <w:p w14:paraId="36264D9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花卉、饰物、设施、环境等配置相互协调，花坛花卉色彩搭配与层次处理得当，色块分界明显，线条流畅，同一色块顶面高度保持一致，整体观赏效果良好。</w:t>
            </w:r>
          </w:p>
        </w:tc>
      </w:tr>
      <w:tr w14:paraId="0DBDC5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7" w:hRule="atLeast"/>
        </w:trPr>
        <w:tc>
          <w:tcPr>
            <w:tcW w:w="855" w:type="dxa"/>
            <w:vAlign w:val="center"/>
          </w:tcPr>
          <w:p w14:paraId="406FC06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361" w:type="dxa"/>
            <w:vAlign w:val="center"/>
          </w:tcPr>
          <w:p w14:paraId="47BB2FC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129" w:type="dxa"/>
            <w:vAlign w:val="center"/>
          </w:tcPr>
          <w:p w14:paraId="75524D9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植株健壮，叶的形状、大小、色泽正常，开花整齐、应时，花型正，花色艳，花期达至规定要求。达标率＞90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6F15C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trPr>
        <w:tc>
          <w:tcPr>
            <w:tcW w:w="855" w:type="dxa"/>
            <w:vAlign w:val="center"/>
          </w:tcPr>
          <w:p w14:paraId="25FD44D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361" w:type="dxa"/>
            <w:vAlign w:val="center"/>
          </w:tcPr>
          <w:p w14:paraId="7CD2E1E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29" w:type="dxa"/>
            <w:vAlign w:val="center"/>
          </w:tcPr>
          <w:p w14:paraId="2ED392F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无残花、枯枝、黄叶，基本无杂草，无倒伏现象，保持花坛同一色块顶面高度一致，保持良好的观赏效果。达标率＞90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692275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8" w:hRule="atLeast"/>
        </w:trPr>
        <w:tc>
          <w:tcPr>
            <w:tcW w:w="855" w:type="dxa"/>
            <w:vAlign w:val="center"/>
          </w:tcPr>
          <w:p w14:paraId="103E4F98">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四</w:t>
            </w:r>
          </w:p>
        </w:tc>
        <w:tc>
          <w:tcPr>
            <w:tcW w:w="1361" w:type="dxa"/>
            <w:vAlign w:val="center"/>
          </w:tcPr>
          <w:p w14:paraId="34D736C2">
            <w:pPr>
              <w:pStyle w:val="41"/>
              <w:keepNext w:val="0"/>
              <w:keepLines w:val="0"/>
              <w:pageBreakBefore w:val="0"/>
              <w:widowControl w:val="0"/>
              <w:kinsoku/>
              <w:topLinePunct w:val="0"/>
              <w:bidi w:val="0"/>
              <w:adjustRightInd/>
              <w:snapToGrid/>
              <w:spacing w:before="0"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病虫害控制</w:t>
            </w:r>
          </w:p>
        </w:tc>
        <w:tc>
          <w:tcPr>
            <w:tcW w:w="7129" w:type="dxa"/>
            <w:vAlign w:val="center"/>
          </w:tcPr>
          <w:p w14:paraId="6470421B">
            <w:pPr>
              <w:pStyle w:val="41"/>
              <w:keepNext w:val="0"/>
              <w:keepLines w:val="0"/>
              <w:pageBreakBefore w:val="0"/>
              <w:widowControl w:val="0"/>
              <w:kinsoku/>
              <w:topLinePunct w:val="0"/>
              <w:bidi w:val="0"/>
              <w:adjustRightInd/>
              <w:snapToGrid/>
              <w:spacing w:before="0" w:line="360" w:lineRule="auto"/>
              <w:ind w:firstLine="360" w:firstLineChars="150"/>
              <w:jc w:val="both"/>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无明显危害迹象；总的病虫为害率＜10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kern w:val="2"/>
                <w:sz w:val="24"/>
                <w:szCs w:val="24"/>
                <w:highlight w:val="none"/>
              </w:rPr>
              <w:t>。</w:t>
            </w:r>
          </w:p>
        </w:tc>
      </w:tr>
      <w:tr w14:paraId="0611B4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23" w:hRule="atLeast"/>
        </w:trPr>
        <w:tc>
          <w:tcPr>
            <w:tcW w:w="855" w:type="dxa"/>
            <w:vAlign w:val="center"/>
          </w:tcPr>
          <w:p w14:paraId="340CC41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361" w:type="dxa"/>
            <w:vAlign w:val="center"/>
          </w:tcPr>
          <w:p w14:paraId="1FB98DC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补种与</w:t>
            </w:r>
          </w:p>
          <w:p w14:paraId="17C0B6B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更换</w:t>
            </w:r>
          </w:p>
        </w:tc>
        <w:tc>
          <w:tcPr>
            <w:tcW w:w="7129" w:type="dxa"/>
            <w:vAlign w:val="center"/>
          </w:tcPr>
          <w:p w14:paraId="601D5BEB">
            <w:pPr>
              <w:keepNext w:val="0"/>
              <w:keepLines w:val="0"/>
              <w:pageBreakBefore w:val="0"/>
              <w:kinsoku/>
              <w:topLinePunct w:val="0"/>
              <w:bidi w:val="0"/>
              <w:adjustRightInd/>
              <w:snapToGrid/>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花坛应无黄土裸露、缺株和萎蔫现象。存在黄土裸露、缺株和萎蔫现象时应及时补种和更换；更换时边缘土面低于花坛边缘石顶5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cm～7</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cm，同一色块的顶面保持一致。达标率＞95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 xml:space="preserve">。 </w:t>
            </w:r>
          </w:p>
        </w:tc>
      </w:tr>
      <w:tr w14:paraId="3386EE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3" w:hRule="atLeast"/>
        </w:trPr>
        <w:tc>
          <w:tcPr>
            <w:tcW w:w="855" w:type="dxa"/>
            <w:vAlign w:val="center"/>
          </w:tcPr>
          <w:p w14:paraId="74DC1D0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361" w:type="dxa"/>
            <w:vAlign w:val="center"/>
          </w:tcPr>
          <w:p w14:paraId="33C969A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防护设施</w:t>
            </w:r>
          </w:p>
        </w:tc>
        <w:tc>
          <w:tcPr>
            <w:tcW w:w="7129" w:type="dxa"/>
            <w:vAlign w:val="center"/>
          </w:tcPr>
          <w:p w14:paraId="538F3209">
            <w:pPr>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设施稳固、整洁、完好，与花坛协调美观；饰物和雕塑等应安全、美观。达标率＞90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648230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3" w:hRule="atLeast"/>
        </w:trPr>
        <w:tc>
          <w:tcPr>
            <w:tcW w:w="855" w:type="dxa"/>
            <w:tcBorders>
              <w:bottom w:val="single" w:color="auto" w:sz="8" w:space="0"/>
            </w:tcBorders>
            <w:vAlign w:val="center"/>
          </w:tcPr>
          <w:p w14:paraId="0F90679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361" w:type="dxa"/>
            <w:tcBorders>
              <w:bottom w:val="single" w:color="auto" w:sz="8" w:space="0"/>
            </w:tcBorders>
            <w:vAlign w:val="center"/>
          </w:tcPr>
          <w:p w14:paraId="415A889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29" w:type="dxa"/>
            <w:tcBorders>
              <w:bottom w:val="single" w:color="auto" w:sz="8" w:space="0"/>
            </w:tcBorders>
            <w:vAlign w:val="center"/>
          </w:tcPr>
          <w:p w14:paraId="011679D4">
            <w:pPr>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无垃圾，无泥土散落、弄脏道路及周围环境现象；假花无散落现象；设施完好、整洁、美观。达标率＞95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DF832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615" w:hRule="atLeast"/>
        </w:trPr>
        <w:tc>
          <w:tcPr>
            <w:tcW w:w="9345" w:type="dxa"/>
            <w:gridSpan w:val="3"/>
            <w:tcBorders>
              <w:top w:val="single" w:color="auto" w:sz="8" w:space="0"/>
              <w:right w:val="single" w:color="auto" w:sz="12" w:space="0"/>
            </w:tcBorders>
            <w:vAlign w:val="center"/>
          </w:tcPr>
          <w:p w14:paraId="4C636AA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0D44EDD6">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p>
    <w:p w14:paraId="6750D762">
      <w:pPr>
        <w:pStyle w:val="36"/>
        <w:keepNext w:val="0"/>
        <w:keepLines w:val="0"/>
        <w:pageBreakBefore w:val="0"/>
        <w:kinsoku/>
        <w:topLinePunct w:val="0"/>
        <w:bidi w:val="0"/>
        <w:adjustRightInd/>
        <w:snapToGrid/>
        <w:spacing w:line="360" w:lineRule="auto"/>
        <w:ind w:firstLine="0" w:firstLineChars="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DC9C5D0">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84" w:name="_Toc421120726"/>
      <w:bookmarkStart w:id="85" w:name="_Toc17791742"/>
      <w:bookmarkStart w:id="86" w:name="_Toc26176041"/>
      <w:bookmarkStart w:id="87" w:name="_Toc26175952"/>
      <w:bookmarkStart w:id="88" w:name="_Toc17792022"/>
      <w:bookmarkStart w:id="89" w:name="_Toc17791960"/>
      <w:r>
        <w:rPr>
          <w:rFonts w:hint="eastAsia" w:ascii="宋体" w:hAnsi="宋体" w:eastAsia="宋体" w:cs="宋体"/>
          <w:color w:val="auto"/>
          <w:sz w:val="24"/>
          <w:szCs w:val="24"/>
          <w:highlight w:val="none"/>
        </w:rPr>
        <w:t>特级护坡养护质量要求</w:t>
      </w:r>
      <w:bookmarkEnd w:id="84"/>
      <w:bookmarkEnd w:id="85"/>
      <w:bookmarkEnd w:id="86"/>
      <w:bookmarkEnd w:id="87"/>
      <w:bookmarkEnd w:id="88"/>
      <w:bookmarkEnd w:id="89"/>
    </w:p>
    <w:p w14:paraId="4C5A6A76">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应符合表A.12的规定。</w:t>
      </w:r>
    </w:p>
    <w:p w14:paraId="5B1D730E">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表A.12 特级护坡养护质量要求表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1"/>
        <w:gridCol w:w="1440"/>
        <w:gridCol w:w="7154"/>
      </w:tblGrid>
      <w:tr w14:paraId="370C18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3" w:hRule="atLeast"/>
        </w:trPr>
        <w:tc>
          <w:tcPr>
            <w:tcW w:w="751" w:type="dxa"/>
            <w:tcBorders>
              <w:bottom w:val="single" w:color="auto" w:sz="12" w:space="0"/>
            </w:tcBorders>
            <w:vAlign w:val="center"/>
          </w:tcPr>
          <w:p w14:paraId="6A0D3B2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bottom w:val="single" w:color="auto" w:sz="12" w:space="0"/>
            </w:tcBorders>
            <w:vAlign w:val="center"/>
          </w:tcPr>
          <w:p w14:paraId="2F57D1F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154" w:type="dxa"/>
            <w:tcBorders>
              <w:bottom w:val="single" w:color="auto" w:sz="12" w:space="0"/>
            </w:tcBorders>
            <w:vAlign w:val="center"/>
          </w:tcPr>
          <w:p w14:paraId="69DD65E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705AA1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51" w:type="dxa"/>
            <w:tcBorders>
              <w:top w:val="single" w:color="auto" w:sz="12" w:space="0"/>
            </w:tcBorders>
            <w:vAlign w:val="center"/>
          </w:tcPr>
          <w:p w14:paraId="4A49758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440" w:type="dxa"/>
            <w:tcBorders>
              <w:top w:val="single" w:color="auto" w:sz="12" w:space="0"/>
            </w:tcBorders>
            <w:vAlign w:val="center"/>
          </w:tcPr>
          <w:p w14:paraId="245223E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154" w:type="dxa"/>
            <w:tcBorders>
              <w:top w:val="single" w:color="auto" w:sz="12" w:space="0"/>
            </w:tcBorders>
            <w:vAlign w:val="center"/>
          </w:tcPr>
          <w:p w14:paraId="4600CB9D">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植物配置合理，具景观特色和固土护坡作用，整体观赏效果优良。</w:t>
            </w:r>
          </w:p>
        </w:tc>
      </w:tr>
      <w:tr w14:paraId="6D65E9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3" w:hRule="atLeast"/>
        </w:trPr>
        <w:tc>
          <w:tcPr>
            <w:tcW w:w="751" w:type="dxa"/>
            <w:vAlign w:val="center"/>
          </w:tcPr>
          <w:p w14:paraId="1738E49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440" w:type="dxa"/>
            <w:vAlign w:val="center"/>
          </w:tcPr>
          <w:p w14:paraId="3BAD883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154" w:type="dxa"/>
            <w:vAlign w:val="center"/>
          </w:tcPr>
          <w:p w14:paraId="5A61FC9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植物生长良好，符合物候状况；叶的颜色、形状、大小正常，树体自然；观花植物适时开花，花期基本一致。达标率＞95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E4BF5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58" w:hRule="atLeast"/>
        </w:trPr>
        <w:tc>
          <w:tcPr>
            <w:tcW w:w="751" w:type="dxa"/>
            <w:vAlign w:val="center"/>
          </w:tcPr>
          <w:p w14:paraId="4A2597F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440" w:type="dxa"/>
            <w:vAlign w:val="center"/>
          </w:tcPr>
          <w:p w14:paraId="1BBFE2D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54" w:type="dxa"/>
            <w:vAlign w:val="center"/>
          </w:tcPr>
          <w:p w14:paraId="361AEB3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一般孤植灌木：无明显的干枯枝、病虫枝，树形良好。整型孤植乔灌木：按要求养成并维持一定形态，形态美观。整形的片植灌木和草本植物：图形优美，边线清晰、流畅。一般片植灌木和草本地被按要求养成常绿、观花或观叶形态，整体基本整齐，无明显的枯黄叶、杂草。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37AB4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751" w:type="dxa"/>
            <w:vAlign w:val="center"/>
          </w:tcPr>
          <w:p w14:paraId="1480460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440" w:type="dxa"/>
            <w:vAlign w:val="center"/>
          </w:tcPr>
          <w:p w14:paraId="08FD9BD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154" w:type="dxa"/>
            <w:vAlign w:val="center"/>
          </w:tcPr>
          <w:p w14:paraId="1D72340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小乔木与孤植灌木应做树盘，树盘土壤疏松、大小基本一致，无明显的杂草、杂物。达标率＞95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5607DA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55" w:hRule="atLeast"/>
        </w:trPr>
        <w:tc>
          <w:tcPr>
            <w:tcW w:w="751" w:type="dxa"/>
            <w:vAlign w:val="center"/>
          </w:tcPr>
          <w:p w14:paraId="60B12AA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440" w:type="dxa"/>
            <w:vAlign w:val="center"/>
          </w:tcPr>
          <w:p w14:paraId="3C96E27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154" w:type="dxa"/>
            <w:vAlign w:val="center"/>
          </w:tcPr>
          <w:p w14:paraId="6953455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草坪青绿；无大型杂草和异型杂草；草坪基本平整，高度控制在10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0485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7" w:hRule="atLeast"/>
        </w:trPr>
        <w:tc>
          <w:tcPr>
            <w:tcW w:w="751" w:type="dxa"/>
            <w:vAlign w:val="center"/>
          </w:tcPr>
          <w:p w14:paraId="07BD5DE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440" w:type="dxa"/>
            <w:vAlign w:val="center"/>
          </w:tcPr>
          <w:p w14:paraId="2361249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病虫害控制</w:t>
            </w:r>
          </w:p>
        </w:tc>
        <w:tc>
          <w:tcPr>
            <w:tcW w:w="7154" w:type="dxa"/>
            <w:vAlign w:val="center"/>
          </w:tcPr>
          <w:p w14:paraId="2030011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基本无危害迹象；病虫总为害率＜15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，其中蛀干、根部害虫＜5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，食叶性害虫＜10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，刺吸性害虫＜15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，病害感染率＜10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，寄生＜5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014EF1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3" w:hRule="atLeast"/>
        </w:trPr>
        <w:tc>
          <w:tcPr>
            <w:tcW w:w="751" w:type="dxa"/>
            <w:vAlign w:val="center"/>
          </w:tcPr>
          <w:p w14:paraId="34FD097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440" w:type="dxa"/>
            <w:vAlign w:val="center"/>
          </w:tcPr>
          <w:p w14:paraId="5A5F1CE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保存率与覆盖率</w:t>
            </w:r>
          </w:p>
        </w:tc>
        <w:tc>
          <w:tcPr>
            <w:tcW w:w="7154" w:type="dxa"/>
            <w:vAlign w:val="center"/>
          </w:tcPr>
          <w:p w14:paraId="61E1DBF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及时补种与改造，黄土裸露率＜3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r>
      <w:tr w14:paraId="71C83A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67" w:hRule="atLeast"/>
        </w:trPr>
        <w:tc>
          <w:tcPr>
            <w:tcW w:w="751" w:type="dxa"/>
            <w:tcBorders>
              <w:bottom w:val="single" w:color="auto" w:sz="8" w:space="0"/>
            </w:tcBorders>
            <w:vAlign w:val="center"/>
          </w:tcPr>
          <w:p w14:paraId="7AC8AD9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440" w:type="dxa"/>
            <w:tcBorders>
              <w:bottom w:val="single" w:color="auto" w:sz="8" w:space="0"/>
            </w:tcBorders>
            <w:vAlign w:val="center"/>
          </w:tcPr>
          <w:p w14:paraId="48EA575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54" w:type="dxa"/>
            <w:tcBorders>
              <w:bottom w:val="single" w:color="auto" w:sz="8" w:space="0"/>
            </w:tcBorders>
            <w:vAlign w:val="center"/>
          </w:tcPr>
          <w:p w14:paraId="44870312">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设施完好，无塌方现象；无死树、残桩头、堆积物；远观无明显垃圾，修剪枝叶当天清理。达标率＞95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43C62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291" w:hRule="atLeast"/>
        </w:trPr>
        <w:tc>
          <w:tcPr>
            <w:tcW w:w="9345" w:type="dxa"/>
            <w:gridSpan w:val="3"/>
            <w:tcBorders>
              <w:top w:val="single" w:color="auto" w:sz="8" w:space="0"/>
            </w:tcBorders>
            <w:vAlign w:val="center"/>
          </w:tcPr>
          <w:p w14:paraId="07F9395C">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1CD8F68B">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p>
    <w:p w14:paraId="0BBFED84">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76490C0">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90" w:name="_Toc17792023"/>
      <w:bookmarkStart w:id="91" w:name="_Toc17791743"/>
      <w:bookmarkStart w:id="92" w:name="_Toc26175953"/>
      <w:bookmarkStart w:id="93" w:name="_Toc421120727"/>
      <w:bookmarkStart w:id="94" w:name="_Toc26176042"/>
      <w:bookmarkStart w:id="95" w:name="_Toc17791961"/>
      <w:r>
        <w:rPr>
          <w:rFonts w:hint="eastAsia" w:ascii="宋体" w:hAnsi="宋体" w:eastAsia="宋体" w:cs="宋体"/>
          <w:color w:val="auto"/>
          <w:sz w:val="24"/>
          <w:szCs w:val="24"/>
          <w:highlight w:val="none"/>
        </w:rPr>
        <w:t>一级护坡养护质量要求</w:t>
      </w:r>
      <w:bookmarkEnd w:id="90"/>
      <w:bookmarkEnd w:id="91"/>
      <w:bookmarkEnd w:id="92"/>
      <w:bookmarkEnd w:id="93"/>
      <w:bookmarkEnd w:id="94"/>
      <w:bookmarkEnd w:id="95"/>
    </w:p>
    <w:p w14:paraId="71845E4D">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应符合表A.13的规定。</w:t>
      </w:r>
    </w:p>
    <w:p w14:paraId="46E90842">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表A.13　一级护坡养护质量要求表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0"/>
        <w:gridCol w:w="1440"/>
        <w:gridCol w:w="7421"/>
      </w:tblGrid>
      <w:tr w14:paraId="488466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5" w:hRule="atLeast"/>
        </w:trPr>
        <w:tc>
          <w:tcPr>
            <w:tcW w:w="720" w:type="dxa"/>
            <w:tcBorders>
              <w:bottom w:val="single" w:color="auto" w:sz="12" w:space="0"/>
            </w:tcBorders>
            <w:vAlign w:val="center"/>
          </w:tcPr>
          <w:p w14:paraId="4BA3D5E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bottom w:val="single" w:color="auto" w:sz="12" w:space="0"/>
            </w:tcBorders>
            <w:vAlign w:val="center"/>
          </w:tcPr>
          <w:p w14:paraId="18EFA42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421" w:type="dxa"/>
            <w:tcBorders>
              <w:bottom w:val="single" w:color="auto" w:sz="12" w:space="0"/>
            </w:tcBorders>
            <w:vAlign w:val="center"/>
          </w:tcPr>
          <w:p w14:paraId="5BBACF4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517289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5" w:hRule="atLeast"/>
        </w:trPr>
        <w:tc>
          <w:tcPr>
            <w:tcW w:w="720" w:type="dxa"/>
            <w:tcBorders>
              <w:top w:val="single" w:color="auto" w:sz="12" w:space="0"/>
            </w:tcBorders>
            <w:vAlign w:val="center"/>
          </w:tcPr>
          <w:p w14:paraId="6EEAAA9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440" w:type="dxa"/>
            <w:tcBorders>
              <w:top w:val="single" w:color="auto" w:sz="12" w:space="0"/>
            </w:tcBorders>
            <w:vAlign w:val="center"/>
          </w:tcPr>
          <w:p w14:paraId="4CE2F6B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421" w:type="dxa"/>
            <w:tcBorders>
              <w:top w:val="single" w:color="auto" w:sz="12" w:space="0"/>
            </w:tcBorders>
            <w:vAlign w:val="center"/>
          </w:tcPr>
          <w:p w14:paraId="6D7F3A39">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植物配置合理，具固土护坡作用和良好的绿化观赏效果。</w:t>
            </w:r>
          </w:p>
        </w:tc>
      </w:tr>
      <w:tr w14:paraId="46CBF7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4" w:hRule="atLeast"/>
        </w:trPr>
        <w:tc>
          <w:tcPr>
            <w:tcW w:w="720" w:type="dxa"/>
            <w:vAlign w:val="center"/>
          </w:tcPr>
          <w:p w14:paraId="543CDDB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440" w:type="dxa"/>
            <w:vAlign w:val="center"/>
          </w:tcPr>
          <w:p w14:paraId="5C718FB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421" w:type="dxa"/>
            <w:vAlign w:val="center"/>
          </w:tcPr>
          <w:p w14:paraId="47A5770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生长季节植物生长正常，符合物候状况，树体自然；旱季片植地被植物无明显的枯死现象。达标率＞90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8D9C8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04" w:hRule="atLeast"/>
        </w:trPr>
        <w:tc>
          <w:tcPr>
            <w:tcW w:w="720" w:type="dxa"/>
            <w:vAlign w:val="center"/>
          </w:tcPr>
          <w:p w14:paraId="57065B3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440" w:type="dxa"/>
            <w:vAlign w:val="center"/>
          </w:tcPr>
          <w:p w14:paraId="089D597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421" w:type="dxa"/>
            <w:vAlign w:val="center"/>
          </w:tcPr>
          <w:p w14:paraId="6B17A30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乔木、一般孤植灌木：无明显的干枯枝、病虫枝。整型乔灌木：按要求养成并维持一定形态。片植灌木及地被植物：整体基本平整，无明显的枯黄叶、杂草。达标率＞90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94D80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0" w:hRule="atLeast"/>
        </w:trPr>
        <w:tc>
          <w:tcPr>
            <w:tcW w:w="720" w:type="dxa"/>
            <w:vAlign w:val="center"/>
          </w:tcPr>
          <w:p w14:paraId="400E6D1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440" w:type="dxa"/>
            <w:vAlign w:val="center"/>
          </w:tcPr>
          <w:p w14:paraId="7632069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421" w:type="dxa"/>
            <w:vAlign w:val="center"/>
          </w:tcPr>
          <w:p w14:paraId="2A217D3C">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小乔木与孤植灌木应做树盘，树盘土壤疏松，无明显的杂草、杂物。达标率＞90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1E4ECB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4" w:hRule="atLeast"/>
        </w:trPr>
        <w:tc>
          <w:tcPr>
            <w:tcW w:w="720" w:type="dxa"/>
            <w:vAlign w:val="center"/>
          </w:tcPr>
          <w:p w14:paraId="2983F99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440" w:type="dxa"/>
            <w:vAlign w:val="center"/>
          </w:tcPr>
          <w:p w14:paraId="55B68A6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421" w:type="dxa"/>
            <w:vAlign w:val="center"/>
          </w:tcPr>
          <w:p w14:paraId="6B95335C">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草坪生长季节基本青绿；高度控制在15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3B8CC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3" w:hRule="atLeast"/>
        </w:trPr>
        <w:tc>
          <w:tcPr>
            <w:tcW w:w="720" w:type="dxa"/>
            <w:vAlign w:val="center"/>
          </w:tcPr>
          <w:p w14:paraId="4EC1BA5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440" w:type="dxa"/>
            <w:vAlign w:val="center"/>
          </w:tcPr>
          <w:p w14:paraId="33BCECF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w:t>
            </w:r>
          </w:p>
          <w:p w14:paraId="34E679A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控制</w:t>
            </w:r>
          </w:p>
        </w:tc>
        <w:tc>
          <w:tcPr>
            <w:tcW w:w="7421" w:type="dxa"/>
            <w:vAlign w:val="center"/>
          </w:tcPr>
          <w:p w14:paraId="4FF0960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无严重的危害迹象；病虫总为害率＜20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D255A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9" w:hRule="atLeast"/>
        </w:trPr>
        <w:tc>
          <w:tcPr>
            <w:tcW w:w="720" w:type="dxa"/>
            <w:vAlign w:val="center"/>
          </w:tcPr>
          <w:p w14:paraId="737587E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440" w:type="dxa"/>
            <w:vAlign w:val="center"/>
          </w:tcPr>
          <w:p w14:paraId="36E9B56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保存率与覆盖率</w:t>
            </w:r>
          </w:p>
        </w:tc>
        <w:tc>
          <w:tcPr>
            <w:tcW w:w="7421" w:type="dxa"/>
            <w:vAlign w:val="center"/>
          </w:tcPr>
          <w:p w14:paraId="51512357">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黄土裸露率＜5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，乔灌木缺株率＜8</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，单处明显裸露面积＜10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r>
      <w:tr w14:paraId="704823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23" w:hRule="atLeast"/>
        </w:trPr>
        <w:tc>
          <w:tcPr>
            <w:tcW w:w="720" w:type="dxa"/>
            <w:tcBorders>
              <w:bottom w:val="single" w:color="auto" w:sz="8" w:space="0"/>
            </w:tcBorders>
            <w:vAlign w:val="center"/>
          </w:tcPr>
          <w:p w14:paraId="5661B68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440" w:type="dxa"/>
            <w:tcBorders>
              <w:bottom w:val="single" w:color="auto" w:sz="8" w:space="0"/>
            </w:tcBorders>
            <w:vAlign w:val="center"/>
          </w:tcPr>
          <w:p w14:paraId="4335AF9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421" w:type="dxa"/>
            <w:tcBorders>
              <w:bottom w:val="single" w:color="auto" w:sz="8" w:space="0"/>
            </w:tcBorders>
            <w:vAlign w:val="center"/>
          </w:tcPr>
          <w:p w14:paraId="54A7C72B">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设施完好，无塌方现象；无死树、堆积物；远观无明显垃圾，修剪枝叶当天清理。达标率＞90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A62BB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86" w:hRule="atLeast"/>
        </w:trPr>
        <w:tc>
          <w:tcPr>
            <w:tcW w:w="9581" w:type="dxa"/>
            <w:gridSpan w:val="3"/>
            <w:tcBorders>
              <w:top w:val="single" w:color="auto" w:sz="8" w:space="0"/>
            </w:tcBorders>
            <w:vAlign w:val="center"/>
          </w:tcPr>
          <w:p w14:paraId="4F46A9A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6022E683">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p>
    <w:p w14:paraId="3952EAF1">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CE4BD5B">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96" w:name="_Toc17791962"/>
      <w:bookmarkStart w:id="97" w:name="_Toc421120728"/>
      <w:bookmarkStart w:id="98" w:name="_Toc26176043"/>
      <w:bookmarkStart w:id="99" w:name="_Toc17791744"/>
      <w:bookmarkStart w:id="100" w:name="_Toc17792024"/>
      <w:bookmarkStart w:id="101" w:name="_Toc26175954"/>
      <w:r>
        <w:rPr>
          <w:rFonts w:hint="eastAsia" w:ascii="宋体" w:hAnsi="宋体" w:eastAsia="宋体" w:cs="宋体"/>
          <w:color w:val="auto"/>
          <w:sz w:val="24"/>
          <w:szCs w:val="24"/>
          <w:highlight w:val="none"/>
        </w:rPr>
        <w:t>二级护坡养护质量要求</w:t>
      </w:r>
      <w:bookmarkEnd w:id="96"/>
      <w:bookmarkEnd w:id="97"/>
      <w:bookmarkEnd w:id="98"/>
      <w:bookmarkEnd w:id="99"/>
      <w:bookmarkEnd w:id="100"/>
      <w:bookmarkEnd w:id="101"/>
    </w:p>
    <w:p w14:paraId="7ADB1A91">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应符合表A.14的规定。</w:t>
      </w:r>
    </w:p>
    <w:p w14:paraId="5810117C">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表A.14 二级护坡养护质量要求表</w:t>
      </w:r>
    </w:p>
    <w:tbl>
      <w:tblPr>
        <w:tblStyle w:val="20"/>
        <w:tblW w:w="0" w:type="auto"/>
        <w:tblInd w:w="77"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1"/>
        <w:gridCol w:w="1440"/>
        <w:gridCol w:w="7154"/>
      </w:tblGrid>
      <w:tr w14:paraId="58DD92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5" w:hRule="atLeast"/>
        </w:trPr>
        <w:tc>
          <w:tcPr>
            <w:tcW w:w="751" w:type="dxa"/>
            <w:tcBorders>
              <w:bottom w:val="single" w:color="auto" w:sz="12" w:space="0"/>
            </w:tcBorders>
            <w:vAlign w:val="center"/>
          </w:tcPr>
          <w:p w14:paraId="7CD1368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bottom w:val="single" w:color="auto" w:sz="12" w:space="0"/>
            </w:tcBorders>
            <w:vAlign w:val="center"/>
          </w:tcPr>
          <w:p w14:paraId="6FB23AA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154" w:type="dxa"/>
            <w:tcBorders>
              <w:bottom w:val="single" w:color="auto" w:sz="12" w:space="0"/>
            </w:tcBorders>
            <w:vAlign w:val="center"/>
          </w:tcPr>
          <w:p w14:paraId="06679D6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6D1DED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0" w:hRule="atLeast"/>
        </w:trPr>
        <w:tc>
          <w:tcPr>
            <w:tcW w:w="751" w:type="dxa"/>
            <w:tcBorders>
              <w:top w:val="single" w:color="auto" w:sz="12" w:space="0"/>
            </w:tcBorders>
            <w:vAlign w:val="center"/>
          </w:tcPr>
          <w:p w14:paraId="4C9BAB6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440" w:type="dxa"/>
            <w:tcBorders>
              <w:top w:val="single" w:color="auto" w:sz="12" w:space="0"/>
            </w:tcBorders>
            <w:vAlign w:val="center"/>
          </w:tcPr>
          <w:p w14:paraId="1ED8DA3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154" w:type="dxa"/>
            <w:tcBorders>
              <w:top w:val="single" w:color="auto" w:sz="12" w:space="0"/>
            </w:tcBorders>
            <w:vAlign w:val="center"/>
          </w:tcPr>
          <w:p w14:paraId="567EEB61">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植物配置基本合理，具固土护坡作用和较好的绿化效果。</w:t>
            </w:r>
          </w:p>
        </w:tc>
      </w:tr>
      <w:tr w14:paraId="3C4DF2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7" w:hRule="atLeast"/>
        </w:trPr>
        <w:tc>
          <w:tcPr>
            <w:tcW w:w="751" w:type="dxa"/>
            <w:vAlign w:val="center"/>
          </w:tcPr>
          <w:p w14:paraId="7EC3726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440" w:type="dxa"/>
            <w:vAlign w:val="center"/>
          </w:tcPr>
          <w:p w14:paraId="40C41FC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154" w:type="dxa"/>
            <w:vAlign w:val="center"/>
          </w:tcPr>
          <w:p w14:paraId="7B80EA6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生长季节植物生长正常，符合物候状况；旱季片植地被植物无成片枯死现象。达标率＞85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4F60A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9" w:hRule="atLeast"/>
        </w:trPr>
        <w:tc>
          <w:tcPr>
            <w:tcW w:w="751" w:type="dxa"/>
            <w:vAlign w:val="center"/>
          </w:tcPr>
          <w:p w14:paraId="3459B6EC">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440" w:type="dxa"/>
            <w:vAlign w:val="center"/>
          </w:tcPr>
          <w:p w14:paraId="780D2D7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54" w:type="dxa"/>
            <w:vAlign w:val="center"/>
          </w:tcPr>
          <w:p w14:paraId="63758878">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乔木、一般孤植灌木：无明显的干枯枝、病虫枝。片植灌木及地被植物：基本平整，无明显的枯枝、黄叶、杂草。达标率＞85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600DA8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6" w:hRule="atLeast"/>
        </w:trPr>
        <w:tc>
          <w:tcPr>
            <w:tcW w:w="751" w:type="dxa"/>
            <w:vAlign w:val="center"/>
          </w:tcPr>
          <w:p w14:paraId="766350C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440" w:type="dxa"/>
            <w:vAlign w:val="center"/>
          </w:tcPr>
          <w:p w14:paraId="66D84EE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154" w:type="dxa"/>
            <w:vAlign w:val="center"/>
          </w:tcPr>
          <w:p w14:paraId="72403CE0">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小乔木应做树盘，树盘土壤疏松，无明显的杂草、杂物。达标率＞85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225F3C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0" w:hRule="atLeast"/>
        </w:trPr>
        <w:tc>
          <w:tcPr>
            <w:tcW w:w="751" w:type="dxa"/>
            <w:vAlign w:val="center"/>
          </w:tcPr>
          <w:p w14:paraId="396906B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440" w:type="dxa"/>
            <w:vAlign w:val="center"/>
          </w:tcPr>
          <w:p w14:paraId="3D9888A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154" w:type="dxa"/>
            <w:vAlign w:val="center"/>
          </w:tcPr>
          <w:p w14:paraId="32408873">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草坪生长季节基本青绿；高度控制在20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cm以下。达标率＞85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528FA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19" w:hRule="atLeast"/>
        </w:trPr>
        <w:tc>
          <w:tcPr>
            <w:tcW w:w="751" w:type="dxa"/>
            <w:vAlign w:val="center"/>
          </w:tcPr>
          <w:p w14:paraId="01412EC3">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440" w:type="dxa"/>
            <w:vAlign w:val="center"/>
          </w:tcPr>
          <w:p w14:paraId="107C547A">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病虫害控制</w:t>
            </w:r>
          </w:p>
        </w:tc>
        <w:tc>
          <w:tcPr>
            <w:tcW w:w="7154" w:type="dxa"/>
            <w:vAlign w:val="center"/>
          </w:tcPr>
          <w:p w14:paraId="6BD57875">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无严重的危害迹象；病虫害总为害率＜25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98090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8" w:hRule="atLeast"/>
        </w:trPr>
        <w:tc>
          <w:tcPr>
            <w:tcW w:w="751" w:type="dxa"/>
            <w:vAlign w:val="center"/>
          </w:tcPr>
          <w:p w14:paraId="25D32CC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440" w:type="dxa"/>
            <w:vAlign w:val="center"/>
          </w:tcPr>
          <w:p w14:paraId="3227AF67">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补种与</w:t>
            </w:r>
          </w:p>
          <w:p w14:paraId="1157ECD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改造</w:t>
            </w:r>
          </w:p>
        </w:tc>
        <w:tc>
          <w:tcPr>
            <w:tcW w:w="7154" w:type="dxa"/>
            <w:vAlign w:val="center"/>
          </w:tcPr>
          <w:p w14:paraId="4AB06CD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黄土裸露率＜5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r>
      <w:tr w14:paraId="5F75EF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69" w:hRule="atLeast"/>
        </w:trPr>
        <w:tc>
          <w:tcPr>
            <w:tcW w:w="751" w:type="dxa"/>
            <w:tcBorders>
              <w:bottom w:val="single" w:color="auto" w:sz="8" w:space="0"/>
            </w:tcBorders>
            <w:vAlign w:val="center"/>
          </w:tcPr>
          <w:p w14:paraId="6241EDC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440" w:type="dxa"/>
            <w:tcBorders>
              <w:bottom w:val="single" w:color="auto" w:sz="8" w:space="0"/>
            </w:tcBorders>
            <w:vAlign w:val="center"/>
          </w:tcPr>
          <w:p w14:paraId="4A90545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54" w:type="dxa"/>
            <w:tcBorders>
              <w:bottom w:val="single" w:color="auto" w:sz="8" w:space="0"/>
            </w:tcBorders>
            <w:vAlign w:val="center"/>
          </w:tcPr>
          <w:p w14:paraId="77021006">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无明显塌方现象；无死树、堆积物；远观无明显垃圾，修剪枝叶当天清理。达标率＞90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4E7FC7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7" w:hRule="atLeast"/>
        </w:trPr>
        <w:tc>
          <w:tcPr>
            <w:tcW w:w="9345" w:type="dxa"/>
            <w:gridSpan w:val="3"/>
            <w:tcBorders>
              <w:top w:val="single" w:color="auto" w:sz="8" w:space="0"/>
            </w:tcBorders>
            <w:vAlign w:val="center"/>
          </w:tcPr>
          <w:p w14:paraId="458EB2BA">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3816BE01">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p>
    <w:p w14:paraId="01C37E5A">
      <w:pPr>
        <w:pStyle w:val="36"/>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1B47C518">
      <w:pPr>
        <w:pStyle w:val="39"/>
        <w:keepNext w:val="0"/>
        <w:keepLines w:val="0"/>
        <w:pageBreakBefore w:val="0"/>
        <w:kinsoku/>
        <w:topLinePunct w:val="0"/>
        <w:bidi w:val="0"/>
        <w:adjustRightInd/>
        <w:snapToGrid/>
        <w:spacing w:beforeLines="0" w:afterLines="0" w:line="360" w:lineRule="auto"/>
        <w:textAlignment w:val="baseline"/>
        <w:outlineLvl w:val="9"/>
        <w:rPr>
          <w:rFonts w:hint="eastAsia" w:ascii="宋体" w:hAnsi="宋体" w:eastAsia="宋体" w:cs="宋体"/>
          <w:color w:val="auto"/>
          <w:sz w:val="24"/>
          <w:szCs w:val="24"/>
          <w:highlight w:val="none"/>
        </w:rPr>
      </w:pPr>
      <w:bookmarkStart w:id="102" w:name="_Toc17791745"/>
      <w:bookmarkStart w:id="103" w:name="_Toc421120729"/>
      <w:bookmarkStart w:id="104" w:name="_Toc17792025"/>
      <w:bookmarkStart w:id="105" w:name="_Toc26176044"/>
      <w:bookmarkStart w:id="106" w:name="_Toc26175955"/>
      <w:bookmarkStart w:id="107" w:name="_Toc17791963"/>
      <w:r>
        <w:rPr>
          <w:rFonts w:hint="eastAsia" w:ascii="宋体" w:hAnsi="宋体" w:eastAsia="宋体" w:cs="宋体"/>
          <w:color w:val="auto"/>
          <w:sz w:val="24"/>
          <w:szCs w:val="24"/>
          <w:highlight w:val="none"/>
        </w:rPr>
        <w:t>三级护坡养护质量要求</w:t>
      </w:r>
      <w:bookmarkEnd w:id="102"/>
      <w:bookmarkEnd w:id="103"/>
      <w:bookmarkEnd w:id="104"/>
      <w:bookmarkEnd w:id="105"/>
      <w:bookmarkEnd w:id="106"/>
      <w:bookmarkEnd w:id="107"/>
    </w:p>
    <w:p w14:paraId="4B2D9EB1">
      <w:pPr>
        <w:pStyle w:val="36"/>
        <w:keepNext w:val="0"/>
        <w:keepLines w:val="0"/>
        <w:pageBreakBefore w:val="0"/>
        <w:kinsoku/>
        <w:topLinePunct w:val="0"/>
        <w:bidi w:val="0"/>
        <w:adjustRightInd/>
        <w:snapToGrid/>
        <w:spacing w:line="360" w:lineRule="auto"/>
        <w:ind w:firstLine="42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应符合表A.15的规定。</w:t>
      </w:r>
    </w:p>
    <w:p w14:paraId="41ABFDCA">
      <w:pPr>
        <w:pStyle w:val="40"/>
        <w:keepNext w:val="0"/>
        <w:keepLines w:val="0"/>
        <w:pageBreakBefore w:val="0"/>
        <w:kinsoku/>
        <w:topLinePunct w:val="0"/>
        <w:bidi w:val="0"/>
        <w:adjustRightInd/>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表A.15 三级护坡养护质量要求表</w:t>
      </w: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0"/>
        <w:gridCol w:w="1440"/>
        <w:gridCol w:w="7185"/>
      </w:tblGrid>
      <w:tr w14:paraId="441F1E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8" w:hRule="atLeast"/>
        </w:trPr>
        <w:tc>
          <w:tcPr>
            <w:tcW w:w="720" w:type="dxa"/>
            <w:tcBorders>
              <w:bottom w:val="single" w:color="auto" w:sz="12" w:space="0"/>
            </w:tcBorders>
            <w:vAlign w:val="center"/>
          </w:tcPr>
          <w:p w14:paraId="728CF35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40" w:type="dxa"/>
            <w:tcBorders>
              <w:bottom w:val="single" w:color="auto" w:sz="12" w:space="0"/>
            </w:tcBorders>
            <w:vAlign w:val="center"/>
          </w:tcPr>
          <w:p w14:paraId="129A5C9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7185" w:type="dxa"/>
            <w:tcBorders>
              <w:bottom w:val="single" w:color="auto" w:sz="12" w:space="0"/>
            </w:tcBorders>
            <w:vAlign w:val="center"/>
          </w:tcPr>
          <w:p w14:paraId="0137242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w:t>
            </w:r>
          </w:p>
        </w:tc>
      </w:tr>
      <w:tr w14:paraId="3D9759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0" w:hRule="atLeast"/>
        </w:trPr>
        <w:tc>
          <w:tcPr>
            <w:tcW w:w="720" w:type="dxa"/>
            <w:tcBorders>
              <w:top w:val="single" w:color="auto" w:sz="12" w:space="0"/>
            </w:tcBorders>
            <w:vAlign w:val="center"/>
          </w:tcPr>
          <w:p w14:paraId="5095419D">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1440" w:type="dxa"/>
            <w:tcBorders>
              <w:top w:val="single" w:color="auto" w:sz="12" w:space="0"/>
            </w:tcBorders>
            <w:vAlign w:val="center"/>
          </w:tcPr>
          <w:p w14:paraId="1C880B8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整体效果</w:t>
            </w:r>
          </w:p>
        </w:tc>
        <w:tc>
          <w:tcPr>
            <w:tcW w:w="7185" w:type="dxa"/>
            <w:tcBorders>
              <w:top w:val="single" w:color="auto" w:sz="12" w:space="0"/>
            </w:tcBorders>
            <w:vAlign w:val="center"/>
          </w:tcPr>
          <w:p w14:paraId="4BEE3C0A">
            <w:pPr>
              <w:pStyle w:val="10"/>
              <w:keepNext w:val="0"/>
              <w:keepLines w:val="0"/>
              <w:pageBreakBefore w:val="0"/>
              <w:kinsoku/>
              <w:topLinePunct w:val="0"/>
              <w:bidi w:val="0"/>
              <w:adjustRightInd/>
              <w:snapToGrid/>
              <w:spacing w:line="360" w:lineRule="auto"/>
              <w:ind w:firstLine="3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具固土护坡作用和一定的绿化效果。</w:t>
            </w:r>
          </w:p>
        </w:tc>
      </w:tr>
      <w:tr w14:paraId="4B42314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56" w:hRule="atLeast"/>
        </w:trPr>
        <w:tc>
          <w:tcPr>
            <w:tcW w:w="720" w:type="dxa"/>
            <w:vAlign w:val="center"/>
          </w:tcPr>
          <w:p w14:paraId="1DE14AD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1440" w:type="dxa"/>
            <w:vAlign w:val="center"/>
          </w:tcPr>
          <w:p w14:paraId="3DD6E97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w:t>
            </w:r>
          </w:p>
        </w:tc>
        <w:tc>
          <w:tcPr>
            <w:tcW w:w="7185" w:type="dxa"/>
            <w:vAlign w:val="center"/>
          </w:tcPr>
          <w:p w14:paraId="0D157EC1">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生长季节植物生长正常，符合物候状况；旱季片植地被植物无成片枯死现象。达标率＞80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34A0F5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72" w:hRule="atLeast"/>
        </w:trPr>
        <w:tc>
          <w:tcPr>
            <w:tcW w:w="720" w:type="dxa"/>
            <w:vAlign w:val="center"/>
          </w:tcPr>
          <w:p w14:paraId="3EEDF7F6">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1440" w:type="dxa"/>
            <w:vAlign w:val="center"/>
          </w:tcPr>
          <w:p w14:paraId="00AA6AE0">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整形修剪</w:t>
            </w:r>
          </w:p>
        </w:tc>
        <w:tc>
          <w:tcPr>
            <w:tcW w:w="7185" w:type="dxa"/>
            <w:vAlign w:val="center"/>
          </w:tcPr>
          <w:p w14:paraId="58AA53A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乔木、一般孤植灌木：无明显的干枯枝、病虫枝。片植灌木及地被植物：无明显的杂物。达标率＞80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368C6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2" w:hRule="atLeast"/>
        </w:trPr>
        <w:tc>
          <w:tcPr>
            <w:tcW w:w="720" w:type="dxa"/>
            <w:vAlign w:val="center"/>
          </w:tcPr>
          <w:p w14:paraId="12C77A2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1440" w:type="dxa"/>
            <w:vAlign w:val="center"/>
          </w:tcPr>
          <w:p w14:paraId="37E6C4CE">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树盘</w:t>
            </w:r>
          </w:p>
        </w:tc>
        <w:tc>
          <w:tcPr>
            <w:tcW w:w="7185" w:type="dxa"/>
            <w:vAlign w:val="center"/>
          </w:tcPr>
          <w:p w14:paraId="2A17A45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小乔木应做树盘，树盘土壤疏松，无明显的杂草、杂物。达标率＞80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9A94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6" w:hRule="atLeast"/>
        </w:trPr>
        <w:tc>
          <w:tcPr>
            <w:tcW w:w="720" w:type="dxa"/>
            <w:vAlign w:val="center"/>
          </w:tcPr>
          <w:p w14:paraId="6069349F">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1440" w:type="dxa"/>
            <w:vAlign w:val="center"/>
          </w:tcPr>
          <w:p w14:paraId="449EE58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w:t>
            </w:r>
          </w:p>
        </w:tc>
        <w:tc>
          <w:tcPr>
            <w:tcW w:w="7185" w:type="dxa"/>
            <w:vAlign w:val="center"/>
          </w:tcPr>
          <w:p w14:paraId="53C9043E">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草坪生长季节基本青绿。达标率＞80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72F9FD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6" w:hRule="atLeast"/>
        </w:trPr>
        <w:tc>
          <w:tcPr>
            <w:tcW w:w="720" w:type="dxa"/>
            <w:vAlign w:val="center"/>
          </w:tcPr>
          <w:p w14:paraId="57CFEE79">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1440" w:type="dxa"/>
            <w:vAlign w:val="center"/>
          </w:tcPr>
          <w:p w14:paraId="6F4CA314">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病虫害控制</w:t>
            </w:r>
          </w:p>
        </w:tc>
        <w:tc>
          <w:tcPr>
            <w:tcW w:w="7185" w:type="dxa"/>
            <w:vAlign w:val="center"/>
          </w:tcPr>
          <w:p w14:paraId="4FFB9CE7">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无严重的危害迹象；病虫害总为害率＜35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w:t>
            </w:r>
          </w:p>
        </w:tc>
      </w:tr>
      <w:tr w14:paraId="5D31B2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67" w:hRule="atLeast"/>
        </w:trPr>
        <w:tc>
          <w:tcPr>
            <w:tcW w:w="720" w:type="dxa"/>
            <w:vAlign w:val="center"/>
          </w:tcPr>
          <w:p w14:paraId="1E8053A8">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1440" w:type="dxa"/>
            <w:vAlign w:val="center"/>
          </w:tcPr>
          <w:p w14:paraId="2AB79DEB">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补种与</w:t>
            </w:r>
          </w:p>
          <w:p w14:paraId="4BF57701">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改造</w:t>
            </w:r>
          </w:p>
        </w:tc>
        <w:tc>
          <w:tcPr>
            <w:tcW w:w="7185" w:type="dxa"/>
            <w:vAlign w:val="center"/>
          </w:tcPr>
          <w:p w14:paraId="3CF685C4">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黄土裸露率＜8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，乔灌木缺株率＜15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，单处明显裸露面积＜30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vertAlign w:val="superscript"/>
              </w:rPr>
              <w:t>2</w:t>
            </w:r>
            <w:r>
              <w:rPr>
                <w:rFonts w:hint="eastAsia" w:ascii="宋体" w:hAnsi="宋体" w:eastAsia="宋体" w:cs="宋体"/>
                <w:color w:val="auto"/>
                <w:sz w:val="24"/>
                <w:szCs w:val="24"/>
                <w:highlight w:val="none"/>
              </w:rPr>
              <w:t>。</w:t>
            </w:r>
          </w:p>
        </w:tc>
      </w:tr>
      <w:tr w14:paraId="2F0F47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0" w:hRule="atLeast"/>
        </w:trPr>
        <w:tc>
          <w:tcPr>
            <w:tcW w:w="720" w:type="dxa"/>
            <w:tcBorders>
              <w:bottom w:val="single" w:color="auto" w:sz="8" w:space="0"/>
            </w:tcBorders>
            <w:vAlign w:val="center"/>
          </w:tcPr>
          <w:p w14:paraId="7C2E23D2">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1440" w:type="dxa"/>
            <w:tcBorders>
              <w:bottom w:val="single" w:color="auto" w:sz="8" w:space="0"/>
            </w:tcBorders>
            <w:vAlign w:val="center"/>
          </w:tcPr>
          <w:p w14:paraId="453D9EB5">
            <w:pPr>
              <w:keepNext w:val="0"/>
              <w:keepLines w:val="0"/>
              <w:pageBreakBefore w:val="0"/>
              <w:kinsoku/>
              <w:topLinePunct w:val="0"/>
              <w:bidi w:val="0"/>
              <w:adjustRightInd/>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环境卫生</w:t>
            </w:r>
          </w:p>
        </w:tc>
        <w:tc>
          <w:tcPr>
            <w:tcW w:w="7185" w:type="dxa"/>
            <w:tcBorders>
              <w:bottom w:val="single" w:color="auto" w:sz="8" w:space="0"/>
            </w:tcBorders>
            <w:vAlign w:val="center"/>
          </w:tcPr>
          <w:p w14:paraId="4399F77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无明显塌方现象；无死树；远观无明显杂物。达标率＞85</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w:t>
            </w:r>
          </w:p>
        </w:tc>
      </w:tr>
      <w:tr w14:paraId="5B7D93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459" w:hRule="atLeast"/>
        </w:trPr>
        <w:tc>
          <w:tcPr>
            <w:tcW w:w="9345" w:type="dxa"/>
            <w:gridSpan w:val="3"/>
            <w:tcBorders>
              <w:top w:val="single" w:color="auto" w:sz="8" w:space="0"/>
            </w:tcBorders>
            <w:vAlign w:val="center"/>
          </w:tcPr>
          <w:p w14:paraId="071E7CC9">
            <w:pPr>
              <w:keepNext w:val="0"/>
              <w:keepLines w:val="0"/>
              <w:pageBreakBefore w:val="0"/>
              <w:kinsoku/>
              <w:topLinePunct w:val="0"/>
              <w:bidi w:val="0"/>
              <w:adjustRightInd/>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注：见表A.1的注。</w:t>
            </w:r>
          </w:p>
        </w:tc>
      </w:tr>
    </w:tbl>
    <w:p w14:paraId="27D3ED3F">
      <w:pPr>
        <w:pageBreakBefore w:val="0"/>
        <w:topLinePunct w:val="0"/>
        <w:bidi w:val="0"/>
        <w:spacing w:line="360" w:lineRule="auto"/>
        <w:rPr>
          <w:color w:val="auto"/>
          <w:highlight w:val="none"/>
        </w:rPr>
      </w:pPr>
    </w:p>
    <w:p w14:paraId="77A01ACD">
      <w:pPr>
        <w:pStyle w:val="12"/>
        <w:keepNext w:val="0"/>
        <w:keepLines w:val="0"/>
        <w:pageBreakBefore w:val="0"/>
        <w:widowControl w:val="0"/>
        <w:kinsoku/>
        <w:overflowPunct/>
        <w:topLinePunct w:val="0"/>
        <w:autoSpaceDE/>
        <w:autoSpaceDN/>
        <w:bidi w:val="0"/>
        <w:adjustRightInd/>
        <w:snapToGrid/>
        <w:spacing w:beforeAutospacing="0" w:afterAutospacing="0" w:line="360" w:lineRule="auto"/>
        <w:jc w:val="both"/>
        <w:textAlignment w:val="baseline"/>
        <w:outlineLvl w:val="9"/>
        <w:rPr>
          <w:rFonts w:hint="eastAsia" w:hAnsi="宋体" w:cs="宋体"/>
          <w:b/>
          <w:i w:val="0"/>
          <w:caps w:val="0"/>
          <w:color w:val="auto"/>
          <w:spacing w:val="0"/>
          <w:w w:val="100"/>
          <w:sz w:val="28"/>
          <w:szCs w:val="28"/>
          <w:highlight w:val="none"/>
          <w:lang w:val="en-US" w:eastAsia="zh-CN"/>
        </w:rPr>
        <w:sectPr>
          <w:pgSz w:w="11906" w:h="16838"/>
          <w:pgMar w:top="1440" w:right="1080" w:bottom="1440" w:left="1080" w:header="720" w:footer="720" w:gutter="0"/>
          <w:pgNumType w:fmt="decimal"/>
          <w:cols w:space="720" w:num="1"/>
          <w:docGrid w:type="lines" w:linePitch="331" w:charSpace="0"/>
        </w:sectPr>
      </w:pPr>
    </w:p>
    <w:p w14:paraId="1FA1EB54">
      <w:pPr>
        <w:keepNext w:val="0"/>
        <w:keepLines w:val="0"/>
        <w:pageBreakBefore w:val="0"/>
        <w:widowControl w:val="0"/>
        <w:kinsoku/>
        <w:wordWrap w:val="0"/>
        <w:overflowPunct/>
        <w:topLinePunct w:val="0"/>
        <w:autoSpaceDE/>
        <w:autoSpaceDN/>
        <w:bidi w:val="0"/>
        <w:adjustRightInd/>
        <w:snapToGrid/>
        <w:spacing w:line="360" w:lineRule="auto"/>
        <w:outlineLvl w:val="1"/>
        <w:rPr>
          <w:rFonts w:hint="eastAsia" w:ascii="宋体" w:hAnsi="宋体" w:cs="宋体"/>
          <w:color w:val="auto"/>
          <w:sz w:val="32"/>
          <w:szCs w:val="32"/>
          <w:highlight w:val="none"/>
        </w:rPr>
      </w:pPr>
      <w:bookmarkStart w:id="108" w:name="_Toc14794"/>
      <w:r>
        <w:rPr>
          <w:rFonts w:hint="eastAsia" w:hAnsi="宋体" w:cs="宋体"/>
          <w:b/>
          <w:i w:val="0"/>
          <w:caps w:val="0"/>
          <w:color w:val="auto"/>
          <w:spacing w:val="0"/>
          <w:w w:val="100"/>
          <w:sz w:val="28"/>
          <w:szCs w:val="28"/>
          <w:highlight w:val="none"/>
          <w:lang w:val="en-US" w:eastAsia="zh-CN"/>
        </w:rPr>
        <w:t>附件3：南宁市绿化工程管理中心道路绿化养护市场化管理考核办法（2025年修订版）</w:t>
      </w:r>
      <w:bookmarkEnd w:id="108"/>
    </w:p>
    <w:p w14:paraId="17A2AA0A">
      <w:pPr>
        <w:keepNext w:val="0"/>
        <w:keepLines w:val="0"/>
        <w:pageBreakBefore w:val="0"/>
        <w:widowControl w:val="0"/>
        <w:kinsoku/>
        <w:overflowPunct/>
        <w:topLinePunct w:val="0"/>
        <w:autoSpaceDE/>
        <w:autoSpaceDN/>
        <w:bidi w:val="0"/>
        <w:adjustRightInd/>
        <w:snapToGrid/>
        <w:spacing w:line="360" w:lineRule="auto"/>
        <w:jc w:val="center"/>
        <w:outlineLvl w:val="9"/>
        <w:rPr>
          <w:rFonts w:hint="eastAsia" w:ascii="方正小标宋简体" w:hAnsi="方正小标宋简体" w:eastAsia="方正小标宋简体" w:cs="方正小标宋简体"/>
          <w:bCs/>
          <w:color w:val="auto"/>
          <w:sz w:val="36"/>
          <w:szCs w:val="36"/>
          <w:highlight w:val="none"/>
          <w:u w:val="none"/>
        </w:rPr>
      </w:pPr>
    </w:p>
    <w:p w14:paraId="63D61278">
      <w:pPr>
        <w:spacing w:line="600" w:lineRule="exact"/>
        <w:jc w:val="center"/>
        <w:outlineLvl w:val="9"/>
        <w:rPr>
          <w:rFonts w:ascii="方正小标宋简体" w:hAnsi="方正小标宋简体" w:eastAsia="方正小标宋简体" w:cs="方正小标宋简体"/>
          <w:bCs/>
          <w:color w:val="auto"/>
          <w:sz w:val="44"/>
          <w:szCs w:val="44"/>
          <w:highlight w:val="none"/>
          <w:u w:val="none"/>
        </w:rPr>
      </w:pPr>
      <w:bookmarkStart w:id="109" w:name="_Toc128"/>
      <w:r>
        <w:rPr>
          <w:rFonts w:hint="eastAsia" w:ascii="方正小标宋简体" w:hAnsi="方正小标宋简体" w:eastAsia="方正小标宋简体" w:cs="方正小标宋简体"/>
          <w:bCs/>
          <w:color w:val="auto"/>
          <w:sz w:val="44"/>
          <w:szCs w:val="44"/>
          <w:highlight w:val="none"/>
          <w:u w:val="none"/>
        </w:rPr>
        <w:t>南宁市绿化工程管理中心</w:t>
      </w:r>
    </w:p>
    <w:p w14:paraId="18114FB3">
      <w:pPr>
        <w:spacing w:line="600" w:lineRule="exact"/>
        <w:jc w:val="center"/>
        <w:outlineLvl w:val="9"/>
        <w:rPr>
          <w:rFonts w:hint="eastAsia" w:ascii="方正小标宋简体" w:hAnsi="方正小标宋简体" w:eastAsia="方正小标宋简体" w:cs="方正小标宋简体"/>
          <w:bCs/>
          <w:color w:val="auto"/>
          <w:sz w:val="44"/>
          <w:szCs w:val="44"/>
          <w:highlight w:val="none"/>
          <w:u w:val="none"/>
        </w:rPr>
      </w:pPr>
      <w:r>
        <w:rPr>
          <w:rFonts w:hint="eastAsia" w:ascii="方正小标宋简体" w:hAnsi="方正小标宋简体" w:eastAsia="方正小标宋简体" w:cs="方正小标宋简体"/>
          <w:bCs/>
          <w:color w:val="auto"/>
          <w:sz w:val="44"/>
          <w:szCs w:val="44"/>
          <w:highlight w:val="none"/>
          <w:u w:val="none"/>
        </w:rPr>
        <w:t>道路绿化养护市场化管理考核办法</w:t>
      </w:r>
    </w:p>
    <w:p w14:paraId="57FD778C">
      <w:pPr>
        <w:spacing w:line="600" w:lineRule="exact"/>
        <w:jc w:val="center"/>
        <w:outlineLvl w:val="9"/>
        <w:rPr>
          <w:rFonts w:ascii="方正小标宋简体" w:hAnsi="方正小标宋简体" w:eastAsia="方正小标宋简体" w:cs="方正小标宋简体"/>
          <w:bCs/>
          <w:color w:val="auto"/>
          <w:sz w:val="44"/>
          <w:szCs w:val="44"/>
          <w:highlight w:val="none"/>
          <w:u w:val="none"/>
        </w:rPr>
      </w:pPr>
      <w:r>
        <w:rPr>
          <w:rFonts w:hint="eastAsia" w:ascii="方正小标宋简体" w:hAnsi="方正小标宋简体" w:eastAsia="方正小标宋简体" w:cs="方正小标宋简体"/>
          <w:bCs/>
          <w:color w:val="auto"/>
          <w:sz w:val="44"/>
          <w:szCs w:val="44"/>
          <w:highlight w:val="none"/>
          <w:u w:val="none"/>
        </w:rPr>
        <w:t>（2025</w:t>
      </w:r>
      <w:r>
        <w:rPr>
          <w:rFonts w:hint="eastAsia" w:ascii="方正小标宋简体" w:hAnsi="方正小标宋简体" w:eastAsia="方正小标宋简体" w:cs="方正小标宋简体"/>
          <w:bCs/>
          <w:color w:val="auto"/>
          <w:sz w:val="44"/>
          <w:szCs w:val="44"/>
          <w:highlight w:val="none"/>
          <w:u w:val="none"/>
          <w:lang w:eastAsia="zh-CN"/>
        </w:rPr>
        <w:t>年修订</w:t>
      </w:r>
      <w:r>
        <w:rPr>
          <w:rFonts w:hint="eastAsia" w:ascii="方正小标宋简体" w:hAnsi="方正小标宋简体" w:eastAsia="方正小标宋简体" w:cs="方正小标宋简体"/>
          <w:bCs/>
          <w:color w:val="auto"/>
          <w:sz w:val="44"/>
          <w:szCs w:val="44"/>
          <w:highlight w:val="none"/>
          <w:u w:val="none"/>
        </w:rPr>
        <w:t>版）</w:t>
      </w:r>
    </w:p>
    <w:p w14:paraId="2661D433">
      <w:pPr>
        <w:spacing w:line="400" w:lineRule="exact"/>
        <w:outlineLvl w:val="9"/>
        <w:rPr>
          <w:rFonts w:ascii="宋体" w:hAnsi="宋体" w:cs="宋体"/>
          <w:color w:val="auto"/>
          <w:sz w:val="24"/>
          <w:highlight w:val="none"/>
          <w:u w:val="none"/>
        </w:rPr>
      </w:pPr>
    </w:p>
    <w:p w14:paraId="1E61404B">
      <w:pPr>
        <w:spacing w:line="460" w:lineRule="exact"/>
        <w:ind w:firstLine="560" w:firstLineChars="200"/>
        <w:outlineLvl w:val="9"/>
        <w:rPr>
          <w:rFonts w:ascii="黑体" w:hAnsi="黑体" w:eastAsia="黑体" w:cs="宋体"/>
          <w:bCs/>
          <w:color w:val="auto"/>
          <w:sz w:val="28"/>
          <w:highlight w:val="none"/>
          <w:u w:val="none"/>
        </w:rPr>
      </w:pPr>
      <w:bookmarkStart w:id="110" w:name="_Toc1381"/>
      <w:bookmarkStart w:id="111" w:name="_Toc30005"/>
      <w:bookmarkStart w:id="112" w:name="_Toc19297"/>
      <w:bookmarkStart w:id="113" w:name="_Toc9587"/>
      <w:r>
        <w:rPr>
          <w:rFonts w:hint="eastAsia" w:ascii="黑体" w:hAnsi="黑体" w:eastAsia="黑体" w:cs="宋体"/>
          <w:bCs/>
          <w:color w:val="auto"/>
          <w:sz w:val="28"/>
          <w:highlight w:val="none"/>
          <w:u w:val="none"/>
        </w:rPr>
        <w:t>一、</w:t>
      </w:r>
      <w:bookmarkEnd w:id="110"/>
      <w:bookmarkEnd w:id="111"/>
      <w:bookmarkEnd w:id="112"/>
      <w:bookmarkEnd w:id="113"/>
      <w:r>
        <w:rPr>
          <w:rFonts w:hint="eastAsia" w:ascii="黑体" w:hAnsi="黑体" w:eastAsia="黑体" w:cs="宋体"/>
          <w:bCs/>
          <w:color w:val="auto"/>
          <w:sz w:val="28"/>
          <w:highlight w:val="none"/>
          <w:u w:val="none"/>
        </w:rPr>
        <w:t>总则</w:t>
      </w:r>
    </w:p>
    <w:p w14:paraId="254A6889">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为规范南宁市道路绿化养护检查考评工作，提升绿化养护精细化管理水平，促进绿化景观品质不断提升，根据相关技术规范和标准，结合南宁市道路绿化管养实际情况，制定本办法。</w:t>
      </w:r>
    </w:p>
    <w:p w14:paraId="29F6A113">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本办法适用于南宁市绿化工程管理中心</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以下简称绿管中心</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所管理的绿地，作为道路绿化养护合同管理的依据。</w:t>
      </w:r>
    </w:p>
    <w:p w14:paraId="101A5BC9">
      <w:pPr>
        <w:spacing w:line="460" w:lineRule="exact"/>
        <w:ind w:firstLine="523" w:firstLineChars="187"/>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绿管中心养护管理科负责统筹道路绿化养护考核管理，组织、协调、指导和监督各项检查考评工作，负责牵头开展养护效果考核。养护所负责管辖范围内的道路绿化养护月度考核，开展日常检查、考核、指导、验收等各项工作。养护单位应按照</w:t>
      </w:r>
      <w:r>
        <w:rPr>
          <w:rFonts w:hint="eastAsia" w:ascii="仿宋_GB2312" w:hAnsi="宋体" w:eastAsia="仿宋_GB2312" w:cs="宋体"/>
          <w:color w:val="auto"/>
          <w:sz w:val="28"/>
          <w:highlight w:val="none"/>
          <w:u w:val="none"/>
          <w:lang w:eastAsia="zh-CN"/>
        </w:rPr>
        <w:t>合同约定</w:t>
      </w:r>
      <w:r>
        <w:rPr>
          <w:rFonts w:hint="eastAsia" w:ascii="仿宋_GB2312" w:hAnsi="宋体" w:eastAsia="仿宋_GB2312" w:cs="宋体"/>
          <w:color w:val="auto"/>
          <w:sz w:val="28"/>
          <w:highlight w:val="none"/>
          <w:u w:val="none"/>
        </w:rPr>
        <w:t>和相关技术规范标准，开展养护管理工作，配合绿管中心做好考核。</w:t>
      </w:r>
    </w:p>
    <w:p w14:paraId="55A55E98">
      <w:pPr>
        <w:spacing w:line="460" w:lineRule="exact"/>
        <w:ind w:firstLine="560" w:firstLineChars="200"/>
        <w:outlineLvl w:val="9"/>
        <w:rPr>
          <w:rFonts w:hint="eastAsia" w:ascii="仿宋_GB2312" w:hAnsi="宋体" w:eastAsia="仿宋_GB2312" w:cs="宋体"/>
          <w:b/>
          <w:color w:val="auto"/>
          <w:sz w:val="28"/>
          <w:highlight w:val="none"/>
          <w:u w:val="none"/>
        </w:rPr>
      </w:pPr>
      <w:r>
        <w:rPr>
          <w:rFonts w:hint="eastAsia" w:ascii="仿宋_GB2312" w:hAnsi="宋体" w:eastAsia="仿宋_GB2312" w:cs="宋体"/>
          <w:b/>
          <w:color w:val="auto"/>
          <w:sz w:val="28"/>
          <w:highlight w:val="none"/>
          <w:u w:val="none"/>
        </w:rPr>
        <w:t>二、考核主体</w:t>
      </w:r>
    </w:p>
    <w:p w14:paraId="7848048A">
      <w:pPr>
        <w:spacing w:line="460" w:lineRule="exact"/>
        <w:ind w:firstLine="560" w:firstLineChars="200"/>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绿管中心。</w:t>
      </w:r>
    </w:p>
    <w:p w14:paraId="09E7E9C5">
      <w:pPr>
        <w:spacing w:line="460" w:lineRule="exact"/>
        <w:ind w:firstLine="523" w:firstLineChars="187"/>
        <w:outlineLvl w:val="9"/>
        <w:rPr>
          <w:rFonts w:hint="eastAsia" w:ascii="仿宋_GB2312" w:hAnsi="宋体" w:eastAsia="仿宋_GB2312" w:cs="宋体"/>
          <w:b/>
          <w:color w:val="auto"/>
          <w:sz w:val="28"/>
          <w:highlight w:val="none"/>
          <w:u w:val="none"/>
        </w:rPr>
      </w:pPr>
      <w:r>
        <w:rPr>
          <w:rFonts w:hint="eastAsia" w:ascii="仿宋_GB2312" w:hAnsi="宋体" w:eastAsia="仿宋_GB2312" w:cs="宋体"/>
          <w:b/>
          <w:color w:val="auto"/>
          <w:sz w:val="28"/>
          <w:highlight w:val="none"/>
          <w:u w:val="none"/>
        </w:rPr>
        <w:t>三、考核对象</w:t>
      </w:r>
    </w:p>
    <w:p w14:paraId="2D4AC13C">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南宁市市管道路绿化养护服务单位（以下简称养护单位）。</w:t>
      </w:r>
    </w:p>
    <w:p w14:paraId="0176845A">
      <w:pPr>
        <w:spacing w:line="460" w:lineRule="exact"/>
        <w:ind w:firstLine="523" w:firstLineChars="187"/>
        <w:outlineLvl w:val="9"/>
        <w:rPr>
          <w:rFonts w:hint="eastAsia" w:ascii="仿宋_GB2312" w:hAnsi="宋体" w:eastAsia="仿宋_GB2312" w:cs="宋体"/>
          <w:b/>
          <w:color w:val="auto"/>
          <w:sz w:val="28"/>
          <w:highlight w:val="none"/>
          <w:u w:val="none"/>
        </w:rPr>
      </w:pPr>
      <w:bookmarkStart w:id="114" w:name="_Toc4207"/>
      <w:bookmarkStart w:id="115" w:name="_Toc16397"/>
      <w:bookmarkStart w:id="116" w:name="_Toc1846"/>
      <w:bookmarkStart w:id="117" w:name="_Toc6855"/>
      <w:r>
        <w:rPr>
          <w:rFonts w:hint="eastAsia" w:ascii="仿宋_GB2312" w:hAnsi="宋体" w:eastAsia="仿宋_GB2312" w:cs="宋体"/>
          <w:b/>
          <w:color w:val="auto"/>
          <w:sz w:val="28"/>
          <w:highlight w:val="none"/>
          <w:u w:val="none"/>
          <w:lang w:eastAsia="zh-CN"/>
        </w:rPr>
        <w:t>四</w:t>
      </w:r>
      <w:r>
        <w:rPr>
          <w:rFonts w:hint="eastAsia" w:ascii="仿宋_GB2312" w:hAnsi="宋体" w:eastAsia="仿宋_GB2312" w:cs="宋体"/>
          <w:b/>
          <w:color w:val="auto"/>
          <w:sz w:val="28"/>
          <w:highlight w:val="none"/>
          <w:u w:val="none"/>
        </w:rPr>
        <w:t>、考核内容</w:t>
      </w:r>
      <w:bookmarkEnd w:id="114"/>
      <w:bookmarkEnd w:id="115"/>
      <w:bookmarkEnd w:id="116"/>
      <w:bookmarkEnd w:id="117"/>
    </w:p>
    <w:p w14:paraId="7238FD11">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绿管中心与养护单位约定的绿化养护管理内容，主要包括：</w:t>
      </w:r>
    </w:p>
    <w:p w14:paraId="25D2412A">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（一）绿化养护和巡查工作；</w:t>
      </w:r>
    </w:p>
    <w:p w14:paraId="060E1B5E">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（二）安全生产工作；</w:t>
      </w:r>
    </w:p>
    <w:p w14:paraId="38B232A7">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（三）绿地保护工作；</w:t>
      </w:r>
    </w:p>
    <w:p w14:paraId="4F63393E">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（四）养护投入的人员、车辆及园林机械设备、材料等；</w:t>
      </w:r>
    </w:p>
    <w:p w14:paraId="2937F1D2">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（五）绿化养护效果；</w:t>
      </w:r>
    </w:p>
    <w:p w14:paraId="0E94C37B">
      <w:pPr>
        <w:spacing w:line="460" w:lineRule="exact"/>
        <w:ind w:firstLine="523" w:firstLineChars="187"/>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（六）园林绿化设施管理维护工作；</w:t>
      </w:r>
    </w:p>
    <w:p w14:paraId="56ACAE69">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（七）内业管理工作；</w:t>
      </w:r>
    </w:p>
    <w:p w14:paraId="2D20F173">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（八）其他专项、临时性工作任务。</w:t>
      </w:r>
    </w:p>
    <w:p w14:paraId="02180429">
      <w:pPr>
        <w:spacing w:line="460" w:lineRule="exact"/>
        <w:ind w:firstLine="560" w:firstLineChars="200"/>
        <w:outlineLvl w:val="9"/>
        <w:rPr>
          <w:rFonts w:ascii="黑体" w:hAnsi="黑体" w:eastAsia="黑体" w:cs="宋体"/>
          <w:bCs/>
          <w:color w:val="auto"/>
          <w:sz w:val="28"/>
          <w:highlight w:val="none"/>
          <w:u w:val="none"/>
        </w:rPr>
      </w:pPr>
      <w:bookmarkStart w:id="118" w:name="_Toc552"/>
      <w:bookmarkStart w:id="119" w:name="_Toc7075"/>
      <w:bookmarkStart w:id="120" w:name="_Toc32635"/>
      <w:bookmarkStart w:id="121" w:name="_Toc17222"/>
      <w:r>
        <w:rPr>
          <w:rFonts w:hint="eastAsia" w:ascii="黑体" w:hAnsi="黑体" w:eastAsia="黑体" w:cs="宋体"/>
          <w:bCs/>
          <w:color w:val="auto"/>
          <w:sz w:val="28"/>
          <w:highlight w:val="none"/>
          <w:u w:val="none"/>
          <w:lang w:eastAsia="zh-CN"/>
        </w:rPr>
        <w:t>五</w:t>
      </w:r>
      <w:r>
        <w:rPr>
          <w:rFonts w:hint="eastAsia" w:ascii="黑体" w:hAnsi="黑体" w:eastAsia="黑体" w:cs="宋体"/>
          <w:bCs/>
          <w:color w:val="auto"/>
          <w:sz w:val="28"/>
          <w:highlight w:val="none"/>
          <w:u w:val="none"/>
        </w:rPr>
        <w:t>、考核标准和依据</w:t>
      </w:r>
      <w:bookmarkEnd w:id="118"/>
      <w:bookmarkEnd w:id="119"/>
      <w:bookmarkEnd w:id="120"/>
      <w:bookmarkEnd w:id="121"/>
    </w:p>
    <w:p w14:paraId="2A5779A2">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（一）绿管中心与养护单位合同约定的内容；</w:t>
      </w:r>
    </w:p>
    <w:p w14:paraId="309EE65E">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（二）招标文件中要求遵循的技术规范、标准、要求；</w:t>
      </w:r>
    </w:p>
    <w:p w14:paraId="5669A869">
      <w:pPr>
        <w:spacing w:line="460" w:lineRule="exact"/>
        <w:ind w:firstLine="560" w:firstLineChars="200"/>
        <w:outlineLvl w:val="9"/>
        <w:rPr>
          <w:rFonts w:ascii="黑体" w:hAnsi="黑体" w:eastAsia="黑体" w:cs="宋体"/>
          <w:bCs/>
          <w:color w:val="auto"/>
          <w:sz w:val="28"/>
          <w:highlight w:val="none"/>
          <w:u w:val="none"/>
        </w:rPr>
      </w:pPr>
      <w:r>
        <w:rPr>
          <w:rFonts w:hint="eastAsia" w:ascii="仿宋_GB2312" w:hAnsi="宋体" w:eastAsia="仿宋_GB2312" w:cs="宋体"/>
          <w:color w:val="auto"/>
          <w:sz w:val="28"/>
          <w:highlight w:val="none"/>
          <w:u w:val="none"/>
        </w:rPr>
        <w:t>（三）养护单位投标时提交的各种资料及承诺；</w:t>
      </w:r>
    </w:p>
    <w:p w14:paraId="233C0F4D">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（四）《城市绿化养护规范及验收要求》（DB45/T499-2007）；</w:t>
      </w:r>
    </w:p>
    <w:p w14:paraId="5614E72E">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（五）《人行天桥、立交桥三角梅种植养护技术规范》</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DB4501/T 0022-2024</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w:t>
      </w:r>
      <w:r>
        <w:rPr>
          <w:rFonts w:hint="eastAsia" w:ascii="仿宋_GB2312" w:hAnsi="宋体" w:eastAsia="仿宋_GB2312" w:cs="宋体"/>
          <w:color w:val="auto"/>
          <w:sz w:val="28"/>
          <w:highlight w:val="none"/>
          <w:u w:val="none"/>
        </w:rPr>
        <w:br w:type="textWrapping"/>
      </w:r>
      <w:r>
        <w:rPr>
          <w:rFonts w:hint="eastAsia" w:ascii="仿宋_GB2312" w:hAnsi="宋体" w:eastAsia="仿宋_GB2312" w:cs="宋体"/>
          <w:color w:val="auto"/>
          <w:sz w:val="28"/>
          <w:highlight w:val="none"/>
          <w:u w:val="none"/>
        </w:rPr>
        <w:t xml:space="preserve">    （六）南宁市绿化工程管理中心道路绿化养护市场化管理养护月度考核细则</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2025</w:t>
      </w:r>
      <w:r>
        <w:rPr>
          <w:rFonts w:hint="eastAsia" w:ascii="仿宋_GB2312" w:hAnsi="宋体" w:eastAsia="仿宋_GB2312" w:cs="宋体"/>
          <w:color w:val="auto"/>
          <w:sz w:val="28"/>
          <w:highlight w:val="none"/>
          <w:u w:val="none"/>
          <w:lang w:eastAsia="zh-CN"/>
        </w:rPr>
        <w:t>年修订</w:t>
      </w:r>
      <w:r>
        <w:rPr>
          <w:rFonts w:hint="eastAsia" w:ascii="仿宋_GB2312" w:hAnsi="宋体" w:eastAsia="仿宋_GB2312" w:cs="宋体"/>
          <w:color w:val="auto"/>
          <w:sz w:val="28"/>
          <w:highlight w:val="none"/>
          <w:u w:val="none"/>
        </w:rPr>
        <w:t>版</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 xml:space="preserve">（附件1）； </w:t>
      </w:r>
    </w:p>
    <w:p w14:paraId="22BB2BE6">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（七）南宁市绿化工程管理中心道路绿化养护市场化管理养护效果考核评分表（</w:t>
      </w:r>
      <w:r>
        <w:rPr>
          <w:rFonts w:hint="eastAsia" w:ascii="仿宋_GB2312" w:hAnsi="宋体" w:eastAsia="仿宋_GB2312" w:cs="宋体"/>
          <w:color w:val="auto"/>
          <w:sz w:val="28"/>
          <w:highlight w:val="none"/>
          <w:u w:val="none"/>
          <w:lang w:eastAsia="zh-CN"/>
        </w:rPr>
        <w:t>2025年修订版</w:t>
      </w:r>
      <w:r>
        <w:rPr>
          <w:rFonts w:hint="eastAsia" w:ascii="仿宋_GB2312" w:hAnsi="宋体" w:eastAsia="仿宋_GB2312" w:cs="宋体"/>
          <w:color w:val="auto"/>
          <w:sz w:val="28"/>
          <w:highlight w:val="none"/>
          <w:u w:val="none"/>
        </w:rPr>
        <w:t>）（附件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2）；</w:t>
      </w:r>
    </w:p>
    <w:p w14:paraId="7917958D">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（八）南宁市绿化工程管理中心道路绿化养护安全管理办法</w:t>
      </w:r>
      <w:r>
        <w:rPr>
          <w:rFonts w:hint="eastAsia" w:ascii="仿宋_GB2312" w:hAnsi="宋体" w:eastAsia="仿宋_GB2312" w:cs="宋体"/>
          <w:color w:val="auto"/>
          <w:sz w:val="28"/>
          <w:highlight w:val="none"/>
          <w:u w:val="none"/>
          <w:lang w:eastAsia="zh-CN"/>
        </w:rPr>
        <w:t>（202</w:t>
      </w:r>
      <w:r>
        <w:rPr>
          <w:rFonts w:hint="eastAsia" w:ascii="仿宋_GB2312" w:hAnsi="宋体" w:eastAsia="仿宋_GB2312" w:cs="宋体"/>
          <w:color w:val="auto"/>
          <w:sz w:val="28"/>
          <w:highlight w:val="none"/>
          <w:u w:val="none"/>
          <w:lang w:val="en-US" w:eastAsia="zh-CN"/>
        </w:rPr>
        <w:t>4</w:t>
      </w:r>
      <w:r>
        <w:rPr>
          <w:rFonts w:hint="eastAsia" w:ascii="仿宋_GB2312" w:hAnsi="宋体" w:eastAsia="仿宋_GB2312" w:cs="宋体"/>
          <w:color w:val="auto"/>
          <w:sz w:val="28"/>
          <w:highlight w:val="none"/>
          <w:u w:val="none"/>
          <w:lang w:eastAsia="zh-CN"/>
        </w:rPr>
        <w:t>版）</w:t>
      </w:r>
      <w:r>
        <w:rPr>
          <w:rFonts w:hint="eastAsia" w:ascii="仿宋_GB2312" w:hAnsi="宋体" w:eastAsia="仿宋_GB2312" w:cs="宋体"/>
          <w:color w:val="auto"/>
          <w:sz w:val="28"/>
          <w:highlight w:val="none"/>
          <w:u w:val="none"/>
        </w:rPr>
        <w:t>（附件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3）；</w:t>
      </w:r>
    </w:p>
    <w:p w14:paraId="5F0FF6E7">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（九）南宁市绿化工程管理中心道路绿化植物施肥管理办法（</w:t>
      </w:r>
      <w:r>
        <w:rPr>
          <w:rFonts w:hint="eastAsia" w:ascii="仿宋_GB2312" w:hAnsi="宋体" w:eastAsia="仿宋_GB2312" w:cs="宋体"/>
          <w:color w:val="auto"/>
          <w:sz w:val="28"/>
          <w:highlight w:val="none"/>
          <w:u w:val="none"/>
          <w:lang w:eastAsia="zh-CN"/>
        </w:rPr>
        <w:t>202</w:t>
      </w:r>
      <w:r>
        <w:rPr>
          <w:rFonts w:hint="eastAsia" w:ascii="仿宋_GB2312" w:hAnsi="宋体" w:eastAsia="仿宋_GB2312" w:cs="宋体"/>
          <w:color w:val="auto"/>
          <w:sz w:val="28"/>
          <w:highlight w:val="none"/>
          <w:u w:val="none"/>
          <w:lang w:val="en-US" w:eastAsia="zh-CN"/>
        </w:rPr>
        <w:t>4</w:t>
      </w:r>
      <w:r>
        <w:rPr>
          <w:rFonts w:hint="eastAsia" w:ascii="仿宋_GB2312" w:hAnsi="宋体" w:eastAsia="仿宋_GB2312" w:cs="宋体"/>
          <w:color w:val="auto"/>
          <w:sz w:val="28"/>
          <w:highlight w:val="none"/>
          <w:u w:val="none"/>
          <w:lang w:eastAsia="zh-CN"/>
        </w:rPr>
        <w:t>版</w:t>
      </w:r>
      <w:r>
        <w:rPr>
          <w:rFonts w:hint="eastAsia" w:ascii="仿宋_GB2312" w:hAnsi="宋体" w:eastAsia="仿宋_GB2312" w:cs="宋体"/>
          <w:color w:val="auto"/>
          <w:sz w:val="28"/>
          <w:highlight w:val="none"/>
          <w:u w:val="none"/>
        </w:rPr>
        <w:t>）（附件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4）；</w:t>
      </w:r>
    </w:p>
    <w:p w14:paraId="3AA06B69">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（十）绿管中心和其他相关单位涉及城市管理工作的相关文件和要求。</w:t>
      </w:r>
    </w:p>
    <w:p w14:paraId="2CEB5DB2">
      <w:pPr>
        <w:spacing w:line="460" w:lineRule="exact"/>
        <w:ind w:firstLine="560" w:firstLineChars="200"/>
        <w:outlineLvl w:val="9"/>
        <w:rPr>
          <w:rFonts w:ascii="黑体" w:hAnsi="黑体" w:eastAsia="黑体" w:cs="宋体"/>
          <w:bCs/>
          <w:color w:val="auto"/>
          <w:sz w:val="28"/>
          <w:highlight w:val="none"/>
          <w:u w:val="none"/>
        </w:rPr>
      </w:pPr>
      <w:bookmarkStart w:id="122" w:name="_Toc22256"/>
      <w:bookmarkStart w:id="123" w:name="_Toc16252"/>
      <w:bookmarkStart w:id="124" w:name="_Toc22"/>
      <w:bookmarkStart w:id="125" w:name="_Toc31473"/>
      <w:bookmarkStart w:id="126" w:name="_Toc31779"/>
      <w:bookmarkStart w:id="127" w:name="_Toc7759"/>
      <w:bookmarkStart w:id="128" w:name="_Toc29825"/>
      <w:bookmarkStart w:id="129" w:name="_Toc15878"/>
      <w:r>
        <w:rPr>
          <w:rFonts w:hint="eastAsia" w:ascii="黑体" w:hAnsi="黑体" w:eastAsia="黑体" w:cs="宋体"/>
          <w:bCs/>
          <w:color w:val="auto"/>
          <w:sz w:val="28"/>
          <w:highlight w:val="none"/>
          <w:u w:val="none"/>
          <w:lang w:eastAsia="zh-CN"/>
        </w:rPr>
        <w:t>六</w:t>
      </w:r>
      <w:r>
        <w:rPr>
          <w:rFonts w:hint="eastAsia" w:ascii="黑体" w:hAnsi="黑体" w:eastAsia="黑体" w:cs="宋体"/>
          <w:bCs/>
          <w:color w:val="auto"/>
          <w:sz w:val="28"/>
          <w:highlight w:val="none"/>
          <w:u w:val="none"/>
        </w:rPr>
        <w:t>、考核原则</w:t>
      </w:r>
      <w:bookmarkEnd w:id="122"/>
      <w:bookmarkEnd w:id="123"/>
      <w:bookmarkEnd w:id="124"/>
      <w:bookmarkEnd w:id="125"/>
    </w:p>
    <w:p w14:paraId="2661DE90">
      <w:pPr>
        <w:spacing w:line="460" w:lineRule="exact"/>
        <w:ind w:firstLine="560" w:firstLineChars="200"/>
        <w:outlineLvl w:val="9"/>
        <w:rPr>
          <w:rFonts w:hint="eastAsia" w:ascii="仿宋_GB2312" w:hAnsi="宋体" w:eastAsia="仿宋_GB2312" w:cs="宋体"/>
          <w:color w:val="auto"/>
          <w:sz w:val="28"/>
          <w:highlight w:val="none"/>
          <w:u w:val="none"/>
          <w:lang w:val="en-US" w:eastAsia="zh-CN"/>
        </w:rPr>
      </w:pPr>
      <w:r>
        <w:rPr>
          <w:rFonts w:hint="eastAsia" w:ascii="仿宋_GB2312" w:hAnsi="宋体" w:eastAsia="仿宋_GB2312" w:cs="宋体"/>
          <w:color w:val="auto"/>
          <w:sz w:val="28"/>
          <w:highlight w:val="none"/>
          <w:u w:val="none"/>
        </w:rPr>
        <w:t>（一）考评成员必须认真负责、实事求是、公平、公正</w:t>
      </w:r>
      <w:r>
        <w:rPr>
          <w:rFonts w:hint="eastAsia" w:ascii="仿宋_GB2312" w:hAnsi="宋体" w:eastAsia="仿宋_GB2312" w:cs="宋体"/>
          <w:color w:val="auto"/>
          <w:sz w:val="28"/>
          <w:highlight w:val="none"/>
          <w:u w:val="none"/>
          <w:lang w:val="en-US" w:eastAsia="zh-CN"/>
        </w:rPr>
        <w:t>，</w:t>
      </w:r>
      <w:r>
        <w:rPr>
          <w:rFonts w:hint="eastAsia" w:ascii="仿宋_GB2312" w:hAnsi="宋体" w:eastAsia="仿宋_GB2312" w:cs="宋体"/>
          <w:color w:val="auto"/>
          <w:sz w:val="28"/>
          <w:highlight w:val="none"/>
          <w:u w:val="none"/>
        </w:rPr>
        <w:t>考核结果公开透明</w:t>
      </w:r>
      <w:r>
        <w:rPr>
          <w:rFonts w:hint="eastAsia" w:ascii="仿宋_GB2312" w:hAnsi="宋体" w:eastAsia="仿宋_GB2312" w:cs="宋体"/>
          <w:color w:val="auto"/>
          <w:sz w:val="28"/>
          <w:highlight w:val="none"/>
          <w:u w:val="none"/>
          <w:lang w:eastAsia="zh-CN"/>
        </w:rPr>
        <w:t>。</w:t>
      </w:r>
    </w:p>
    <w:p w14:paraId="17F701E8">
      <w:pPr>
        <w:spacing w:line="460" w:lineRule="exact"/>
        <w:ind w:firstLine="560" w:firstLineChars="200"/>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（二）养护单位必须配合、支持考核工作，不得以任何方式妨碍考核工作。</w:t>
      </w:r>
    </w:p>
    <w:p w14:paraId="5D1BF5C2">
      <w:pPr>
        <w:spacing w:line="460" w:lineRule="exact"/>
        <w:ind w:firstLine="560" w:firstLineChars="200"/>
        <w:outlineLvl w:val="9"/>
        <w:rPr>
          <w:rFonts w:ascii="黑体" w:hAnsi="黑体" w:eastAsia="黑体" w:cs="宋体"/>
          <w:bCs/>
          <w:color w:val="auto"/>
          <w:sz w:val="28"/>
          <w:highlight w:val="none"/>
          <w:u w:val="none"/>
        </w:rPr>
      </w:pPr>
      <w:r>
        <w:rPr>
          <w:rFonts w:hint="eastAsia" w:ascii="黑体" w:hAnsi="黑体" w:eastAsia="黑体" w:cs="宋体"/>
          <w:bCs/>
          <w:color w:val="auto"/>
          <w:sz w:val="28"/>
          <w:highlight w:val="none"/>
          <w:u w:val="none"/>
          <w:lang w:eastAsia="zh-CN"/>
        </w:rPr>
        <w:t>七</w:t>
      </w:r>
      <w:r>
        <w:rPr>
          <w:rFonts w:hint="eastAsia" w:ascii="黑体" w:hAnsi="黑体" w:eastAsia="黑体" w:cs="宋体"/>
          <w:bCs/>
          <w:color w:val="auto"/>
          <w:sz w:val="28"/>
          <w:highlight w:val="none"/>
          <w:u w:val="none"/>
        </w:rPr>
        <w:t>、考核方式和等级评定</w:t>
      </w:r>
      <w:bookmarkEnd w:id="126"/>
      <w:bookmarkEnd w:id="127"/>
      <w:bookmarkEnd w:id="128"/>
      <w:bookmarkEnd w:id="129"/>
    </w:p>
    <w:p w14:paraId="0B9AF278">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考核方式包括养护月度考核和养护效果考核</w:t>
      </w:r>
      <w:r>
        <w:rPr>
          <w:rFonts w:hint="eastAsia" w:ascii="仿宋_GB2312" w:hAnsi="宋体" w:eastAsia="仿宋_GB2312" w:cs="宋体"/>
          <w:color w:val="auto"/>
          <w:sz w:val="28"/>
          <w:highlight w:val="none"/>
          <w:u w:val="none"/>
          <w:lang w:eastAsia="zh-CN"/>
        </w:rPr>
        <w:t>，其中养护月度考核工作按片区开展</w:t>
      </w:r>
      <w:r>
        <w:rPr>
          <w:rFonts w:hint="eastAsia" w:ascii="仿宋_GB2312" w:hAnsi="宋体" w:eastAsia="仿宋_GB2312" w:cs="宋体"/>
          <w:color w:val="auto"/>
          <w:sz w:val="28"/>
          <w:highlight w:val="none"/>
          <w:u w:val="none"/>
        </w:rPr>
        <w:t>。</w:t>
      </w:r>
    </w:p>
    <w:p w14:paraId="205641BF">
      <w:pPr>
        <w:numPr>
          <w:ilvl w:val="0"/>
          <w:numId w:val="4"/>
        </w:numPr>
        <w:spacing w:line="460" w:lineRule="exact"/>
        <w:outlineLvl w:val="9"/>
        <w:rPr>
          <w:rFonts w:ascii="楷体_GB2312" w:hAnsi="楷体_GB2312" w:eastAsia="楷体_GB2312" w:cs="楷体_GB2312"/>
          <w:bCs/>
          <w:color w:val="auto"/>
          <w:sz w:val="28"/>
          <w:highlight w:val="none"/>
          <w:u w:val="none"/>
        </w:rPr>
      </w:pPr>
      <w:r>
        <w:rPr>
          <w:rFonts w:hint="eastAsia" w:ascii="楷体_GB2312" w:hAnsi="楷体_GB2312" w:eastAsia="楷体_GB2312" w:cs="楷体_GB2312"/>
          <w:bCs/>
          <w:color w:val="auto"/>
          <w:sz w:val="28"/>
          <w:highlight w:val="none"/>
          <w:u w:val="none"/>
        </w:rPr>
        <w:t>养护月度考核和等级评定</w:t>
      </w:r>
    </w:p>
    <w:p w14:paraId="750CE932">
      <w:pPr>
        <w:numPr>
          <w:ilvl w:val="255"/>
          <w:numId w:val="0"/>
        </w:numPr>
        <w:spacing w:line="460" w:lineRule="exact"/>
        <w:ind w:left="560"/>
        <w:outlineLvl w:val="9"/>
        <w:rPr>
          <w:rFonts w:ascii="仿宋_GB2312" w:hAnsi="仿宋_GB2312" w:eastAsia="仿宋_GB2312" w:cs="仿宋_GB2312"/>
          <w:b/>
          <w:color w:val="auto"/>
          <w:sz w:val="28"/>
          <w:highlight w:val="none"/>
          <w:u w:val="none"/>
        </w:rPr>
      </w:pPr>
      <w:r>
        <w:rPr>
          <w:rFonts w:hint="eastAsia" w:ascii="仿宋_GB2312" w:hAnsi="仿宋_GB2312" w:eastAsia="仿宋_GB2312" w:cs="仿宋_GB2312"/>
          <w:b/>
          <w:color w:val="auto"/>
          <w:sz w:val="28"/>
          <w:highlight w:val="none"/>
          <w:u w:val="none"/>
        </w:rPr>
        <w:t>1.养护月度考核</w:t>
      </w:r>
    </w:p>
    <w:p w14:paraId="4F4CAD95">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（1）养护月度考核包括日常养护工作考核和内业管理工作考核。</w:t>
      </w:r>
    </w:p>
    <w:p w14:paraId="1F89F411">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（2）日常养护工作考核包括养护投入、安全生产、绿化管理、应时开花、养护管理、设施维护（含绿地内绿化设施及桥梁三角梅设施）和专项工作考核等。</w:t>
      </w:r>
    </w:p>
    <w:p w14:paraId="0747FA10">
      <w:pPr>
        <w:spacing w:line="460" w:lineRule="exact"/>
        <w:ind w:firstLine="523" w:firstLineChars="187"/>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（3）内业管理工作考核包括：</w:t>
      </w:r>
    </w:p>
    <w:p w14:paraId="40782F59">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①每月20日前上报次月养护工作计划（分路段制定）；</w:t>
      </w:r>
    </w:p>
    <w:p w14:paraId="012E2745">
      <w:pPr>
        <w:spacing w:line="460" w:lineRule="exact"/>
        <w:ind w:firstLine="523" w:firstLineChars="187"/>
        <w:outlineLvl w:val="9"/>
        <w:rPr>
          <w:rFonts w:ascii="仿宋_GB2312" w:hAnsi="宋体" w:eastAsia="仿宋_GB2312" w:cs="宋体"/>
          <w:color w:val="auto"/>
          <w:sz w:val="28"/>
          <w:highlight w:val="none"/>
          <w:u w:val="single"/>
        </w:rPr>
      </w:pPr>
      <w:r>
        <w:rPr>
          <w:rFonts w:hint="eastAsia" w:ascii="仿宋_GB2312" w:hAnsi="宋体" w:eastAsia="仿宋_GB2312" w:cs="宋体"/>
          <w:color w:val="auto"/>
          <w:sz w:val="28"/>
          <w:highlight w:val="none"/>
          <w:u w:val="none"/>
        </w:rPr>
        <w:t>②</w:t>
      </w:r>
      <w:r>
        <w:rPr>
          <w:rFonts w:hint="eastAsia" w:ascii="仿宋_GB2312" w:hAnsi="宋体" w:eastAsia="仿宋_GB2312" w:cs="宋体"/>
          <w:color w:val="auto"/>
          <w:sz w:val="28"/>
          <w:highlight w:val="none"/>
          <w:u w:val="none"/>
          <w:lang w:eastAsia="zh-CN"/>
        </w:rPr>
        <w:t>按要求</w:t>
      </w:r>
      <w:r>
        <w:rPr>
          <w:rFonts w:hint="eastAsia" w:ascii="仿宋_GB2312" w:hAnsi="宋体" w:eastAsia="仿宋_GB2312" w:cs="宋体"/>
          <w:color w:val="auto"/>
          <w:sz w:val="28"/>
          <w:highlight w:val="none"/>
          <w:u w:val="none"/>
        </w:rPr>
        <w:t>上报工作报表、养护档案、请款资料等</w:t>
      </w:r>
      <w:r>
        <w:rPr>
          <w:rFonts w:hint="eastAsia" w:ascii="仿宋_GB2312" w:hAnsi="宋体" w:eastAsia="仿宋_GB2312" w:cs="宋体"/>
          <w:color w:val="auto"/>
          <w:sz w:val="28"/>
          <w:highlight w:val="none"/>
          <w:u w:val="none"/>
          <w:lang w:eastAsia="zh-CN"/>
        </w:rPr>
        <w:t>材料，具体要求和时间以通知为准。</w:t>
      </w:r>
      <w:r>
        <w:rPr>
          <w:rFonts w:hint="eastAsia" w:ascii="仿宋_GB2312" w:hAnsi="宋体" w:eastAsia="仿宋_GB2312" w:cs="宋体"/>
          <w:color w:val="auto"/>
          <w:sz w:val="28"/>
          <w:highlight w:val="none"/>
          <w:u w:val="none"/>
        </w:rPr>
        <w:t>上述资料须按要求及时、准确、完整上报，如遇节假日则提前或顺延至工作日。</w:t>
      </w:r>
    </w:p>
    <w:p w14:paraId="571ACF49">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（4）养护月度考核以巡检方式开展，辖区养护所根据绿化养护标准要求和养护单位提供的工作计划，每天对养护单位的养护工作进行巡检。养护管理科不定期对各项养护工作进行巡检。</w:t>
      </w:r>
    </w:p>
    <w:p w14:paraId="1B5B488F">
      <w:pPr>
        <w:spacing w:line="460" w:lineRule="exact"/>
        <w:ind w:firstLine="523" w:firstLineChars="187"/>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（5）养护管理科、养护所巡检过程中发现的问题记入《南宁市绿化工程管理中心道路绿化养护市场化管理养护月度考核记录表》（附件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5），要求其整改并视情形按《南宁市绿化工程管理中心道路绿化养护市场化管理养护月度工作考核细则</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2025</w:t>
      </w:r>
      <w:r>
        <w:rPr>
          <w:rFonts w:hint="eastAsia" w:ascii="仿宋_GB2312" w:hAnsi="宋体" w:eastAsia="仿宋_GB2312" w:cs="宋体"/>
          <w:color w:val="auto"/>
          <w:sz w:val="28"/>
          <w:highlight w:val="none"/>
          <w:u w:val="none"/>
          <w:lang w:eastAsia="zh-CN"/>
        </w:rPr>
        <w:t>年修订</w:t>
      </w:r>
      <w:r>
        <w:rPr>
          <w:rFonts w:hint="eastAsia" w:ascii="仿宋_GB2312" w:hAnsi="宋体" w:eastAsia="仿宋_GB2312" w:cs="宋体"/>
          <w:color w:val="auto"/>
          <w:sz w:val="28"/>
          <w:highlight w:val="none"/>
          <w:u w:val="none"/>
        </w:rPr>
        <w:t>版</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1）进行扣罚。</w:t>
      </w:r>
    </w:p>
    <w:p w14:paraId="15CBE1AF">
      <w:pPr>
        <w:spacing w:line="460" w:lineRule="exact"/>
        <w:ind w:firstLine="523" w:firstLineChars="187"/>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（6）养护单位若对扣分有异议，须在三个工作日内向养护管理科提交申诉材料，养护管理科在收到材料后于三个工作日内予以答复。</w:t>
      </w:r>
    </w:p>
    <w:p w14:paraId="2A6660CA">
      <w:pPr>
        <w:numPr>
          <w:ilvl w:val="255"/>
          <w:numId w:val="0"/>
        </w:numPr>
        <w:spacing w:line="460" w:lineRule="exact"/>
        <w:ind w:left="560"/>
        <w:outlineLvl w:val="9"/>
        <w:rPr>
          <w:rFonts w:ascii="仿宋_GB2312" w:hAnsi="仿宋_GB2312" w:eastAsia="仿宋_GB2312" w:cs="仿宋_GB2312"/>
          <w:b/>
          <w:color w:val="auto"/>
          <w:sz w:val="28"/>
          <w:highlight w:val="none"/>
          <w:u w:val="none"/>
        </w:rPr>
      </w:pPr>
      <w:r>
        <w:rPr>
          <w:rFonts w:hint="eastAsia" w:ascii="仿宋_GB2312" w:hAnsi="仿宋_GB2312" w:eastAsia="仿宋_GB2312" w:cs="仿宋_GB2312"/>
          <w:b/>
          <w:color w:val="auto"/>
          <w:sz w:val="28"/>
          <w:highlight w:val="none"/>
          <w:u w:val="none"/>
        </w:rPr>
        <w:t>2.等级评定</w:t>
      </w:r>
    </w:p>
    <w:p w14:paraId="33B03C39">
      <w:pPr>
        <w:spacing w:line="460" w:lineRule="exact"/>
        <w:ind w:firstLine="560" w:firstLineChars="200"/>
        <w:outlineLvl w:val="9"/>
        <w:rPr>
          <w:rFonts w:hint="eastAsia"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根据以上各项检查结果，每月进行</w:t>
      </w:r>
      <w:r>
        <w:rPr>
          <w:rFonts w:hint="eastAsia" w:ascii="仿宋_GB2312" w:hAnsi="宋体" w:eastAsia="仿宋_GB2312" w:cs="宋体"/>
          <w:color w:val="auto"/>
          <w:sz w:val="28"/>
          <w:highlight w:val="none"/>
          <w:u w:val="none"/>
          <w:lang w:eastAsia="zh-CN"/>
        </w:rPr>
        <w:t>月度</w:t>
      </w:r>
      <w:r>
        <w:rPr>
          <w:rFonts w:hint="eastAsia" w:ascii="仿宋_GB2312" w:hAnsi="宋体" w:eastAsia="仿宋_GB2312" w:cs="宋体"/>
          <w:color w:val="auto"/>
          <w:sz w:val="28"/>
          <w:highlight w:val="none"/>
          <w:u w:val="none"/>
        </w:rPr>
        <w:t>考核评定。</w:t>
      </w:r>
    </w:p>
    <w:p w14:paraId="293364AF">
      <w:pPr>
        <w:spacing w:line="400" w:lineRule="exact"/>
        <w:ind w:firstLine="7000" w:firstLineChars="2500"/>
        <w:outlineLvl w:val="9"/>
        <w:rPr>
          <w:rFonts w:hint="eastAsia" w:ascii="仿宋_GB2312" w:hAnsi="宋体" w:eastAsia="仿宋_GB2312" w:cs="宋体"/>
          <w:bCs/>
          <w:color w:val="auto"/>
          <w:sz w:val="28"/>
          <w:szCs w:val="28"/>
          <w:highlight w:val="none"/>
          <w:u w:val="none"/>
          <w:lang w:eastAsia="zh-CN"/>
        </w:rPr>
      </w:pPr>
      <w:r>
        <w:rPr>
          <w:rFonts w:hint="eastAsia" w:ascii="仿宋_GB2312" w:hAnsi="宋体" w:eastAsia="仿宋_GB2312" w:cs="宋体"/>
          <w:bCs/>
          <w:color w:val="auto"/>
          <w:sz w:val="28"/>
          <w:szCs w:val="28"/>
          <w:highlight w:val="none"/>
          <w:u w:val="none"/>
          <w:lang w:eastAsia="zh-CN"/>
        </w:rPr>
        <w:t>片区养护经费</w:t>
      </w:r>
    </w:p>
    <w:p w14:paraId="098FB534">
      <w:pPr>
        <w:spacing w:line="300" w:lineRule="exact"/>
        <w:ind w:firstLine="560" w:firstLineChars="200"/>
        <w:outlineLvl w:val="9"/>
        <w:rPr>
          <w:rFonts w:ascii="仿宋_GB2312" w:hAnsi="宋体" w:eastAsia="仿宋_GB2312" w:cs="宋体"/>
          <w:bCs/>
          <w:color w:val="auto"/>
          <w:sz w:val="28"/>
          <w:szCs w:val="28"/>
          <w:highlight w:val="none"/>
          <w:u w:val="none"/>
        </w:rPr>
      </w:pPr>
      <w:r>
        <w:rPr>
          <w:rFonts w:hint="eastAsia" w:ascii="仿宋_GB2312" w:hAnsi="宋体" w:eastAsia="仿宋_GB2312" w:cs="宋体"/>
          <w:bCs/>
          <w:color w:val="auto"/>
          <w:sz w:val="28"/>
          <w:szCs w:val="28"/>
          <w:highlight w:val="none"/>
          <w:u w:val="none"/>
        </w:rPr>
        <mc:AlternateContent>
          <mc:Choice Requires="wps">
            <w:drawing>
              <wp:anchor distT="0" distB="0" distL="114300" distR="114300" simplePos="0" relativeHeight="251665408" behindDoc="0" locked="0" layoutInCell="1" allowOverlap="1">
                <wp:simplePos x="0" y="0"/>
                <wp:positionH relativeFrom="column">
                  <wp:posOffset>4234180</wp:posOffset>
                </wp:positionH>
                <wp:positionV relativeFrom="paragraph">
                  <wp:posOffset>99695</wp:posOffset>
                </wp:positionV>
                <wp:extent cx="1500505" cy="0"/>
                <wp:effectExtent l="0" t="4445" r="0" b="5080"/>
                <wp:wrapNone/>
                <wp:docPr id="6" name="自选图形 6"/>
                <wp:cNvGraphicFramePr/>
                <a:graphic xmlns:a="http://schemas.openxmlformats.org/drawingml/2006/main">
                  <a:graphicData uri="http://schemas.microsoft.com/office/word/2010/wordprocessingShape">
                    <wps:wsp>
                      <wps:cNvCnPr/>
                      <wps:spPr>
                        <a:xfrm>
                          <a:off x="0" y="0"/>
                          <a:ext cx="15005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333.4pt;margin-top:7.85pt;height:0pt;width:118.15pt;z-index:251665408;mso-width-relative:page;mso-height-relative:page;" filled="f" stroked="t" coordsize="21600,21600" o:gfxdata="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UVegrXAAAACQEAAA8AAAAAAAAAAQAgAAAAIgAAAGRycy9kb3ducmV2LnhtbFBLAQIU&#10;ABQAAAAIAIdO4kDDoyKo9AEAAOMDAAAOAAAAAAAAAAEAIAAAACYBAABkcnMvZTJvRG9jLnhtbFBL&#10;BQYAAAAABgAGAFkBAACMBQAAAAA=&#10;">
                <v:fill on="f" focussize="0,0"/>
                <v:stroke color="#000000" joinstyle="round"/>
                <v:imagedata o:title=""/>
                <o:lock v:ext="edit" aspectratio="f"/>
              </v:shape>
            </w:pict>
          </mc:Fallback>
        </mc:AlternateContent>
      </w:r>
      <w:r>
        <w:rPr>
          <w:rFonts w:hint="eastAsia" w:ascii="仿宋_GB2312" w:hAnsi="宋体" w:eastAsia="仿宋_GB2312" w:cs="宋体"/>
          <w:color w:val="auto"/>
          <w:sz w:val="28"/>
          <w:highlight w:val="none"/>
          <w:u w:val="none"/>
          <w:lang w:val="en-US" w:eastAsia="zh-CN"/>
        </w:rPr>
        <w:t>（1）片区养护月度考核扣分值=养护月度扣分值</w:t>
      </w:r>
      <w:r>
        <w:rPr>
          <w:rFonts w:hint="default" w:ascii="Arial" w:hAnsi="Arial" w:eastAsia="仿宋_GB2312" w:cs="Arial"/>
          <w:color w:val="auto"/>
          <w:sz w:val="28"/>
          <w:highlight w:val="none"/>
          <w:u w:val="none"/>
          <w:lang w:val="en-US" w:eastAsia="zh-CN"/>
        </w:rPr>
        <w:t>×</w:t>
      </w:r>
      <w:r>
        <w:rPr>
          <w:rFonts w:hint="eastAsia" w:ascii="仿宋_GB2312" w:hAnsi="宋体" w:eastAsia="仿宋_GB2312" w:cs="宋体"/>
          <w:bCs/>
          <w:color w:val="auto"/>
          <w:sz w:val="28"/>
          <w:szCs w:val="28"/>
          <w:highlight w:val="none"/>
          <w:u w:val="none"/>
        </w:rPr>
        <w:t xml:space="preserve">                  </w:t>
      </w:r>
    </w:p>
    <w:p w14:paraId="4867044C">
      <w:pPr>
        <w:spacing w:line="300" w:lineRule="exact"/>
        <w:jc w:val="center"/>
        <w:outlineLvl w:val="9"/>
        <w:rPr>
          <w:rFonts w:hint="eastAsia" w:ascii="仿宋_GB2312" w:hAnsi="宋体" w:eastAsia="仿宋_GB2312" w:cs="宋体"/>
          <w:bCs/>
          <w:color w:val="auto"/>
          <w:kern w:val="0"/>
          <w:sz w:val="28"/>
          <w:szCs w:val="28"/>
          <w:highlight w:val="none"/>
          <w:u w:val="none"/>
          <w:lang w:eastAsia="zh-CN"/>
        </w:rPr>
      </w:pPr>
      <w:r>
        <w:rPr>
          <w:rFonts w:hint="eastAsia" w:ascii="仿宋_GB2312" w:hAnsi="宋体" w:eastAsia="仿宋_GB2312" w:cs="宋体"/>
          <w:bCs/>
          <w:color w:val="auto"/>
          <w:kern w:val="0"/>
          <w:sz w:val="28"/>
          <w:szCs w:val="28"/>
          <w:highlight w:val="none"/>
          <w:u w:val="none"/>
        </w:rPr>
        <w:t xml:space="preserve">              </w:t>
      </w:r>
      <w:r>
        <w:rPr>
          <w:rFonts w:hint="eastAsia" w:ascii="仿宋_GB2312" w:hAnsi="宋体" w:eastAsia="仿宋_GB2312" w:cs="宋体"/>
          <w:bCs/>
          <w:color w:val="auto"/>
          <w:kern w:val="0"/>
          <w:sz w:val="28"/>
          <w:szCs w:val="28"/>
          <w:highlight w:val="none"/>
          <w:u w:val="none"/>
          <w:lang w:val="en-US" w:eastAsia="zh-CN"/>
        </w:rPr>
        <w:t xml:space="preserve">                                   </w:t>
      </w:r>
      <w:r>
        <w:rPr>
          <w:rFonts w:hint="eastAsia" w:ascii="仿宋_GB2312" w:hAnsi="宋体" w:eastAsia="仿宋_GB2312" w:cs="宋体"/>
          <w:bCs/>
          <w:color w:val="auto"/>
          <w:kern w:val="0"/>
          <w:sz w:val="28"/>
          <w:szCs w:val="28"/>
          <w:highlight w:val="none"/>
          <w:u w:val="none"/>
          <w:lang w:eastAsia="zh-CN"/>
        </w:rPr>
        <w:t>项目年养护经费</w:t>
      </w:r>
    </w:p>
    <w:p w14:paraId="48A9E5C9">
      <w:pPr>
        <w:numPr>
          <w:ilvl w:val="0"/>
          <w:numId w:val="0"/>
        </w:numPr>
        <w:spacing w:line="300" w:lineRule="exact"/>
        <w:ind w:firstLine="560" w:firstLineChars="200"/>
        <w:jc w:val="both"/>
        <w:outlineLvl w:val="9"/>
        <w:rPr>
          <w:rFonts w:hint="eastAsia" w:ascii="仿宋_GB2312" w:hAnsi="宋体" w:eastAsia="仿宋_GB2312" w:cs="宋体"/>
          <w:bCs/>
          <w:color w:val="auto"/>
          <w:kern w:val="0"/>
          <w:sz w:val="28"/>
          <w:szCs w:val="28"/>
          <w:highlight w:val="none"/>
          <w:u w:val="none"/>
          <w:lang w:val="en-US" w:eastAsia="zh-CN"/>
        </w:rPr>
      </w:pPr>
      <w:r>
        <w:rPr>
          <w:rFonts w:hint="eastAsia" w:ascii="仿宋_GB2312" w:hAnsi="宋体" w:eastAsia="仿宋_GB2312" w:cs="宋体"/>
          <w:color w:val="auto"/>
          <w:sz w:val="28"/>
          <w:highlight w:val="none"/>
          <w:u w:val="none"/>
          <w:lang w:val="en-US" w:eastAsia="zh-CN"/>
        </w:rPr>
        <w:t>（2）</w:t>
      </w:r>
      <w:r>
        <w:rPr>
          <w:rFonts w:hint="eastAsia" w:ascii="仿宋_GB2312" w:hAnsi="宋体" w:eastAsia="仿宋_GB2312" w:cs="宋体"/>
          <w:bCs/>
          <w:color w:val="auto"/>
          <w:kern w:val="0"/>
          <w:sz w:val="28"/>
          <w:szCs w:val="28"/>
          <w:highlight w:val="none"/>
          <w:u w:val="none"/>
          <w:lang w:val="en-US" w:eastAsia="zh-CN"/>
        </w:rPr>
        <w:t>养护月度考核得分值M=100-∑片区养护月度考核扣分值</w:t>
      </w:r>
    </w:p>
    <w:p w14:paraId="5942C252">
      <w:pPr>
        <w:numPr>
          <w:ilvl w:val="0"/>
          <w:numId w:val="0"/>
        </w:numPr>
        <w:spacing w:line="300" w:lineRule="exact"/>
        <w:ind w:left="560" w:leftChars="0"/>
        <w:jc w:val="both"/>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bCs/>
          <w:color w:val="auto"/>
          <w:kern w:val="0"/>
          <w:sz w:val="28"/>
          <w:szCs w:val="28"/>
          <w:highlight w:val="none"/>
          <w:u w:val="none"/>
          <w:lang w:val="en-US" w:eastAsia="zh-CN"/>
        </w:rPr>
        <w:t>养护月度考核等级评定如下：</w:t>
      </w:r>
    </w:p>
    <w:tbl>
      <w:tblPr>
        <w:tblStyle w:val="20"/>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7"/>
        <w:gridCol w:w="1398"/>
        <w:gridCol w:w="1589"/>
        <w:gridCol w:w="1527"/>
        <w:gridCol w:w="1081"/>
      </w:tblGrid>
      <w:tr w14:paraId="3DBC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647" w:type="dxa"/>
            <w:tcBorders>
              <w:top w:val="single" w:color="auto" w:sz="4" w:space="0"/>
              <w:left w:val="single" w:color="auto" w:sz="4" w:space="0"/>
              <w:bottom w:val="single" w:color="auto" w:sz="4" w:space="0"/>
              <w:right w:val="single" w:color="auto" w:sz="4" w:space="0"/>
            </w:tcBorders>
            <w:vAlign w:val="center"/>
          </w:tcPr>
          <w:p w14:paraId="7F834CCA">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评分项目</w:t>
            </w:r>
          </w:p>
        </w:tc>
        <w:tc>
          <w:tcPr>
            <w:tcW w:w="1398" w:type="dxa"/>
            <w:tcBorders>
              <w:top w:val="single" w:color="auto" w:sz="4" w:space="0"/>
              <w:left w:val="single" w:color="auto" w:sz="4" w:space="0"/>
              <w:bottom w:val="single" w:color="auto" w:sz="4" w:space="0"/>
              <w:right w:val="single" w:color="auto" w:sz="4" w:space="0"/>
            </w:tcBorders>
            <w:vAlign w:val="center"/>
          </w:tcPr>
          <w:p w14:paraId="0BEA4FA8">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优秀</w:t>
            </w:r>
          </w:p>
        </w:tc>
        <w:tc>
          <w:tcPr>
            <w:tcW w:w="1589" w:type="dxa"/>
            <w:tcBorders>
              <w:top w:val="single" w:color="auto" w:sz="4" w:space="0"/>
              <w:left w:val="single" w:color="auto" w:sz="4" w:space="0"/>
              <w:bottom w:val="single" w:color="auto" w:sz="4" w:space="0"/>
              <w:right w:val="single" w:color="auto" w:sz="4" w:space="0"/>
            </w:tcBorders>
            <w:vAlign w:val="center"/>
          </w:tcPr>
          <w:p w14:paraId="093FCA6C">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良好</w:t>
            </w:r>
          </w:p>
        </w:tc>
        <w:tc>
          <w:tcPr>
            <w:tcW w:w="1527" w:type="dxa"/>
            <w:tcBorders>
              <w:top w:val="single" w:color="auto" w:sz="4" w:space="0"/>
              <w:left w:val="single" w:color="auto" w:sz="4" w:space="0"/>
              <w:bottom w:val="single" w:color="auto" w:sz="4" w:space="0"/>
              <w:right w:val="single" w:color="auto" w:sz="4" w:space="0"/>
            </w:tcBorders>
            <w:vAlign w:val="center"/>
          </w:tcPr>
          <w:p w14:paraId="79904E13">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合格</w:t>
            </w:r>
          </w:p>
        </w:tc>
        <w:tc>
          <w:tcPr>
            <w:tcW w:w="1081" w:type="dxa"/>
            <w:tcBorders>
              <w:top w:val="single" w:color="auto" w:sz="4" w:space="0"/>
              <w:left w:val="single" w:color="auto" w:sz="4" w:space="0"/>
              <w:bottom w:val="single" w:color="auto" w:sz="4" w:space="0"/>
              <w:right w:val="single" w:color="auto" w:sz="4" w:space="0"/>
            </w:tcBorders>
            <w:vAlign w:val="center"/>
          </w:tcPr>
          <w:p w14:paraId="40B61A4D">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不合格</w:t>
            </w:r>
          </w:p>
        </w:tc>
      </w:tr>
      <w:tr w14:paraId="7EB8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647" w:type="dxa"/>
            <w:tcBorders>
              <w:top w:val="single" w:color="auto" w:sz="4" w:space="0"/>
              <w:left w:val="single" w:color="auto" w:sz="4" w:space="0"/>
              <w:bottom w:val="single" w:color="auto" w:sz="4" w:space="0"/>
              <w:right w:val="single" w:color="auto" w:sz="4" w:space="0"/>
            </w:tcBorders>
            <w:vAlign w:val="center"/>
          </w:tcPr>
          <w:p w14:paraId="0B7F9201">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养护月度考核得分M</w:t>
            </w:r>
          </w:p>
        </w:tc>
        <w:tc>
          <w:tcPr>
            <w:tcW w:w="1398" w:type="dxa"/>
            <w:tcBorders>
              <w:top w:val="single" w:color="auto" w:sz="4" w:space="0"/>
              <w:left w:val="single" w:color="auto" w:sz="4" w:space="0"/>
              <w:bottom w:val="single" w:color="auto" w:sz="4" w:space="0"/>
              <w:right w:val="single" w:color="auto" w:sz="4" w:space="0"/>
            </w:tcBorders>
            <w:vAlign w:val="center"/>
          </w:tcPr>
          <w:p w14:paraId="607A0BAA">
            <w:pPr>
              <w:spacing w:line="400" w:lineRule="exact"/>
              <w:jc w:val="center"/>
              <w:outlineLvl w:val="9"/>
              <w:rPr>
                <w:rFonts w:hint="eastAsia" w:ascii="仿宋_GB2312" w:hAnsi="宋体" w:eastAsia="仿宋_GB2312" w:cs="宋体"/>
                <w:color w:val="auto"/>
                <w:sz w:val="28"/>
                <w:highlight w:val="none"/>
                <w:u w:val="none"/>
                <w:lang w:val="en-US" w:eastAsia="zh-CN"/>
              </w:rPr>
            </w:pPr>
            <w:r>
              <w:rPr>
                <w:rFonts w:hint="eastAsia" w:ascii="仿宋_GB2312" w:hAnsi="宋体" w:eastAsia="仿宋_GB2312" w:cs="宋体"/>
                <w:color w:val="auto"/>
                <w:sz w:val="28"/>
                <w:highlight w:val="none"/>
                <w:u w:val="none"/>
              </w:rPr>
              <w:t>M≥9</w:t>
            </w:r>
            <w:r>
              <w:rPr>
                <w:rFonts w:hint="eastAsia" w:ascii="仿宋_GB2312" w:hAnsi="宋体" w:eastAsia="仿宋_GB2312" w:cs="宋体"/>
                <w:color w:val="auto"/>
                <w:sz w:val="28"/>
                <w:highlight w:val="none"/>
                <w:u w:val="none"/>
                <w:lang w:val="en-US" w:eastAsia="zh-CN"/>
              </w:rPr>
              <w:t>0</w:t>
            </w:r>
          </w:p>
        </w:tc>
        <w:tc>
          <w:tcPr>
            <w:tcW w:w="1589" w:type="dxa"/>
            <w:tcBorders>
              <w:top w:val="single" w:color="auto" w:sz="4" w:space="0"/>
              <w:left w:val="single" w:color="auto" w:sz="4" w:space="0"/>
              <w:bottom w:val="single" w:color="auto" w:sz="4" w:space="0"/>
              <w:right w:val="single" w:color="auto" w:sz="4" w:space="0"/>
            </w:tcBorders>
            <w:vAlign w:val="center"/>
          </w:tcPr>
          <w:p w14:paraId="7FB1537D">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9</w:t>
            </w:r>
            <w:r>
              <w:rPr>
                <w:rFonts w:hint="eastAsia" w:ascii="仿宋_GB2312" w:hAnsi="宋体" w:eastAsia="仿宋_GB2312" w:cs="宋体"/>
                <w:color w:val="auto"/>
                <w:sz w:val="28"/>
                <w:highlight w:val="none"/>
                <w:u w:val="none"/>
                <w:lang w:val="en-US" w:eastAsia="zh-CN"/>
              </w:rPr>
              <w:t>0</w:t>
            </w:r>
            <w:r>
              <w:rPr>
                <w:rFonts w:hint="eastAsia" w:ascii="仿宋_GB2312" w:hAnsi="宋体" w:eastAsia="仿宋_GB2312" w:cs="宋体"/>
                <w:color w:val="auto"/>
                <w:sz w:val="28"/>
                <w:highlight w:val="none"/>
                <w:u w:val="none"/>
              </w:rPr>
              <w:t>＞M≥</w:t>
            </w:r>
            <w:r>
              <w:rPr>
                <w:rFonts w:hint="eastAsia" w:ascii="仿宋_GB2312" w:hAnsi="宋体" w:eastAsia="仿宋_GB2312" w:cs="宋体"/>
                <w:color w:val="auto"/>
                <w:sz w:val="28"/>
                <w:highlight w:val="none"/>
                <w:u w:val="none"/>
                <w:lang w:val="en-US" w:eastAsia="zh-CN"/>
              </w:rPr>
              <w:t>7</w:t>
            </w:r>
            <w:r>
              <w:rPr>
                <w:rFonts w:hint="eastAsia" w:ascii="仿宋_GB2312" w:hAnsi="宋体" w:eastAsia="仿宋_GB2312" w:cs="宋体"/>
                <w:color w:val="auto"/>
                <w:sz w:val="28"/>
                <w:highlight w:val="none"/>
                <w:u w:val="none"/>
              </w:rPr>
              <w:t>0</w:t>
            </w:r>
          </w:p>
        </w:tc>
        <w:tc>
          <w:tcPr>
            <w:tcW w:w="1527" w:type="dxa"/>
            <w:tcBorders>
              <w:top w:val="single" w:color="auto" w:sz="4" w:space="0"/>
              <w:left w:val="single" w:color="auto" w:sz="4" w:space="0"/>
              <w:bottom w:val="single" w:color="auto" w:sz="4" w:space="0"/>
              <w:right w:val="single" w:color="auto" w:sz="4" w:space="0"/>
            </w:tcBorders>
            <w:vAlign w:val="center"/>
          </w:tcPr>
          <w:p w14:paraId="4D8217FF">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7</w:t>
            </w:r>
            <w:r>
              <w:rPr>
                <w:rFonts w:hint="eastAsia" w:ascii="仿宋_GB2312" w:hAnsi="宋体" w:eastAsia="仿宋_GB2312" w:cs="宋体"/>
                <w:color w:val="auto"/>
                <w:sz w:val="28"/>
                <w:highlight w:val="none"/>
                <w:u w:val="none"/>
              </w:rPr>
              <w:t>0＞M≥</w:t>
            </w:r>
            <w:r>
              <w:rPr>
                <w:rFonts w:hint="eastAsia" w:ascii="仿宋_GB2312" w:hAnsi="宋体" w:eastAsia="仿宋_GB2312" w:cs="宋体"/>
                <w:color w:val="auto"/>
                <w:sz w:val="28"/>
                <w:highlight w:val="none"/>
                <w:u w:val="none"/>
                <w:lang w:val="en-US" w:eastAsia="zh-CN"/>
              </w:rPr>
              <w:t>6</w:t>
            </w:r>
            <w:r>
              <w:rPr>
                <w:rFonts w:hint="eastAsia" w:ascii="仿宋_GB2312" w:hAnsi="宋体" w:eastAsia="仿宋_GB2312" w:cs="宋体"/>
                <w:color w:val="auto"/>
                <w:sz w:val="28"/>
                <w:highlight w:val="none"/>
                <w:u w:val="none"/>
              </w:rPr>
              <w:t>0</w:t>
            </w:r>
          </w:p>
        </w:tc>
        <w:tc>
          <w:tcPr>
            <w:tcW w:w="1081" w:type="dxa"/>
            <w:tcBorders>
              <w:top w:val="single" w:color="auto" w:sz="4" w:space="0"/>
              <w:left w:val="single" w:color="auto" w:sz="4" w:space="0"/>
              <w:bottom w:val="single" w:color="auto" w:sz="4" w:space="0"/>
              <w:right w:val="single" w:color="auto" w:sz="4" w:space="0"/>
            </w:tcBorders>
            <w:vAlign w:val="center"/>
          </w:tcPr>
          <w:p w14:paraId="7E628D15">
            <w:pPr>
              <w:spacing w:line="40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M＜</w:t>
            </w:r>
            <w:r>
              <w:rPr>
                <w:rFonts w:hint="eastAsia" w:ascii="仿宋_GB2312" w:hAnsi="宋体" w:eastAsia="仿宋_GB2312" w:cs="宋体"/>
                <w:color w:val="auto"/>
                <w:sz w:val="28"/>
                <w:highlight w:val="none"/>
                <w:u w:val="none"/>
                <w:lang w:val="en-US" w:eastAsia="zh-CN"/>
              </w:rPr>
              <w:t>6</w:t>
            </w:r>
            <w:r>
              <w:rPr>
                <w:rFonts w:hint="eastAsia" w:ascii="仿宋_GB2312" w:hAnsi="宋体" w:eastAsia="仿宋_GB2312" w:cs="宋体"/>
                <w:color w:val="auto"/>
                <w:sz w:val="28"/>
                <w:highlight w:val="none"/>
                <w:u w:val="none"/>
              </w:rPr>
              <w:t>0</w:t>
            </w:r>
          </w:p>
        </w:tc>
      </w:tr>
    </w:tbl>
    <w:p w14:paraId="0E0C92A4">
      <w:pPr>
        <w:numPr>
          <w:ilvl w:val="0"/>
          <w:numId w:val="4"/>
        </w:numPr>
        <w:spacing w:line="460" w:lineRule="exact"/>
        <w:outlineLvl w:val="9"/>
        <w:rPr>
          <w:rFonts w:ascii="楷体_GB2312" w:hAnsi="楷体_GB2312" w:eastAsia="楷体_GB2312" w:cs="楷体_GB2312"/>
          <w:bCs/>
          <w:color w:val="auto"/>
          <w:sz w:val="28"/>
          <w:highlight w:val="none"/>
          <w:u w:val="none"/>
        </w:rPr>
      </w:pPr>
      <w:r>
        <w:rPr>
          <w:rFonts w:hint="eastAsia" w:ascii="楷体_GB2312" w:hAnsi="楷体_GB2312" w:eastAsia="楷体_GB2312" w:cs="楷体_GB2312"/>
          <w:bCs/>
          <w:color w:val="auto"/>
          <w:sz w:val="28"/>
          <w:highlight w:val="none"/>
          <w:u w:val="none"/>
        </w:rPr>
        <w:t>养护效果考核和等级评定</w:t>
      </w:r>
    </w:p>
    <w:p w14:paraId="4AE90415">
      <w:pPr>
        <w:spacing w:line="460" w:lineRule="exact"/>
        <w:ind w:firstLine="560" w:firstLineChars="200"/>
        <w:outlineLvl w:val="9"/>
        <w:rPr>
          <w:rFonts w:ascii="仿宋_GB2312" w:hAnsi="仿宋_GB2312" w:eastAsia="仿宋_GB2312" w:cs="仿宋_GB2312"/>
          <w:color w:val="auto"/>
          <w:sz w:val="28"/>
          <w:highlight w:val="none"/>
          <w:u w:val="none"/>
        </w:rPr>
      </w:pPr>
      <w:r>
        <w:rPr>
          <w:rFonts w:hint="eastAsia" w:ascii="仿宋_GB2312" w:hAnsi="仿宋_GB2312" w:eastAsia="仿宋_GB2312" w:cs="仿宋_GB2312"/>
          <w:color w:val="auto"/>
          <w:sz w:val="28"/>
          <w:highlight w:val="none"/>
          <w:u w:val="none"/>
        </w:rPr>
        <w:t>1.</w:t>
      </w:r>
      <w:r>
        <w:rPr>
          <w:rFonts w:hint="eastAsia" w:ascii="仿宋_GB2312" w:hAnsi="仿宋_GB2312" w:eastAsia="仿宋_GB2312" w:cs="仿宋_GB2312"/>
          <w:b/>
          <w:color w:val="auto"/>
          <w:sz w:val="28"/>
          <w:highlight w:val="none"/>
          <w:u w:val="none"/>
        </w:rPr>
        <w:t>养护效果考核</w:t>
      </w:r>
    </w:p>
    <w:p w14:paraId="3F903CC4">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每季度开展1次养护效果考核。养护效果考核由养护管理科牵头，组织3名或5名专业技术人员成立考评小组开展现场检查。考评小组</w:t>
      </w:r>
      <w:r>
        <w:rPr>
          <w:rFonts w:hint="eastAsia" w:ascii="仿宋_GB2312" w:hAnsi="宋体" w:eastAsia="仿宋_GB2312" w:cs="宋体"/>
          <w:color w:val="auto"/>
          <w:sz w:val="28"/>
          <w:highlight w:val="none"/>
          <w:u w:val="none"/>
          <w:lang w:eastAsia="zh-CN"/>
        </w:rPr>
        <w:t>从养护路段中根据养护等级、养护类型</w:t>
      </w:r>
      <w:r>
        <w:rPr>
          <w:rFonts w:hint="eastAsia" w:ascii="仿宋_GB2312" w:hAnsi="宋体" w:eastAsia="仿宋_GB2312" w:cs="宋体"/>
          <w:color w:val="auto"/>
          <w:sz w:val="28"/>
          <w:highlight w:val="none"/>
          <w:u w:val="none"/>
        </w:rPr>
        <w:t>随机抽取30%</w:t>
      </w:r>
      <w:r>
        <w:rPr>
          <w:rFonts w:hint="eastAsia" w:ascii="仿宋_GB2312" w:hAnsi="宋体" w:eastAsia="仿宋_GB2312" w:cs="宋体"/>
          <w:color w:val="auto"/>
          <w:sz w:val="28"/>
          <w:highlight w:val="none"/>
          <w:u w:val="none"/>
          <w:lang w:eastAsia="zh-CN"/>
        </w:rPr>
        <w:t>作为</w:t>
      </w:r>
      <w:r>
        <w:rPr>
          <w:rFonts w:hint="eastAsia" w:ascii="仿宋_GB2312" w:hAnsi="宋体" w:eastAsia="仿宋_GB2312" w:cs="宋体"/>
          <w:color w:val="auto"/>
          <w:sz w:val="28"/>
          <w:highlight w:val="none"/>
          <w:u w:val="none"/>
        </w:rPr>
        <w:t>检查点，按《南宁市绿化工程管理中心道路绿化养护市场化管理效果考核评分表</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2025</w:t>
      </w:r>
      <w:r>
        <w:rPr>
          <w:rFonts w:hint="eastAsia" w:ascii="仿宋_GB2312" w:hAnsi="宋体" w:eastAsia="仿宋_GB2312" w:cs="宋体"/>
          <w:color w:val="auto"/>
          <w:sz w:val="28"/>
          <w:highlight w:val="none"/>
          <w:u w:val="none"/>
          <w:lang w:eastAsia="zh-CN"/>
        </w:rPr>
        <w:t>年修订</w:t>
      </w:r>
      <w:r>
        <w:rPr>
          <w:rFonts w:hint="eastAsia" w:ascii="仿宋_GB2312" w:hAnsi="宋体" w:eastAsia="仿宋_GB2312" w:cs="宋体"/>
          <w:color w:val="auto"/>
          <w:sz w:val="28"/>
          <w:highlight w:val="none"/>
          <w:u w:val="none"/>
        </w:rPr>
        <w:t>版</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》（附件2）进行评分。</w:t>
      </w:r>
    </w:p>
    <w:p w14:paraId="0708674C">
      <w:pPr>
        <w:spacing w:line="460" w:lineRule="exact"/>
        <w:ind w:firstLine="560" w:firstLineChars="200"/>
        <w:outlineLvl w:val="9"/>
        <w:rPr>
          <w:rFonts w:ascii="仿宋_GB2312" w:hAnsi="仿宋_GB2312" w:eastAsia="仿宋_GB2312" w:cs="仿宋_GB2312"/>
          <w:color w:val="auto"/>
          <w:sz w:val="28"/>
          <w:highlight w:val="none"/>
          <w:u w:val="none"/>
        </w:rPr>
      </w:pPr>
      <w:r>
        <w:rPr>
          <w:rFonts w:hint="eastAsia" w:ascii="仿宋_GB2312" w:hAnsi="仿宋_GB2312" w:eastAsia="仿宋_GB2312" w:cs="仿宋_GB2312"/>
          <w:b/>
          <w:color w:val="auto"/>
          <w:sz w:val="28"/>
          <w:highlight w:val="none"/>
          <w:u w:val="none"/>
        </w:rPr>
        <w:t>2.等级评定</w:t>
      </w:r>
    </w:p>
    <w:p w14:paraId="2F54C4F2">
      <w:pPr>
        <w:spacing w:after="312" w:afterLines="100" w:line="400" w:lineRule="exact"/>
        <w:ind w:left="-108" w:firstLine="663" w:firstLineChars="237"/>
        <w:outlineLvl w:val="9"/>
        <w:rPr>
          <w:rFonts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（1）养护效果</w:t>
      </w:r>
      <w:r>
        <w:rPr>
          <w:rFonts w:hint="eastAsia" w:ascii="仿宋_GB2312" w:hAnsi="宋体" w:eastAsia="仿宋_GB2312" w:cs="宋体"/>
          <w:bCs/>
          <w:color w:val="auto"/>
          <w:sz w:val="28"/>
          <w:highlight w:val="none"/>
          <w:u w:val="none"/>
          <w:lang w:eastAsia="zh-CN"/>
        </w:rPr>
        <w:t>考核</w:t>
      </w:r>
      <w:r>
        <w:rPr>
          <w:rFonts w:hint="eastAsia" w:ascii="仿宋_GB2312" w:hAnsi="宋体" w:eastAsia="仿宋_GB2312" w:cs="宋体"/>
          <w:bCs/>
          <w:color w:val="auto"/>
          <w:sz w:val="28"/>
          <w:highlight w:val="none"/>
          <w:u w:val="none"/>
        </w:rPr>
        <w:t>得分计算公式：</w:t>
      </w:r>
    </w:p>
    <w:p w14:paraId="38DF9B94">
      <w:pPr>
        <w:spacing w:line="400" w:lineRule="exact"/>
        <w:ind w:firstLine="5600" w:firstLineChars="2000"/>
        <w:outlineLvl w:val="9"/>
        <w:rPr>
          <w:rFonts w:ascii="仿宋_GB2312" w:hAnsi="宋体" w:eastAsia="仿宋_GB2312" w:cs="宋体"/>
          <w:bCs/>
          <w:color w:val="auto"/>
          <w:sz w:val="28"/>
          <w:szCs w:val="28"/>
          <w:highlight w:val="none"/>
          <w:u w:val="none"/>
        </w:rPr>
      </w:pPr>
      <w:r>
        <w:rPr>
          <w:rFonts w:hint="eastAsia" w:ascii="仿宋_GB2312" w:hAnsi="宋体" w:eastAsia="仿宋_GB2312" w:cs="宋体"/>
          <w:bCs/>
          <w:color w:val="auto"/>
          <w:sz w:val="28"/>
          <w:szCs w:val="28"/>
          <w:highlight w:val="none"/>
          <w:u w:val="none"/>
        </w:rPr>
        <w:t>∑检查点得分</w:t>
      </w:r>
    </w:p>
    <w:p w14:paraId="207DFC73">
      <w:pPr>
        <w:spacing w:line="300" w:lineRule="exact"/>
        <w:ind w:firstLine="2332" w:firstLineChars="833"/>
        <w:outlineLvl w:val="9"/>
        <w:rPr>
          <w:rFonts w:ascii="仿宋_GB2312" w:hAnsi="宋体" w:eastAsia="仿宋_GB2312" w:cs="宋体"/>
          <w:bCs/>
          <w:color w:val="auto"/>
          <w:sz w:val="28"/>
          <w:szCs w:val="28"/>
          <w:highlight w:val="none"/>
          <w:u w:val="none"/>
        </w:rPr>
      </w:pPr>
      <w:r>
        <w:rPr>
          <w:rFonts w:hint="eastAsia" w:ascii="仿宋_GB2312" w:hAnsi="宋体" w:eastAsia="仿宋_GB2312" w:cs="宋体"/>
          <w:bCs/>
          <w:color w:val="auto"/>
          <w:sz w:val="28"/>
          <w:szCs w:val="28"/>
          <w:highlight w:val="none"/>
          <w:u w:val="none"/>
        </w:rPr>
        <mc:AlternateContent>
          <mc:Choice Requires="wps">
            <w:drawing>
              <wp:anchor distT="0" distB="0" distL="114300" distR="114300" simplePos="0" relativeHeight="251666432" behindDoc="0" locked="0" layoutInCell="1" allowOverlap="1">
                <wp:simplePos x="0" y="0"/>
                <wp:positionH relativeFrom="column">
                  <wp:posOffset>3354705</wp:posOffset>
                </wp:positionH>
                <wp:positionV relativeFrom="paragraph">
                  <wp:posOffset>85725</wp:posOffset>
                </wp:positionV>
                <wp:extent cx="1500505" cy="0"/>
                <wp:effectExtent l="0" t="4445" r="0" b="5080"/>
                <wp:wrapNone/>
                <wp:docPr id="3" name="自选图形 6"/>
                <wp:cNvGraphicFramePr/>
                <a:graphic xmlns:a="http://schemas.openxmlformats.org/drawingml/2006/main">
                  <a:graphicData uri="http://schemas.microsoft.com/office/word/2010/wordprocessingShape">
                    <wps:wsp>
                      <wps:cNvCnPr/>
                      <wps:spPr>
                        <a:xfrm>
                          <a:off x="0" y="0"/>
                          <a:ext cx="15005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264.15pt;margin-top:6.75pt;height:0pt;width:118.15pt;z-index:251666432;mso-width-relative:page;mso-height-relative:page;" filled="f" stroked="t" coordsize="21600,21600" o:gfxdata="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860kHXAAAACQEAAA8AAAAAAAAAAQAgAAAAIgAAAGRycy9kb3ducmV2LnhtbFBLAQIU&#10;ABQAAAAIAIdO4kDSw4dA9AEAAOMDAAAOAAAAAAAAAAEAIAAAACYBAABkcnMvZTJvRG9jLnhtbFBL&#10;BQYAAAAABgAGAFkBAACMBQAAAAA=&#10;">
                <v:fill on="f" focussize="0,0"/>
                <v:stroke color="#000000" joinstyle="round"/>
                <v:imagedata o:title=""/>
                <o:lock v:ext="edit" aspectratio="f"/>
              </v:shape>
            </w:pict>
          </mc:Fallback>
        </mc:AlternateContent>
      </w:r>
      <w:r>
        <w:rPr>
          <w:rFonts w:hint="eastAsia" w:ascii="仿宋_GB2312" w:hAnsi="宋体" w:eastAsia="仿宋_GB2312" w:cs="宋体"/>
          <w:bCs/>
          <w:color w:val="auto"/>
          <w:sz w:val="28"/>
          <w:szCs w:val="28"/>
          <w:highlight w:val="none"/>
          <w:u w:val="none"/>
        </w:rPr>
        <w:t>养护效果</w:t>
      </w:r>
      <w:r>
        <w:rPr>
          <w:rFonts w:hint="eastAsia" w:ascii="仿宋_GB2312" w:hAnsi="宋体" w:eastAsia="仿宋_GB2312" w:cs="宋体"/>
          <w:bCs/>
          <w:color w:val="auto"/>
          <w:sz w:val="28"/>
          <w:szCs w:val="28"/>
          <w:highlight w:val="none"/>
          <w:u w:val="none"/>
          <w:lang w:eastAsia="zh-CN"/>
        </w:rPr>
        <w:t>考核</w:t>
      </w:r>
      <w:r>
        <w:rPr>
          <w:rFonts w:hint="eastAsia" w:ascii="仿宋_GB2312" w:hAnsi="宋体" w:eastAsia="仿宋_GB2312" w:cs="宋体"/>
          <w:bCs/>
          <w:color w:val="auto"/>
          <w:sz w:val="28"/>
          <w:szCs w:val="28"/>
          <w:highlight w:val="none"/>
          <w:u w:val="none"/>
        </w:rPr>
        <w:t>得分</w:t>
      </w:r>
      <w:r>
        <w:rPr>
          <w:rFonts w:hint="eastAsia" w:ascii="仿宋_GB2312" w:hAnsi="宋体" w:eastAsia="仿宋_GB2312" w:cs="宋体"/>
          <w:b w:val="0"/>
          <w:bCs/>
          <w:color w:val="auto"/>
          <w:sz w:val="28"/>
          <w:szCs w:val="28"/>
          <w:highlight w:val="none"/>
          <w:u w:val="none"/>
          <w:lang w:val="en-US" w:eastAsia="zh-CN"/>
        </w:rPr>
        <w:t xml:space="preserve">Q </w:t>
      </w:r>
      <w:r>
        <w:rPr>
          <w:rFonts w:hint="eastAsia" w:ascii="仿宋_GB2312" w:hAnsi="宋体" w:eastAsia="仿宋_GB2312" w:cs="宋体"/>
          <w:bCs/>
          <w:color w:val="auto"/>
          <w:sz w:val="28"/>
          <w:szCs w:val="28"/>
          <w:highlight w:val="none"/>
          <w:u w:val="none"/>
        </w:rPr>
        <w:t xml:space="preserve">=                  </w:t>
      </w:r>
    </w:p>
    <w:p w14:paraId="1A70E016">
      <w:pPr>
        <w:spacing w:line="300" w:lineRule="exact"/>
        <w:jc w:val="center"/>
        <w:outlineLvl w:val="9"/>
        <w:rPr>
          <w:rFonts w:ascii="仿宋_GB2312" w:hAnsi="宋体" w:eastAsia="仿宋_GB2312" w:cs="宋体"/>
          <w:bCs/>
          <w:color w:val="auto"/>
          <w:kern w:val="0"/>
          <w:sz w:val="28"/>
          <w:szCs w:val="28"/>
          <w:highlight w:val="none"/>
          <w:u w:val="none"/>
        </w:rPr>
      </w:pPr>
      <w:r>
        <w:rPr>
          <w:rFonts w:hint="eastAsia" w:ascii="仿宋_GB2312" w:hAnsi="宋体" w:eastAsia="仿宋_GB2312" w:cs="宋体"/>
          <w:bCs/>
          <w:color w:val="auto"/>
          <w:kern w:val="0"/>
          <w:sz w:val="28"/>
          <w:szCs w:val="28"/>
          <w:highlight w:val="none"/>
          <w:u w:val="none"/>
        </w:rPr>
        <w:t xml:space="preserve">              </w:t>
      </w:r>
      <w:r>
        <w:rPr>
          <w:rFonts w:hint="eastAsia" w:ascii="仿宋_GB2312" w:hAnsi="宋体" w:eastAsia="仿宋_GB2312" w:cs="宋体"/>
          <w:bCs/>
          <w:color w:val="auto"/>
          <w:kern w:val="0"/>
          <w:sz w:val="28"/>
          <w:szCs w:val="28"/>
          <w:highlight w:val="none"/>
          <w:u w:val="none"/>
          <w:lang w:val="en-US" w:eastAsia="zh-CN"/>
        </w:rPr>
        <w:t xml:space="preserve">               </w:t>
      </w:r>
      <w:r>
        <w:rPr>
          <w:rFonts w:hint="eastAsia" w:ascii="仿宋_GB2312" w:hAnsi="宋体" w:eastAsia="仿宋_GB2312" w:cs="宋体"/>
          <w:bCs/>
          <w:color w:val="auto"/>
          <w:kern w:val="0"/>
          <w:sz w:val="28"/>
          <w:szCs w:val="28"/>
          <w:highlight w:val="none"/>
          <w:u w:val="none"/>
        </w:rPr>
        <w:t>检查点数量</w:t>
      </w:r>
    </w:p>
    <w:p w14:paraId="66534BD4">
      <w:pPr>
        <w:spacing w:before="312" w:beforeLines="100" w:line="460" w:lineRule="exact"/>
        <w:ind w:firstLine="560" w:firstLineChars="200"/>
        <w:outlineLvl w:val="9"/>
        <w:rPr>
          <w:rFonts w:ascii="仿宋_GB2312" w:hAnsi="宋体" w:eastAsia="仿宋_GB2312" w:cs="宋体"/>
          <w:color w:val="auto"/>
          <w:sz w:val="28"/>
          <w:szCs w:val="28"/>
          <w:highlight w:val="none"/>
          <w:u w:val="none"/>
        </w:rPr>
      </w:pPr>
      <w:r>
        <w:rPr>
          <w:rFonts w:hint="eastAsia" w:ascii="仿宋_GB2312" w:hAnsi="宋体" w:eastAsia="仿宋_GB2312" w:cs="宋体"/>
          <w:color w:val="auto"/>
          <w:sz w:val="28"/>
          <w:szCs w:val="28"/>
          <w:highlight w:val="none"/>
          <w:u w:val="none"/>
        </w:rPr>
        <w:t>备注：每个检查点得分为考评小组所有成员的平均分</w:t>
      </w:r>
    </w:p>
    <w:p w14:paraId="1655F746">
      <w:pPr>
        <w:numPr>
          <w:ilvl w:val="0"/>
          <w:numId w:val="5"/>
        </w:numPr>
        <w:spacing w:line="460" w:lineRule="exact"/>
        <w:ind w:left="497" w:leftChars="237"/>
        <w:outlineLvl w:val="9"/>
        <w:rPr>
          <w:rFonts w:hint="eastAsia" w:ascii="仿宋_GB2312" w:hAnsi="宋体" w:eastAsia="仿宋_GB2312" w:cs="宋体"/>
          <w:bCs/>
          <w:color w:val="auto"/>
          <w:sz w:val="28"/>
          <w:szCs w:val="28"/>
          <w:highlight w:val="none"/>
          <w:u w:val="none"/>
        </w:rPr>
      </w:pPr>
      <w:r>
        <w:rPr>
          <w:rFonts w:hint="eastAsia" w:ascii="仿宋_GB2312" w:hAnsi="宋体" w:eastAsia="仿宋_GB2312" w:cs="宋体"/>
          <w:bCs/>
          <w:color w:val="auto"/>
          <w:sz w:val="28"/>
          <w:szCs w:val="28"/>
          <w:highlight w:val="none"/>
          <w:u w:val="none"/>
        </w:rPr>
        <w:t>养护效果考核等级评定</w:t>
      </w:r>
      <w:r>
        <w:rPr>
          <w:rFonts w:hint="eastAsia" w:ascii="仿宋_GB2312" w:hAnsi="宋体" w:eastAsia="仿宋_GB2312" w:cs="宋体"/>
          <w:bCs/>
          <w:color w:val="auto"/>
          <w:sz w:val="28"/>
          <w:szCs w:val="28"/>
          <w:highlight w:val="none"/>
          <w:u w:val="none"/>
          <w:lang w:eastAsia="zh-CN"/>
        </w:rPr>
        <w:t>标准如下：</w:t>
      </w:r>
    </w:p>
    <w:p w14:paraId="37B655C0">
      <w:pPr>
        <w:numPr>
          <w:ilvl w:val="0"/>
          <w:numId w:val="0"/>
        </w:numPr>
        <w:spacing w:line="460" w:lineRule="exact"/>
        <w:outlineLvl w:val="9"/>
        <w:rPr>
          <w:rFonts w:hint="eastAsia" w:ascii="仿宋_GB2312" w:hAnsi="宋体" w:eastAsia="仿宋_GB2312" w:cs="宋体"/>
          <w:bCs/>
          <w:color w:val="auto"/>
          <w:sz w:val="28"/>
          <w:szCs w:val="28"/>
          <w:highlight w:val="none"/>
          <w:u w:val="none"/>
        </w:rPr>
      </w:pPr>
    </w:p>
    <w:tbl>
      <w:tblPr>
        <w:tblStyle w:val="2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14:paraId="6FB7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857" w:type="dxa"/>
            <w:vAlign w:val="center"/>
          </w:tcPr>
          <w:p w14:paraId="5EB45729">
            <w:pPr>
              <w:numPr>
                <w:ilvl w:val="0"/>
                <w:numId w:val="0"/>
              </w:numPr>
              <w:spacing w:line="460" w:lineRule="exact"/>
              <w:jc w:val="center"/>
              <w:outlineLvl w:val="9"/>
              <w:rPr>
                <w:rFonts w:hint="eastAsia" w:ascii="仿宋_GB2312" w:hAnsi="宋体" w:eastAsia="仿宋_GB2312" w:cs="宋体"/>
                <w:bCs/>
                <w:color w:val="auto"/>
                <w:sz w:val="28"/>
                <w:szCs w:val="28"/>
                <w:highlight w:val="none"/>
                <w:u w:val="none"/>
                <w:vertAlign w:val="baseline"/>
              </w:rPr>
            </w:pPr>
            <w:r>
              <w:rPr>
                <w:rFonts w:hint="eastAsia" w:ascii="仿宋_GB2312" w:hAnsi="宋体" w:eastAsia="仿宋_GB2312" w:cs="宋体"/>
                <w:bCs/>
                <w:color w:val="auto"/>
                <w:sz w:val="24"/>
                <w:highlight w:val="none"/>
                <w:u w:val="none"/>
              </w:rPr>
              <w:t>评分项目</w:t>
            </w:r>
          </w:p>
        </w:tc>
        <w:tc>
          <w:tcPr>
            <w:tcW w:w="1857" w:type="dxa"/>
            <w:vAlign w:val="center"/>
          </w:tcPr>
          <w:p w14:paraId="728FDA4F">
            <w:pPr>
              <w:numPr>
                <w:ilvl w:val="0"/>
                <w:numId w:val="0"/>
              </w:numPr>
              <w:spacing w:line="460" w:lineRule="exact"/>
              <w:jc w:val="center"/>
              <w:outlineLvl w:val="9"/>
              <w:rPr>
                <w:rFonts w:hint="eastAsia" w:ascii="仿宋_GB2312" w:hAnsi="宋体" w:eastAsia="仿宋_GB2312" w:cs="宋体"/>
                <w:bCs/>
                <w:color w:val="auto"/>
                <w:sz w:val="24"/>
                <w:highlight w:val="none"/>
                <w:u w:val="none"/>
                <w:lang w:eastAsia="zh-CN"/>
              </w:rPr>
            </w:pPr>
            <w:r>
              <w:rPr>
                <w:rFonts w:hint="eastAsia" w:ascii="仿宋_GB2312" w:hAnsi="宋体" w:eastAsia="仿宋_GB2312" w:cs="宋体"/>
                <w:bCs/>
                <w:color w:val="auto"/>
                <w:sz w:val="24"/>
                <w:highlight w:val="none"/>
                <w:u w:val="none"/>
                <w:lang w:eastAsia="zh-CN"/>
              </w:rPr>
              <w:t>优秀</w:t>
            </w:r>
          </w:p>
        </w:tc>
        <w:tc>
          <w:tcPr>
            <w:tcW w:w="1857" w:type="dxa"/>
            <w:vAlign w:val="center"/>
          </w:tcPr>
          <w:p w14:paraId="79613E6F">
            <w:pPr>
              <w:numPr>
                <w:ilvl w:val="0"/>
                <w:numId w:val="0"/>
              </w:numPr>
              <w:spacing w:line="460" w:lineRule="exact"/>
              <w:jc w:val="center"/>
              <w:outlineLvl w:val="9"/>
              <w:rPr>
                <w:rFonts w:hint="eastAsia" w:ascii="仿宋_GB2312" w:hAnsi="宋体" w:eastAsia="仿宋_GB2312" w:cs="宋体"/>
                <w:bCs/>
                <w:color w:val="auto"/>
                <w:sz w:val="24"/>
                <w:highlight w:val="none"/>
                <w:u w:val="none"/>
                <w:lang w:eastAsia="zh-CN"/>
              </w:rPr>
            </w:pPr>
            <w:r>
              <w:rPr>
                <w:rFonts w:hint="eastAsia" w:ascii="仿宋_GB2312" w:hAnsi="宋体" w:eastAsia="仿宋_GB2312" w:cs="宋体"/>
                <w:bCs/>
                <w:color w:val="auto"/>
                <w:sz w:val="24"/>
                <w:highlight w:val="none"/>
                <w:u w:val="none"/>
                <w:lang w:eastAsia="zh-CN"/>
              </w:rPr>
              <w:t>良好</w:t>
            </w:r>
          </w:p>
        </w:tc>
        <w:tc>
          <w:tcPr>
            <w:tcW w:w="1857" w:type="dxa"/>
            <w:vAlign w:val="center"/>
          </w:tcPr>
          <w:p w14:paraId="7845B3A5">
            <w:pPr>
              <w:numPr>
                <w:ilvl w:val="0"/>
                <w:numId w:val="0"/>
              </w:numPr>
              <w:spacing w:line="460" w:lineRule="exact"/>
              <w:jc w:val="center"/>
              <w:outlineLvl w:val="9"/>
              <w:rPr>
                <w:rFonts w:hint="eastAsia" w:ascii="仿宋_GB2312" w:hAnsi="宋体" w:eastAsia="仿宋_GB2312" w:cs="宋体"/>
                <w:bCs/>
                <w:color w:val="auto"/>
                <w:sz w:val="24"/>
                <w:highlight w:val="none"/>
                <w:u w:val="none"/>
                <w:lang w:eastAsia="zh-CN"/>
              </w:rPr>
            </w:pPr>
            <w:r>
              <w:rPr>
                <w:rFonts w:hint="eastAsia" w:ascii="仿宋_GB2312" w:hAnsi="宋体" w:eastAsia="仿宋_GB2312" w:cs="宋体"/>
                <w:bCs/>
                <w:color w:val="auto"/>
                <w:sz w:val="24"/>
                <w:highlight w:val="none"/>
                <w:u w:val="none"/>
                <w:lang w:eastAsia="zh-CN"/>
              </w:rPr>
              <w:t>合格</w:t>
            </w:r>
          </w:p>
        </w:tc>
        <w:tc>
          <w:tcPr>
            <w:tcW w:w="1858" w:type="dxa"/>
            <w:vAlign w:val="center"/>
          </w:tcPr>
          <w:p w14:paraId="6D240220">
            <w:pPr>
              <w:numPr>
                <w:ilvl w:val="0"/>
                <w:numId w:val="0"/>
              </w:numPr>
              <w:spacing w:line="460" w:lineRule="exact"/>
              <w:jc w:val="center"/>
              <w:outlineLvl w:val="9"/>
              <w:rPr>
                <w:rFonts w:hint="eastAsia" w:ascii="仿宋_GB2312" w:hAnsi="宋体" w:eastAsia="仿宋_GB2312" w:cs="宋体"/>
                <w:bCs/>
                <w:color w:val="auto"/>
                <w:sz w:val="24"/>
                <w:highlight w:val="none"/>
                <w:u w:val="none"/>
                <w:lang w:eastAsia="zh-CN"/>
              </w:rPr>
            </w:pPr>
            <w:r>
              <w:rPr>
                <w:rFonts w:hint="eastAsia" w:ascii="仿宋_GB2312" w:hAnsi="宋体" w:eastAsia="仿宋_GB2312" w:cs="宋体"/>
                <w:bCs/>
                <w:color w:val="auto"/>
                <w:sz w:val="24"/>
                <w:highlight w:val="none"/>
                <w:u w:val="none"/>
                <w:lang w:eastAsia="zh-CN"/>
              </w:rPr>
              <w:t>不合格</w:t>
            </w:r>
          </w:p>
        </w:tc>
      </w:tr>
      <w:tr w14:paraId="599D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857" w:type="dxa"/>
            <w:vAlign w:val="center"/>
          </w:tcPr>
          <w:p w14:paraId="69604FC5">
            <w:pPr>
              <w:numPr>
                <w:ilvl w:val="0"/>
                <w:numId w:val="0"/>
              </w:numPr>
              <w:spacing w:line="460" w:lineRule="exact"/>
              <w:jc w:val="center"/>
              <w:outlineLvl w:val="9"/>
              <w:rPr>
                <w:rFonts w:hint="eastAsia" w:ascii="仿宋_GB2312" w:hAnsi="宋体" w:eastAsia="仿宋_GB2312" w:cs="宋体"/>
                <w:bCs/>
                <w:color w:val="auto"/>
                <w:sz w:val="28"/>
                <w:szCs w:val="28"/>
                <w:highlight w:val="none"/>
                <w:u w:val="none"/>
                <w:vertAlign w:val="baseline"/>
                <w:lang w:eastAsia="zh-CN"/>
              </w:rPr>
            </w:pPr>
            <w:r>
              <w:rPr>
                <w:rFonts w:hint="eastAsia" w:ascii="仿宋_GB2312" w:hAnsi="宋体" w:eastAsia="仿宋_GB2312" w:cs="宋体"/>
                <w:bCs/>
                <w:color w:val="auto"/>
                <w:sz w:val="24"/>
                <w:highlight w:val="none"/>
                <w:u w:val="none"/>
              </w:rPr>
              <w:t>养护效果得分</w:t>
            </w:r>
            <w:r>
              <w:rPr>
                <w:rFonts w:hint="eastAsia" w:ascii="仿宋_GB2312" w:hAnsi="宋体" w:eastAsia="仿宋_GB2312" w:cs="宋体"/>
                <w:bCs/>
                <w:color w:val="auto"/>
                <w:sz w:val="24"/>
                <w:highlight w:val="none"/>
                <w:u w:val="none"/>
                <w:lang w:val="en-US" w:eastAsia="zh-CN"/>
              </w:rPr>
              <w:t>Q</w:t>
            </w:r>
          </w:p>
        </w:tc>
        <w:tc>
          <w:tcPr>
            <w:tcW w:w="1857" w:type="dxa"/>
            <w:shd w:val="clear" w:color="auto" w:fill="auto"/>
            <w:vAlign w:val="center"/>
          </w:tcPr>
          <w:p w14:paraId="5D3F4F54">
            <w:pPr>
              <w:spacing w:line="400" w:lineRule="exact"/>
              <w:jc w:val="center"/>
              <w:outlineLvl w:val="9"/>
              <w:rPr>
                <w:rFonts w:hint="eastAsia" w:ascii="仿宋_GB2312" w:hAnsi="宋体" w:eastAsia="仿宋_GB2312" w:cs="宋体"/>
                <w:color w:val="auto"/>
                <w:kern w:val="2"/>
                <w:sz w:val="28"/>
                <w:szCs w:val="24"/>
                <w:highlight w:val="none"/>
                <w:u w:val="none"/>
                <w:lang w:val="en-US" w:eastAsia="zh-CN" w:bidi="ar-SA"/>
              </w:rPr>
            </w:pPr>
            <w:r>
              <w:rPr>
                <w:rFonts w:hint="eastAsia" w:ascii="仿宋_GB2312" w:hAnsi="宋体" w:eastAsia="仿宋_GB2312" w:cs="宋体"/>
                <w:bCs/>
                <w:color w:val="auto"/>
                <w:sz w:val="24"/>
                <w:highlight w:val="none"/>
                <w:u w:val="none"/>
                <w:lang w:val="en-US" w:eastAsia="zh-CN"/>
              </w:rPr>
              <w:t>Q</w:t>
            </w:r>
            <w:r>
              <w:rPr>
                <w:rFonts w:hint="eastAsia" w:ascii="仿宋_GB2312" w:hAnsi="宋体" w:eastAsia="仿宋_GB2312" w:cs="宋体"/>
                <w:color w:val="auto"/>
                <w:sz w:val="28"/>
                <w:highlight w:val="none"/>
                <w:u w:val="none"/>
              </w:rPr>
              <w:t>≥9</w:t>
            </w:r>
            <w:r>
              <w:rPr>
                <w:rFonts w:hint="eastAsia" w:ascii="仿宋_GB2312" w:hAnsi="宋体" w:eastAsia="仿宋_GB2312" w:cs="宋体"/>
                <w:color w:val="auto"/>
                <w:sz w:val="28"/>
                <w:highlight w:val="none"/>
                <w:u w:val="none"/>
                <w:lang w:val="en-US" w:eastAsia="zh-CN"/>
              </w:rPr>
              <w:t>0</w:t>
            </w:r>
          </w:p>
        </w:tc>
        <w:tc>
          <w:tcPr>
            <w:tcW w:w="1857" w:type="dxa"/>
            <w:shd w:val="clear" w:color="auto" w:fill="auto"/>
            <w:vAlign w:val="center"/>
          </w:tcPr>
          <w:p w14:paraId="3C97151E">
            <w:pPr>
              <w:spacing w:line="400" w:lineRule="exact"/>
              <w:jc w:val="center"/>
              <w:outlineLvl w:val="9"/>
              <w:rPr>
                <w:rFonts w:hint="eastAsia" w:ascii="仿宋_GB2312" w:hAnsi="宋体" w:eastAsia="仿宋_GB2312" w:cs="宋体"/>
                <w:color w:val="auto"/>
                <w:kern w:val="2"/>
                <w:sz w:val="28"/>
                <w:szCs w:val="24"/>
                <w:highlight w:val="none"/>
                <w:u w:val="none"/>
                <w:lang w:val="en-US" w:eastAsia="zh-CN" w:bidi="ar-SA"/>
              </w:rPr>
            </w:pPr>
            <w:r>
              <w:rPr>
                <w:rFonts w:hint="eastAsia" w:ascii="仿宋_GB2312" w:hAnsi="宋体" w:eastAsia="仿宋_GB2312" w:cs="宋体"/>
                <w:color w:val="auto"/>
                <w:sz w:val="28"/>
                <w:highlight w:val="none"/>
                <w:u w:val="none"/>
              </w:rPr>
              <w:t>9</w:t>
            </w:r>
            <w:r>
              <w:rPr>
                <w:rFonts w:hint="eastAsia" w:ascii="仿宋_GB2312" w:hAnsi="宋体" w:eastAsia="仿宋_GB2312" w:cs="宋体"/>
                <w:color w:val="auto"/>
                <w:sz w:val="28"/>
                <w:highlight w:val="none"/>
                <w:u w:val="none"/>
                <w:lang w:val="en-US" w:eastAsia="zh-CN"/>
              </w:rPr>
              <w:t>0</w:t>
            </w:r>
            <w:r>
              <w:rPr>
                <w:rFonts w:hint="eastAsia" w:ascii="仿宋_GB2312" w:hAnsi="宋体" w:eastAsia="仿宋_GB2312" w:cs="宋体"/>
                <w:color w:val="auto"/>
                <w:sz w:val="28"/>
                <w:highlight w:val="none"/>
                <w:u w:val="none"/>
              </w:rPr>
              <w:t>＞</w:t>
            </w:r>
            <w:r>
              <w:rPr>
                <w:rFonts w:hint="eastAsia" w:ascii="仿宋_GB2312" w:hAnsi="宋体" w:eastAsia="仿宋_GB2312" w:cs="宋体"/>
                <w:bCs/>
                <w:color w:val="auto"/>
                <w:sz w:val="24"/>
                <w:highlight w:val="none"/>
                <w:u w:val="none"/>
                <w:lang w:val="en-US" w:eastAsia="zh-CN"/>
              </w:rPr>
              <w:t>Q</w:t>
            </w:r>
            <w:r>
              <w:rPr>
                <w:rFonts w:hint="eastAsia" w:ascii="仿宋_GB2312" w:hAnsi="宋体" w:eastAsia="仿宋_GB2312" w:cs="宋体"/>
                <w:color w:val="auto"/>
                <w:sz w:val="28"/>
                <w:highlight w:val="none"/>
                <w:u w:val="none"/>
              </w:rPr>
              <w:t>≥</w:t>
            </w:r>
            <w:r>
              <w:rPr>
                <w:rFonts w:hint="eastAsia" w:ascii="仿宋_GB2312" w:hAnsi="宋体" w:eastAsia="仿宋_GB2312" w:cs="宋体"/>
                <w:color w:val="auto"/>
                <w:sz w:val="28"/>
                <w:highlight w:val="none"/>
                <w:u w:val="none"/>
                <w:lang w:val="en-US" w:eastAsia="zh-CN"/>
              </w:rPr>
              <w:t>7</w:t>
            </w:r>
            <w:r>
              <w:rPr>
                <w:rFonts w:hint="eastAsia" w:ascii="仿宋_GB2312" w:hAnsi="宋体" w:eastAsia="仿宋_GB2312" w:cs="宋体"/>
                <w:color w:val="auto"/>
                <w:sz w:val="28"/>
                <w:highlight w:val="none"/>
                <w:u w:val="none"/>
              </w:rPr>
              <w:t>0</w:t>
            </w:r>
          </w:p>
        </w:tc>
        <w:tc>
          <w:tcPr>
            <w:tcW w:w="1857" w:type="dxa"/>
            <w:shd w:val="clear" w:color="auto" w:fill="auto"/>
            <w:vAlign w:val="center"/>
          </w:tcPr>
          <w:p w14:paraId="2682EA2D">
            <w:pPr>
              <w:spacing w:line="400" w:lineRule="exact"/>
              <w:jc w:val="center"/>
              <w:outlineLvl w:val="9"/>
              <w:rPr>
                <w:rFonts w:hint="eastAsia" w:ascii="仿宋_GB2312" w:hAnsi="宋体" w:eastAsia="仿宋_GB2312" w:cs="宋体"/>
                <w:color w:val="auto"/>
                <w:kern w:val="2"/>
                <w:sz w:val="28"/>
                <w:szCs w:val="24"/>
                <w:highlight w:val="none"/>
                <w:u w:val="none"/>
                <w:lang w:val="en-US" w:eastAsia="zh-CN" w:bidi="ar-SA"/>
              </w:rPr>
            </w:pPr>
            <w:r>
              <w:rPr>
                <w:rFonts w:hint="eastAsia" w:ascii="仿宋_GB2312" w:hAnsi="宋体" w:eastAsia="仿宋_GB2312" w:cs="宋体"/>
                <w:color w:val="auto"/>
                <w:sz w:val="28"/>
                <w:highlight w:val="none"/>
                <w:u w:val="none"/>
                <w:lang w:val="en-US" w:eastAsia="zh-CN"/>
              </w:rPr>
              <w:t>7</w:t>
            </w:r>
            <w:r>
              <w:rPr>
                <w:rFonts w:hint="eastAsia" w:ascii="仿宋_GB2312" w:hAnsi="宋体" w:eastAsia="仿宋_GB2312" w:cs="宋体"/>
                <w:color w:val="auto"/>
                <w:sz w:val="28"/>
                <w:highlight w:val="none"/>
                <w:u w:val="none"/>
              </w:rPr>
              <w:t>0＞</w:t>
            </w:r>
            <w:r>
              <w:rPr>
                <w:rFonts w:hint="eastAsia" w:ascii="仿宋_GB2312" w:hAnsi="宋体" w:eastAsia="仿宋_GB2312" w:cs="宋体"/>
                <w:bCs/>
                <w:color w:val="auto"/>
                <w:sz w:val="24"/>
                <w:highlight w:val="none"/>
                <w:u w:val="none"/>
                <w:lang w:val="en-US" w:eastAsia="zh-CN"/>
              </w:rPr>
              <w:t>Q</w:t>
            </w:r>
            <w:r>
              <w:rPr>
                <w:rFonts w:hint="eastAsia" w:ascii="仿宋_GB2312" w:hAnsi="宋体" w:eastAsia="仿宋_GB2312" w:cs="宋体"/>
                <w:color w:val="auto"/>
                <w:sz w:val="28"/>
                <w:highlight w:val="none"/>
                <w:u w:val="none"/>
              </w:rPr>
              <w:t>≥</w:t>
            </w:r>
            <w:r>
              <w:rPr>
                <w:rFonts w:hint="eastAsia" w:ascii="仿宋_GB2312" w:hAnsi="宋体" w:eastAsia="仿宋_GB2312" w:cs="宋体"/>
                <w:color w:val="auto"/>
                <w:sz w:val="28"/>
                <w:highlight w:val="none"/>
                <w:u w:val="none"/>
                <w:lang w:val="en-US" w:eastAsia="zh-CN"/>
              </w:rPr>
              <w:t>6</w:t>
            </w:r>
            <w:r>
              <w:rPr>
                <w:rFonts w:hint="eastAsia" w:ascii="仿宋_GB2312" w:hAnsi="宋体" w:eastAsia="仿宋_GB2312" w:cs="宋体"/>
                <w:color w:val="auto"/>
                <w:sz w:val="28"/>
                <w:highlight w:val="none"/>
                <w:u w:val="none"/>
              </w:rPr>
              <w:t>0</w:t>
            </w:r>
          </w:p>
        </w:tc>
        <w:tc>
          <w:tcPr>
            <w:tcW w:w="1858" w:type="dxa"/>
            <w:shd w:val="clear" w:color="auto" w:fill="auto"/>
            <w:vAlign w:val="center"/>
          </w:tcPr>
          <w:p w14:paraId="39DA954B">
            <w:pPr>
              <w:spacing w:line="400" w:lineRule="exact"/>
              <w:jc w:val="center"/>
              <w:outlineLvl w:val="9"/>
              <w:rPr>
                <w:rFonts w:hint="eastAsia" w:ascii="仿宋_GB2312" w:hAnsi="宋体" w:eastAsia="仿宋_GB2312" w:cs="宋体"/>
                <w:color w:val="auto"/>
                <w:kern w:val="2"/>
                <w:sz w:val="28"/>
                <w:szCs w:val="24"/>
                <w:highlight w:val="none"/>
                <w:u w:val="none"/>
                <w:lang w:val="en-US" w:eastAsia="zh-CN" w:bidi="ar-SA"/>
              </w:rPr>
            </w:pPr>
            <w:r>
              <w:rPr>
                <w:rFonts w:hint="eastAsia" w:ascii="仿宋_GB2312" w:hAnsi="宋体" w:eastAsia="仿宋_GB2312" w:cs="宋体"/>
                <w:bCs/>
                <w:color w:val="auto"/>
                <w:sz w:val="24"/>
                <w:highlight w:val="none"/>
                <w:u w:val="none"/>
                <w:lang w:val="en-US" w:eastAsia="zh-CN"/>
              </w:rPr>
              <w:t>Q</w:t>
            </w:r>
            <w:r>
              <w:rPr>
                <w:rFonts w:hint="eastAsia" w:ascii="仿宋_GB2312" w:hAnsi="宋体" w:eastAsia="仿宋_GB2312" w:cs="宋体"/>
                <w:color w:val="auto"/>
                <w:sz w:val="28"/>
                <w:highlight w:val="none"/>
                <w:u w:val="none"/>
              </w:rPr>
              <w:t>＜</w:t>
            </w:r>
            <w:r>
              <w:rPr>
                <w:rFonts w:hint="eastAsia" w:ascii="仿宋_GB2312" w:hAnsi="宋体" w:eastAsia="仿宋_GB2312" w:cs="宋体"/>
                <w:color w:val="auto"/>
                <w:sz w:val="28"/>
                <w:highlight w:val="none"/>
                <w:u w:val="none"/>
                <w:lang w:val="en-US" w:eastAsia="zh-CN"/>
              </w:rPr>
              <w:t>6</w:t>
            </w:r>
            <w:r>
              <w:rPr>
                <w:rFonts w:hint="eastAsia" w:ascii="仿宋_GB2312" w:hAnsi="宋体" w:eastAsia="仿宋_GB2312" w:cs="宋体"/>
                <w:color w:val="auto"/>
                <w:sz w:val="28"/>
                <w:highlight w:val="none"/>
                <w:u w:val="none"/>
              </w:rPr>
              <w:t>0</w:t>
            </w:r>
          </w:p>
        </w:tc>
      </w:tr>
    </w:tbl>
    <w:p w14:paraId="489837B3">
      <w:pPr>
        <w:spacing w:line="400" w:lineRule="exact"/>
        <w:outlineLvl w:val="9"/>
        <w:rPr>
          <w:rFonts w:ascii="宋体" w:hAnsi="宋体" w:cs="宋体"/>
          <w:color w:val="auto"/>
          <w:sz w:val="24"/>
          <w:highlight w:val="none"/>
          <w:u w:val="none"/>
        </w:rPr>
      </w:pPr>
      <w:bookmarkStart w:id="130" w:name="_Toc24412"/>
      <w:bookmarkStart w:id="131" w:name="_Toc15270"/>
      <w:bookmarkStart w:id="132" w:name="_Toc4278"/>
      <w:bookmarkStart w:id="133" w:name="_Toc26004"/>
    </w:p>
    <w:p w14:paraId="5EA4033A">
      <w:pPr>
        <w:spacing w:line="460" w:lineRule="exact"/>
        <w:ind w:firstLine="560" w:firstLineChars="200"/>
        <w:outlineLvl w:val="9"/>
        <w:rPr>
          <w:rFonts w:ascii="黑体" w:hAnsi="黑体" w:eastAsia="黑体" w:cs="宋体"/>
          <w:bCs/>
          <w:color w:val="auto"/>
          <w:sz w:val="28"/>
          <w:highlight w:val="none"/>
          <w:u w:val="none"/>
        </w:rPr>
      </w:pPr>
      <w:r>
        <w:rPr>
          <w:rFonts w:hint="eastAsia" w:ascii="黑体" w:hAnsi="黑体" w:eastAsia="黑体" w:cs="宋体"/>
          <w:bCs/>
          <w:color w:val="auto"/>
          <w:sz w:val="28"/>
          <w:highlight w:val="none"/>
          <w:u w:val="none"/>
          <w:lang w:eastAsia="zh-CN"/>
        </w:rPr>
        <w:t>八</w:t>
      </w:r>
      <w:r>
        <w:rPr>
          <w:rFonts w:hint="eastAsia" w:ascii="黑体" w:hAnsi="黑体" w:eastAsia="黑体" w:cs="宋体"/>
          <w:bCs/>
          <w:color w:val="auto"/>
          <w:sz w:val="28"/>
          <w:highlight w:val="none"/>
          <w:u w:val="none"/>
        </w:rPr>
        <w:t>、考核结果的应用</w:t>
      </w:r>
      <w:bookmarkEnd w:id="130"/>
      <w:bookmarkEnd w:id="131"/>
      <w:bookmarkEnd w:id="132"/>
      <w:bookmarkEnd w:id="133"/>
    </w:p>
    <w:p w14:paraId="2B13EC51">
      <w:pPr>
        <w:spacing w:line="460" w:lineRule="exact"/>
        <w:ind w:firstLine="560" w:firstLineChars="200"/>
        <w:outlineLvl w:val="9"/>
        <w:rPr>
          <w:rFonts w:ascii="楷体_GB2312" w:hAnsi="楷体_GB2312" w:eastAsia="楷体_GB2312" w:cs="楷体_GB2312"/>
          <w:color w:val="auto"/>
          <w:sz w:val="28"/>
          <w:highlight w:val="none"/>
          <w:u w:val="none"/>
        </w:rPr>
      </w:pPr>
      <w:bookmarkStart w:id="134" w:name="_Toc2852"/>
      <w:bookmarkStart w:id="135" w:name="_Toc8833"/>
      <w:bookmarkStart w:id="136" w:name="_Toc5928"/>
      <w:bookmarkStart w:id="137" w:name="_Toc27071"/>
      <w:r>
        <w:rPr>
          <w:rFonts w:hint="eastAsia" w:ascii="楷体_GB2312" w:hAnsi="楷体_GB2312" w:eastAsia="楷体_GB2312" w:cs="楷体_GB2312"/>
          <w:color w:val="auto"/>
          <w:sz w:val="28"/>
          <w:highlight w:val="none"/>
          <w:u w:val="none"/>
        </w:rPr>
        <w:t>（一）养护经费方面</w:t>
      </w:r>
      <w:bookmarkEnd w:id="134"/>
      <w:bookmarkEnd w:id="135"/>
      <w:bookmarkEnd w:id="136"/>
      <w:bookmarkEnd w:id="137"/>
    </w:p>
    <w:p w14:paraId="5A11E1BA">
      <w:pPr>
        <w:spacing w:line="460" w:lineRule="exact"/>
        <w:ind w:firstLine="560" w:firstLineChars="200"/>
        <w:outlineLvl w:val="9"/>
        <w:rPr>
          <w:rFonts w:ascii="仿宋_GB2312" w:hAnsi="宋体" w:eastAsia="仿宋_GB2312" w:cs="宋体"/>
          <w:b/>
          <w:bCs/>
          <w:color w:val="auto"/>
          <w:sz w:val="28"/>
          <w:highlight w:val="none"/>
          <w:u w:val="none"/>
        </w:rPr>
      </w:pPr>
      <w:bookmarkStart w:id="138" w:name="_Toc2558"/>
      <w:bookmarkStart w:id="139" w:name="_Toc15619"/>
      <w:bookmarkStart w:id="140" w:name="_Toc31235"/>
      <w:bookmarkStart w:id="141" w:name="_Toc12687"/>
      <w:r>
        <w:rPr>
          <w:rFonts w:hint="eastAsia" w:ascii="仿宋_GB2312" w:hAnsi="宋体" w:eastAsia="仿宋_GB2312" w:cs="宋体"/>
          <w:b/>
          <w:bCs/>
          <w:color w:val="auto"/>
          <w:sz w:val="28"/>
          <w:highlight w:val="none"/>
          <w:u w:val="none"/>
        </w:rPr>
        <w:t>1.养护月度考核</w:t>
      </w:r>
      <w:bookmarkEnd w:id="138"/>
      <w:bookmarkEnd w:id="139"/>
      <w:bookmarkEnd w:id="140"/>
      <w:bookmarkEnd w:id="141"/>
    </w:p>
    <w:p w14:paraId="5908A36D">
      <w:pPr>
        <w:spacing w:line="460" w:lineRule="exact"/>
        <w:ind w:firstLine="560" w:firstLineChars="200"/>
        <w:outlineLvl w:val="9"/>
        <w:rPr>
          <w:rFonts w:hint="eastAsia"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养护月度考核结果应用于月养护经费的核拨，月养护经费</w:t>
      </w:r>
      <w:r>
        <w:rPr>
          <w:rFonts w:hint="eastAsia" w:ascii="仿宋_GB2312" w:hAnsi="宋体" w:eastAsia="仿宋_GB2312" w:cs="宋体"/>
          <w:bCs/>
          <w:color w:val="auto"/>
          <w:sz w:val="28"/>
          <w:highlight w:val="none"/>
          <w:u w:val="none"/>
          <w:lang w:eastAsia="zh-CN"/>
        </w:rPr>
        <w:t>为</w:t>
      </w:r>
      <w:r>
        <w:rPr>
          <w:rFonts w:hint="eastAsia" w:ascii="仿宋_GB2312" w:hAnsi="宋体" w:eastAsia="仿宋_GB2312" w:cs="宋体"/>
          <w:bCs/>
          <w:color w:val="auto"/>
          <w:sz w:val="28"/>
          <w:highlight w:val="none"/>
          <w:u w:val="none"/>
        </w:rPr>
        <w:t>全年养护经费的1/12。</w:t>
      </w:r>
    </w:p>
    <w:p w14:paraId="02DF4CE0">
      <w:pPr>
        <w:spacing w:line="460" w:lineRule="exact"/>
        <w:ind w:firstLine="560" w:firstLineChars="200"/>
        <w:outlineLvl w:val="9"/>
        <w:rPr>
          <w:rFonts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（1）养护月度考核得分大于等于</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0分，不扣减月养护经费；</w:t>
      </w:r>
    </w:p>
    <w:p w14:paraId="4AD20200">
      <w:pPr>
        <w:spacing w:line="460" w:lineRule="exact"/>
        <w:ind w:firstLine="560" w:firstLineChars="200"/>
        <w:outlineLvl w:val="9"/>
        <w:rPr>
          <w:rFonts w:ascii="仿宋_GB2312" w:hAnsi="宋体" w:eastAsia="仿宋_GB2312" w:cs="宋体"/>
          <w:color w:val="auto"/>
          <w:kern w:val="0"/>
          <w:sz w:val="28"/>
          <w:highlight w:val="none"/>
          <w:u w:val="none"/>
        </w:rPr>
      </w:pPr>
      <w:r>
        <w:rPr>
          <w:rFonts w:hint="eastAsia" w:ascii="仿宋_GB2312" w:hAnsi="宋体" w:eastAsia="仿宋_GB2312" w:cs="宋体"/>
          <w:bCs/>
          <w:color w:val="auto"/>
          <w:sz w:val="28"/>
          <w:highlight w:val="none"/>
          <w:u w:val="none"/>
        </w:rPr>
        <w:t>（2）养护月度考核得分小于</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0分且大于等于</w:t>
      </w:r>
      <w:r>
        <w:rPr>
          <w:rFonts w:hint="eastAsia" w:ascii="仿宋_GB2312" w:hAnsi="宋体" w:eastAsia="仿宋_GB2312" w:cs="宋体"/>
          <w:bCs/>
          <w:color w:val="auto"/>
          <w:sz w:val="28"/>
          <w:highlight w:val="none"/>
          <w:u w:val="none"/>
          <w:lang w:val="en-US" w:eastAsia="zh-CN"/>
        </w:rPr>
        <w:t>6</w:t>
      </w:r>
      <w:r>
        <w:rPr>
          <w:rFonts w:hint="eastAsia" w:ascii="仿宋_GB2312" w:hAnsi="宋体" w:eastAsia="仿宋_GB2312" w:cs="宋体"/>
          <w:bCs/>
          <w:color w:val="auto"/>
          <w:sz w:val="28"/>
          <w:highlight w:val="none"/>
          <w:u w:val="none"/>
        </w:rPr>
        <w:t>0分，核减经费额=（</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0﹣养护月度考核得分</w:t>
      </w:r>
      <w:r>
        <w:rPr>
          <w:rFonts w:hint="eastAsia" w:ascii="仿宋_GB2312" w:hAnsi="仿宋_GB2312" w:eastAsia="仿宋_GB2312" w:cs="仿宋_GB2312"/>
          <w:bCs/>
          <w:color w:val="auto"/>
          <w:sz w:val="28"/>
          <w:highlight w:val="none"/>
          <w:u w:val="none"/>
        </w:rPr>
        <w:t>）×</w:t>
      </w:r>
      <w:r>
        <w:rPr>
          <w:rFonts w:hint="eastAsia" w:ascii="仿宋_GB2312" w:hAnsi="宋体" w:eastAsia="仿宋_GB2312" w:cs="宋体"/>
          <w:bCs/>
          <w:color w:val="auto"/>
          <w:sz w:val="28"/>
          <w:highlight w:val="none"/>
          <w:u w:val="none"/>
          <w:lang w:val="en-US" w:eastAsia="zh-CN"/>
        </w:rPr>
        <w:t>2‰</w:t>
      </w:r>
      <w:r>
        <w:rPr>
          <w:rFonts w:hint="eastAsia" w:ascii="仿宋_GB2312" w:hAnsi="宋体" w:eastAsia="仿宋_GB2312" w:cs="宋体"/>
          <w:bCs/>
          <w:color w:val="auto"/>
          <w:sz w:val="28"/>
          <w:highlight w:val="none"/>
          <w:u w:val="none"/>
        </w:rPr>
        <w:t>×月养护经费；</w:t>
      </w:r>
    </w:p>
    <w:p w14:paraId="0F332D17">
      <w:pPr>
        <w:spacing w:line="460" w:lineRule="exact"/>
        <w:ind w:firstLine="560" w:firstLineChars="200"/>
        <w:outlineLvl w:val="9"/>
        <w:rPr>
          <w:rFonts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（3）养护月度考核得分小于</w:t>
      </w:r>
      <w:r>
        <w:rPr>
          <w:rFonts w:hint="eastAsia" w:ascii="仿宋_GB2312" w:hAnsi="宋体" w:eastAsia="仿宋_GB2312" w:cs="宋体"/>
          <w:bCs/>
          <w:color w:val="auto"/>
          <w:sz w:val="28"/>
          <w:highlight w:val="none"/>
          <w:u w:val="none"/>
          <w:lang w:val="en-US" w:eastAsia="zh-CN"/>
        </w:rPr>
        <w:t>6</w:t>
      </w:r>
      <w:r>
        <w:rPr>
          <w:rFonts w:hint="eastAsia" w:ascii="仿宋_GB2312" w:hAnsi="宋体" w:eastAsia="仿宋_GB2312" w:cs="宋体"/>
          <w:bCs/>
          <w:color w:val="auto"/>
          <w:sz w:val="28"/>
          <w:highlight w:val="none"/>
          <w:u w:val="none"/>
        </w:rPr>
        <w:t>0分，核减经费额=（</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w:t>
      </w:r>
      <w:r>
        <w:rPr>
          <w:rFonts w:hint="eastAsia" w:ascii="宋体" w:hAnsi="宋体" w:cs="宋体"/>
          <w:bCs/>
          <w:color w:val="auto"/>
          <w:sz w:val="28"/>
          <w:highlight w:val="none"/>
          <w:u w:val="none"/>
        </w:rPr>
        <w:t>﹣</w:t>
      </w:r>
      <w:r>
        <w:rPr>
          <w:rFonts w:hint="eastAsia" w:ascii="仿宋_GB2312" w:hAnsi="宋体" w:eastAsia="仿宋_GB2312" w:cs="宋体"/>
          <w:bCs/>
          <w:color w:val="auto"/>
          <w:sz w:val="28"/>
          <w:highlight w:val="none"/>
          <w:u w:val="none"/>
        </w:rPr>
        <w:t>养护月度考核得分</w:t>
      </w:r>
      <w:r>
        <w:rPr>
          <w:rFonts w:hint="eastAsia" w:ascii="仿宋_GB2312" w:hAnsi="仿宋_GB2312" w:eastAsia="仿宋_GB2312" w:cs="仿宋_GB2312"/>
          <w:bCs/>
          <w:color w:val="auto"/>
          <w:sz w:val="28"/>
          <w:highlight w:val="none"/>
          <w:u w:val="none"/>
        </w:rPr>
        <w:t>）×</w:t>
      </w:r>
      <w:r>
        <w:rPr>
          <w:rFonts w:hint="eastAsia" w:ascii="仿宋_GB2312" w:hAnsi="宋体" w:eastAsia="仿宋_GB2312" w:cs="宋体"/>
          <w:bCs/>
          <w:color w:val="auto"/>
          <w:sz w:val="28"/>
          <w:highlight w:val="none"/>
          <w:u w:val="none"/>
          <w:lang w:val="en-US" w:eastAsia="zh-CN"/>
        </w:rPr>
        <w:t>8‰</w:t>
      </w:r>
      <w:r>
        <w:rPr>
          <w:rFonts w:hint="eastAsia" w:ascii="仿宋_GB2312" w:hAnsi="宋体" w:eastAsia="仿宋_GB2312" w:cs="宋体"/>
          <w:bCs/>
          <w:color w:val="auto"/>
          <w:sz w:val="28"/>
          <w:highlight w:val="none"/>
          <w:u w:val="none"/>
        </w:rPr>
        <w:t>×月养护经费。</w:t>
      </w:r>
    </w:p>
    <w:p w14:paraId="598E645E">
      <w:pPr>
        <w:spacing w:line="460" w:lineRule="exact"/>
        <w:ind w:firstLine="560" w:firstLineChars="200"/>
        <w:outlineLvl w:val="9"/>
        <w:rPr>
          <w:rFonts w:ascii="仿宋_GB2312" w:hAnsi="宋体" w:eastAsia="仿宋_GB2312" w:cs="宋体"/>
          <w:b/>
          <w:bCs/>
          <w:color w:val="auto"/>
          <w:sz w:val="28"/>
          <w:highlight w:val="none"/>
          <w:u w:val="none"/>
        </w:rPr>
      </w:pPr>
      <w:bookmarkStart w:id="142" w:name="_Toc389"/>
      <w:bookmarkStart w:id="143" w:name="_Toc29789"/>
      <w:bookmarkStart w:id="144" w:name="_Toc17843"/>
      <w:bookmarkStart w:id="145" w:name="_Toc6865"/>
      <w:r>
        <w:rPr>
          <w:rFonts w:hint="eastAsia" w:ascii="仿宋_GB2312" w:hAnsi="宋体" w:eastAsia="仿宋_GB2312" w:cs="宋体"/>
          <w:b/>
          <w:bCs/>
          <w:color w:val="auto"/>
          <w:sz w:val="28"/>
          <w:highlight w:val="none"/>
          <w:u w:val="none"/>
        </w:rPr>
        <w:t>2.养护效果考核</w:t>
      </w:r>
      <w:bookmarkEnd w:id="142"/>
      <w:bookmarkEnd w:id="143"/>
      <w:bookmarkEnd w:id="144"/>
      <w:bookmarkEnd w:id="145"/>
    </w:p>
    <w:p w14:paraId="40A5AF4A">
      <w:pPr>
        <w:spacing w:line="460" w:lineRule="exact"/>
        <w:ind w:firstLine="560" w:firstLineChars="200"/>
        <w:outlineLvl w:val="9"/>
        <w:rPr>
          <w:rFonts w:hint="default" w:ascii="仿宋_GB2312" w:hAnsi="宋体" w:eastAsia="仿宋_GB2312" w:cs="宋体"/>
          <w:bCs/>
          <w:color w:val="auto"/>
          <w:sz w:val="28"/>
          <w:highlight w:val="none"/>
          <w:u w:val="none"/>
          <w:lang w:val="en-US" w:eastAsia="zh-CN"/>
        </w:rPr>
      </w:pPr>
      <w:r>
        <w:rPr>
          <w:rFonts w:hint="eastAsia" w:ascii="仿宋_GB2312" w:hAnsi="宋体" w:eastAsia="仿宋_GB2312" w:cs="宋体"/>
          <w:bCs/>
          <w:color w:val="auto"/>
          <w:sz w:val="28"/>
          <w:highlight w:val="none"/>
          <w:u w:val="none"/>
          <w:lang w:eastAsia="zh-CN"/>
        </w:rPr>
        <w:t>养护效果考核结果应用于一个季度（</w:t>
      </w:r>
      <w:r>
        <w:rPr>
          <w:rFonts w:hint="eastAsia" w:ascii="仿宋_GB2312" w:hAnsi="宋体" w:eastAsia="仿宋_GB2312" w:cs="宋体"/>
          <w:bCs/>
          <w:color w:val="auto"/>
          <w:sz w:val="28"/>
          <w:highlight w:val="none"/>
          <w:u w:val="none"/>
          <w:lang w:val="en-US" w:eastAsia="zh-CN"/>
        </w:rPr>
        <w:t>3个月</w:t>
      </w:r>
      <w:r>
        <w:rPr>
          <w:rFonts w:hint="eastAsia" w:ascii="仿宋_GB2312" w:hAnsi="宋体" w:eastAsia="仿宋_GB2312" w:cs="宋体"/>
          <w:bCs/>
          <w:color w:val="auto"/>
          <w:sz w:val="28"/>
          <w:highlight w:val="none"/>
          <w:u w:val="none"/>
          <w:lang w:eastAsia="zh-CN"/>
        </w:rPr>
        <w:t>）的养护经费扣减，季度养护经费为</w:t>
      </w:r>
      <w:r>
        <w:rPr>
          <w:rFonts w:hint="eastAsia" w:ascii="仿宋_GB2312" w:hAnsi="宋体" w:eastAsia="仿宋_GB2312" w:cs="宋体"/>
          <w:bCs/>
          <w:color w:val="auto"/>
          <w:sz w:val="28"/>
          <w:highlight w:val="none"/>
          <w:u w:val="none"/>
          <w:lang w:val="en-US" w:eastAsia="zh-CN"/>
        </w:rPr>
        <w:t>3个月的月养护经费总和。</w:t>
      </w:r>
    </w:p>
    <w:p w14:paraId="46D20529">
      <w:pPr>
        <w:spacing w:line="460" w:lineRule="exact"/>
        <w:ind w:firstLine="560" w:firstLineChars="200"/>
        <w:outlineLvl w:val="9"/>
        <w:rPr>
          <w:rFonts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（1）养护</w:t>
      </w:r>
      <w:r>
        <w:rPr>
          <w:rFonts w:hint="eastAsia" w:ascii="仿宋_GB2312" w:hAnsi="宋体" w:eastAsia="仿宋_GB2312" w:cs="宋体"/>
          <w:bCs/>
          <w:color w:val="auto"/>
          <w:sz w:val="28"/>
          <w:highlight w:val="none"/>
          <w:u w:val="none"/>
          <w:lang w:eastAsia="zh-CN"/>
        </w:rPr>
        <w:t>效果</w:t>
      </w:r>
      <w:r>
        <w:rPr>
          <w:rFonts w:hint="eastAsia" w:ascii="仿宋_GB2312" w:hAnsi="宋体" w:eastAsia="仿宋_GB2312" w:cs="宋体"/>
          <w:bCs/>
          <w:color w:val="auto"/>
          <w:sz w:val="28"/>
          <w:highlight w:val="none"/>
          <w:u w:val="none"/>
        </w:rPr>
        <w:t>考核得分大于等于</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0分，不扣减</w:t>
      </w:r>
      <w:r>
        <w:rPr>
          <w:rFonts w:hint="eastAsia" w:ascii="仿宋_GB2312" w:hAnsi="宋体" w:eastAsia="仿宋_GB2312" w:cs="宋体"/>
          <w:bCs/>
          <w:color w:val="auto"/>
          <w:sz w:val="28"/>
          <w:highlight w:val="none"/>
          <w:u w:val="none"/>
          <w:lang w:eastAsia="zh-CN"/>
        </w:rPr>
        <w:t>季度</w:t>
      </w:r>
      <w:r>
        <w:rPr>
          <w:rFonts w:hint="eastAsia" w:ascii="仿宋_GB2312" w:hAnsi="宋体" w:eastAsia="仿宋_GB2312" w:cs="宋体"/>
          <w:bCs/>
          <w:color w:val="auto"/>
          <w:sz w:val="28"/>
          <w:highlight w:val="none"/>
          <w:u w:val="none"/>
        </w:rPr>
        <w:t>养护经费；</w:t>
      </w:r>
    </w:p>
    <w:p w14:paraId="430D9D38">
      <w:pPr>
        <w:spacing w:line="460" w:lineRule="exact"/>
        <w:ind w:firstLine="560" w:firstLineChars="200"/>
        <w:outlineLvl w:val="9"/>
        <w:rPr>
          <w:rFonts w:ascii="仿宋_GB2312" w:hAnsi="宋体" w:eastAsia="仿宋_GB2312" w:cs="宋体"/>
          <w:color w:val="auto"/>
          <w:kern w:val="0"/>
          <w:sz w:val="28"/>
          <w:highlight w:val="none"/>
          <w:u w:val="none"/>
        </w:rPr>
      </w:pPr>
      <w:r>
        <w:rPr>
          <w:rFonts w:hint="eastAsia" w:ascii="仿宋_GB2312" w:hAnsi="宋体" w:eastAsia="仿宋_GB2312" w:cs="宋体"/>
          <w:bCs/>
          <w:color w:val="auto"/>
          <w:sz w:val="28"/>
          <w:highlight w:val="none"/>
          <w:u w:val="none"/>
        </w:rPr>
        <w:t>（2）养护</w:t>
      </w:r>
      <w:r>
        <w:rPr>
          <w:rFonts w:hint="eastAsia" w:ascii="仿宋_GB2312" w:hAnsi="宋体" w:eastAsia="仿宋_GB2312" w:cs="宋体"/>
          <w:bCs/>
          <w:color w:val="auto"/>
          <w:sz w:val="28"/>
          <w:highlight w:val="none"/>
          <w:u w:val="none"/>
          <w:lang w:eastAsia="zh-CN"/>
        </w:rPr>
        <w:t>效果</w:t>
      </w:r>
      <w:r>
        <w:rPr>
          <w:rFonts w:hint="eastAsia" w:ascii="仿宋_GB2312" w:hAnsi="宋体" w:eastAsia="仿宋_GB2312" w:cs="宋体"/>
          <w:bCs/>
          <w:color w:val="auto"/>
          <w:sz w:val="28"/>
          <w:highlight w:val="none"/>
          <w:u w:val="none"/>
        </w:rPr>
        <w:t>考核得分小于</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0分且大于等于</w:t>
      </w:r>
      <w:r>
        <w:rPr>
          <w:rFonts w:hint="eastAsia" w:ascii="仿宋_GB2312" w:hAnsi="宋体" w:eastAsia="仿宋_GB2312" w:cs="宋体"/>
          <w:bCs/>
          <w:color w:val="auto"/>
          <w:sz w:val="28"/>
          <w:highlight w:val="none"/>
          <w:u w:val="none"/>
          <w:lang w:val="en-US" w:eastAsia="zh-CN"/>
        </w:rPr>
        <w:t>6</w:t>
      </w:r>
      <w:r>
        <w:rPr>
          <w:rFonts w:hint="eastAsia" w:ascii="仿宋_GB2312" w:hAnsi="宋体" w:eastAsia="仿宋_GB2312" w:cs="宋体"/>
          <w:bCs/>
          <w:color w:val="auto"/>
          <w:sz w:val="28"/>
          <w:highlight w:val="none"/>
          <w:u w:val="none"/>
        </w:rPr>
        <w:t>0分，核减经费额=（</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0﹣养护</w:t>
      </w:r>
      <w:r>
        <w:rPr>
          <w:rFonts w:hint="eastAsia" w:ascii="仿宋_GB2312" w:hAnsi="宋体" w:eastAsia="仿宋_GB2312" w:cs="宋体"/>
          <w:bCs/>
          <w:color w:val="auto"/>
          <w:sz w:val="28"/>
          <w:highlight w:val="none"/>
          <w:u w:val="none"/>
          <w:lang w:eastAsia="zh-CN"/>
        </w:rPr>
        <w:t>效果</w:t>
      </w:r>
      <w:r>
        <w:rPr>
          <w:rFonts w:hint="eastAsia" w:ascii="仿宋_GB2312" w:hAnsi="宋体" w:eastAsia="仿宋_GB2312" w:cs="宋体"/>
          <w:bCs/>
          <w:color w:val="auto"/>
          <w:sz w:val="28"/>
          <w:highlight w:val="none"/>
          <w:u w:val="none"/>
        </w:rPr>
        <w:t>考核得分</w:t>
      </w:r>
      <w:r>
        <w:rPr>
          <w:rFonts w:hint="eastAsia" w:ascii="仿宋_GB2312" w:hAnsi="仿宋_GB2312" w:eastAsia="仿宋_GB2312" w:cs="仿宋_GB2312"/>
          <w:bCs/>
          <w:color w:val="auto"/>
          <w:sz w:val="28"/>
          <w:highlight w:val="none"/>
          <w:u w:val="none"/>
        </w:rPr>
        <w:t>）×</w:t>
      </w:r>
      <w:r>
        <w:rPr>
          <w:rFonts w:hint="eastAsia" w:ascii="仿宋_GB2312" w:hAnsi="宋体" w:eastAsia="仿宋_GB2312" w:cs="宋体"/>
          <w:bCs/>
          <w:color w:val="auto"/>
          <w:sz w:val="28"/>
          <w:highlight w:val="none"/>
          <w:u w:val="none"/>
          <w:lang w:val="en-US" w:eastAsia="zh-CN"/>
        </w:rPr>
        <w:t>4‰</w:t>
      </w:r>
      <w:r>
        <w:rPr>
          <w:rFonts w:hint="eastAsia" w:ascii="仿宋_GB2312" w:hAnsi="宋体" w:eastAsia="仿宋_GB2312" w:cs="宋体"/>
          <w:bCs/>
          <w:color w:val="auto"/>
          <w:sz w:val="28"/>
          <w:highlight w:val="none"/>
          <w:u w:val="none"/>
        </w:rPr>
        <w:t>×</w:t>
      </w:r>
      <w:r>
        <w:rPr>
          <w:rFonts w:hint="eastAsia" w:ascii="仿宋_GB2312" w:hAnsi="宋体" w:eastAsia="仿宋_GB2312" w:cs="宋体"/>
          <w:bCs/>
          <w:color w:val="auto"/>
          <w:sz w:val="28"/>
          <w:highlight w:val="none"/>
          <w:u w:val="none"/>
          <w:lang w:eastAsia="zh-CN"/>
        </w:rPr>
        <w:t>季度养护</w:t>
      </w:r>
      <w:r>
        <w:rPr>
          <w:rFonts w:hint="eastAsia" w:ascii="仿宋_GB2312" w:hAnsi="宋体" w:eastAsia="仿宋_GB2312" w:cs="宋体"/>
          <w:bCs/>
          <w:color w:val="auto"/>
          <w:sz w:val="28"/>
          <w:highlight w:val="none"/>
          <w:u w:val="none"/>
        </w:rPr>
        <w:t>经费；</w:t>
      </w:r>
    </w:p>
    <w:p w14:paraId="7C17AC9E">
      <w:pPr>
        <w:spacing w:line="460" w:lineRule="exact"/>
        <w:ind w:firstLine="560" w:firstLineChars="200"/>
        <w:outlineLvl w:val="9"/>
        <w:rPr>
          <w:rFonts w:ascii="仿宋_GB2312" w:hAnsi="宋体" w:eastAsia="仿宋_GB2312" w:cs="宋体"/>
          <w:bCs/>
          <w:color w:val="auto"/>
          <w:sz w:val="28"/>
          <w:highlight w:val="none"/>
          <w:u w:val="none"/>
        </w:rPr>
      </w:pPr>
      <w:r>
        <w:rPr>
          <w:rFonts w:hint="eastAsia" w:ascii="仿宋_GB2312" w:hAnsi="宋体" w:eastAsia="仿宋_GB2312" w:cs="宋体"/>
          <w:bCs/>
          <w:color w:val="auto"/>
          <w:sz w:val="28"/>
          <w:highlight w:val="none"/>
          <w:u w:val="none"/>
        </w:rPr>
        <w:t>（3）养护</w:t>
      </w:r>
      <w:r>
        <w:rPr>
          <w:rFonts w:hint="eastAsia" w:ascii="仿宋_GB2312" w:hAnsi="宋体" w:eastAsia="仿宋_GB2312" w:cs="宋体"/>
          <w:bCs/>
          <w:color w:val="auto"/>
          <w:sz w:val="28"/>
          <w:highlight w:val="none"/>
          <w:u w:val="none"/>
          <w:lang w:eastAsia="zh-CN"/>
        </w:rPr>
        <w:t>效果</w:t>
      </w:r>
      <w:r>
        <w:rPr>
          <w:rFonts w:hint="eastAsia" w:ascii="仿宋_GB2312" w:hAnsi="宋体" w:eastAsia="仿宋_GB2312" w:cs="宋体"/>
          <w:bCs/>
          <w:color w:val="auto"/>
          <w:sz w:val="28"/>
          <w:highlight w:val="none"/>
          <w:u w:val="none"/>
        </w:rPr>
        <w:t>考核得分小于</w:t>
      </w:r>
      <w:r>
        <w:rPr>
          <w:rFonts w:hint="eastAsia" w:ascii="仿宋_GB2312" w:hAnsi="宋体" w:eastAsia="仿宋_GB2312" w:cs="宋体"/>
          <w:bCs/>
          <w:color w:val="auto"/>
          <w:sz w:val="28"/>
          <w:highlight w:val="none"/>
          <w:u w:val="none"/>
          <w:lang w:val="en-US" w:eastAsia="zh-CN"/>
        </w:rPr>
        <w:t>6</w:t>
      </w:r>
      <w:r>
        <w:rPr>
          <w:rFonts w:hint="eastAsia" w:ascii="仿宋_GB2312" w:hAnsi="宋体" w:eastAsia="仿宋_GB2312" w:cs="宋体"/>
          <w:bCs/>
          <w:color w:val="auto"/>
          <w:sz w:val="28"/>
          <w:highlight w:val="none"/>
          <w:u w:val="none"/>
        </w:rPr>
        <w:t>0分，核减经费额=（</w:t>
      </w:r>
      <w:r>
        <w:rPr>
          <w:rFonts w:hint="eastAsia" w:ascii="仿宋_GB2312" w:hAnsi="宋体" w:eastAsia="仿宋_GB2312" w:cs="宋体"/>
          <w:bCs/>
          <w:color w:val="auto"/>
          <w:sz w:val="28"/>
          <w:highlight w:val="none"/>
          <w:u w:val="none"/>
          <w:lang w:val="en-US" w:eastAsia="zh-CN"/>
        </w:rPr>
        <w:t>7</w:t>
      </w:r>
      <w:r>
        <w:rPr>
          <w:rFonts w:hint="eastAsia" w:ascii="仿宋_GB2312" w:hAnsi="宋体" w:eastAsia="仿宋_GB2312" w:cs="宋体"/>
          <w:bCs/>
          <w:color w:val="auto"/>
          <w:sz w:val="28"/>
          <w:highlight w:val="none"/>
          <w:u w:val="none"/>
        </w:rPr>
        <w:t>0</w:t>
      </w:r>
      <w:r>
        <w:rPr>
          <w:rFonts w:hint="eastAsia" w:ascii="宋体" w:hAnsi="宋体" w:cs="宋体"/>
          <w:bCs/>
          <w:color w:val="auto"/>
          <w:sz w:val="28"/>
          <w:highlight w:val="none"/>
          <w:u w:val="none"/>
        </w:rPr>
        <w:t>﹣</w:t>
      </w:r>
      <w:r>
        <w:rPr>
          <w:rFonts w:hint="eastAsia" w:ascii="仿宋_GB2312" w:hAnsi="宋体" w:eastAsia="仿宋_GB2312" w:cs="宋体"/>
          <w:bCs/>
          <w:color w:val="auto"/>
          <w:sz w:val="28"/>
          <w:highlight w:val="none"/>
          <w:u w:val="none"/>
        </w:rPr>
        <w:t>养护</w:t>
      </w:r>
      <w:r>
        <w:rPr>
          <w:rFonts w:hint="eastAsia" w:ascii="仿宋_GB2312" w:hAnsi="宋体" w:eastAsia="仿宋_GB2312" w:cs="宋体"/>
          <w:bCs/>
          <w:color w:val="auto"/>
          <w:sz w:val="28"/>
          <w:highlight w:val="none"/>
          <w:u w:val="none"/>
          <w:lang w:eastAsia="zh-CN"/>
        </w:rPr>
        <w:t>效果</w:t>
      </w:r>
      <w:r>
        <w:rPr>
          <w:rFonts w:hint="eastAsia" w:ascii="仿宋_GB2312" w:hAnsi="宋体" w:eastAsia="仿宋_GB2312" w:cs="宋体"/>
          <w:bCs/>
          <w:color w:val="auto"/>
          <w:sz w:val="28"/>
          <w:highlight w:val="none"/>
          <w:u w:val="none"/>
        </w:rPr>
        <w:t>考核得分</w:t>
      </w:r>
      <w:r>
        <w:rPr>
          <w:rFonts w:hint="eastAsia" w:ascii="仿宋_GB2312" w:hAnsi="仿宋_GB2312" w:eastAsia="仿宋_GB2312" w:cs="仿宋_GB2312"/>
          <w:bCs/>
          <w:color w:val="auto"/>
          <w:sz w:val="28"/>
          <w:highlight w:val="none"/>
          <w:u w:val="none"/>
        </w:rPr>
        <w:t>）×</w:t>
      </w:r>
      <w:r>
        <w:rPr>
          <w:rFonts w:hint="eastAsia" w:ascii="仿宋_GB2312" w:hAnsi="宋体" w:eastAsia="仿宋_GB2312" w:cs="宋体"/>
          <w:bCs/>
          <w:color w:val="auto"/>
          <w:sz w:val="28"/>
          <w:highlight w:val="none"/>
          <w:u w:val="none"/>
          <w:lang w:val="en-US" w:eastAsia="zh-CN"/>
        </w:rPr>
        <w:t>1.6%</w:t>
      </w:r>
      <w:r>
        <w:rPr>
          <w:rFonts w:hint="eastAsia" w:ascii="仿宋_GB2312" w:hAnsi="宋体" w:eastAsia="仿宋_GB2312" w:cs="宋体"/>
          <w:bCs/>
          <w:color w:val="auto"/>
          <w:sz w:val="28"/>
          <w:highlight w:val="none"/>
          <w:u w:val="none"/>
        </w:rPr>
        <w:t>×</w:t>
      </w:r>
      <w:r>
        <w:rPr>
          <w:rFonts w:hint="eastAsia" w:ascii="仿宋_GB2312" w:hAnsi="宋体" w:eastAsia="仿宋_GB2312" w:cs="宋体"/>
          <w:bCs/>
          <w:color w:val="auto"/>
          <w:sz w:val="28"/>
          <w:highlight w:val="none"/>
          <w:u w:val="none"/>
          <w:lang w:eastAsia="zh-CN"/>
        </w:rPr>
        <w:t>季度养护</w:t>
      </w:r>
      <w:r>
        <w:rPr>
          <w:rFonts w:hint="eastAsia" w:ascii="仿宋_GB2312" w:hAnsi="宋体" w:eastAsia="仿宋_GB2312" w:cs="宋体"/>
          <w:bCs/>
          <w:color w:val="auto"/>
          <w:sz w:val="28"/>
          <w:highlight w:val="none"/>
          <w:u w:val="none"/>
        </w:rPr>
        <w:t>经费。</w:t>
      </w:r>
    </w:p>
    <w:p w14:paraId="08613792">
      <w:pPr>
        <w:spacing w:line="460" w:lineRule="exact"/>
        <w:ind w:firstLine="560" w:firstLineChars="200"/>
        <w:outlineLvl w:val="9"/>
        <w:rPr>
          <w:rFonts w:ascii="楷体_GB2312" w:hAnsi="楷体_GB2312" w:eastAsia="楷体_GB2312" w:cs="楷体_GB2312"/>
          <w:color w:val="auto"/>
          <w:sz w:val="28"/>
          <w:highlight w:val="none"/>
          <w:u w:val="none"/>
        </w:rPr>
      </w:pPr>
      <w:r>
        <w:rPr>
          <w:rFonts w:hint="eastAsia" w:ascii="楷体_GB2312" w:hAnsi="楷体_GB2312" w:eastAsia="楷体_GB2312" w:cs="楷体_GB2312"/>
          <w:color w:val="auto"/>
          <w:sz w:val="28"/>
          <w:highlight w:val="none"/>
          <w:u w:val="none"/>
        </w:rPr>
        <w:t>（二）合同管理方面</w:t>
      </w:r>
    </w:p>
    <w:p w14:paraId="735016A2">
      <w:pPr>
        <w:spacing w:line="460" w:lineRule="exact"/>
        <w:ind w:firstLine="560" w:firstLineChars="200"/>
        <w:outlineLvl w:val="9"/>
        <w:rPr>
          <w:rFonts w:ascii="仿宋_GB2312" w:hAnsi="宋体" w:eastAsia="仿宋_GB2312" w:cs="宋体"/>
          <w:b/>
          <w:bCs/>
          <w:color w:val="auto"/>
          <w:sz w:val="28"/>
          <w:highlight w:val="none"/>
          <w:u w:val="none"/>
        </w:rPr>
      </w:pPr>
      <w:r>
        <w:rPr>
          <w:rFonts w:hint="eastAsia" w:ascii="仿宋_GB2312" w:hAnsi="宋体" w:eastAsia="仿宋_GB2312" w:cs="宋体"/>
          <w:b/>
          <w:bCs/>
          <w:color w:val="auto"/>
          <w:sz w:val="28"/>
          <w:highlight w:val="none"/>
          <w:u w:val="none"/>
        </w:rPr>
        <w:t>1.续签合同</w:t>
      </w:r>
    </w:p>
    <w:p w14:paraId="2AE76557">
      <w:pPr>
        <w:spacing w:line="460" w:lineRule="exact"/>
        <w:ind w:firstLine="560" w:firstLineChars="200"/>
        <w:outlineLvl w:val="9"/>
        <w:rPr>
          <w:rFonts w:ascii="仿宋_GB2312" w:hAnsi="宋体" w:eastAsia="仿宋_GB2312" w:cs="宋体"/>
          <w:b/>
          <w:bCs/>
          <w:color w:val="auto"/>
          <w:sz w:val="28"/>
          <w:highlight w:val="none"/>
          <w:u w:val="none"/>
        </w:rPr>
      </w:pPr>
      <w:r>
        <w:rPr>
          <w:rFonts w:hint="eastAsia" w:ascii="仿宋_GB2312" w:hAnsi="宋体" w:eastAsia="仿宋_GB2312" w:cs="宋体"/>
          <w:color w:val="auto"/>
          <w:sz w:val="28"/>
          <w:highlight w:val="none"/>
          <w:u w:val="none"/>
        </w:rPr>
        <w:t>在合同期内未出现考核结果</w:t>
      </w:r>
      <w:r>
        <w:rPr>
          <w:rFonts w:hint="eastAsia" w:ascii="仿宋_GB2312" w:hAnsi="宋体" w:eastAsia="仿宋_GB2312" w:cs="宋体"/>
          <w:color w:val="auto"/>
          <w:sz w:val="28"/>
          <w:highlight w:val="none"/>
          <w:u w:val="none"/>
          <w:lang w:eastAsia="zh-CN"/>
        </w:rPr>
        <w:t>（含</w:t>
      </w:r>
      <w:r>
        <w:rPr>
          <w:rFonts w:hint="eastAsia" w:ascii="仿宋_GB2312" w:hAnsi="宋体" w:eastAsia="仿宋_GB2312" w:cs="宋体"/>
          <w:color w:val="auto"/>
          <w:sz w:val="28"/>
          <w:highlight w:val="none"/>
          <w:u w:val="none"/>
          <w:lang w:val="en-US" w:eastAsia="zh-CN"/>
        </w:rPr>
        <w:t>12次养护月度考核和4次养护效果考核</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不合格的情况，且被评定为</w:t>
      </w:r>
      <w:r>
        <w:rPr>
          <w:rFonts w:hint="eastAsia" w:ascii="仿宋_GB2312" w:hAnsi="宋体" w:eastAsia="仿宋_GB2312" w:cs="宋体"/>
          <w:color w:val="auto"/>
          <w:sz w:val="28"/>
          <w:highlight w:val="none"/>
          <w:u w:val="none"/>
          <w:lang w:eastAsia="zh-CN"/>
        </w:rPr>
        <w:t>良好或以上等</w:t>
      </w:r>
      <w:r>
        <w:rPr>
          <w:rFonts w:hint="eastAsia" w:ascii="仿宋_GB2312" w:hAnsi="宋体" w:eastAsia="仿宋_GB2312" w:cs="宋体"/>
          <w:color w:val="auto"/>
          <w:sz w:val="28"/>
          <w:highlight w:val="none"/>
          <w:u w:val="none"/>
        </w:rPr>
        <w:t>级至少1</w:t>
      </w:r>
      <w:r>
        <w:rPr>
          <w:rFonts w:hint="eastAsia" w:ascii="仿宋_GB2312" w:hAnsi="宋体" w:eastAsia="仿宋_GB2312" w:cs="宋体"/>
          <w:color w:val="auto"/>
          <w:sz w:val="28"/>
          <w:highlight w:val="none"/>
          <w:u w:val="none"/>
          <w:lang w:val="en-US" w:eastAsia="zh-CN"/>
        </w:rPr>
        <w:t>0</w:t>
      </w:r>
      <w:r>
        <w:rPr>
          <w:rFonts w:hint="eastAsia" w:ascii="仿宋_GB2312" w:hAnsi="宋体" w:eastAsia="仿宋_GB2312" w:cs="宋体"/>
          <w:color w:val="auto"/>
          <w:sz w:val="28"/>
          <w:highlight w:val="none"/>
          <w:u w:val="none"/>
        </w:rPr>
        <w:t>次，可提出续签合同申请，经绿管中心同意可按照相关要求办理续签合同，最多可续签2次。</w:t>
      </w:r>
    </w:p>
    <w:p w14:paraId="040620DA">
      <w:pPr>
        <w:spacing w:line="460" w:lineRule="exact"/>
        <w:ind w:firstLine="560" w:firstLineChars="200"/>
        <w:outlineLvl w:val="9"/>
        <w:rPr>
          <w:rFonts w:ascii="仿宋_GB2312" w:hAnsi="宋体" w:eastAsia="仿宋_GB2312" w:cs="宋体"/>
          <w:b/>
          <w:bCs/>
          <w:color w:val="auto"/>
          <w:sz w:val="28"/>
          <w:highlight w:val="none"/>
          <w:u w:val="none"/>
        </w:rPr>
      </w:pPr>
      <w:r>
        <w:rPr>
          <w:rFonts w:hint="eastAsia" w:ascii="仿宋_GB2312" w:hAnsi="宋体" w:eastAsia="仿宋_GB2312" w:cs="宋体"/>
          <w:b/>
          <w:bCs/>
          <w:color w:val="auto"/>
          <w:sz w:val="28"/>
          <w:highlight w:val="none"/>
          <w:u w:val="none"/>
        </w:rPr>
        <w:t>2.</w:t>
      </w:r>
      <w:r>
        <w:rPr>
          <w:rFonts w:hint="eastAsia" w:ascii="仿宋_GB2312" w:hAnsi="宋体" w:eastAsia="仿宋_GB2312" w:cs="宋体"/>
          <w:b/>
          <w:bCs/>
          <w:color w:val="auto"/>
          <w:sz w:val="28"/>
          <w:highlight w:val="none"/>
          <w:u w:val="none"/>
          <w:lang w:eastAsia="zh-CN"/>
        </w:rPr>
        <w:t>解除</w:t>
      </w:r>
      <w:r>
        <w:rPr>
          <w:rFonts w:hint="eastAsia" w:ascii="仿宋_GB2312" w:hAnsi="宋体" w:eastAsia="仿宋_GB2312" w:cs="宋体"/>
          <w:b/>
          <w:bCs/>
          <w:color w:val="auto"/>
          <w:sz w:val="28"/>
          <w:highlight w:val="none"/>
          <w:u w:val="none"/>
        </w:rPr>
        <w:t>合同</w:t>
      </w:r>
    </w:p>
    <w:p w14:paraId="5C7C56B9">
      <w:pPr>
        <w:spacing w:line="460" w:lineRule="exact"/>
        <w:ind w:firstLine="560" w:firstLineChars="2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在合同期内考核结果</w:t>
      </w:r>
      <w:r>
        <w:rPr>
          <w:rFonts w:hint="eastAsia" w:ascii="仿宋_GB2312" w:hAnsi="宋体" w:eastAsia="仿宋_GB2312" w:cs="宋体"/>
          <w:color w:val="auto"/>
          <w:sz w:val="28"/>
          <w:highlight w:val="none"/>
          <w:u w:val="none"/>
          <w:lang w:eastAsia="zh-CN"/>
        </w:rPr>
        <w:t>（含</w:t>
      </w:r>
      <w:r>
        <w:rPr>
          <w:rFonts w:hint="eastAsia" w:ascii="仿宋_GB2312" w:hAnsi="宋体" w:eastAsia="仿宋_GB2312" w:cs="宋体"/>
          <w:color w:val="auto"/>
          <w:sz w:val="28"/>
          <w:highlight w:val="none"/>
          <w:u w:val="none"/>
          <w:lang w:val="en-US" w:eastAsia="zh-CN"/>
        </w:rPr>
        <w:t>12次养护月度考核和4次养护效果考核</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出现有累计2次不合格等级的，绿管中心有权</w:t>
      </w:r>
      <w:r>
        <w:rPr>
          <w:rFonts w:hint="eastAsia" w:ascii="仿宋_GB2312" w:hAnsi="宋体" w:eastAsia="仿宋_GB2312" w:cs="宋体"/>
          <w:color w:val="auto"/>
          <w:sz w:val="28"/>
          <w:highlight w:val="none"/>
          <w:u w:val="none"/>
          <w:lang w:eastAsia="zh-CN"/>
        </w:rPr>
        <w:t>解除</w:t>
      </w:r>
      <w:r>
        <w:rPr>
          <w:rFonts w:hint="eastAsia" w:ascii="仿宋_GB2312" w:hAnsi="宋体" w:eastAsia="仿宋_GB2312" w:cs="宋体"/>
          <w:color w:val="auto"/>
          <w:sz w:val="28"/>
          <w:highlight w:val="none"/>
          <w:u w:val="none"/>
        </w:rPr>
        <w:t>合同</w:t>
      </w:r>
      <w:r>
        <w:rPr>
          <w:rFonts w:hint="eastAsia" w:ascii="仿宋_GB2312" w:hAnsi="宋体" w:eastAsia="仿宋_GB2312" w:cs="宋体"/>
          <w:color w:val="auto"/>
          <w:sz w:val="28"/>
          <w:highlight w:val="none"/>
          <w:u w:val="none"/>
          <w:lang w:eastAsia="zh-CN"/>
        </w:rPr>
        <w:t>，自出现第二次考核不合格情况的下月起执行</w:t>
      </w:r>
      <w:r>
        <w:rPr>
          <w:rFonts w:hint="eastAsia" w:ascii="仿宋_GB2312" w:hAnsi="宋体" w:eastAsia="仿宋_GB2312" w:cs="宋体"/>
          <w:color w:val="auto"/>
          <w:sz w:val="28"/>
          <w:highlight w:val="none"/>
          <w:u w:val="none"/>
        </w:rPr>
        <w:t>。</w:t>
      </w:r>
    </w:p>
    <w:p w14:paraId="68192C4E">
      <w:pPr>
        <w:spacing w:line="460" w:lineRule="exact"/>
        <w:ind w:firstLine="560" w:firstLineChars="200"/>
        <w:outlineLvl w:val="9"/>
        <w:rPr>
          <w:rFonts w:hint="eastAsia" w:ascii="黑体" w:hAnsi="黑体" w:eastAsia="黑体" w:cs="宋体"/>
          <w:bCs/>
          <w:color w:val="auto"/>
          <w:sz w:val="28"/>
          <w:highlight w:val="none"/>
          <w:u w:val="none"/>
          <w:lang w:eastAsia="zh-CN"/>
        </w:rPr>
      </w:pPr>
      <w:bookmarkStart w:id="146" w:name="_Toc953"/>
      <w:bookmarkStart w:id="147" w:name="_Toc1739"/>
      <w:bookmarkStart w:id="148" w:name="_Toc20162"/>
      <w:bookmarkStart w:id="149" w:name="_Toc28849"/>
      <w:r>
        <w:rPr>
          <w:rFonts w:hint="eastAsia" w:ascii="黑体" w:hAnsi="黑体" w:eastAsia="黑体" w:cs="宋体"/>
          <w:bCs/>
          <w:color w:val="auto"/>
          <w:sz w:val="28"/>
          <w:highlight w:val="none"/>
          <w:u w:val="none"/>
          <w:lang w:eastAsia="zh-CN"/>
        </w:rPr>
        <w:t>九</w:t>
      </w:r>
      <w:r>
        <w:rPr>
          <w:rFonts w:hint="eastAsia" w:ascii="黑体" w:hAnsi="黑体" w:eastAsia="黑体" w:cs="宋体"/>
          <w:bCs/>
          <w:color w:val="auto"/>
          <w:sz w:val="28"/>
          <w:highlight w:val="none"/>
          <w:u w:val="none"/>
        </w:rPr>
        <w:t>、</w:t>
      </w:r>
      <w:bookmarkEnd w:id="146"/>
      <w:bookmarkEnd w:id="147"/>
      <w:bookmarkEnd w:id="148"/>
      <w:bookmarkEnd w:id="149"/>
      <w:r>
        <w:rPr>
          <w:rFonts w:hint="eastAsia" w:ascii="黑体" w:hAnsi="黑体" w:eastAsia="黑体" w:cs="宋体"/>
          <w:bCs/>
          <w:color w:val="auto"/>
          <w:sz w:val="28"/>
          <w:highlight w:val="none"/>
          <w:u w:val="none"/>
        </w:rPr>
        <w:t>本办法将根据本单位内外部环境、相关法律法规、职责内容和管理模式等变化而适时更新，届时将按最新版本执行</w:t>
      </w:r>
      <w:r>
        <w:rPr>
          <w:rFonts w:hint="eastAsia" w:ascii="黑体" w:hAnsi="黑体" w:eastAsia="黑体" w:cs="宋体"/>
          <w:bCs/>
          <w:color w:val="auto"/>
          <w:sz w:val="28"/>
          <w:highlight w:val="none"/>
          <w:u w:val="none"/>
          <w:lang w:eastAsia="zh-CN"/>
        </w:rPr>
        <w:t>。</w:t>
      </w:r>
    </w:p>
    <w:p w14:paraId="57150F71">
      <w:pPr>
        <w:spacing w:line="460" w:lineRule="exact"/>
        <w:ind w:firstLine="560" w:firstLineChars="200"/>
        <w:outlineLvl w:val="9"/>
        <w:rPr>
          <w:rFonts w:ascii="黑体" w:hAnsi="黑体" w:eastAsia="黑体" w:cs="宋体"/>
          <w:bCs/>
          <w:color w:val="auto"/>
          <w:sz w:val="28"/>
          <w:highlight w:val="none"/>
          <w:u w:val="none"/>
        </w:rPr>
      </w:pPr>
      <w:r>
        <w:rPr>
          <w:rFonts w:hint="eastAsia" w:ascii="黑体" w:hAnsi="黑体" w:eastAsia="黑体" w:cs="宋体"/>
          <w:bCs/>
          <w:color w:val="auto"/>
          <w:sz w:val="28"/>
          <w:highlight w:val="none"/>
          <w:u w:val="none"/>
          <w:lang w:eastAsia="zh-CN"/>
        </w:rPr>
        <w:t>十</w:t>
      </w:r>
      <w:r>
        <w:rPr>
          <w:rFonts w:hint="eastAsia" w:ascii="黑体" w:hAnsi="黑体" w:eastAsia="黑体" w:cs="宋体"/>
          <w:bCs/>
          <w:color w:val="auto"/>
          <w:sz w:val="28"/>
          <w:highlight w:val="none"/>
          <w:u w:val="none"/>
        </w:rPr>
        <w:t>、本办法由绿管中心负责解释。</w:t>
      </w:r>
    </w:p>
    <w:p w14:paraId="2E723666">
      <w:pPr>
        <w:spacing w:line="460" w:lineRule="exact"/>
        <w:ind w:firstLine="417" w:firstLineChars="149"/>
        <w:outlineLvl w:val="9"/>
        <w:rPr>
          <w:rFonts w:ascii="仿宋_GB2312" w:hAnsi="宋体" w:eastAsia="仿宋_GB2312" w:cs="宋体"/>
          <w:bCs/>
          <w:color w:val="auto"/>
          <w:sz w:val="28"/>
          <w:highlight w:val="none"/>
          <w:u w:val="none"/>
        </w:rPr>
      </w:pPr>
    </w:p>
    <w:p w14:paraId="766B38F7">
      <w:pPr>
        <w:spacing w:line="460" w:lineRule="exact"/>
        <w:ind w:left="1680" w:leftChars="267" w:hanging="1120" w:hangingChars="4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附件：</w:t>
      </w: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1.南宁市绿化工程管理中心道路绿化养护市场化管理养护月度工作考核细则</w:t>
      </w:r>
      <w:r>
        <w:rPr>
          <w:rFonts w:hint="eastAsia" w:ascii="仿宋_GB2312" w:hAnsi="宋体" w:eastAsia="仿宋_GB2312" w:cs="宋体"/>
          <w:color w:val="auto"/>
          <w:sz w:val="28"/>
          <w:highlight w:val="none"/>
          <w:u w:val="none"/>
          <w:lang w:eastAsia="zh-CN"/>
        </w:rPr>
        <w:t>（</w:t>
      </w:r>
      <w:r>
        <w:rPr>
          <w:rFonts w:hint="eastAsia" w:ascii="仿宋_GB2312" w:hAnsi="宋体" w:eastAsia="仿宋_GB2312" w:cs="宋体"/>
          <w:color w:val="auto"/>
          <w:sz w:val="28"/>
          <w:highlight w:val="none"/>
          <w:u w:val="none"/>
        </w:rPr>
        <w:t>2025</w:t>
      </w:r>
      <w:r>
        <w:rPr>
          <w:rFonts w:hint="eastAsia" w:ascii="仿宋_GB2312" w:hAnsi="宋体" w:eastAsia="仿宋_GB2312" w:cs="宋体"/>
          <w:color w:val="auto"/>
          <w:sz w:val="28"/>
          <w:highlight w:val="none"/>
          <w:u w:val="none"/>
          <w:lang w:eastAsia="zh-CN"/>
        </w:rPr>
        <w:t>年修订</w:t>
      </w:r>
      <w:r>
        <w:rPr>
          <w:rFonts w:hint="eastAsia" w:ascii="仿宋_GB2312" w:hAnsi="宋体" w:eastAsia="仿宋_GB2312" w:cs="宋体"/>
          <w:color w:val="auto"/>
          <w:sz w:val="28"/>
          <w:highlight w:val="none"/>
          <w:u w:val="none"/>
        </w:rPr>
        <w:t>版</w:t>
      </w:r>
      <w:r>
        <w:rPr>
          <w:rFonts w:hint="eastAsia" w:ascii="仿宋_GB2312" w:hAnsi="宋体" w:eastAsia="仿宋_GB2312" w:cs="宋体"/>
          <w:color w:val="auto"/>
          <w:sz w:val="28"/>
          <w:highlight w:val="none"/>
          <w:u w:val="none"/>
          <w:lang w:eastAsia="zh-CN"/>
        </w:rPr>
        <w:t>）</w:t>
      </w:r>
    </w:p>
    <w:p w14:paraId="6D26DBE7">
      <w:pPr>
        <w:spacing w:line="460" w:lineRule="exact"/>
        <w:ind w:left="1680" w:leftChars="667" w:hanging="280" w:hangingChars="1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2.南宁市绿化工程管理中心道路绿化养护市场化管理养护效果考核评分表（</w:t>
      </w:r>
      <w:r>
        <w:rPr>
          <w:rFonts w:hint="eastAsia" w:ascii="仿宋_GB2312" w:hAnsi="宋体" w:eastAsia="仿宋_GB2312" w:cs="宋体"/>
          <w:color w:val="auto"/>
          <w:sz w:val="28"/>
          <w:highlight w:val="none"/>
          <w:u w:val="none"/>
          <w:lang w:eastAsia="zh-CN"/>
        </w:rPr>
        <w:t>2025年修订版</w:t>
      </w:r>
      <w:r>
        <w:rPr>
          <w:rFonts w:hint="eastAsia" w:ascii="仿宋_GB2312" w:hAnsi="宋体" w:eastAsia="仿宋_GB2312" w:cs="宋体"/>
          <w:color w:val="auto"/>
          <w:sz w:val="28"/>
          <w:highlight w:val="none"/>
          <w:u w:val="none"/>
        </w:rPr>
        <w:t>）</w:t>
      </w:r>
    </w:p>
    <w:p w14:paraId="490E4A2B">
      <w:pPr>
        <w:spacing w:line="460" w:lineRule="exact"/>
        <w:ind w:left="1676" w:leftChars="665" w:hanging="280" w:hangingChars="1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3.南宁市绿化工程管理中心道路绿化养护安全管理办法（</w:t>
      </w:r>
      <w:r>
        <w:rPr>
          <w:rFonts w:hint="eastAsia" w:ascii="仿宋_GB2312" w:hAnsi="宋体" w:eastAsia="仿宋_GB2312" w:cs="宋体"/>
          <w:color w:val="auto"/>
          <w:sz w:val="28"/>
          <w:highlight w:val="none"/>
          <w:u w:val="none"/>
          <w:lang w:eastAsia="zh-CN"/>
        </w:rPr>
        <w:t>202</w:t>
      </w:r>
      <w:r>
        <w:rPr>
          <w:rFonts w:hint="eastAsia" w:ascii="仿宋_GB2312" w:hAnsi="宋体" w:eastAsia="仿宋_GB2312" w:cs="宋体"/>
          <w:color w:val="auto"/>
          <w:sz w:val="28"/>
          <w:highlight w:val="none"/>
          <w:u w:val="none"/>
          <w:lang w:val="en-US" w:eastAsia="zh-CN"/>
        </w:rPr>
        <w:t>4</w:t>
      </w:r>
      <w:r>
        <w:rPr>
          <w:rFonts w:hint="eastAsia" w:ascii="仿宋_GB2312" w:hAnsi="宋体" w:eastAsia="仿宋_GB2312" w:cs="宋体"/>
          <w:color w:val="auto"/>
          <w:sz w:val="28"/>
          <w:highlight w:val="none"/>
          <w:u w:val="none"/>
          <w:lang w:eastAsia="zh-CN"/>
        </w:rPr>
        <w:t>版</w:t>
      </w:r>
      <w:r>
        <w:rPr>
          <w:rFonts w:hint="eastAsia" w:ascii="仿宋_GB2312" w:hAnsi="宋体" w:eastAsia="仿宋_GB2312" w:cs="宋体"/>
          <w:color w:val="auto"/>
          <w:sz w:val="28"/>
          <w:highlight w:val="none"/>
          <w:u w:val="none"/>
        </w:rPr>
        <w:t>）</w:t>
      </w:r>
    </w:p>
    <w:p w14:paraId="428D3835">
      <w:pPr>
        <w:spacing w:line="460" w:lineRule="exact"/>
        <w:ind w:left="1676" w:leftChars="665" w:hanging="280" w:hangingChars="1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4.南宁市绿化工程管理中心道路绿化植物施肥管理办法（</w:t>
      </w:r>
      <w:r>
        <w:rPr>
          <w:rFonts w:hint="eastAsia" w:ascii="仿宋_GB2312" w:hAnsi="宋体" w:eastAsia="仿宋_GB2312" w:cs="宋体"/>
          <w:color w:val="auto"/>
          <w:sz w:val="28"/>
          <w:highlight w:val="none"/>
          <w:u w:val="none"/>
          <w:lang w:eastAsia="zh-CN"/>
        </w:rPr>
        <w:t>202</w:t>
      </w:r>
      <w:r>
        <w:rPr>
          <w:rFonts w:hint="eastAsia" w:ascii="仿宋_GB2312" w:hAnsi="宋体" w:eastAsia="仿宋_GB2312" w:cs="宋体"/>
          <w:color w:val="auto"/>
          <w:sz w:val="28"/>
          <w:highlight w:val="none"/>
          <w:u w:val="none"/>
          <w:lang w:val="en-US" w:eastAsia="zh-CN"/>
        </w:rPr>
        <w:t>4</w:t>
      </w:r>
      <w:r>
        <w:rPr>
          <w:rFonts w:hint="eastAsia" w:ascii="仿宋_GB2312" w:hAnsi="宋体" w:eastAsia="仿宋_GB2312" w:cs="宋体"/>
          <w:color w:val="auto"/>
          <w:sz w:val="28"/>
          <w:highlight w:val="none"/>
          <w:u w:val="none"/>
          <w:lang w:eastAsia="zh-CN"/>
        </w:rPr>
        <w:t>版</w:t>
      </w:r>
      <w:r>
        <w:rPr>
          <w:rFonts w:hint="eastAsia" w:ascii="仿宋_GB2312" w:hAnsi="宋体" w:eastAsia="仿宋_GB2312" w:cs="宋体"/>
          <w:color w:val="auto"/>
          <w:sz w:val="28"/>
          <w:highlight w:val="none"/>
          <w:u w:val="none"/>
        </w:rPr>
        <w:t>）</w:t>
      </w:r>
    </w:p>
    <w:p w14:paraId="5E835060">
      <w:pPr>
        <w:spacing w:line="460" w:lineRule="exact"/>
        <w:ind w:left="1676" w:leftChars="665" w:hanging="280" w:hangingChars="1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5.南宁市绿化工程管理中心道路绿化养护市场化管理养护月度考核记录表</w:t>
      </w:r>
    </w:p>
    <w:p w14:paraId="6D85E94E">
      <w:pPr>
        <w:spacing w:line="460" w:lineRule="exact"/>
        <w:ind w:left="1680" w:leftChars="667" w:hanging="280" w:hangingChars="100"/>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lang w:val="en-US" w:eastAsia="zh-CN"/>
        </w:rPr>
        <w:t>3-</w:t>
      </w:r>
      <w:r>
        <w:rPr>
          <w:rFonts w:hint="eastAsia" w:ascii="仿宋_GB2312" w:hAnsi="宋体" w:eastAsia="仿宋_GB2312" w:cs="宋体"/>
          <w:color w:val="auto"/>
          <w:sz w:val="28"/>
          <w:highlight w:val="none"/>
          <w:u w:val="none"/>
        </w:rPr>
        <w:t>6.南宁市绿化工程管理中心绿化养护施肥现场登记表</w:t>
      </w:r>
    </w:p>
    <w:p w14:paraId="49D49EDE">
      <w:pPr>
        <w:spacing w:line="460" w:lineRule="exact"/>
        <w:rPr>
          <w:rFonts w:ascii="仿宋_GB2312" w:hAnsi="宋体" w:eastAsia="仿宋_GB2312" w:cs="宋体"/>
          <w:bCs/>
          <w:color w:val="auto"/>
          <w:sz w:val="28"/>
          <w:highlight w:val="none"/>
          <w:u w:val="none"/>
        </w:rPr>
      </w:pPr>
    </w:p>
    <w:p w14:paraId="563E93C5">
      <w:pPr>
        <w:spacing w:line="46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bCs/>
          <w:color w:val="auto"/>
          <w:sz w:val="28"/>
          <w:highlight w:val="none"/>
          <w:u w:val="none"/>
        </w:rPr>
        <w:t xml:space="preserve">                                     南宁市绿化工程管理中心</w:t>
      </w:r>
    </w:p>
    <w:p w14:paraId="6FD0ECEB">
      <w:pPr>
        <w:spacing w:line="460" w:lineRule="exact"/>
        <w:jc w:val="center"/>
        <w:outlineLvl w:val="9"/>
        <w:rPr>
          <w:rFonts w:ascii="仿宋_GB2312" w:hAnsi="宋体" w:eastAsia="仿宋_GB2312" w:cs="宋体"/>
          <w:color w:val="auto"/>
          <w:sz w:val="28"/>
          <w:highlight w:val="none"/>
          <w:u w:val="none"/>
        </w:rPr>
      </w:pPr>
      <w:r>
        <w:rPr>
          <w:rFonts w:hint="eastAsia" w:ascii="仿宋_GB2312" w:hAnsi="宋体" w:eastAsia="仿宋_GB2312" w:cs="宋体"/>
          <w:color w:val="auto"/>
          <w:sz w:val="28"/>
          <w:highlight w:val="none"/>
          <w:u w:val="none"/>
        </w:rPr>
        <w:t xml:space="preserve">                                     2025年</w:t>
      </w:r>
      <w:r>
        <w:rPr>
          <w:rFonts w:hint="eastAsia" w:ascii="仿宋_GB2312" w:hAnsi="宋体" w:eastAsia="仿宋_GB2312" w:cs="宋体"/>
          <w:color w:val="auto"/>
          <w:sz w:val="28"/>
          <w:highlight w:val="none"/>
          <w:u w:val="none"/>
          <w:lang w:val="en-US" w:eastAsia="zh-CN"/>
        </w:rPr>
        <w:t>7</w:t>
      </w:r>
      <w:r>
        <w:rPr>
          <w:rFonts w:hint="eastAsia" w:ascii="仿宋_GB2312" w:hAnsi="宋体" w:eastAsia="仿宋_GB2312" w:cs="宋体"/>
          <w:color w:val="auto"/>
          <w:sz w:val="28"/>
          <w:highlight w:val="none"/>
          <w:u w:val="none"/>
        </w:rPr>
        <w:t>月</w:t>
      </w:r>
    </w:p>
    <w:p w14:paraId="3766E496">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黑体" w:hAnsi="黑体" w:eastAsia="黑体" w:cs="宋体"/>
          <w:b/>
          <w:bCs/>
          <w:color w:val="auto"/>
          <w:sz w:val="32"/>
          <w:szCs w:val="32"/>
          <w:highlight w:val="none"/>
          <w:u w:val="none"/>
          <w:lang w:val="en-US" w:eastAsia="zh-CN"/>
        </w:rPr>
      </w:pPr>
      <w:r>
        <w:rPr>
          <w:rFonts w:hint="eastAsia" w:ascii="仿宋_GB2312" w:hAnsi="宋体" w:eastAsia="仿宋_GB2312" w:cs="宋体"/>
          <w:b/>
          <w:color w:val="auto"/>
          <w:sz w:val="28"/>
          <w:highlight w:val="none"/>
          <w:u w:val="none"/>
        </w:rPr>
        <w:br w:type="page"/>
      </w:r>
      <w:r>
        <w:rPr>
          <w:rFonts w:hint="eastAsia" w:ascii="黑体" w:hAnsi="黑体" w:eastAsia="黑体" w:cs="宋体"/>
          <w:color w:val="auto"/>
          <w:sz w:val="32"/>
          <w:szCs w:val="32"/>
          <w:highlight w:val="none"/>
          <w:u w:val="none"/>
        </w:rPr>
        <w:t>附件</w:t>
      </w:r>
      <w:r>
        <w:rPr>
          <w:rFonts w:hint="eastAsia" w:ascii="黑体" w:hAnsi="黑体" w:eastAsia="黑体" w:cs="宋体"/>
          <w:color w:val="auto"/>
          <w:sz w:val="32"/>
          <w:szCs w:val="32"/>
          <w:highlight w:val="none"/>
          <w:u w:val="none"/>
          <w:lang w:val="en-US" w:eastAsia="zh-CN"/>
        </w:rPr>
        <w:t>3-1：南宁市绿化工程管理中心道路绿化养护市场化管理养护月度工作考核细则（2025年修订版）</w:t>
      </w:r>
      <w:bookmarkEnd w:id="109"/>
    </w:p>
    <w:p w14:paraId="2BB6B3D3">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ascii="黑体" w:hAnsi="黑体" w:eastAsia="黑体" w:cs="宋体"/>
          <w:color w:val="auto"/>
          <w:sz w:val="32"/>
          <w:szCs w:val="32"/>
          <w:highlight w:val="none"/>
          <w:u w:val="none"/>
        </w:rPr>
      </w:pPr>
    </w:p>
    <w:p w14:paraId="45998CCD">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ascii="方正小标宋_GBK" w:hAnsi="宋体" w:eastAsia="方正小标宋_GBK" w:cs="宋体"/>
          <w:color w:val="auto"/>
          <w:sz w:val="44"/>
          <w:szCs w:val="44"/>
          <w:highlight w:val="none"/>
          <w:u w:val="none"/>
        </w:rPr>
      </w:pPr>
      <w:bookmarkStart w:id="150" w:name="_Toc10303"/>
      <w:r>
        <w:rPr>
          <w:rFonts w:hint="eastAsia" w:ascii="方正小标宋简体" w:hAnsi="方正小标宋简体" w:eastAsia="方正小标宋简体" w:cs="方正小标宋简体"/>
          <w:color w:val="auto"/>
          <w:sz w:val="44"/>
          <w:szCs w:val="44"/>
          <w:highlight w:val="none"/>
          <w:u w:val="none"/>
        </w:rPr>
        <w:t>南宁市绿化工程管理中心道路绿化养护市场化管理养护月度工作考核细则</w:t>
      </w:r>
      <w:r>
        <w:rPr>
          <w:rFonts w:hint="eastAsia" w:ascii="方正小标宋简体" w:hAnsi="方正小标宋简体" w:eastAsia="方正小标宋简体" w:cs="方正小标宋简体"/>
          <w:color w:val="auto"/>
          <w:sz w:val="44"/>
          <w:szCs w:val="44"/>
          <w:highlight w:val="none"/>
          <w:u w:val="none"/>
          <w:lang w:eastAsia="zh-CN"/>
        </w:rPr>
        <w:t>（</w:t>
      </w:r>
      <w:r>
        <w:rPr>
          <w:rFonts w:hint="eastAsia" w:ascii="方正小标宋简体" w:hAnsi="方正小标宋简体" w:eastAsia="方正小标宋简体" w:cs="方正小标宋简体"/>
          <w:color w:val="auto"/>
          <w:sz w:val="44"/>
          <w:szCs w:val="44"/>
          <w:highlight w:val="none"/>
          <w:u w:val="none"/>
        </w:rPr>
        <w:t>2025年修订版</w:t>
      </w:r>
      <w:r>
        <w:rPr>
          <w:rFonts w:hint="eastAsia" w:ascii="方正小标宋简体" w:hAnsi="方正小标宋简体" w:eastAsia="方正小标宋简体" w:cs="方正小标宋简体"/>
          <w:color w:val="auto"/>
          <w:sz w:val="44"/>
          <w:szCs w:val="44"/>
          <w:highlight w:val="none"/>
          <w:u w:val="none"/>
          <w:lang w:eastAsia="zh-CN"/>
        </w:rPr>
        <w:t>）</w:t>
      </w:r>
    </w:p>
    <w:p w14:paraId="1926BD3A">
      <w:pPr>
        <w:jc w:val="center"/>
        <w:rPr>
          <w:rFonts w:ascii="宋体" w:hAnsi="宋体" w:cs="宋体"/>
          <w:b/>
          <w:color w:val="auto"/>
          <w:sz w:val="15"/>
          <w:szCs w:val="15"/>
          <w:highlight w:val="none"/>
          <w:u w:val="none"/>
        </w:rPr>
      </w:pPr>
    </w:p>
    <w:tbl>
      <w:tblPr>
        <w:tblStyle w:val="2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995"/>
        <w:gridCol w:w="4149"/>
        <w:gridCol w:w="1155"/>
        <w:gridCol w:w="1445"/>
        <w:gridCol w:w="1270"/>
      </w:tblGrid>
      <w:tr w14:paraId="04BA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blHeader/>
          <w:jc w:val="center"/>
        </w:trPr>
        <w:tc>
          <w:tcPr>
            <w:tcW w:w="805" w:type="dxa"/>
            <w:tcBorders>
              <w:top w:val="single" w:color="auto" w:sz="4" w:space="0"/>
              <w:left w:val="single" w:color="auto" w:sz="4" w:space="0"/>
              <w:bottom w:val="single" w:color="auto" w:sz="4" w:space="0"/>
              <w:right w:val="single" w:color="auto" w:sz="4" w:space="0"/>
            </w:tcBorders>
            <w:vAlign w:val="center"/>
          </w:tcPr>
          <w:p w14:paraId="19129871">
            <w:pPr>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项目</w:t>
            </w:r>
          </w:p>
        </w:tc>
        <w:tc>
          <w:tcPr>
            <w:tcW w:w="995" w:type="dxa"/>
            <w:tcBorders>
              <w:top w:val="single" w:color="auto" w:sz="4" w:space="0"/>
              <w:left w:val="single" w:color="auto" w:sz="4" w:space="0"/>
              <w:bottom w:val="single" w:color="auto" w:sz="4" w:space="0"/>
              <w:right w:val="single" w:color="auto" w:sz="4" w:space="0"/>
            </w:tcBorders>
            <w:vAlign w:val="center"/>
          </w:tcPr>
          <w:p w14:paraId="56CB148E">
            <w:pPr>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条款</w:t>
            </w:r>
          </w:p>
        </w:tc>
        <w:tc>
          <w:tcPr>
            <w:tcW w:w="4149" w:type="dxa"/>
            <w:tcBorders>
              <w:top w:val="single" w:color="auto" w:sz="4" w:space="0"/>
              <w:left w:val="single" w:color="auto" w:sz="4" w:space="0"/>
              <w:bottom w:val="single" w:color="auto" w:sz="4" w:space="0"/>
              <w:right w:val="single" w:color="auto" w:sz="4" w:space="0"/>
            </w:tcBorders>
            <w:vAlign w:val="center"/>
          </w:tcPr>
          <w:p w14:paraId="7FF7B84F">
            <w:pPr>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内 容</w:t>
            </w:r>
          </w:p>
        </w:tc>
        <w:tc>
          <w:tcPr>
            <w:tcW w:w="1155" w:type="dxa"/>
            <w:tcBorders>
              <w:top w:val="single" w:color="auto" w:sz="4" w:space="0"/>
              <w:left w:val="single" w:color="auto" w:sz="4" w:space="0"/>
              <w:bottom w:val="single" w:color="auto" w:sz="4" w:space="0"/>
              <w:right w:val="single" w:color="auto" w:sz="4" w:space="0"/>
            </w:tcBorders>
            <w:vAlign w:val="center"/>
          </w:tcPr>
          <w:p w14:paraId="0F636C48">
            <w:pPr>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单位</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1F871640">
            <w:pPr>
              <w:jc w:val="center"/>
              <w:rPr>
                <w:rFonts w:ascii="宋体" w:hAnsi="宋体" w:cs="宋体"/>
                <w:b/>
                <w:color w:val="auto"/>
                <w:sz w:val="18"/>
                <w:szCs w:val="18"/>
                <w:highlight w:val="none"/>
                <w:u w:val="none"/>
              </w:rPr>
            </w:pPr>
            <w:r>
              <w:rPr>
                <w:rFonts w:hint="eastAsia" w:ascii="宋体" w:hAnsi="宋体" w:cs="宋体"/>
                <w:b/>
                <w:color w:val="auto"/>
                <w:sz w:val="18"/>
                <w:szCs w:val="18"/>
                <w:highlight w:val="none"/>
                <w:u w:val="none"/>
              </w:rPr>
              <w:t>扣分/扣款</w:t>
            </w:r>
          </w:p>
        </w:tc>
      </w:tr>
      <w:tr w14:paraId="0315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805" w:type="dxa"/>
            <w:vMerge w:val="restart"/>
            <w:tcBorders>
              <w:top w:val="single" w:color="auto" w:sz="4" w:space="0"/>
              <w:left w:val="single" w:color="auto" w:sz="4" w:space="0"/>
              <w:right w:val="single" w:color="auto" w:sz="4" w:space="0"/>
            </w:tcBorders>
            <w:vAlign w:val="center"/>
          </w:tcPr>
          <w:p w14:paraId="07B0960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(一）养护投入</w:t>
            </w:r>
          </w:p>
        </w:tc>
        <w:tc>
          <w:tcPr>
            <w:tcW w:w="995" w:type="dxa"/>
            <w:tcBorders>
              <w:top w:val="single" w:color="auto" w:sz="4" w:space="0"/>
              <w:left w:val="single" w:color="auto" w:sz="4" w:space="0"/>
              <w:bottom w:val="single" w:color="auto" w:sz="4" w:space="0"/>
              <w:right w:val="single" w:color="auto" w:sz="4" w:space="0"/>
            </w:tcBorders>
            <w:vAlign w:val="center"/>
          </w:tcPr>
          <w:p w14:paraId="254EE985">
            <w:pPr>
              <w:jc w:val="center"/>
              <w:rPr>
                <w:rFonts w:ascii="宋体" w:hAnsi="宋体" w:cs="宋体"/>
                <w:b/>
                <w:color w:val="auto"/>
                <w:sz w:val="18"/>
                <w:szCs w:val="18"/>
                <w:highlight w:val="none"/>
                <w:u w:val="none"/>
              </w:rPr>
            </w:pPr>
            <w:r>
              <w:rPr>
                <w:rFonts w:hint="eastAsia" w:ascii="宋体" w:hAnsi="宋体" w:cs="宋体"/>
                <w:color w:val="auto"/>
                <w:sz w:val="18"/>
                <w:szCs w:val="18"/>
                <w:highlight w:val="none"/>
                <w:u w:val="none"/>
              </w:rPr>
              <w:t>扣则1</w:t>
            </w:r>
          </w:p>
        </w:tc>
        <w:tc>
          <w:tcPr>
            <w:tcW w:w="4149" w:type="dxa"/>
            <w:tcBorders>
              <w:top w:val="single" w:color="auto" w:sz="4" w:space="0"/>
              <w:left w:val="single" w:color="auto" w:sz="4" w:space="0"/>
              <w:bottom w:val="single" w:color="auto" w:sz="4" w:space="0"/>
              <w:right w:val="single" w:color="auto" w:sz="4" w:space="0"/>
            </w:tcBorders>
            <w:vAlign w:val="center"/>
          </w:tcPr>
          <w:p w14:paraId="7B4ECE66">
            <w:pPr>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一线养护人员未按</w:t>
            </w:r>
            <w:r>
              <w:rPr>
                <w:rFonts w:hint="eastAsia" w:ascii="宋体" w:hAnsi="宋体" w:cs="宋体"/>
                <w:color w:val="auto"/>
                <w:sz w:val="18"/>
                <w:szCs w:val="18"/>
                <w:highlight w:val="none"/>
                <w:u w:val="none"/>
                <w:lang w:eastAsia="zh-CN"/>
              </w:rPr>
              <w:t>合同约定</w:t>
            </w:r>
            <w:r>
              <w:rPr>
                <w:rFonts w:hint="eastAsia" w:ascii="宋体" w:hAnsi="宋体" w:cs="宋体"/>
                <w:color w:val="auto"/>
                <w:sz w:val="18"/>
                <w:szCs w:val="18"/>
                <w:highlight w:val="none"/>
                <w:u w:val="none"/>
              </w:rPr>
              <w:t>及时到位或人员数量弄虚作假</w:t>
            </w:r>
            <w:r>
              <w:rPr>
                <w:rFonts w:hint="eastAsia" w:ascii="宋体" w:hAnsi="宋体" w:cs="宋体"/>
                <w:color w:val="auto"/>
                <w:sz w:val="18"/>
                <w:szCs w:val="18"/>
                <w:highlight w:val="none"/>
                <w:u w:val="none"/>
                <w:lang w:eastAsia="zh-CN"/>
              </w:rPr>
              <w:t>的</w:t>
            </w:r>
            <w:r>
              <w:rPr>
                <w:rFonts w:hint="eastAsia" w:ascii="宋体" w:hAnsi="宋体" w:cs="宋体"/>
                <w:color w:val="auto"/>
                <w:sz w:val="18"/>
                <w:szCs w:val="18"/>
                <w:highlight w:val="none"/>
                <w:u w:val="none"/>
              </w:rPr>
              <w:t xml:space="preserve"> </w:t>
            </w:r>
          </w:p>
        </w:tc>
        <w:tc>
          <w:tcPr>
            <w:tcW w:w="1155" w:type="dxa"/>
            <w:tcBorders>
              <w:top w:val="single" w:color="auto" w:sz="4" w:space="0"/>
              <w:left w:val="single" w:color="auto" w:sz="4" w:space="0"/>
              <w:bottom w:val="single" w:color="auto" w:sz="4" w:space="0"/>
              <w:right w:val="single" w:color="auto" w:sz="4" w:space="0"/>
            </w:tcBorders>
            <w:vAlign w:val="center"/>
          </w:tcPr>
          <w:p w14:paraId="49C966B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每人次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23CF4EF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扣0.1分</w:t>
            </w:r>
          </w:p>
        </w:tc>
      </w:tr>
      <w:tr w14:paraId="2BA2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05" w:type="dxa"/>
            <w:vMerge w:val="continue"/>
            <w:tcBorders>
              <w:left w:val="single" w:color="auto" w:sz="4" w:space="0"/>
              <w:right w:val="single" w:color="auto" w:sz="4" w:space="0"/>
            </w:tcBorders>
            <w:vAlign w:val="center"/>
          </w:tcPr>
          <w:p w14:paraId="0579390E">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09FDCD96">
            <w:pPr>
              <w:jc w:val="center"/>
              <w:rPr>
                <w:rFonts w:ascii="宋体" w:hAnsi="宋体" w:cs="宋体"/>
                <w:b/>
                <w:color w:val="auto"/>
                <w:sz w:val="18"/>
                <w:szCs w:val="18"/>
                <w:highlight w:val="none"/>
                <w:u w:val="none"/>
              </w:rPr>
            </w:pPr>
            <w:r>
              <w:rPr>
                <w:rFonts w:hint="eastAsia" w:ascii="宋体" w:hAnsi="宋体" w:cs="宋体"/>
                <w:color w:val="auto"/>
                <w:sz w:val="18"/>
                <w:szCs w:val="18"/>
                <w:highlight w:val="none"/>
                <w:u w:val="none"/>
              </w:rPr>
              <w:t>扣则2</w:t>
            </w:r>
          </w:p>
        </w:tc>
        <w:tc>
          <w:tcPr>
            <w:tcW w:w="4149" w:type="dxa"/>
            <w:vMerge w:val="restart"/>
            <w:tcBorders>
              <w:top w:val="single" w:color="auto" w:sz="4" w:space="0"/>
              <w:left w:val="single" w:color="auto" w:sz="4" w:space="0"/>
              <w:right w:val="single" w:color="auto" w:sz="4" w:space="0"/>
            </w:tcBorders>
            <w:vAlign w:val="center"/>
          </w:tcPr>
          <w:p w14:paraId="33E8A0C6">
            <w:pPr>
              <w:jc w:val="left"/>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未经同意擅自更换管理人员</w:t>
            </w:r>
            <w:r>
              <w:rPr>
                <w:rFonts w:hint="eastAsia" w:ascii="宋体" w:hAnsi="宋体" w:cs="宋体"/>
                <w:color w:val="auto"/>
                <w:sz w:val="18"/>
                <w:szCs w:val="18"/>
                <w:highlight w:val="none"/>
                <w:u w:val="none"/>
                <w:lang w:eastAsia="zh-CN"/>
              </w:rPr>
              <w:t>或</w:t>
            </w:r>
            <w:r>
              <w:rPr>
                <w:rFonts w:hint="eastAsia" w:ascii="宋体" w:hAnsi="宋体" w:cs="宋体"/>
                <w:color w:val="auto"/>
                <w:sz w:val="18"/>
                <w:szCs w:val="18"/>
                <w:highlight w:val="none"/>
                <w:u w:val="none"/>
              </w:rPr>
              <w:t>管理人员未按</w:t>
            </w:r>
            <w:r>
              <w:rPr>
                <w:rFonts w:hint="eastAsia" w:ascii="宋体" w:hAnsi="宋体" w:cs="宋体"/>
                <w:color w:val="auto"/>
                <w:sz w:val="18"/>
                <w:szCs w:val="18"/>
                <w:highlight w:val="none"/>
                <w:u w:val="none"/>
                <w:lang w:eastAsia="zh-CN"/>
              </w:rPr>
              <w:t>合同约定</w:t>
            </w:r>
            <w:r>
              <w:rPr>
                <w:rFonts w:hint="eastAsia" w:ascii="宋体" w:hAnsi="宋体" w:cs="宋体"/>
                <w:color w:val="auto"/>
                <w:sz w:val="18"/>
                <w:szCs w:val="18"/>
                <w:highlight w:val="none"/>
                <w:u w:val="none"/>
              </w:rPr>
              <w:t>及时到位</w:t>
            </w:r>
            <w:r>
              <w:rPr>
                <w:rFonts w:hint="eastAsia" w:ascii="宋体" w:hAnsi="宋体" w:cs="宋体"/>
                <w:color w:val="auto"/>
                <w:sz w:val="18"/>
                <w:szCs w:val="18"/>
                <w:highlight w:val="none"/>
                <w:u w:val="none"/>
                <w:lang w:eastAsia="zh-CN"/>
              </w:rPr>
              <w:t>的</w:t>
            </w:r>
          </w:p>
        </w:tc>
        <w:tc>
          <w:tcPr>
            <w:tcW w:w="1155" w:type="dxa"/>
            <w:vMerge w:val="restart"/>
            <w:tcBorders>
              <w:top w:val="single" w:color="auto" w:sz="4" w:space="0"/>
              <w:left w:val="single" w:color="auto" w:sz="4" w:space="0"/>
              <w:right w:val="single" w:color="auto" w:sz="4" w:space="0"/>
            </w:tcBorders>
            <w:vAlign w:val="center"/>
          </w:tcPr>
          <w:p w14:paraId="24E116D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每人次</w:t>
            </w:r>
          </w:p>
        </w:tc>
        <w:tc>
          <w:tcPr>
            <w:tcW w:w="1445" w:type="dxa"/>
            <w:tcBorders>
              <w:top w:val="single" w:color="auto" w:sz="4" w:space="0"/>
              <w:left w:val="single" w:color="auto" w:sz="4" w:space="0"/>
              <w:bottom w:val="single" w:color="auto" w:sz="4" w:space="0"/>
              <w:right w:val="single" w:color="auto" w:sz="4" w:space="0"/>
            </w:tcBorders>
            <w:vAlign w:val="center"/>
          </w:tcPr>
          <w:p w14:paraId="3DA8811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未经同意擅自更换</w:t>
            </w:r>
          </w:p>
        </w:tc>
        <w:tc>
          <w:tcPr>
            <w:tcW w:w="1270" w:type="dxa"/>
            <w:tcBorders>
              <w:top w:val="single" w:color="auto" w:sz="4" w:space="0"/>
              <w:left w:val="single" w:color="auto" w:sz="4" w:space="0"/>
              <w:bottom w:val="single" w:color="auto" w:sz="4" w:space="0"/>
              <w:right w:val="single" w:color="auto" w:sz="4" w:space="0"/>
            </w:tcBorders>
            <w:vAlign w:val="center"/>
          </w:tcPr>
          <w:p w14:paraId="74D400E3">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扣0.5分</w:t>
            </w:r>
          </w:p>
        </w:tc>
      </w:tr>
      <w:tr w14:paraId="19C4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05" w:type="dxa"/>
            <w:vMerge w:val="continue"/>
            <w:tcBorders>
              <w:left w:val="single" w:color="auto" w:sz="4" w:space="0"/>
              <w:right w:val="single" w:color="auto" w:sz="4" w:space="0"/>
            </w:tcBorders>
            <w:vAlign w:val="center"/>
          </w:tcPr>
          <w:p w14:paraId="47F2B272">
            <w:pPr>
              <w:jc w:val="center"/>
              <w:rPr>
                <w:color w:val="auto"/>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0603EC75">
            <w:pPr>
              <w:jc w:val="center"/>
              <w:rPr>
                <w:color w:val="auto"/>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4F26BD38">
            <w:pPr>
              <w:jc w:val="center"/>
              <w:rPr>
                <w:color w:val="auto"/>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3D1CE373">
            <w:pPr>
              <w:jc w:val="center"/>
              <w:rPr>
                <w:color w:val="auto"/>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72C6157">
            <w:pPr>
              <w:jc w:val="center"/>
              <w:rPr>
                <w:color w:val="auto"/>
                <w:highlight w:val="none"/>
                <w:u w:val="none"/>
              </w:rPr>
            </w:pPr>
            <w:r>
              <w:rPr>
                <w:rFonts w:hint="eastAsia" w:ascii="宋体" w:hAnsi="宋体" w:cs="宋体"/>
                <w:color w:val="auto"/>
                <w:sz w:val="18"/>
                <w:szCs w:val="18"/>
                <w:highlight w:val="none"/>
                <w:u w:val="none"/>
                <w:lang w:eastAsia="zh-CN"/>
              </w:rPr>
              <w:t>未</w:t>
            </w:r>
            <w:r>
              <w:rPr>
                <w:rFonts w:hint="eastAsia" w:ascii="宋体" w:hAnsi="宋体" w:cs="宋体"/>
                <w:color w:val="auto"/>
                <w:sz w:val="18"/>
                <w:szCs w:val="18"/>
                <w:highlight w:val="none"/>
                <w:u w:val="none"/>
              </w:rPr>
              <w:t>到位</w:t>
            </w:r>
          </w:p>
        </w:tc>
        <w:tc>
          <w:tcPr>
            <w:tcW w:w="1270" w:type="dxa"/>
            <w:tcBorders>
              <w:top w:val="single" w:color="auto" w:sz="4" w:space="0"/>
              <w:left w:val="single" w:color="auto" w:sz="4" w:space="0"/>
              <w:bottom w:val="single" w:color="auto" w:sz="4" w:space="0"/>
              <w:right w:val="single" w:color="auto" w:sz="4" w:space="0"/>
            </w:tcBorders>
            <w:vAlign w:val="center"/>
          </w:tcPr>
          <w:p w14:paraId="636931E8">
            <w:pPr>
              <w:jc w:val="center"/>
              <w:rPr>
                <w:color w:val="auto"/>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0D52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805" w:type="dxa"/>
            <w:vMerge w:val="continue"/>
            <w:tcBorders>
              <w:left w:val="single" w:color="auto" w:sz="4" w:space="0"/>
              <w:right w:val="single" w:color="auto" w:sz="4" w:space="0"/>
            </w:tcBorders>
            <w:vAlign w:val="center"/>
          </w:tcPr>
          <w:p w14:paraId="0149777D">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54E9EF5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扣则3</w:t>
            </w:r>
          </w:p>
        </w:tc>
        <w:tc>
          <w:tcPr>
            <w:tcW w:w="4149" w:type="dxa"/>
            <w:tcBorders>
              <w:top w:val="single" w:color="auto" w:sz="4" w:space="0"/>
              <w:left w:val="single" w:color="auto" w:sz="4" w:space="0"/>
              <w:bottom w:val="single" w:color="auto" w:sz="4" w:space="0"/>
              <w:right w:val="single" w:color="auto" w:sz="4" w:space="0"/>
            </w:tcBorders>
            <w:vAlign w:val="center"/>
          </w:tcPr>
          <w:p w14:paraId="79BFDBE0">
            <w:pPr>
              <w:jc w:val="left"/>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无正当理由，不能按照养护工作计划施工，人力、物力投入量与计划量严重脱离</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04DFFF7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每件/次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53BF9A1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69EA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805" w:type="dxa"/>
            <w:vMerge w:val="continue"/>
            <w:tcBorders>
              <w:left w:val="single" w:color="auto" w:sz="4" w:space="0"/>
              <w:right w:val="single" w:color="auto" w:sz="4" w:space="0"/>
            </w:tcBorders>
            <w:vAlign w:val="center"/>
          </w:tcPr>
          <w:p w14:paraId="3C3B7412">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0D0A723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扣则4</w:t>
            </w:r>
          </w:p>
        </w:tc>
        <w:tc>
          <w:tcPr>
            <w:tcW w:w="4149" w:type="dxa"/>
            <w:tcBorders>
              <w:top w:val="single" w:color="auto" w:sz="4" w:space="0"/>
              <w:left w:val="single" w:color="auto" w:sz="4" w:space="0"/>
              <w:bottom w:val="single" w:color="auto" w:sz="4" w:space="0"/>
              <w:right w:val="single" w:color="auto" w:sz="4" w:space="0"/>
            </w:tcBorders>
            <w:vAlign w:val="center"/>
          </w:tcPr>
          <w:p w14:paraId="4A9D7300">
            <w:pPr>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未按合同约定或</w:t>
            </w:r>
            <w:r>
              <w:rPr>
                <w:rFonts w:hint="eastAsia" w:ascii="宋体" w:hAnsi="宋体" w:cs="宋体"/>
                <w:color w:val="auto"/>
                <w:sz w:val="18"/>
                <w:szCs w:val="18"/>
                <w:highlight w:val="none"/>
                <w:u w:val="none"/>
                <w:lang w:eastAsia="zh-CN"/>
              </w:rPr>
              <w:t>未按</w:t>
            </w:r>
            <w:r>
              <w:rPr>
                <w:rFonts w:hint="eastAsia" w:ascii="宋体" w:hAnsi="宋体" w:cs="宋体"/>
                <w:color w:val="auto"/>
                <w:sz w:val="18"/>
                <w:szCs w:val="18"/>
                <w:highlight w:val="none"/>
                <w:u w:val="none"/>
              </w:rPr>
              <w:t>绿管中心</w:t>
            </w:r>
            <w:r>
              <w:rPr>
                <w:rFonts w:hint="eastAsia" w:ascii="宋体" w:hAnsi="宋体" w:cs="宋体"/>
                <w:color w:val="auto"/>
                <w:sz w:val="18"/>
                <w:szCs w:val="18"/>
                <w:highlight w:val="none"/>
                <w:u w:val="none"/>
                <w:lang w:eastAsia="zh-CN"/>
              </w:rPr>
              <w:t>要求</w:t>
            </w:r>
            <w:r>
              <w:rPr>
                <w:rFonts w:hint="eastAsia" w:ascii="宋体" w:hAnsi="宋体" w:cs="宋体"/>
                <w:color w:val="auto"/>
                <w:sz w:val="18"/>
                <w:szCs w:val="18"/>
                <w:highlight w:val="none"/>
                <w:u w:val="none"/>
              </w:rPr>
              <w:t>投入园林机械、车辆、设备等</w:t>
            </w:r>
          </w:p>
        </w:tc>
        <w:tc>
          <w:tcPr>
            <w:tcW w:w="1155" w:type="dxa"/>
            <w:tcBorders>
              <w:top w:val="single" w:color="auto" w:sz="4" w:space="0"/>
              <w:left w:val="single" w:color="auto" w:sz="4" w:space="0"/>
              <w:bottom w:val="single" w:color="auto" w:sz="4" w:space="0"/>
              <w:right w:val="single" w:color="auto" w:sz="4" w:space="0"/>
            </w:tcBorders>
            <w:vAlign w:val="center"/>
          </w:tcPr>
          <w:p w14:paraId="0E3D31E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每件/次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8D9FEF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3933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805" w:type="dxa"/>
            <w:vMerge w:val="continue"/>
            <w:tcBorders>
              <w:left w:val="single" w:color="auto" w:sz="4" w:space="0"/>
              <w:right w:val="single" w:color="auto" w:sz="4" w:space="0"/>
            </w:tcBorders>
            <w:vAlign w:val="center"/>
          </w:tcPr>
          <w:p w14:paraId="3997C848">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46A2A2D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扣则5</w:t>
            </w:r>
          </w:p>
        </w:tc>
        <w:tc>
          <w:tcPr>
            <w:tcW w:w="4149" w:type="dxa"/>
            <w:vMerge w:val="restart"/>
            <w:tcBorders>
              <w:top w:val="single" w:color="auto" w:sz="4" w:space="0"/>
              <w:left w:val="single" w:color="auto" w:sz="4" w:space="0"/>
              <w:right w:val="single" w:color="auto" w:sz="4" w:space="0"/>
            </w:tcBorders>
            <w:vAlign w:val="center"/>
          </w:tcPr>
          <w:p w14:paraId="7E2AA6DA">
            <w:pPr>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w:t>
            </w:r>
            <w:r>
              <w:rPr>
                <w:rFonts w:hint="eastAsia" w:ascii="宋体" w:hAnsi="宋体" w:cs="宋体"/>
                <w:color w:val="auto"/>
                <w:sz w:val="18"/>
                <w:szCs w:val="18"/>
                <w:highlight w:val="none"/>
                <w:u w:val="none"/>
                <w:lang w:eastAsia="zh-CN"/>
              </w:rPr>
              <w:t>合同约定</w:t>
            </w:r>
            <w:r>
              <w:rPr>
                <w:rFonts w:hint="eastAsia" w:ascii="宋体" w:hAnsi="宋体" w:cs="宋体"/>
                <w:color w:val="auto"/>
                <w:sz w:val="18"/>
                <w:szCs w:val="18"/>
                <w:highlight w:val="none"/>
                <w:u w:val="none"/>
              </w:rPr>
              <w:t>设置</w:t>
            </w:r>
            <w:r>
              <w:rPr>
                <w:rFonts w:hint="eastAsia" w:ascii="宋体" w:hAnsi="宋体" w:cs="宋体"/>
                <w:color w:val="auto"/>
                <w:sz w:val="18"/>
                <w:szCs w:val="18"/>
                <w:highlight w:val="none"/>
                <w:u w:val="none"/>
                <w:lang w:eastAsia="zh-CN"/>
              </w:rPr>
              <w:t>养护</w:t>
            </w:r>
            <w:r>
              <w:rPr>
                <w:rFonts w:hint="eastAsia" w:ascii="宋体" w:hAnsi="宋体" w:cs="宋体"/>
                <w:color w:val="auto"/>
                <w:sz w:val="18"/>
                <w:szCs w:val="18"/>
                <w:highlight w:val="none"/>
                <w:u w:val="none"/>
              </w:rPr>
              <w:t>管理</w:t>
            </w:r>
            <w:r>
              <w:rPr>
                <w:rFonts w:hint="eastAsia" w:ascii="宋体" w:hAnsi="宋体" w:cs="宋体"/>
                <w:color w:val="auto"/>
                <w:sz w:val="18"/>
                <w:szCs w:val="18"/>
                <w:highlight w:val="none"/>
                <w:u w:val="none"/>
                <w:lang w:eastAsia="zh-CN"/>
              </w:rPr>
              <w:t>用</w:t>
            </w:r>
            <w:r>
              <w:rPr>
                <w:rFonts w:hint="eastAsia" w:ascii="宋体" w:hAnsi="宋体" w:cs="宋体"/>
                <w:color w:val="auto"/>
                <w:sz w:val="18"/>
                <w:szCs w:val="18"/>
                <w:highlight w:val="none"/>
                <w:u w:val="none"/>
              </w:rPr>
              <w:t>房</w:t>
            </w:r>
            <w:r>
              <w:rPr>
                <w:rFonts w:hint="eastAsia" w:ascii="宋体" w:hAnsi="宋体" w:cs="宋体"/>
                <w:color w:val="auto"/>
                <w:sz w:val="18"/>
                <w:szCs w:val="18"/>
                <w:highlight w:val="none"/>
                <w:u w:val="none"/>
                <w:lang w:eastAsia="zh-CN"/>
              </w:rPr>
              <w:t>或管理不规范</w:t>
            </w:r>
            <w:r>
              <w:rPr>
                <w:rFonts w:hint="eastAsia" w:ascii="宋体" w:hAnsi="宋体" w:cs="宋体"/>
                <w:color w:val="auto"/>
                <w:sz w:val="18"/>
                <w:szCs w:val="18"/>
                <w:highlight w:val="none"/>
                <w:u w:val="none"/>
              </w:rPr>
              <w:t>等</w:t>
            </w:r>
          </w:p>
        </w:tc>
        <w:tc>
          <w:tcPr>
            <w:tcW w:w="1155" w:type="dxa"/>
            <w:vMerge w:val="restart"/>
            <w:tcBorders>
              <w:top w:val="single" w:color="auto" w:sz="4" w:space="0"/>
              <w:left w:val="single" w:color="auto" w:sz="4" w:space="0"/>
              <w:right w:val="single" w:color="auto" w:sz="4" w:space="0"/>
            </w:tcBorders>
            <w:vAlign w:val="center"/>
          </w:tcPr>
          <w:p w14:paraId="7618A57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每件/次</w:t>
            </w:r>
          </w:p>
        </w:tc>
        <w:tc>
          <w:tcPr>
            <w:tcW w:w="1445" w:type="dxa"/>
            <w:tcBorders>
              <w:top w:val="single" w:color="auto" w:sz="4" w:space="0"/>
              <w:left w:val="single" w:color="auto" w:sz="4" w:space="0"/>
              <w:bottom w:val="single" w:color="auto" w:sz="4" w:space="0"/>
              <w:right w:val="single" w:color="auto" w:sz="4" w:space="0"/>
            </w:tcBorders>
            <w:vAlign w:val="center"/>
          </w:tcPr>
          <w:p w14:paraId="52F8F0C6">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管理不规范</w:t>
            </w:r>
          </w:p>
        </w:tc>
        <w:tc>
          <w:tcPr>
            <w:tcW w:w="1270" w:type="dxa"/>
            <w:tcBorders>
              <w:top w:val="single" w:color="auto" w:sz="4" w:space="0"/>
              <w:left w:val="single" w:color="auto" w:sz="4" w:space="0"/>
              <w:bottom w:val="single" w:color="auto" w:sz="4" w:space="0"/>
              <w:right w:val="single" w:color="auto" w:sz="4" w:space="0"/>
            </w:tcBorders>
            <w:vAlign w:val="center"/>
          </w:tcPr>
          <w:p w14:paraId="1B15C80A">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扣0.</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7700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805" w:type="dxa"/>
            <w:vMerge w:val="continue"/>
            <w:tcBorders>
              <w:left w:val="single" w:color="auto" w:sz="4" w:space="0"/>
              <w:bottom w:val="single" w:color="auto" w:sz="4" w:space="0"/>
              <w:right w:val="single" w:color="auto" w:sz="4" w:space="0"/>
            </w:tcBorders>
            <w:vAlign w:val="center"/>
          </w:tcPr>
          <w:p w14:paraId="7CE16F68">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7FFB9E78">
            <w:pPr>
              <w:jc w:val="center"/>
              <w:rPr>
                <w:rFonts w:hint="eastAsia"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4F7B22A1">
            <w:pPr>
              <w:jc w:val="left"/>
              <w:rPr>
                <w:rFonts w:hint="eastAsia"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28C534E7">
            <w:pPr>
              <w:jc w:val="center"/>
              <w:rPr>
                <w:rFonts w:hint="eastAsia"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887E12B">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未设置</w:t>
            </w:r>
          </w:p>
        </w:tc>
        <w:tc>
          <w:tcPr>
            <w:tcW w:w="1270" w:type="dxa"/>
            <w:tcBorders>
              <w:top w:val="single" w:color="auto" w:sz="4" w:space="0"/>
              <w:left w:val="single" w:color="auto" w:sz="4" w:space="0"/>
              <w:bottom w:val="single" w:color="auto" w:sz="4" w:space="0"/>
              <w:right w:val="single" w:color="auto" w:sz="4" w:space="0"/>
            </w:tcBorders>
            <w:vAlign w:val="center"/>
          </w:tcPr>
          <w:p w14:paraId="49D90CD6">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rPr>
              <w:t>分</w:t>
            </w:r>
          </w:p>
        </w:tc>
      </w:tr>
      <w:tr w14:paraId="2C4B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805" w:type="dxa"/>
            <w:vMerge w:val="continue"/>
            <w:tcBorders>
              <w:left w:val="single" w:color="auto" w:sz="4" w:space="0"/>
              <w:bottom w:val="single" w:color="auto" w:sz="4" w:space="0"/>
              <w:right w:val="single" w:color="auto" w:sz="4" w:space="0"/>
            </w:tcBorders>
            <w:vAlign w:val="center"/>
          </w:tcPr>
          <w:p w14:paraId="65C4190B">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7398934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扣则6</w:t>
            </w:r>
          </w:p>
        </w:tc>
        <w:tc>
          <w:tcPr>
            <w:tcW w:w="4149" w:type="dxa"/>
            <w:tcBorders>
              <w:top w:val="single" w:color="auto" w:sz="4" w:space="0"/>
              <w:left w:val="single" w:color="auto" w:sz="4" w:space="0"/>
              <w:bottom w:val="single" w:color="auto" w:sz="4" w:space="0"/>
              <w:right w:val="single" w:color="auto" w:sz="4" w:space="0"/>
            </w:tcBorders>
            <w:vAlign w:val="center"/>
          </w:tcPr>
          <w:p w14:paraId="0B79F011">
            <w:pPr>
              <w:jc w:val="left"/>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道路绿化养护智慧化管理平台出现故障未及时修复的</w:t>
            </w:r>
          </w:p>
        </w:tc>
        <w:tc>
          <w:tcPr>
            <w:tcW w:w="1155" w:type="dxa"/>
            <w:tcBorders>
              <w:top w:val="single" w:color="auto" w:sz="4" w:space="0"/>
              <w:left w:val="single" w:color="auto" w:sz="4" w:space="0"/>
              <w:bottom w:val="single" w:color="auto" w:sz="4" w:space="0"/>
              <w:right w:val="single" w:color="auto" w:sz="4" w:space="0"/>
            </w:tcBorders>
            <w:vAlign w:val="center"/>
          </w:tcPr>
          <w:p w14:paraId="6DE050E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3E898C9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3</w:t>
            </w:r>
            <w:r>
              <w:rPr>
                <w:rFonts w:hint="eastAsia" w:ascii="宋体" w:hAnsi="宋体" w:cs="宋体"/>
                <w:color w:val="auto"/>
                <w:sz w:val="18"/>
                <w:szCs w:val="18"/>
                <w:highlight w:val="none"/>
                <w:u w:val="none"/>
              </w:rPr>
              <w:t>分</w:t>
            </w:r>
          </w:p>
        </w:tc>
      </w:tr>
      <w:tr w14:paraId="69F6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805" w:type="dxa"/>
            <w:vMerge w:val="restart"/>
            <w:tcBorders>
              <w:top w:val="single" w:color="auto" w:sz="4" w:space="0"/>
              <w:left w:val="single" w:color="auto" w:sz="4" w:space="0"/>
              <w:right w:val="single" w:color="auto" w:sz="4" w:space="0"/>
            </w:tcBorders>
            <w:vAlign w:val="center"/>
          </w:tcPr>
          <w:p w14:paraId="62AA5FD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(二）安全生产</w:t>
            </w:r>
          </w:p>
        </w:tc>
        <w:tc>
          <w:tcPr>
            <w:tcW w:w="995" w:type="dxa"/>
            <w:tcBorders>
              <w:top w:val="single" w:color="auto" w:sz="4" w:space="0"/>
              <w:left w:val="single" w:color="auto" w:sz="4" w:space="0"/>
              <w:bottom w:val="single" w:color="auto" w:sz="4" w:space="0"/>
              <w:right w:val="single" w:color="auto" w:sz="4" w:space="0"/>
            </w:tcBorders>
            <w:vAlign w:val="center"/>
          </w:tcPr>
          <w:p w14:paraId="3B54FC0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扣则7</w:t>
            </w:r>
          </w:p>
        </w:tc>
        <w:tc>
          <w:tcPr>
            <w:tcW w:w="4149" w:type="dxa"/>
            <w:tcBorders>
              <w:top w:val="single" w:color="auto" w:sz="4" w:space="0"/>
              <w:left w:val="single" w:color="auto" w:sz="4" w:space="0"/>
              <w:bottom w:val="single" w:color="auto" w:sz="4" w:space="0"/>
              <w:right w:val="single" w:color="auto" w:sz="4" w:space="0"/>
            </w:tcBorders>
            <w:vAlign w:val="center"/>
          </w:tcPr>
          <w:p w14:paraId="4BE66DA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工作人员违反《南宁市绿化工程管理中心道路绿化养护安全管理办法（</w:t>
            </w:r>
            <w:r>
              <w:rPr>
                <w:rFonts w:hint="eastAsia" w:ascii="宋体" w:hAnsi="宋体" w:cs="宋体"/>
                <w:color w:val="auto"/>
                <w:sz w:val="18"/>
                <w:szCs w:val="18"/>
                <w:highlight w:val="none"/>
                <w:u w:val="none"/>
                <w:lang w:eastAsia="zh-CN"/>
              </w:rPr>
              <w:t>202</w:t>
            </w:r>
            <w:r>
              <w:rPr>
                <w:rFonts w:hint="eastAsia" w:ascii="宋体" w:hAnsi="宋体" w:cs="宋体"/>
                <w:color w:val="auto"/>
                <w:sz w:val="18"/>
                <w:szCs w:val="18"/>
                <w:highlight w:val="none"/>
                <w:u w:val="none"/>
                <w:lang w:val="en-US" w:eastAsia="zh-CN"/>
              </w:rPr>
              <w:t>4</w:t>
            </w:r>
            <w:r>
              <w:rPr>
                <w:rFonts w:hint="eastAsia" w:ascii="宋体" w:hAnsi="宋体" w:cs="宋体"/>
                <w:color w:val="auto"/>
                <w:sz w:val="18"/>
                <w:szCs w:val="18"/>
                <w:highlight w:val="none"/>
                <w:u w:val="none"/>
                <w:lang w:eastAsia="zh-CN"/>
              </w:rPr>
              <w:t>版</w:t>
            </w:r>
            <w:r>
              <w:rPr>
                <w:rFonts w:hint="eastAsia" w:ascii="宋体" w:hAnsi="宋体" w:cs="宋体"/>
                <w:color w:val="auto"/>
                <w:sz w:val="18"/>
                <w:szCs w:val="18"/>
                <w:highlight w:val="none"/>
                <w:u w:val="none"/>
              </w:rPr>
              <w:t>）》，未按要求穿着安全防护服、安全帽、防护眼镜、口罩、绝缘鞋、绝缘手套、安全绳等安全防护用品，以及打草时不设置安全挡板（或安全网）等</w:t>
            </w:r>
          </w:p>
        </w:tc>
        <w:tc>
          <w:tcPr>
            <w:tcW w:w="1155" w:type="dxa"/>
            <w:tcBorders>
              <w:top w:val="single" w:color="auto" w:sz="4" w:space="0"/>
              <w:left w:val="single" w:color="auto" w:sz="4" w:space="0"/>
              <w:bottom w:val="single" w:color="auto" w:sz="4" w:space="0"/>
              <w:right w:val="single" w:color="auto" w:sz="4" w:space="0"/>
            </w:tcBorders>
            <w:vAlign w:val="center"/>
          </w:tcPr>
          <w:p w14:paraId="77D94E3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每人次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1945986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3041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1" w:hRule="atLeast"/>
          <w:jc w:val="center"/>
        </w:trPr>
        <w:tc>
          <w:tcPr>
            <w:tcW w:w="805" w:type="dxa"/>
            <w:vMerge w:val="continue"/>
            <w:tcBorders>
              <w:left w:val="single" w:color="auto" w:sz="4" w:space="0"/>
              <w:right w:val="single" w:color="auto" w:sz="4" w:space="0"/>
            </w:tcBorders>
            <w:vAlign w:val="center"/>
          </w:tcPr>
          <w:p w14:paraId="73FD52FD">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269CF7C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扣则8</w:t>
            </w:r>
          </w:p>
        </w:tc>
        <w:tc>
          <w:tcPr>
            <w:tcW w:w="4149" w:type="dxa"/>
            <w:tcBorders>
              <w:top w:val="single" w:color="auto" w:sz="4" w:space="0"/>
              <w:left w:val="single" w:color="auto" w:sz="4" w:space="0"/>
              <w:bottom w:val="single" w:color="auto" w:sz="4" w:space="0"/>
              <w:right w:val="single" w:color="auto" w:sz="4" w:space="0"/>
            </w:tcBorders>
            <w:vAlign w:val="center"/>
          </w:tcPr>
          <w:p w14:paraId="6FBD42F5">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未按《南宁市绿化工程管理中心道路绿化养护安全管理办法（</w:t>
            </w:r>
            <w:r>
              <w:rPr>
                <w:rFonts w:hint="eastAsia" w:ascii="宋体" w:hAnsi="宋体" w:cs="宋体"/>
                <w:color w:val="auto"/>
                <w:sz w:val="18"/>
                <w:szCs w:val="18"/>
                <w:highlight w:val="none"/>
                <w:u w:val="none"/>
                <w:lang w:eastAsia="zh-CN"/>
              </w:rPr>
              <w:t>202</w:t>
            </w:r>
            <w:r>
              <w:rPr>
                <w:rFonts w:hint="eastAsia" w:ascii="宋体" w:hAnsi="宋体" w:cs="宋体"/>
                <w:color w:val="auto"/>
                <w:sz w:val="18"/>
                <w:szCs w:val="18"/>
                <w:highlight w:val="none"/>
                <w:u w:val="none"/>
                <w:lang w:val="en-US" w:eastAsia="zh-CN"/>
              </w:rPr>
              <w:t>4</w:t>
            </w:r>
            <w:r>
              <w:rPr>
                <w:rFonts w:hint="eastAsia" w:ascii="宋体" w:hAnsi="宋体" w:cs="宋体"/>
                <w:color w:val="auto"/>
                <w:sz w:val="18"/>
                <w:szCs w:val="18"/>
                <w:highlight w:val="none"/>
                <w:u w:val="none"/>
                <w:lang w:eastAsia="zh-CN"/>
              </w:rPr>
              <w:t>版</w:t>
            </w:r>
            <w:r>
              <w:rPr>
                <w:rFonts w:hint="eastAsia" w:ascii="宋体" w:hAnsi="宋体" w:cs="宋体"/>
                <w:color w:val="auto"/>
                <w:sz w:val="18"/>
                <w:szCs w:val="18"/>
                <w:highlight w:val="none"/>
                <w:u w:val="none"/>
              </w:rPr>
              <w:t>）》设置安全锥、警示牌等安全围合措施的</w:t>
            </w:r>
          </w:p>
        </w:tc>
        <w:tc>
          <w:tcPr>
            <w:tcW w:w="1155" w:type="dxa"/>
            <w:tcBorders>
              <w:top w:val="single" w:color="auto" w:sz="4" w:space="0"/>
              <w:left w:val="single" w:color="auto" w:sz="4" w:space="0"/>
              <w:bottom w:val="single" w:color="auto" w:sz="4" w:space="0"/>
              <w:right w:val="single" w:color="auto" w:sz="4" w:space="0"/>
            </w:tcBorders>
            <w:vAlign w:val="center"/>
          </w:tcPr>
          <w:p w14:paraId="692F937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1F0FD90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3分</w:t>
            </w:r>
          </w:p>
        </w:tc>
      </w:tr>
      <w:tr w14:paraId="1108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805" w:type="dxa"/>
            <w:vMerge w:val="continue"/>
            <w:tcBorders>
              <w:left w:val="single" w:color="auto" w:sz="4" w:space="0"/>
              <w:right w:val="single" w:color="auto" w:sz="4" w:space="0"/>
            </w:tcBorders>
            <w:vAlign w:val="center"/>
          </w:tcPr>
          <w:p w14:paraId="09A51515">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D42B34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扣则9</w:t>
            </w:r>
          </w:p>
        </w:tc>
        <w:tc>
          <w:tcPr>
            <w:tcW w:w="4149" w:type="dxa"/>
            <w:tcBorders>
              <w:top w:val="single" w:color="auto" w:sz="4" w:space="0"/>
              <w:left w:val="single" w:color="auto" w:sz="4" w:space="0"/>
              <w:bottom w:val="single" w:color="auto" w:sz="4" w:space="0"/>
              <w:right w:val="single" w:color="auto" w:sz="4" w:space="0"/>
            </w:tcBorders>
            <w:vAlign w:val="center"/>
          </w:tcPr>
          <w:p w14:paraId="5DB6722E">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绿化作业车辆违反《中华人民共和国道路交通安全法》和《南宁市绿化工程管理中心道路绿化养护安全管理办法（</w:t>
            </w:r>
            <w:r>
              <w:rPr>
                <w:rFonts w:hint="eastAsia" w:ascii="宋体" w:hAnsi="宋体" w:cs="宋体"/>
                <w:color w:val="auto"/>
                <w:sz w:val="18"/>
                <w:szCs w:val="18"/>
                <w:highlight w:val="none"/>
                <w:u w:val="none"/>
                <w:lang w:eastAsia="zh-CN"/>
              </w:rPr>
              <w:t>202</w:t>
            </w:r>
            <w:r>
              <w:rPr>
                <w:rFonts w:hint="eastAsia" w:ascii="宋体" w:hAnsi="宋体" w:cs="宋体"/>
                <w:color w:val="auto"/>
                <w:sz w:val="18"/>
                <w:szCs w:val="18"/>
                <w:highlight w:val="none"/>
                <w:u w:val="none"/>
                <w:lang w:val="en-US" w:eastAsia="zh-CN"/>
              </w:rPr>
              <w:t>4</w:t>
            </w:r>
            <w:r>
              <w:rPr>
                <w:rFonts w:hint="eastAsia" w:ascii="宋体" w:hAnsi="宋体" w:cs="宋体"/>
                <w:color w:val="auto"/>
                <w:sz w:val="18"/>
                <w:szCs w:val="18"/>
                <w:highlight w:val="none"/>
                <w:u w:val="none"/>
                <w:lang w:eastAsia="zh-CN"/>
              </w:rPr>
              <w:t>版</w:t>
            </w:r>
            <w:r>
              <w:rPr>
                <w:rFonts w:hint="eastAsia" w:ascii="宋体" w:hAnsi="宋体" w:cs="宋体"/>
                <w:color w:val="auto"/>
                <w:sz w:val="18"/>
                <w:szCs w:val="18"/>
                <w:highlight w:val="none"/>
                <w:u w:val="none"/>
              </w:rPr>
              <w:t>）》等，如安全标识不齐、违规占道作业、路面作业安全措施不规范、以及沿途漏洒绿化垃圾泥沙、把泥土冲出路面等不文明施工行为的</w:t>
            </w:r>
          </w:p>
        </w:tc>
        <w:tc>
          <w:tcPr>
            <w:tcW w:w="1155" w:type="dxa"/>
            <w:tcBorders>
              <w:top w:val="single" w:color="auto" w:sz="4" w:space="0"/>
              <w:left w:val="single" w:color="auto" w:sz="4" w:space="0"/>
              <w:bottom w:val="single" w:color="auto" w:sz="4" w:space="0"/>
              <w:right w:val="single" w:color="auto" w:sz="4" w:space="0"/>
            </w:tcBorders>
            <w:vAlign w:val="center"/>
          </w:tcPr>
          <w:p w14:paraId="0052F28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每车次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5146C13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3分</w:t>
            </w:r>
          </w:p>
        </w:tc>
      </w:tr>
      <w:tr w14:paraId="4AB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805" w:type="dxa"/>
            <w:vMerge w:val="continue"/>
            <w:tcBorders>
              <w:left w:val="single" w:color="auto" w:sz="4" w:space="0"/>
              <w:bottom w:val="single" w:color="auto" w:sz="4" w:space="0"/>
              <w:right w:val="single" w:color="auto" w:sz="4" w:space="0"/>
            </w:tcBorders>
            <w:vAlign w:val="center"/>
          </w:tcPr>
          <w:p w14:paraId="0E269634">
            <w:pPr>
              <w:widowControl/>
              <w:jc w:val="center"/>
              <w:rPr>
                <w:rFonts w:ascii="宋体" w:hAnsi="宋体" w:cs="宋体"/>
                <w:b w:val="0"/>
                <w:bCs w:val="0"/>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shd w:val="clear" w:color="auto" w:fill="auto"/>
            <w:vAlign w:val="center"/>
          </w:tcPr>
          <w:p w14:paraId="3355F79A">
            <w:pPr>
              <w:jc w:val="center"/>
              <w:rPr>
                <w:rFonts w:hint="eastAsia" w:ascii="宋体" w:hAnsi="宋体" w:eastAsia="宋体" w:cs="宋体"/>
                <w:b w:val="0"/>
                <w:bCs w:val="0"/>
                <w:color w:val="auto"/>
                <w:kern w:val="2"/>
                <w:sz w:val="18"/>
                <w:szCs w:val="18"/>
                <w:highlight w:val="none"/>
                <w:u w:val="none"/>
                <w:lang w:val="en-US" w:eastAsia="zh-CN" w:bidi="ar-SA"/>
              </w:rPr>
            </w:pPr>
            <w:r>
              <w:rPr>
                <w:rFonts w:hint="eastAsia" w:ascii="宋体" w:hAnsi="宋体" w:cs="宋体"/>
                <w:b w:val="0"/>
                <w:bCs w:val="0"/>
                <w:color w:val="auto"/>
                <w:sz w:val="18"/>
                <w:szCs w:val="18"/>
                <w:highlight w:val="none"/>
                <w:u w:val="none"/>
              </w:rPr>
              <w:t>扣则10</w:t>
            </w:r>
          </w:p>
        </w:tc>
        <w:tc>
          <w:tcPr>
            <w:tcW w:w="4149" w:type="dxa"/>
            <w:vMerge w:val="restart"/>
            <w:tcBorders>
              <w:top w:val="single" w:color="auto" w:sz="4" w:space="0"/>
              <w:left w:val="single" w:color="auto" w:sz="4" w:space="0"/>
              <w:right w:val="single" w:color="auto" w:sz="4" w:space="0"/>
            </w:tcBorders>
            <w:vAlign w:val="center"/>
          </w:tcPr>
          <w:p w14:paraId="5E264EE7">
            <w:pPr>
              <w:rPr>
                <w:rFonts w:hint="eastAsia" w:ascii="宋体" w:hAnsi="宋体" w:cs="宋体"/>
                <w:b w:val="0"/>
                <w:bCs w:val="0"/>
                <w:color w:val="auto"/>
                <w:sz w:val="18"/>
                <w:szCs w:val="18"/>
                <w:highlight w:val="none"/>
                <w:u w:val="none"/>
              </w:rPr>
            </w:pPr>
            <w:r>
              <w:rPr>
                <w:rFonts w:hint="eastAsia" w:ascii="宋体" w:hAnsi="宋体" w:cs="宋体"/>
                <w:color w:val="auto"/>
                <w:sz w:val="18"/>
                <w:szCs w:val="18"/>
                <w:highlight w:val="none"/>
                <w:u w:val="none"/>
              </w:rPr>
              <w:t>因安全管理工作不到位，导致人员伤亡、</w:t>
            </w:r>
            <w:r>
              <w:rPr>
                <w:rFonts w:hint="eastAsia" w:ascii="宋体" w:hAnsi="宋体" w:cs="宋体"/>
                <w:color w:val="auto"/>
                <w:sz w:val="18"/>
                <w:szCs w:val="18"/>
                <w:highlight w:val="none"/>
                <w:u w:val="none"/>
                <w:lang w:eastAsia="zh-CN"/>
              </w:rPr>
              <w:t>财产损失</w:t>
            </w:r>
            <w:r>
              <w:rPr>
                <w:rFonts w:hint="eastAsia" w:ascii="宋体" w:hAnsi="宋体" w:cs="宋体"/>
                <w:color w:val="auto"/>
                <w:sz w:val="18"/>
                <w:szCs w:val="18"/>
                <w:highlight w:val="none"/>
                <w:u w:val="none"/>
              </w:rPr>
              <w:t>、景观严重缺失的，视具体情况直接附加扣款处理。</w:t>
            </w:r>
          </w:p>
        </w:tc>
        <w:tc>
          <w:tcPr>
            <w:tcW w:w="1155" w:type="dxa"/>
            <w:vMerge w:val="restart"/>
            <w:tcBorders>
              <w:top w:val="single" w:color="auto" w:sz="4" w:space="0"/>
              <w:left w:val="single" w:color="auto" w:sz="4" w:space="0"/>
              <w:right w:val="single" w:color="auto" w:sz="4" w:space="0"/>
            </w:tcBorders>
            <w:vAlign w:val="center"/>
          </w:tcPr>
          <w:p w14:paraId="716C1184">
            <w:pPr>
              <w:jc w:val="center"/>
              <w:rPr>
                <w:rFonts w:hint="eastAsia" w:ascii="宋体" w:hAnsi="宋体" w:cs="宋体"/>
                <w:b w:val="0"/>
                <w:bCs w:val="0"/>
                <w:color w:val="auto"/>
                <w:sz w:val="18"/>
                <w:szCs w:val="18"/>
                <w:highlight w:val="none"/>
                <w:u w:val="none"/>
              </w:rPr>
            </w:pPr>
            <w:r>
              <w:rPr>
                <w:rFonts w:hint="eastAsia" w:ascii="宋体" w:hAnsi="宋体" w:cs="宋体"/>
                <w:color w:val="auto"/>
                <w:sz w:val="18"/>
                <w:szCs w:val="18"/>
                <w:highlight w:val="none"/>
                <w:u w:val="none"/>
              </w:rPr>
              <w:t>每件/次</w:t>
            </w:r>
          </w:p>
        </w:tc>
        <w:tc>
          <w:tcPr>
            <w:tcW w:w="1445" w:type="dxa"/>
            <w:tcBorders>
              <w:top w:val="single" w:color="auto" w:sz="4" w:space="0"/>
              <w:left w:val="single" w:color="auto" w:sz="4" w:space="0"/>
              <w:bottom w:val="single" w:color="auto" w:sz="4" w:space="0"/>
              <w:right w:val="single" w:color="auto" w:sz="4" w:space="0"/>
            </w:tcBorders>
            <w:vAlign w:val="center"/>
          </w:tcPr>
          <w:p w14:paraId="05BFBA0B">
            <w:pPr>
              <w:jc w:val="center"/>
              <w:rPr>
                <w:rFonts w:hint="eastAsia" w:ascii="宋体" w:hAnsi="宋体" w:cs="宋体"/>
                <w:b w:val="0"/>
                <w:bCs w:val="0"/>
                <w:color w:val="auto"/>
                <w:sz w:val="18"/>
                <w:szCs w:val="18"/>
                <w:highlight w:val="none"/>
                <w:u w:val="none"/>
              </w:rPr>
            </w:pPr>
            <w:r>
              <w:rPr>
                <w:rFonts w:hint="eastAsia" w:ascii="宋体" w:hAnsi="宋体" w:cs="宋体"/>
                <w:color w:val="auto"/>
                <w:sz w:val="18"/>
                <w:szCs w:val="18"/>
                <w:highlight w:val="none"/>
                <w:u w:val="none"/>
              </w:rPr>
              <w:t>人员伤亡</w:t>
            </w:r>
          </w:p>
        </w:tc>
        <w:tc>
          <w:tcPr>
            <w:tcW w:w="1270" w:type="dxa"/>
            <w:tcBorders>
              <w:top w:val="single" w:color="auto" w:sz="4" w:space="0"/>
              <w:left w:val="single" w:color="auto" w:sz="4" w:space="0"/>
              <w:bottom w:val="single" w:color="auto" w:sz="4" w:space="0"/>
              <w:right w:val="single" w:color="auto" w:sz="4" w:space="0"/>
            </w:tcBorders>
            <w:vAlign w:val="center"/>
          </w:tcPr>
          <w:p w14:paraId="061C3AD8">
            <w:pPr>
              <w:jc w:val="center"/>
              <w:rPr>
                <w:rFonts w:hint="eastAsia" w:ascii="宋体" w:hAnsi="宋体" w:cs="宋体"/>
                <w:b w:val="0"/>
                <w:bCs w:val="0"/>
                <w:color w:val="auto"/>
                <w:sz w:val="18"/>
                <w:szCs w:val="18"/>
                <w:highlight w:val="none"/>
                <w:u w:val="none"/>
              </w:rPr>
            </w:pPr>
            <w:r>
              <w:rPr>
                <w:rFonts w:hint="eastAsia" w:ascii="宋体" w:hAnsi="宋体" w:cs="宋体"/>
                <w:color w:val="auto"/>
                <w:sz w:val="18"/>
                <w:szCs w:val="18"/>
                <w:highlight w:val="none"/>
                <w:u w:val="none"/>
              </w:rPr>
              <w:t>扣1000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10000</w:t>
            </w:r>
            <w:r>
              <w:rPr>
                <w:rFonts w:hint="eastAsia" w:ascii="宋体" w:hAnsi="宋体" w:cs="宋体"/>
                <w:color w:val="auto"/>
                <w:sz w:val="18"/>
                <w:szCs w:val="18"/>
                <w:highlight w:val="none"/>
                <w:u w:val="none"/>
                <w:lang w:val="en-US" w:eastAsia="zh-CN"/>
              </w:rPr>
              <w:t>0</w:t>
            </w:r>
            <w:r>
              <w:rPr>
                <w:rFonts w:hint="eastAsia" w:ascii="宋体" w:hAnsi="宋体" w:cs="宋体"/>
                <w:color w:val="auto"/>
                <w:sz w:val="18"/>
                <w:szCs w:val="18"/>
                <w:highlight w:val="none"/>
                <w:u w:val="none"/>
              </w:rPr>
              <w:t>元</w:t>
            </w:r>
          </w:p>
        </w:tc>
      </w:tr>
      <w:tr w14:paraId="7B82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805" w:type="dxa"/>
            <w:vMerge w:val="continue"/>
            <w:tcBorders>
              <w:left w:val="single" w:color="auto" w:sz="4" w:space="0"/>
              <w:bottom w:val="single" w:color="auto" w:sz="4" w:space="0"/>
              <w:right w:val="single" w:color="auto" w:sz="4" w:space="0"/>
            </w:tcBorders>
            <w:vAlign w:val="center"/>
          </w:tcPr>
          <w:p w14:paraId="164518BA">
            <w:pPr>
              <w:jc w:val="center"/>
              <w:rPr>
                <w:color w:val="auto"/>
                <w:highlight w:val="none"/>
              </w:rPr>
            </w:pPr>
          </w:p>
        </w:tc>
        <w:tc>
          <w:tcPr>
            <w:tcW w:w="995" w:type="dxa"/>
            <w:vMerge w:val="continue"/>
            <w:tcBorders>
              <w:left w:val="single" w:color="auto" w:sz="4" w:space="0"/>
              <w:right w:val="single" w:color="auto" w:sz="4" w:space="0"/>
            </w:tcBorders>
            <w:shd w:val="clear" w:color="auto" w:fill="auto"/>
            <w:vAlign w:val="center"/>
          </w:tcPr>
          <w:p w14:paraId="7E7FD16D">
            <w:pPr>
              <w:jc w:val="center"/>
              <w:rPr>
                <w:color w:val="auto"/>
                <w:highlight w:val="none"/>
                <w:u w:val="none"/>
              </w:rPr>
            </w:pPr>
          </w:p>
        </w:tc>
        <w:tc>
          <w:tcPr>
            <w:tcW w:w="4149" w:type="dxa"/>
            <w:vMerge w:val="continue"/>
            <w:tcBorders>
              <w:left w:val="single" w:color="auto" w:sz="4" w:space="0"/>
              <w:right w:val="single" w:color="auto" w:sz="4" w:space="0"/>
            </w:tcBorders>
            <w:vAlign w:val="center"/>
          </w:tcPr>
          <w:p w14:paraId="1F4FE425">
            <w:pPr>
              <w:rPr>
                <w:color w:val="auto"/>
                <w:highlight w:val="none"/>
                <w:u w:val="none"/>
              </w:rPr>
            </w:pPr>
          </w:p>
        </w:tc>
        <w:tc>
          <w:tcPr>
            <w:tcW w:w="1155" w:type="dxa"/>
            <w:vMerge w:val="continue"/>
            <w:tcBorders>
              <w:left w:val="single" w:color="auto" w:sz="4" w:space="0"/>
              <w:right w:val="single" w:color="auto" w:sz="4" w:space="0"/>
            </w:tcBorders>
            <w:vAlign w:val="center"/>
          </w:tcPr>
          <w:p w14:paraId="5D81402A">
            <w:pPr>
              <w:jc w:val="center"/>
              <w:rPr>
                <w:color w:val="auto"/>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ED7DD43">
            <w:pPr>
              <w:jc w:val="center"/>
              <w:rPr>
                <w:color w:val="auto"/>
                <w:highlight w:val="none"/>
                <w:u w:val="none"/>
              </w:rPr>
            </w:pPr>
            <w:r>
              <w:rPr>
                <w:rFonts w:hint="eastAsia" w:ascii="宋体" w:hAnsi="宋体" w:cs="宋体"/>
                <w:color w:val="auto"/>
                <w:sz w:val="18"/>
                <w:szCs w:val="18"/>
                <w:highlight w:val="none"/>
                <w:u w:val="none"/>
                <w:lang w:eastAsia="zh-CN"/>
              </w:rPr>
              <w:t>财产损失</w:t>
            </w:r>
          </w:p>
        </w:tc>
        <w:tc>
          <w:tcPr>
            <w:tcW w:w="1270" w:type="dxa"/>
            <w:tcBorders>
              <w:top w:val="single" w:color="auto" w:sz="4" w:space="0"/>
              <w:left w:val="single" w:color="auto" w:sz="4" w:space="0"/>
              <w:bottom w:val="single" w:color="auto" w:sz="4" w:space="0"/>
              <w:right w:val="single" w:color="auto" w:sz="4" w:space="0"/>
            </w:tcBorders>
            <w:vAlign w:val="center"/>
          </w:tcPr>
          <w:p w14:paraId="230274DA">
            <w:pPr>
              <w:jc w:val="center"/>
              <w:rPr>
                <w:color w:val="auto"/>
                <w:highlight w:val="none"/>
                <w:u w:val="none"/>
              </w:rPr>
            </w:pPr>
            <w:r>
              <w:rPr>
                <w:rFonts w:hint="eastAsia" w:ascii="宋体" w:hAnsi="宋体" w:cs="宋体"/>
                <w:color w:val="auto"/>
                <w:sz w:val="18"/>
                <w:szCs w:val="18"/>
                <w:highlight w:val="none"/>
                <w:u w:val="none"/>
              </w:rPr>
              <w:t>扣500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5000</w:t>
            </w:r>
            <w:r>
              <w:rPr>
                <w:rFonts w:hint="eastAsia" w:ascii="宋体" w:hAnsi="宋体" w:cs="宋体"/>
                <w:color w:val="auto"/>
                <w:sz w:val="18"/>
                <w:szCs w:val="18"/>
                <w:highlight w:val="none"/>
                <w:u w:val="none"/>
                <w:lang w:val="en-US" w:eastAsia="zh-CN"/>
              </w:rPr>
              <w:t>0</w:t>
            </w:r>
            <w:r>
              <w:rPr>
                <w:rFonts w:hint="eastAsia" w:ascii="宋体" w:hAnsi="宋体" w:cs="宋体"/>
                <w:color w:val="auto"/>
                <w:sz w:val="18"/>
                <w:szCs w:val="18"/>
                <w:highlight w:val="none"/>
                <w:u w:val="none"/>
              </w:rPr>
              <w:t>元</w:t>
            </w:r>
          </w:p>
        </w:tc>
      </w:tr>
      <w:tr w14:paraId="45C7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805" w:type="dxa"/>
            <w:vMerge w:val="continue"/>
            <w:tcBorders>
              <w:left w:val="single" w:color="auto" w:sz="4" w:space="0"/>
              <w:bottom w:val="single" w:color="auto" w:sz="4" w:space="0"/>
              <w:right w:val="single" w:color="auto" w:sz="4" w:space="0"/>
            </w:tcBorders>
            <w:vAlign w:val="center"/>
          </w:tcPr>
          <w:p w14:paraId="64148455">
            <w:pPr>
              <w:jc w:val="center"/>
              <w:rPr>
                <w:color w:val="auto"/>
                <w:highlight w:val="none"/>
              </w:rPr>
            </w:pPr>
          </w:p>
        </w:tc>
        <w:tc>
          <w:tcPr>
            <w:tcW w:w="995" w:type="dxa"/>
            <w:vMerge w:val="continue"/>
            <w:tcBorders>
              <w:left w:val="single" w:color="auto" w:sz="4" w:space="0"/>
              <w:bottom w:val="single" w:color="auto" w:sz="4" w:space="0"/>
              <w:right w:val="single" w:color="auto" w:sz="4" w:space="0"/>
            </w:tcBorders>
            <w:shd w:val="clear" w:color="auto" w:fill="auto"/>
            <w:vAlign w:val="center"/>
          </w:tcPr>
          <w:p w14:paraId="5508C244">
            <w:pPr>
              <w:jc w:val="center"/>
              <w:rPr>
                <w:color w:val="auto"/>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75927D1E">
            <w:pPr>
              <w:rPr>
                <w:color w:val="auto"/>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6DFF7BCD">
            <w:pPr>
              <w:jc w:val="center"/>
              <w:rPr>
                <w:color w:val="auto"/>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388E7783">
            <w:pPr>
              <w:jc w:val="center"/>
              <w:rPr>
                <w:color w:val="auto"/>
                <w:highlight w:val="none"/>
                <w:u w:val="none"/>
              </w:rPr>
            </w:pPr>
            <w:r>
              <w:rPr>
                <w:rFonts w:hint="eastAsia" w:ascii="宋体" w:hAnsi="宋体" w:cs="宋体"/>
                <w:color w:val="auto"/>
                <w:sz w:val="18"/>
                <w:szCs w:val="18"/>
                <w:highlight w:val="none"/>
                <w:u w:val="none"/>
              </w:rPr>
              <w:t>景观严重缺失</w:t>
            </w:r>
          </w:p>
        </w:tc>
        <w:tc>
          <w:tcPr>
            <w:tcW w:w="1270" w:type="dxa"/>
            <w:tcBorders>
              <w:top w:val="single" w:color="auto" w:sz="4" w:space="0"/>
              <w:left w:val="single" w:color="auto" w:sz="4" w:space="0"/>
              <w:bottom w:val="single" w:color="auto" w:sz="4" w:space="0"/>
              <w:right w:val="single" w:color="auto" w:sz="4" w:space="0"/>
            </w:tcBorders>
            <w:vAlign w:val="center"/>
          </w:tcPr>
          <w:p w14:paraId="2A2DF807">
            <w:pPr>
              <w:jc w:val="center"/>
              <w:rPr>
                <w:color w:val="auto"/>
                <w:highlight w:val="none"/>
                <w:u w:val="none"/>
              </w:rPr>
            </w:pPr>
            <w:r>
              <w:rPr>
                <w:rFonts w:hint="eastAsia" w:ascii="宋体" w:hAnsi="宋体" w:cs="宋体"/>
                <w:color w:val="auto"/>
                <w:sz w:val="18"/>
                <w:szCs w:val="18"/>
                <w:highlight w:val="none"/>
                <w:u w:val="none"/>
              </w:rPr>
              <w:t>扣1000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3</w:t>
            </w:r>
            <w:r>
              <w:rPr>
                <w:rFonts w:hint="eastAsia" w:ascii="宋体" w:hAnsi="宋体" w:cs="宋体"/>
                <w:color w:val="auto"/>
                <w:sz w:val="18"/>
                <w:szCs w:val="18"/>
                <w:highlight w:val="none"/>
                <w:u w:val="none"/>
              </w:rPr>
              <w:t>000</w:t>
            </w:r>
            <w:r>
              <w:rPr>
                <w:rFonts w:hint="eastAsia" w:ascii="宋体" w:hAnsi="宋体" w:cs="宋体"/>
                <w:color w:val="auto"/>
                <w:sz w:val="18"/>
                <w:szCs w:val="18"/>
                <w:highlight w:val="none"/>
                <w:u w:val="none"/>
                <w:lang w:val="en-US" w:eastAsia="zh-CN"/>
              </w:rPr>
              <w:t>0</w:t>
            </w:r>
            <w:r>
              <w:rPr>
                <w:rFonts w:hint="eastAsia" w:ascii="宋体" w:hAnsi="宋体" w:cs="宋体"/>
                <w:color w:val="auto"/>
                <w:sz w:val="18"/>
                <w:szCs w:val="18"/>
                <w:highlight w:val="none"/>
                <w:u w:val="none"/>
              </w:rPr>
              <w:t>元</w:t>
            </w:r>
          </w:p>
        </w:tc>
      </w:tr>
      <w:tr w14:paraId="399F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6FE27913">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(三)</w:t>
            </w:r>
            <w:r>
              <w:rPr>
                <w:rFonts w:hint="eastAsia" w:ascii="宋体" w:hAnsi="宋体" w:cs="宋体"/>
                <w:color w:val="auto"/>
                <w:sz w:val="18"/>
                <w:szCs w:val="18"/>
                <w:highlight w:val="none"/>
                <w:u w:val="none"/>
                <w:lang w:eastAsia="zh-CN"/>
              </w:rPr>
              <w:t>保护管理</w:t>
            </w: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7BE3F312">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1</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16506E0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对违法（章）破坏、占用绿化的情况，未能及时发现、上报、采取措施制止的，或未按要求恢复的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483DF0D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每宗案件</w:t>
            </w:r>
          </w:p>
        </w:tc>
        <w:tc>
          <w:tcPr>
            <w:tcW w:w="1445" w:type="dxa"/>
            <w:tcBorders>
              <w:top w:val="single" w:color="auto" w:sz="4" w:space="0"/>
              <w:left w:val="single" w:color="auto" w:sz="4" w:space="0"/>
              <w:bottom w:val="single" w:color="auto" w:sz="4" w:space="0"/>
              <w:right w:val="single" w:color="auto" w:sz="4" w:space="0"/>
            </w:tcBorders>
            <w:vAlign w:val="center"/>
          </w:tcPr>
          <w:p w14:paraId="2F1BD7B5">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1株乔木（孤植灌木）或5㎡以内绿地</w:t>
            </w:r>
          </w:p>
        </w:tc>
        <w:tc>
          <w:tcPr>
            <w:tcW w:w="1270" w:type="dxa"/>
            <w:tcBorders>
              <w:top w:val="single" w:color="auto" w:sz="4" w:space="0"/>
              <w:left w:val="single" w:color="auto" w:sz="4" w:space="0"/>
              <w:bottom w:val="single" w:color="auto" w:sz="4" w:space="0"/>
              <w:right w:val="single" w:color="auto" w:sz="4" w:space="0"/>
            </w:tcBorders>
            <w:vAlign w:val="center"/>
          </w:tcPr>
          <w:p w14:paraId="0A79497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0.2</w:t>
            </w:r>
            <w:r>
              <w:rPr>
                <w:rFonts w:hint="eastAsia" w:ascii="宋体" w:hAnsi="宋体" w:cs="宋体"/>
                <w:color w:val="auto"/>
                <w:sz w:val="18"/>
                <w:szCs w:val="18"/>
                <w:highlight w:val="none"/>
                <w:u w:val="none"/>
              </w:rPr>
              <w:t>分</w:t>
            </w:r>
          </w:p>
        </w:tc>
      </w:tr>
      <w:tr w14:paraId="19BC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6B286F05">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5EF9B2E8">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6CCCB90C">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3343623C">
            <w:pPr>
              <w:widowControl/>
              <w:jc w:val="left"/>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D3306D1">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10株乔木（孤植灌木）或5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50㎡绿地</w:t>
            </w:r>
          </w:p>
        </w:tc>
        <w:tc>
          <w:tcPr>
            <w:tcW w:w="1270" w:type="dxa"/>
            <w:tcBorders>
              <w:top w:val="single" w:color="auto" w:sz="4" w:space="0"/>
              <w:left w:val="single" w:color="auto" w:sz="4" w:space="0"/>
              <w:bottom w:val="single" w:color="auto" w:sz="4" w:space="0"/>
              <w:right w:val="single" w:color="auto" w:sz="4" w:space="0"/>
            </w:tcBorders>
            <w:vAlign w:val="center"/>
          </w:tcPr>
          <w:p w14:paraId="0730E84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0EA7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6701A5A8">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87D812">
            <w:pPr>
              <w:jc w:val="center"/>
              <w:rPr>
                <w:rFonts w:ascii="宋体" w:hAnsi="宋体" w:eastAsia="宋体" w:cs="宋体"/>
                <w:color w:val="auto"/>
                <w:kern w:val="2"/>
                <w:sz w:val="18"/>
                <w:szCs w:val="18"/>
                <w:highlight w:val="none"/>
                <w:u w:val="none"/>
                <w:lang w:val="en-US" w:eastAsia="zh-CN" w:bidi="ar-SA"/>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6F5498E6">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61826846">
            <w:pPr>
              <w:widowControl/>
              <w:jc w:val="left"/>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002B597E">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10株以上乔木（孤植灌木）或50㎡以上绿地</w:t>
            </w:r>
          </w:p>
        </w:tc>
        <w:tc>
          <w:tcPr>
            <w:tcW w:w="1270" w:type="dxa"/>
            <w:tcBorders>
              <w:top w:val="single" w:color="auto" w:sz="4" w:space="0"/>
              <w:left w:val="single" w:color="auto" w:sz="4" w:space="0"/>
              <w:bottom w:val="single" w:color="auto" w:sz="4" w:space="0"/>
              <w:right w:val="single" w:color="auto" w:sz="4" w:space="0"/>
            </w:tcBorders>
            <w:vAlign w:val="center"/>
          </w:tcPr>
          <w:p w14:paraId="1862372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rPr>
              <w:t>分</w:t>
            </w:r>
          </w:p>
        </w:tc>
      </w:tr>
      <w:tr w14:paraId="2965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39F003FC">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4DC10474">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2</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4C6B419E">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社会投诉、网上信访、市长热线投诉、数字城管等出现整改回复不及时、不恰当或造成不良影响的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0486F68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每宗案件</w:t>
            </w:r>
          </w:p>
        </w:tc>
        <w:tc>
          <w:tcPr>
            <w:tcW w:w="1445" w:type="dxa"/>
            <w:tcBorders>
              <w:top w:val="single" w:color="auto" w:sz="4" w:space="0"/>
              <w:left w:val="single" w:color="auto" w:sz="4" w:space="0"/>
              <w:bottom w:val="single" w:color="auto" w:sz="4" w:space="0"/>
              <w:right w:val="single" w:color="auto" w:sz="4" w:space="0"/>
            </w:tcBorders>
            <w:vAlign w:val="center"/>
          </w:tcPr>
          <w:p w14:paraId="5AF4B15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不及时</w:t>
            </w:r>
          </w:p>
        </w:tc>
        <w:tc>
          <w:tcPr>
            <w:tcW w:w="1270" w:type="dxa"/>
            <w:tcBorders>
              <w:top w:val="nil"/>
              <w:left w:val="single" w:color="auto" w:sz="4" w:space="0"/>
              <w:bottom w:val="single" w:color="auto" w:sz="4" w:space="0"/>
              <w:right w:val="single" w:color="auto" w:sz="4" w:space="0"/>
            </w:tcBorders>
            <w:vAlign w:val="center"/>
          </w:tcPr>
          <w:p w14:paraId="057D4ED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2E3C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2A5355D7">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6776D936">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540E4E94">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6ECFE7F2">
            <w:pPr>
              <w:widowControl/>
              <w:jc w:val="left"/>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B7F287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造成不良影响</w:t>
            </w:r>
          </w:p>
        </w:tc>
        <w:tc>
          <w:tcPr>
            <w:tcW w:w="1270" w:type="dxa"/>
            <w:tcBorders>
              <w:top w:val="single" w:color="auto" w:sz="4" w:space="0"/>
              <w:left w:val="single" w:color="auto" w:sz="4" w:space="0"/>
              <w:bottom w:val="single" w:color="auto" w:sz="4" w:space="0"/>
              <w:right w:val="single" w:color="auto" w:sz="4" w:space="0"/>
            </w:tcBorders>
            <w:vAlign w:val="center"/>
          </w:tcPr>
          <w:p w14:paraId="1901A06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5分</w:t>
            </w:r>
          </w:p>
        </w:tc>
      </w:tr>
      <w:tr w14:paraId="21E5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777754C2">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52A9BBDF">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3</w:t>
            </w:r>
          </w:p>
        </w:tc>
        <w:tc>
          <w:tcPr>
            <w:tcW w:w="4149" w:type="dxa"/>
            <w:tcBorders>
              <w:top w:val="single" w:color="auto" w:sz="4" w:space="0"/>
              <w:left w:val="single" w:color="auto" w:sz="4" w:space="0"/>
              <w:bottom w:val="single" w:color="auto" w:sz="4" w:space="0"/>
              <w:right w:val="single" w:color="auto" w:sz="4" w:space="0"/>
            </w:tcBorders>
            <w:vAlign w:val="center"/>
          </w:tcPr>
          <w:p w14:paraId="70428F2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养护管理不到位被有关部门督办、问责，或被媒体曝光等</w:t>
            </w:r>
          </w:p>
        </w:tc>
        <w:tc>
          <w:tcPr>
            <w:tcW w:w="1155" w:type="dxa"/>
            <w:tcBorders>
              <w:top w:val="single" w:color="auto" w:sz="4" w:space="0"/>
              <w:left w:val="single" w:color="auto" w:sz="4" w:space="0"/>
              <w:bottom w:val="single" w:color="auto" w:sz="4" w:space="0"/>
              <w:right w:val="single" w:color="auto" w:sz="4" w:space="0"/>
            </w:tcBorders>
            <w:vAlign w:val="center"/>
          </w:tcPr>
          <w:p w14:paraId="48286D1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1460EF2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5分</w:t>
            </w:r>
          </w:p>
        </w:tc>
      </w:tr>
      <w:tr w14:paraId="0F0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805" w:type="dxa"/>
            <w:vMerge w:val="restart"/>
            <w:tcBorders>
              <w:top w:val="single" w:color="auto" w:sz="4" w:space="0"/>
              <w:left w:val="single" w:color="auto" w:sz="4" w:space="0"/>
              <w:right w:val="single" w:color="auto" w:sz="4" w:space="0"/>
            </w:tcBorders>
            <w:vAlign w:val="center"/>
          </w:tcPr>
          <w:p w14:paraId="1FDDFBE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（四）应时开花</w:t>
            </w:r>
          </w:p>
        </w:tc>
        <w:tc>
          <w:tcPr>
            <w:tcW w:w="995" w:type="dxa"/>
            <w:vMerge w:val="restart"/>
            <w:tcBorders>
              <w:top w:val="single" w:color="auto" w:sz="4" w:space="0"/>
              <w:left w:val="single" w:color="auto" w:sz="4" w:space="0"/>
              <w:right w:val="single" w:color="auto" w:sz="4" w:space="0"/>
            </w:tcBorders>
            <w:vAlign w:val="center"/>
          </w:tcPr>
          <w:p w14:paraId="05B18BC3">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4</w:t>
            </w:r>
          </w:p>
        </w:tc>
        <w:tc>
          <w:tcPr>
            <w:tcW w:w="4149" w:type="dxa"/>
            <w:vMerge w:val="restart"/>
            <w:tcBorders>
              <w:top w:val="single" w:color="auto" w:sz="4" w:space="0"/>
              <w:left w:val="single" w:color="auto" w:sz="4" w:space="0"/>
              <w:right w:val="single" w:color="auto" w:sz="4" w:space="0"/>
            </w:tcBorders>
            <w:vAlign w:val="center"/>
          </w:tcPr>
          <w:p w14:paraId="199734CD">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桥梁三角梅未能按要求在指定的时间段内达到盛花状态（</w:t>
            </w:r>
            <w:r>
              <w:rPr>
                <w:rFonts w:hint="eastAsia" w:ascii="宋体" w:hAnsi="宋体" w:cs="宋体"/>
                <w:color w:val="auto"/>
                <w:sz w:val="18"/>
                <w:szCs w:val="18"/>
                <w:highlight w:val="none"/>
                <w:u w:val="none"/>
                <w:lang w:eastAsia="zh-CN"/>
              </w:rPr>
              <w:t>一级</w:t>
            </w:r>
            <w:r>
              <w:rPr>
                <w:rFonts w:hint="eastAsia" w:ascii="宋体" w:hAnsi="宋体" w:cs="宋体"/>
                <w:color w:val="auto"/>
                <w:sz w:val="18"/>
                <w:szCs w:val="18"/>
                <w:highlight w:val="none"/>
                <w:u w:val="none"/>
              </w:rPr>
              <w:t>开花量达80%以上</w:t>
            </w:r>
            <w:r>
              <w:rPr>
                <w:rFonts w:hint="eastAsia" w:ascii="宋体" w:hAnsi="宋体" w:cs="宋体"/>
                <w:color w:val="auto"/>
                <w:sz w:val="18"/>
                <w:szCs w:val="18"/>
                <w:highlight w:val="none"/>
                <w:u w:val="none"/>
                <w:lang w:eastAsia="zh-CN"/>
              </w:rPr>
              <w:t>，二级</w:t>
            </w:r>
            <w:r>
              <w:rPr>
                <w:rFonts w:hint="eastAsia" w:ascii="宋体" w:hAnsi="宋体" w:cs="宋体"/>
                <w:color w:val="auto"/>
                <w:sz w:val="18"/>
                <w:szCs w:val="18"/>
                <w:highlight w:val="none"/>
                <w:u w:val="none"/>
              </w:rPr>
              <w:t>开花量达</w:t>
            </w:r>
            <w:r>
              <w:rPr>
                <w:rFonts w:hint="eastAsia" w:ascii="宋体" w:hAnsi="宋体" w:cs="宋体"/>
                <w:color w:val="auto"/>
                <w:sz w:val="18"/>
                <w:szCs w:val="18"/>
                <w:highlight w:val="none"/>
                <w:u w:val="none"/>
                <w:lang w:val="en-US" w:eastAsia="zh-CN"/>
              </w:rPr>
              <w:t>5</w:t>
            </w:r>
            <w:r>
              <w:rPr>
                <w:rFonts w:hint="eastAsia" w:ascii="宋体" w:hAnsi="宋体" w:cs="宋体"/>
                <w:color w:val="auto"/>
                <w:sz w:val="18"/>
                <w:szCs w:val="18"/>
                <w:highlight w:val="none"/>
                <w:u w:val="none"/>
              </w:rPr>
              <w:t>0%以上）。</w:t>
            </w:r>
          </w:p>
        </w:tc>
        <w:tc>
          <w:tcPr>
            <w:tcW w:w="1155" w:type="dxa"/>
            <w:vMerge w:val="restart"/>
            <w:tcBorders>
              <w:top w:val="single" w:color="auto" w:sz="4" w:space="0"/>
              <w:left w:val="single" w:color="auto" w:sz="4" w:space="0"/>
              <w:right w:val="single" w:color="auto" w:sz="4" w:space="0"/>
            </w:tcBorders>
            <w:vAlign w:val="center"/>
          </w:tcPr>
          <w:p w14:paraId="1585D8CD">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每处</w:t>
            </w:r>
            <w:r>
              <w:rPr>
                <w:rFonts w:hint="eastAsia" w:ascii="宋体" w:hAnsi="宋体" w:cs="宋体"/>
                <w:color w:val="auto"/>
                <w:sz w:val="18"/>
                <w:szCs w:val="18"/>
                <w:highlight w:val="none"/>
                <w:u w:val="none"/>
                <w:lang w:eastAsia="zh-CN"/>
              </w:rPr>
              <w:t>（一个养护点）</w:t>
            </w:r>
          </w:p>
        </w:tc>
        <w:tc>
          <w:tcPr>
            <w:tcW w:w="1445" w:type="dxa"/>
            <w:tcBorders>
              <w:top w:val="single" w:color="auto" w:sz="4" w:space="0"/>
              <w:left w:val="single" w:color="auto" w:sz="4" w:space="0"/>
              <w:right w:val="single" w:color="auto" w:sz="4" w:space="0"/>
            </w:tcBorders>
            <w:vAlign w:val="center"/>
          </w:tcPr>
          <w:p w14:paraId="2256866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一级</w:t>
            </w:r>
          </w:p>
        </w:tc>
        <w:tc>
          <w:tcPr>
            <w:tcW w:w="12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9B137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10</w:t>
            </w:r>
            <w:r>
              <w:rPr>
                <w:rFonts w:hint="eastAsia" w:ascii="宋体" w:hAnsi="宋体" w:cs="宋体"/>
                <w:color w:val="auto"/>
                <w:sz w:val="18"/>
                <w:szCs w:val="18"/>
                <w:highlight w:val="none"/>
                <w:u w:val="none"/>
              </w:rPr>
              <w:t>分</w:t>
            </w:r>
          </w:p>
        </w:tc>
      </w:tr>
      <w:tr w14:paraId="1CD3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805" w:type="dxa"/>
            <w:vMerge w:val="continue"/>
            <w:tcBorders>
              <w:left w:val="single" w:color="auto" w:sz="4" w:space="0"/>
              <w:right w:val="single" w:color="auto" w:sz="4" w:space="0"/>
            </w:tcBorders>
            <w:vAlign w:val="center"/>
          </w:tcPr>
          <w:p w14:paraId="0763B17F">
            <w:pPr>
              <w:jc w:val="center"/>
              <w:rPr>
                <w:color w:val="auto"/>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67C05D94">
            <w:pPr>
              <w:jc w:val="center"/>
              <w:rPr>
                <w:color w:val="auto"/>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447AE203">
            <w:pPr>
              <w:jc w:val="center"/>
              <w:rPr>
                <w:color w:val="auto"/>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099BB8E2">
            <w:pPr>
              <w:jc w:val="center"/>
              <w:rPr>
                <w:color w:val="auto"/>
                <w:highlight w:val="none"/>
                <w:u w:val="none"/>
              </w:rPr>
            </w:pPr>
          </w:p>
        </w:tc>
        <w:tc>
          <w:tcPr>
            <w:tcW w:w="1445" w:type="dxa"/>
            <w:tcBorders>
              <w:top w:val="single" w:color="auto" w:sz="4" w:space="0"/>
              <w:left w:val="single" w:color="auto" w:sz="4" w:space="0"/>
              <w:right w:val="single" w:color="auto" w:sz="4" w:space="0"/>
            </w:tcBorders>
            <w:vAlign w:val="center"/>
          </w:tcPr>
          <w:p w14:paraId="6097F592">
            <w:pPr>
              <w:autoSpaceDE w:val="0"/>
              <w:autoSpaceDN w:val="0"/>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二级</w:t>
            </w:r>
          </w:p>
        </w:tc>
        <w:tc>
          <w:tcPr>
            <w:tcW w:w="12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7836FF">
            <w:pPr>
              <w:autoSpaceDE w:val="0"/>
              <w:autoSpaceDN w:val="0"/>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5</w:t>
            </w:r>
            <w:r>
              <w:rPr>
                <w:rFonts w:hint="eastAsia" w:ascii="宋体" w:hAnsi="宋体" w:cs="宋体"/>
                <w:color w:val="auto"/>
                <w:sz w:val="18"/>
                <w:szCs w:val="18"/>
                <w:highlight w:val="none"/>
                <w:u w:val="none"/>
              </w:rPr>
              <w:t>分</w:t>
            </w:r>
          </w:p>
        </w:tc>
      </w:tr>
      <w:tr w14:paraId="79C9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805" w:type="dxa"/>
            <w:vMerge w:val="restart"/>
            <w:tcBorders>
              <w:top w:val="single" w:color="auto" w:sz="4" w:space="0"/>
              <w:left w:val="single" w:color="auto" w:sz="4" w:space="0"/>
              <w:right w:val="single" w:color="auto" w:sz="4" w:space="0"/>
            </w:tcBorders>
            <w:vAlign w:val="center"/>
          </w:tcPr>
          <w:p w14:paraId="1D4F3F37">
            <w:pPr>
              <w:ind w:left="180" w:hanging="180" w:hangingChars="100"/>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(五)</w:t>
            </w:r>
          </w:p>
          <w:p w14:paraId="3A9B2CA8">
            <w:pPr>
              <w:ind w:left="180" w:hanging="180" w:hangingChars="100"/>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养护</w:t>
            </w:r>
          </w:p>
          <w:p w14:paraId="554FF4B5">
            <w:pPr>
              <w:ind w:left="180" w:hanging="180" w:hangingChars="100"/>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管理</w:t>
            </w:r>
          </w:p>
          <w:p w14:paraId="585979B7">
            <w:pPr>
              <w:ind w:left="180" w:hanging="180" w:hangingChars="100"/>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03839EBB">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5</w:t>
            </w:r>
          </w:p>
        </w:tc>
        <w:tc>
          <w:tcPr>
            <w:tcW w:w="4149" w:type="dxa"/>
            <w:tcBorders>
              <w:top w:val="single" w:color="auto" w:sz="4" w:space="0"/>
              <w:left w:val="single" w:color="auto" w:sz="4" w:space="0"/>
              <w:bottom w:val="single" w:color="auto" w:sz="4" w:space="0"/>
              <w:right w:val="single" w:color="auto" w:sz="4" w:space="0"/>
            </w:tcBorders>
            <w:vAlign w:val="center"/>
          </w:tcPr>
          <w:p w14:paraId="39A3D56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未按要求进行松土（绿地内未做树盘、未做边线）造成土壤板结的</w:t>
            </w:r>
          </w:p>
        </w:tc>
        <w:tc>
          <w:tcPr>
            <w:tcW w:w="1155" w:type="dxa"/>
            <w:tcBorders>
              <w:top w:val="single" w:color="auto" w:sz="4" w:space="0"/>
              <w:left w:val="single" w:color="auto" w:sz="4" w:space="0"/>
              <w:bottom w:val="single" w:color="auto" w:sz="4" w:space="0"/>
              <w:right w:val="single" w:color="auto" w:sz="4" w:space="0"/>
            </w:tcBorders>
            <w:vAlign w:val="center"/>
          </w:tcPr>
          <w:p w14:paraId="0ADF775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6BE9938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51BF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05" w:type="dxa"/>
            <w:vMerge w:val="continue"/>
            <w:tcBorders>
              <w:top w:val="single" w:color="auto" w:sz="4" w:space="0"/>
              <w:left w:val="single" w:color="auto" w:sz="4" w:space="0"/>
              <w:right w:val="single" w:color="auto" w:sz="4" w:space="0"/>
            </w:tcBorders>
            <w:vAlign w:val="center"/>
          </w:tcPr>
          <w:p w14:paraId="43AFCF54">
            <w:pPr>
              <w:ind w:left="180" w:hanging="180" w:hangingChars="100"/>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5F111F03">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6</w:t>
            </w:r>
          </w:p>
        </w:tc>
        <w:tc>
          <w:tcPr>
            <w:tcW w:w="4149" w:type="dxa"/>
            <w:tcBorders>
              <w:top w:val="single" w:color="auto" w:sz="4" w:space="0"/>
              <w:left w:val="single" w:color="auto" w:sz="4" w:space="0"/>
              <w:bottom w:val="single" w:color="auto" w:sz="4" w:space="0"/>
              <w:right w:val="single" w:color="auto" w:sz="4" w:space="0"/>
            </w:tcBorders>
            <w:vAlign w:val="center"/>
          </w:tcPr>
          <w:p w14:paraId="32097921">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桥梁三角梅未按要求更换基质土</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0F72209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754243F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3BB2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05" w:type="dxa"/>
            <w:vMerge w:val="continue"/>
            <w:tcBorders>
              <w:left w:val="single" w:color="auto" w:sz="4" w:space="0"/>
              <w:right w:val="single" w:color="auto" w:sz="4" w:space="0"/>
            </w:tcBorders>
            <w:vAlign w:val="center"/>
          </w:tcPr>
          <w:p w14:paraId="0B508F3D">
            <w:pPr>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5F5ED8B4">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7</w:t>
            </w:r>
          </w:p>
        </w:tc>
        <w:tc>
          <w:tcPr>
            <w:tcW w:w="4149" w:type="dxa"/>
            <w:vMerge w:val="restart"/>
            <w:tcBorders>
              <w:top w:val="single" w:color="auto" w:sz="4" w:space="0"/>
              <w:left w:val="single" w:color="auto" w:sz="4" w:space="0"/>
              <w:right w:val="single" w:color="auto" w:sz="4" w:space="0"/>
            </w:tcBorders>
            <w:vAlign w:val="center"/>
          </w:tcPr>
          <w:p w14:paraId="3C1104F5">
            <w:pPr>
              <w:autoSpaceDE w:val="0"/>
              <w:autoSpaceDN w:val="0"/>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未按要求清除杂草的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7C38D71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100㎡以内或10m以内种植绿带</w:t>
            </w:r>
          </w:p>
        </w:tc>
        <w:tc>
          <w:tcPr>
            <w:tcW w:w="1445" w:type="dxa"/>
            <w:tcBorders>
              <w:top w:val="single" w:color="auto" w:sz="4" w:space="0"/>
              <w:left w:val="single" w:color="auto" w:sz="4" w:space="0"/>
              <w:bottom w:val="single" w:color="auto" w:sz="4" w:space="0"/>
              <w:right w:val="single" w:color="auto" w:sz="4" w:space="0"/>
            </w:tcBorders>
            <w:vAlign w:val="center"/>
          </w:tcPr>
          <w:p w14:paraId="5EAA0BAD">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一级</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二级</w:t>
            </w:r>
          </w:p>
        </w:tc>
        <w:tc>
          <w:tcPr>
            <w:tcW w:w="1270" w:type="dxa"/>
            <w:tcBorders>
              <w:top w:val="single" w:color="auto" w:sz="4" w:space="0"/>
              <w:left w:val="single" w:color="auto" w:sz="4" w:space="0"/>
              <w:bottom w:val="single" w:color="auto" w:sz="4" w:space="0"/>
              <w:right w:val="single" w:color="auto" w:sz="4" w:space="0"/>
            </w:tcBorders>
            <w:vAlign w:val="center"/>
          </w:tcPr>
          <w:p w14:paraId="674B3ED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5E89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43DE49B8">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5526458F">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02E7D120">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78D31D31">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0F59DE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2D9F886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0.2分</w:t>
            </w:r>
          </w:p>
        </w:tc>
      </w:tr>
      <w:tr w14:paraId="3011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805" w:type="dxa"/>
            <w:vMerge w:val="continue"/>
            <w:tcBorders>
              <w:left w:val="single" w:color="auto" w:sz="4" w:space="0"/>
              <w:right w:val="single" w:color="auto" w:sz="4" w:space="0"/>
            </w:tcBorders>
            <w:vAlign w:val="center"/>
          </w:tcPr>
          <w:p w14:paraId="5C3759F8">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773FB5EB">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2E57CB36">
            <w:pPr>
              <w:widowControl/>
              <w:jc w:val="left"/>
              <w:rPr>
                <w:rFonts w:ascii="宋体" w:hAnsi="宋体" w:cs="宋体"/>
                <w:color w:val="auto"/>
                <w:sz w:val="18"/>
                <w:szCs w:val="18"/>
                <w:highlight w:val="none"/>
                <w:u w:val="none"/>
              </w:rPr>
            </w:pP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443C33C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100-1000㎡或10-50m种植绿带</w:t>
            </w:r>
          </w:p>
        </w:tc>
        <w:tc>
          <w:tcPr>
            <w:tcW w:w="1445" w:type="dxa"/>
            <w:tcBorders>
              <w:top w:val="single" w:color="auto" w:sz="4" w:space="0"/>
              <w:left w:val="single" w:color="auto" w:sz="4" w:space="0"/>
              <w:bottom w:val="single" w:color="auto" w:sz="4" w:space="0"/>
              <w:right w:val="single" w:color="auto" w:sz="4" w:space="0"/>
            </w:tcBorders>
            <w:vAlign w:val="center"/>
          </w:tcPr>
          <w:p w14:paraId="00A6193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一级</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二级</w:t>
            </w:r>
          </w:p>
        </w:tc>
        <w:tc>
          <w:tcPr>
            <w:tcW w:w="1270" w:type="dxa"/>
            <w:tcBorders>
              <w:top w:val="single" w:color="auto" w:sz="4" w:space="0"/>
              <w:left w:val="single" w:color="auto" w:sz="4" w:space="0"/>
              <w:bottom w:val="single" w:color="auto" w:sz="4" w:space="0"/>
              <w:right w:val="single" w:color="auto" w:sz="4" w:space="0"/>
            </w:tcBorders>
            <w:vAlign w:val="center"/>
          </w:tcPr>
          <w:p w14:paraId="26390CA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6258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5A68DBD6">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47C681BB">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5E31FE2A">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2D27F3EF">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4008A9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0F96ED4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471B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805" w:type="dxa"/>
            <w:vMerge w:val="continue"/>
            <w:tcBorders>
              <w:left w:val="single" w:color="auto" w:sz="4" w:space="0"/>
              <w:right w:val="single" w:color="auto" w:sz="4" w:space="0"/>
            </w:tcBorders>
            <w:vAlign w:val="center"/>
          </w:tcPr>
          <w:p w14:paraId="430BFCE3">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6786AF49">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730D60DD">
            <w:pPr>
              <w:widowControl/>
              <w:jc w:val="left"/>
              <w:rPr>
                <w:rFonts w:ascii="宋体" w:hAnsi="宋体" w:cs="宋体"/>
                <w:color w:val="auto"/>
                <w:sz w:val="18"/>
                <w:szCs w:val="18"/>
                <w:highlight w:val="none"/>
                <w:u w:val="none"/>
              </w:rPr>
            </w:pPr>
          </w:p>
        </w:tc>
        <w:tc>
          <w:tcPr>
            <w:tcW w:w="1155" w:type="dxa"/>
            <w:vMerge w:val="restart"/>
            <w:tcBorders>
              <w:top w:val="single" w:color="auto" w:sz="4" w:space="0"/>
              <w:left w:val="single" w:color="auto" w:sz="4" w:space="0"/>
              <w:right w:val="single" w:color="auto" w:sz="4" w:space="0"/>
            </w:tcBorders>
            <w:vAlign w:val="center"/>
          </w:tcPr>
          <w:p w14:paraId="0B89DC5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1000㎡以上或50m以上种植绿带</w:t>
            </w:r>
          </w:p>
        </w:tc>
        <w:tc>
          <w:tcPr>
            <w:tcW w:w="1445" w:type="dxa"/>
            <w:tcBorders>
              <w:top w:val="single" w:color="auto" w:sz="4" w:space="0"/>
              <w:left w:val="single" w:color="auto" w:sz="4" w:space="0"/>
              <w:bottom w:val="single" w:color="auto" w:sz="4" w:space="0"/>
              <w:right w:val="single" w:color="auto" w:sz="4" w:space="0"/>
            </w:tcBorders>
            <w:vAlign w:val="center"/>
          </w:tcPr>
          <w:p w14:paraId="60E8A1E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一级</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二级</w:t>
            </w:r>
          </w:p>
        </w:tc>
        <w:tc>
          <w:tcPr>
            <w:tcW w:w="1270" w:type="dxa"/>
            <w:tcBorders>
              <w:top w:val="single" w:color="auto" w:sz="4" w:space="0"/>
              <w:left w:val="single" w:color="auto" w:sz="4" w:space="0"/>
              <w:bottom w:val="single" w:color="auto" w:sz="4" w:space="0"/>
              <w:right w:val="single" w:color="auto" w:sz="4" w:space="0"/>
            </w:tcBorders>
            <w:vAlign w:val="center"/>
          </w:tcPr>
          <w:p w14:paraId="6A670CA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3分</w:t>
            </w:r>
          </w:p>
        </w:tc>
      </w:tr>
      <w:tr w14:paraId="5105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805" w:type="dxa"/>
            <w:vMerge w:val="continue"/>
            <w:tcBorders>
              <w:left w:val="single" w:color="auto" w:sz="4" w:space="0"/>
              <w:bottom w:val="single" w:color="auto" w:sz="4" w:space="0"/>
              <w:right w:val="single" w:color="auto" w:sz="4" w:space="0"/>
            </w:tcBorders>
            <w:vAlign w:val="center"/>
          </w:tcPr>
          <w:p w14:paraId="22D1CCED">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2D2912B1">
            <w:pPr>
              <w:widowControl/>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7E75E69F">
            <w:pPr>
              <w:widowControl/>
              <w:jc w:val="left"/>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34FA5FC9">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5CE7E9C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64AA655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53E2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361A5A8E">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6F1D963A">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8</w:t>
            </w:r>
          </w:p>
        </w:tc>
        <w:tc>
          <w:tcPr>
            <w:tcW w:w="4149" w:type="dxa"/>
            <w:tcBorders>
              <w:top w:val="single" w:color="auto" w:sz="4" w:space="0"/>
              <w:left w:val="single" w:color="auto" w:sz="4" w:space="0"/>
              <w:bottom w:val="single" w:color="auto" w:sz="4" w:space="0"/>
              <w:right w:val="single" w:color="auto" w:sz="4" w:space="0"/>
            </w:tcBorders>
            <w:vAlign w:val="center"/>
          </w:tcPr>
          <w:p w14:paraId="4D61F58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植物未按要求适时修剪的（未及时修剪遮挡交通视线、交通设施、路灯、存在安全隐患、影响居民生活等情况），或因修剪不当而造成景观损失或安全隐患的（若出现严重不良后果的，按扣分标准上限翻倍扣罚）</w:t>
            </w:r>
          </w:p>
        </w:tc>
        <w:tc>
          <w:tcPr>
            <w:tcW w:w="1155" w:type="dxa"/>
            <w:tcBorders>
              <w:top w:val="single" w:color="auto" w:sz="4" w:space="0"/>
              <w:left w:val="single" w:color="auto" w:sz="4" w:space="0"/>
              <w:bottom w:val="single" w:color="auto" w:sz="4" w:space="0"/>
              <w:right w:val="single" w:color="auto" w:sz="4" w:space="0"/>
            </w:tcBorders>
            <w:vAlign w:val="center"/>
          </w:tcPr>
          <w:p w14:paraId="4ACA194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4A77B6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09189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57170756">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45BEE90A">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扣则1</w:t>
            </w:r>
            <w:r>
              <w:rPr>
                <w:rFonts w:hint="eastAsia" w:ascii="宋体" w:hAnsi="宋体" w:cs="宋体"/>
                <w:color w:val="auto"/>
                <w:sz w:val="18"/>
                <w:szCs w:val="18"/>
                <w:highlight w:val="none"/>
                <w:u w:val="none"/>
                <w:lang w:val="en-US" w:eastAsia="zh-CN"/>
              </w:rPr>
              <w:t>9</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49A1589D">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行道树未按规范和相关要求修剪低垂枝、干枯枝、病虫枝、伤残枝、内膛枝、萌蘖枝等</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315FA97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29F45FF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10株以内</w:t>
            </w:r>
          </w:p>
        </w:tc>
        <w:tc>
          <w:tcPr>
            <w:tcW w:w="1270" w:type="dxa"/>
            <w:tcBorders>
              <w:top w:val="single" w:color="auto" w:sz="4" w:space="0"/>
              <w:left w:val="single" w:color="auto" w:sz="4" w:space="0"/>
              <w:bottom w:val="single" w:color="auto" w:sz="4" w:space="0"/>
              <w:right w:val="single" w:color="auto" w:sz="4" w:space="0"/>
            </w:tcBorders>
            <w:vAlign w:val="center"/>
          </w:tcPr>
          <w:p w14:paraId="21E4066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4B94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25587DB8">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4448D8B7">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1711A70C">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756A973E">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6E31D2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w:t>
            </w:r>
          </w:p>
        </w:tc>
        <w:tc>
          <w:tcPr>
            <w:tcW w:w="1270" w:type="dxa"/>
            <w:tcBorders>
              <w:top w:val="single" w:color="auto" w:sz="4" w:space="0"/>
              <w:left w:val="single" w:color="auto" w:sz="4" w:space="0"/>
              <w:bottom w:val="single" w:color="auto" w:sz="4" w:space="0"/>
              <w:right w:val="single" w:color="auto" w:sz="4" w:space="0"/>
            </w:tcBorders>
            <w:vAlign w:val="center"/>
          </w:tcPr>
          <w:p w14:paraId="12794EA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392E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43459B35">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07588DDB">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4CE7779C">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33EC2ABA">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59B138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100株以上</w:t>
            </w:r>
          </w:p>
        </w:tc>
        <w:tc>
          <w:tcPr>
            <w:tcW w:w="1270" w:type="dxa"/>
            <w:tcBorders>
              <w:top w:val="single" w:color="auto" w:sz="4" w:space="0"/>
              <w:left w:val="single" w:color="auto" w:sz="4" w:space="0"/>
              <w:bottom w:val="single" w:color="auto" w:sz="4" w:space="0"/>
              <w:right w:val="single" w:color="auto" w:sz="4" w:space="0"/>
            </w:tcBorders>
            <w:vAlign w:val="center"/>
          </w:tcPr>
          <w:p w14:paraId="0687B00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3764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15ABEED8">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59D890F8">
            <w:pPr>
              <w:widowControl/>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20</w:t>
            </w:r>
          </w:p>
        </w:tc>
        <w:tc>
          <w:tcPr>
            <w:tcW w:w="4149" w:type="dxa"/>
            <w:vMerge w:val="restart"/>
            <w:tcBorders>
              <w:top w:val="single" w:color="auto" w:sz="4" w:space="0"/>
              <w:left w:val="single" w:color="auto" w:sz="4" w:space="0"/>
              <w:right w:val="single" w:color="auto" w:sz="4" w:space="0"/>
            </w:tcBorders>
            <w:vAlign w:val="center"/>
          </w:tcPr>
          <w:p w14:paraId="502D447E">
            <w:pPr>
              <w:widowControl/>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游园、后排绿地的树木未按规范和相关要求修剪低垂枝、干枯枝、病虫枝、伤残枝、内膛枝、萌蘖枝等</w:t>
            </w:r>
          </w:p>
        </w:tc>
        <w:tc>
          <w:tcPr>
            <w:tcW w:w="1155" w:type="dxa"/>
            <w:vMerge w:val="restart"/>
            <w:tcBorders>
              <w:top w:val="single" w:color="auto" w:sz="4" w:space="0"/>
              <w:left w:val="single" w:color="auto" w:sz="4" w:space="0"/>
              <w:right w:val="single" w:color="auto" w:sz="4" w:space="0"/>
            </w:tcBorders>
            <w:vAlign w:val="center"/>
          </w:tcPr>
          <w:p w14:paraId="68D6E996">
            <w:pPr>
              <w:widowControl/>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2D01322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10株以内</w:t>
            </w:r>
          </w:p>
        </w:tc>
        <w:tc>
          <w:tcPr>
            <w:tcW w:w="1270" w:type="dxa"/>
            <w:tcBorders>
              <w:top w:val="single" w:color="auto" w:sz="4" w:space="0"/>
              <w:left w:val="single" w:color="auto" w:sz="4" w:space="0"/>
              <w:bottom w:val="single" w:color="auto" w:sz="4" w:space="0"/>
              <w:right w:val="single" w:color="auto" w:sz="4" w:space="0"/>
            </w:tcBorders>
            <w:vAlign w:val="center"/>
          </w:tcPr>
          <w:p w14:paraId="54023C0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0.3分</w:t>
            </w:r>
          </w:p>
        </w:tc>
      </w:tr>
      <w:tr w14:paraId="1136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29117D8C">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1EDA98E3">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61AD915F">
            <w:pPr>
              <w:widowControl/>
              <w:jc w:val="left"/>
              <w:rPr>
                <w:rFonts w:ascii="宋体" w:hAnsi="宋体" w:cs="宋体"/>
                <w:color w:val="auto"/>
                <w:sz w:val="18"/>
                <w:szCs w:val="18"/>
                <w:highlight w:val="none"/>
                <w:u w:val="none"/>
              </w:rPr>
            </w:pPr>
          </w:p>
        </w:tc>
        <w:tc>
          <w:tcPr>
            <w:tcW w:w="1155" w:type="dxa"/>
            <w:vMerge w:val="continue"/>
            <w:tcBorders>
              <w:left w:val="single" w:color="auto" w:sz="4" w:space="0"/>
              <w:right w:val="single" w:color="auto" w:sz="4" w:space="0"/>
            </w:tcBorders>
            <w:vAlign w:val="center"/>
          </w:tcPr>
          <w:p w14:paraId="750FEB5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61D7E5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w:t>
            </w:r>
          </w:p>
        </w:tc>
        <w:tc>
          <w:tcPr>
            <w:tcW w:w="1270" w:type="dxa"/>
            <w:tcBorders>
              <w:top w:val="single" w:color="auto" w:sz="4" w:space="0"/>
              <w:left w:val="single" w:color="auto" w:sz="4" w:space="0"/>
              <w:bottom w:val="single" w:color="auto" w:sz="4" w:space="0"/>
              <w:right w:val="single" w:color="auto" w:sz="4" w:space="0"/>
            </w:tcBorders>
            <w:vAlign w:val="center"/>
          </w:tcPr>
          <w:p w14:paraId="3B5A73A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扣0.3</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1FC7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05FB983F">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5C17B4F5">
            <w:pPr>
              <w:widowControl/>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301A8A92">
            <w:pPr>
              <w:widowControl/>
              <w:jc w:val="left"/>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1AF8F39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25BA573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100株以上</w:t>
            </w:r>
          </w:p>
        </w:tc>
        <w:tc>
          <w:tcPr>
            <w:tcW w:w="1270" w:type="dxa"/>
            <w:tcBorders>
              <w:top w:val="single" w:color="auto" w:sz="4" w:space="0"/>
              <w:left w:val="single" w:color="auto" w:sz="4" w:space="0"/>
              <w:bottom w:val="single" w:color="auto" w:sz="4" w:space="0"/>
              <w:right w:val="single" w:color="auto" w:sz="4" w:space="0"/>
            </w:tcBorders>
            <w:vAlign w:val="center"/>
          </w:tcPr>
          <w:p w14:paraId="3F7173C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1B93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117CCF04">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2DA11BCC">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1</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3147C4D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草坪未按要求打草，草坪色块交界处未按要求进行切边等</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153F96B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2130157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100㎡以内</w:t>
            </w:r>
          </w:p>
        </w:tc>
        <w:tc>
          <w:tcPr>
            <w:tcW w:w="1270" w:type="dxa"/>
            <w:tcBorders>
              <w:top w:val="single" w:color="auto" w:sz="4" w:space="0"/>
              <w:left w:val="single" w:color="auto" w:sz="4" w:space="0"/>
              <w:bottom w:val="single" w:color="auto" w:sz="4" w:space="0"/>
              <w:right w:val="single" w:color="auto" w:sz="4" w:space="0"/>
            </w:tcBorders>
            <w:vAlign w:val="center"/>
          </w:tcPr>
          <w:p w14:paraId="0456062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60E2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75FD0345">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7A7013D0">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4EAA2F74">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76058AAA">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5B025C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1000㎡</w:t>
            </w:r>
          </w:p>
        </w:tc>
        <w:tc>
          <w:tcPr>
            <w:tcW w:w="1270" w:type="dxa"/>
            <w:tcBorders>
              <w:top w:val="single" w:color="auto" w:sz="4" w:space="0"/>
              <w:left w:val="single" w:color="auto" w:sz="4" w:space="0"/>
              <w:bottom w:val="single" w:color="auto" w:sz="4" w:space="0"/>
              <w:right w:val="single" w:color="auto" w:sz="4" w:space="0"/>
            </w:tcBorders>
            <w:vAlign w:val="center"/>
          </w:tcPr>
          <w:p w14:paraId="63B644F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5709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737897D3">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1C8AD802">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6B61FD5D">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36700D60">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BF61B2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1000㎡以上</w:t>
            </w:r>
          </w:p>
        </w:tc>
        <w:tc>
          <w:tcPr>
            <w:tcW w:w="1270" w:type="dxa"/>
            <w:tcBorders>
              <w:top w:val="single" w:color="auto" w:sz="4" w:space="0"/>
              <w:left w:val="single" w:color="auto" w:sz="4" w:space="0"/>
              <w:bottom w:val="single" w:color="auto" w:sz="4" w:space="0"/>
              <w:right w:val="single" w:color="auto" w:sz="4" w:space="0"/>
            </w:tcBorders>
            <w:vAlign w:val="center"/>
          </w:tcPr>
          <w:p w14:paraId="1C1D19A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353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0F8E98FD">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E87AE58">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2</w:t>
            </w:r>
          </w:p>
        </w:tc>
        <w:tc>
          <w:tcPr>
            <w:tcW w:w="4149" w:type="dxa"/>
            <w:tcBorders>
              <w:top w:val="single" w:color="auto" w:sz="4" w:space="0"/>
              <w:left w:val="single" w:color="auto" w:sz="4" w:space="0"/>
              <w:bottom w:val="single" w:color="auto" w:sz="4" w:space="0"/>
              <w:right w:val="single" w:color="auto" w:sz="4" w:space="0"/>
            </w:tcBorders>
            <w:vAlign w:val="center"/>
          </w:tcPr>
          <w:p w14:paraId="4E5E7B6A">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未按</w:t>
            </w:r>
            <w:r>
              <w:rPr>
                <w:rFonts w:hint="eastAsia" w:ascii="宋体" w:hAnsi="宋体" w:cs="宋体"/>
                <w:color w:val="auto"/>
                <w:sz w:val="18"/>
                <w:szCs w:val="18"/>
                <w:highlight w:val="none"/>
                <w:u w:val="none"/>
                <w:lang w:eastAsia="zh-CN"/>
              </w:rPr>
              <w:t>合同约定</w:t>
            </w:r>
            <w:r>
              <w:rPr>
                <w:rFonts w:hint="eastAsia" w:ascii="宋体" w:hAnsi="宋体" w:cs="宋体"/>
                <w:color w:val="auto"/>
                <w:sz w:val="18"/>
                <w:szCs w:val="18"/>
                <w:highlight w:val="none"/>
                <w:u w:val="none"/>
              </w:rPr>
              <w:t>开展淋水工作</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279C935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755B42D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766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052DC256">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78D5ADE8">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3</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13522241">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植物出现干旱缺水迹象明显</w:t>
            </w:r>
            <w:r>
              <w:rPr>
                <w:rFonts w:hint="eastAsia" w:ascii="宋体" w:hAnsi="宋体" w:cs="宋体"/>
                <w:color w:val="auto"/>
                <w:sz w:val="18"/>
                <w:szCs w:val="18"/>
                <w:highlight w:val="none"/>
                <w:u w:val="none"/>
                <w:lang w:eastAsia="zh-CN"/>
              </w:rPr>
              <w:t>的</w:t>
            </w:r>
            <w:r>
              <w:rPr>
                <w:rFonts w:hint="eastAsia" w:ascii="宋体" w:hAnsi="宋体" w:cs="宋体"/>
                <w:color w:val="auto"/>
                <w:sz w:val="18"/>
                <w:szCs w:val="18"/>
                <w:highlight w:val="none"/>
                <w:u w:val="none"/>
              </w:rPr>
              <w:t>（其中出现明显的萎蔫枯黄按扣分标准上限扣</w:t>
            </w:r>
            <w:r>
              <w:rPr>
                <w:rFonts w:hint="eastAsia" w:ascii="宋体" w:hAnsi="宋体" w:cs="宋体"/>
                <w:color w:val="auto"/>
                <w:sz w:val="18"/>
                <w:szCs w:val="18"/>
                <w:highlight w:val="none"/>
                <w:u w:val="none"/>
                <w:lang w:eastAsia="zh-CN"/>
              </w:rPr>
              <w:t>罚</w:t>
            </w:r>
            <w:r>
              <w:rPr>
                <w:rFonts w:hint="eastAsia" w:ascii="宋体" w:hAnsi="宋体" w:cs="宋体"/>
                <w:color w:val="auto"/>
                <w:sz w:val="18"/>
                <w:szCs w:val="18"/>
                <w:highlight w:val="none"/>
                <w:u w:val="none"/>
              </w:rPr>
              <w:t>；出现死亡的现象按扣分标准上限翻倍扣罚）</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374B5214">
            <w:pPr>
              <w:jc w:val="center"/>
              <w:rPr>
                <w:rFonts w:ascii="宋体" w:hAnsi="宋体" w:cs="宋体"/>
                <w:color w:val="auto"/>
                <w:sz w:val="18"/>
                <w:szCs w:val="18"/>
                <w:highlight w:val="none"/>
                <w:u w:val="none"/>
              </w:rPr>
            </w:pPr>
          </w:p>
          <w:p w14:paraId="6BBEEB0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708C72E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10株乔木（孤植灌木）以下或50㎡以内绿地</w:t>
            </w:r>
          </w:p>
        </w:tc>
        <w:tc>
          <w:tcPr>
            <w:tcW w:w="1270" w:type="dxa"/>
            <w:tcBorders>
              <w:top w:val="single" w:color="auto" w:sz="4" w:space="0"/>
              <w:left w:val="single" w:color="auto" w:sz="4" w:space="0"/>
              <w:bottom w:val="single" w:color="auto" w:sz="4" w:space="0"/>
              <w:right w:val="single" w:color="auto" w:sz="4" w:space="0"/>
            </w:tcBorders>
            <w:vAlign w:val="center"/>
          </w:tcPr>
          <w:p w14:paraId="58F838A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53B1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7E1FD40E">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19625D8F">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4903A069">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5EF7463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3697086F">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100株乔木（孤植灌木）或50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500㎡绿地</w:t>
            </w:r>
          </w:p>
        </w:tc>
        <w:tc>
          <w:tcPr>
            <w:tcW w:w="1270" w:type="dxa"/>
            <w:tcBorders>
              <w:top w:val="single" w:color="auto" w:sz="4" w:space="0"/>
              <w:left w:val="single" w:color="auto" w:sz="4" w:space="0"/>
              <w:bottom w:val="single" w:color="auto" w:sz="4" w:space="0"/>
              <w:right w:val="single" w:color="auto" w:sz="4" w:space="0"/>
            </w:tcBorders>
            <w:vAlign w:val="center"/>
          </w:tcPr>
          <w:p w14:paraId="6BD637B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49CB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437B56FC">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2036396D">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36FDF46E">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5EEFCAB7">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F6AA801">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100株乔木（孤植灌木）以上或500㎡以上绿地</w:t>
            </w:r>
          </w:p>
        </w:tc>
        <w:tc>
          <w:tcPr>
            <w:tcW w:w="1270" w:type="dxa"/>
            <w:tcBorders>
              <w:top w:val="single" w:color="auto" w:sz="4" w:space="0"/>
              <w:left w:val="single" w:color="auto" w:sz="4" w:space="0"/>
              <w:bottom w:val="single" w:color="auto" w:sz="4" w:space="0"/>
              <w:right w:val="single" w:color="auto" w:sz="4" w:space="0"/>
            </w:tcBorders>
            <w:vAlign w:val="center"/>
          </w:tcPr>
          <w:p w14:paraId="7067578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785C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19A6DDAD">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06C8667C">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4</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7E3D0AD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未按要求进行植物清洁工作造成植物积尘的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388DCE0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每处（以绿化带长度来计量）</w:t>
            </w:r>
          </w:p>
        </w:tc>
        <w:tc>
          <w:tcPr>
            <w:tcW w:w="1445" w:type="dxa"/>
            <w:tcBorders>
              <w:top w:val="single" w:color="auto" w:sz="4" w:space="0"/>
              <w:left w:val="single" w:color="auto" w:sz="4" w:space="0"/>
              <w:bottom w:val="single" w:color="auto" w:sz="4" w:space="0"/>
              <w:right w:val="single" w:color="auto" w:sz="4" w:space="0"/>
            </w:tcBorders>
            <w:vAlign w:val="center"/>
          </w:tcPr>
          <w:p w14:paraId="6ABFE7A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1km以内</w:t>
            </w:r>
          </w:p>
        </w:tc>
        <w:tc>
          <w:tcPr>
            <w:tcW w:w="1270" w:type="dxa"/>
            <w:tcBorders>
              <w:top w:val="single" w:color="auto" w:sz="4" w:space="0"/>
              <w:left w:val="single" w:color="auto" w:sz="4" w:space="0"/>
              <w:bottom w:val="single" w:color="auto" w:sz="4" w:space="0"/>
              <w:right w:val="single" w:color="auto" w:sz="4" w:space="0"/>
            </w:tcBorders>
            <w:vAlign w:val="center"/>
          </w:tcPr>
          <w:p w14:paraId="608F331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77C8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36911BF7">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777F14B4">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36F18707">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14F69BE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3F2ED32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5km</w:t>
            </w:r>
          </w:p>
        </w:tc>
        <w:tc>
          <w:tcPr>
            <w:tcW w:w="1270" w:type="dxa"/>
            <w:tcBorders>
              <w:top w:val="single" w:color="auto" w:sz="4" w:space="0"/>
              <w:left w:val="single" w:color="auto" w:sz="4" w:space="0"/>
              <w:bottom w:val="single" w:color="auto" w:sz="4" w:space="0"/>
              <w:right w:val="single" w:color="auto" w:sz="4" w:space="0"/>
            </w:tcBorders>
            <w:vAlign w:val="center"/>
          </w:tcPr>
          <w:p w14:paraId="1A03B41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32EC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6926BF7F">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0AF344F5">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0045E2E3">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5C8A8DCE">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4ACF81A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5km以上</w:t>
            </w:r>
          </w:p>
        </w:tc>
        <w:tc>
          <w:tcPr>
            <w:tcW w:w="1270" w:type="dxa"/>
            <w:tcBorders>
              <w:top w:val="single" w:color="auto" w:sz="4" w:space="0"/>
              <w:left w:val="single" w:color="auto" w:sz="4" w:space="0"/>
              <w:bottom w:val="single" w:color="auto" w:sz="4" w:space="0"/>
              <w:right w:val="single" w:color="auto" w:sz="4" w:space="0"/>
            </w:tcBorders>
            <w:vAlign w:val="center"/>
          </w:tcPr>
          <w:p w14:paraId="411ABE3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4378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778C424B">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6266DA4A">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5</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3B38AC55">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因养护不到位造成植物生长不良的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3FAE340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4932B69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10株乔木（孤植灌木）以下或50㎡以内绿地</w:t>
            </w:r>
          </w:p>
        </w:tc>
        <w:tc>
          <w:tcPr>
            <w:tcW w:w="1270" w:type="dxa"/>
            <w:tcBorders>
              <w:top w:val="single" w:color="auto" w:sz="4" w:space="0"/>
              <w:left w:val="single" w:color="auto" w:sz="4" w:space="0"/>
              <w:bottom w:val="single" w:color="auto" w:sz="4" w:space="0"/>
              <w:right w:val="single" w:color="auto" w:sz="4" w:space="0"/>
            </w:tcBorders>
            <w:vAlign w:val="center"/>
          </w:tcPr>
          <w:p w14:paraId="629C6BE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7C01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2A473DA2">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46F6EE88">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74DFDCE0">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06A158CC">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4C460C7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100株乔木（孤植灌木）或50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500㎡绿地</w:t>
            </w:r>
          </w:p>
        </w:tc>
        <w:tc>
          <w:tcPr>
            <w:tcW w:w="1270" w:type="dxa"/>
            <w:tcBorders>
              <w:top w:val="single" w:color="auto" w:sz="4" w:space="0"/>
              <w:left w:val="single" w:color="auto" w:sz="4" w:space="0"/>
              <w:bottom w:val="single" w:color="auto" w:sz="4" w:space="0"/>
              <w:right w:val="single" w:color="auto" w:sz="4" w:space="0"/>
            </w:tcBorders>
            <w:vAlign w:val="center"/>
          </w:tcPr>
          <w:p w14:paraId="4406ADD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2341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42DB3188">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0DA51EE8">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31C12456">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6ECEBDB1">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41A3B5FE">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100株乔木（孤植灌木）以上或500㎡以上绿地</w:t>
            </w:r>
          </w:p>
        </w:tc>
        <w:tc>
          <w:tcPr>
            <w:tcW w:w="1270" w:type="dxa"/>
            <w:tcBorders>
              <w:top w:val="single" w:color="auto" w:sz="4" w:space="0"/>
              <w:left w:val="single" w:color="auto" w:sz="4" w:space="0"/>
              <w:bottom w:val="single" w:color="auto" w:sz="4" w:space="0"/>
              <w:right w:val="single" w:color="auto" w:sz="4" w:space="0"/>
            </w:tcBorders>
            <w:vAlign w:val="center"/>
          </w:tcPr>
          <w:p w14:paraId="6BBFACA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rPr>
              <w:t>分</w:t>
            </w:r>
          </w:p>
        </w:tc>
      </w:tr>
      <w:tr w14:paraId="4D3F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0F1797FC">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6B9404E7">
            <w:pPr>
              <w:widowControl/>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6</w:t>
            </w:r>
          </w:p>
        </w:tc>
        <w:tc>
          <w:tcPr>
            <w:tcW w:w="4149" w:type="dxa"/>
            <w:vMerge w:val="restart"/>
            <w:tcBorders>
              <w:top w:val="single" w:color="auto" w:sz="4" w:space="0"/>
              <w:left w:val="single" w:color="auto" w:sz="4" w:space="0"/>
              <w:right w:val="single" w:color="auto" w:sz="4" w:space="0"/>
            </w:tcBorders>
            <w:vAlign w:val="center"/>
          </w:tcPr>
          <w:p w14:paraId="59171CB3">
            <w:pPr>
              <w:widowControl/>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植物出现缺肥症状，未及时施肥</w:t>
            </w:r>
            <w:r>
              <w:rPr>
                <w:rFonts w:hint="eastAsia" w:ascii="宋体" w:hAnsi="宋体" w:cs="宋体"/>
                <w:color w:val="auto"/>
                <w:sz w:val="18"/>
                <w:szCs w:val="18"/>
                <w:highlight w:val="none"/>
                <w:u w:val="none"/>
                <w:lang w:eastAsia="zh-CN"/>
              </w:rPr>
              <w:t>的</w:t>
            </w:r>
            <w:r>
              <w:rPr>
                <w:rFonts w:hint="eastAsia" w:ascii="宋体" w:hAnsi="宋体" w:cs="宋体"/>
                <w:color w:val="auto"/>
                <w:sz w:val="18"/>
                <w:szCs w:val="18"/>
                <w:highlight w:val="none"/>
                <w:u w:val="none"/>
              </w:rPr>
              <w:t>；或因施肥不当、浇灌工作不及时造成肥害现象的</w:t>
            </w:r>
          </w:p>
        </w:tc>
        <w:tc>
          <w:tcPr>
            <w:tcW w:w="1155" w:type="dxa"/>
            <w:vMerge w:val="restart"/>
            <w:tcBorders>
              <w:top w:val="single" w:color="auto" w:sz="4" w:space="0"/>
              <w:left w:val="single" w:color="auto" w:sz="4" w:space="0"/>
              <w:right w:val="single" w:color="auto" w:sz="4" w:space="0"/>
            </w:tcBorders>
            <w:vAlign w:val="center"/>
          </w:tcPr>
          <w:p w14:paraId="04EB8465">
            <w:pPr>
              <w:widowControl/>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757E4DB8">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10株乔木（孤植灌木）以下或50㎡以内绿地</w:t>
            </w:r>
          </w:p>
        </w:tc>
        <w:tc>
          <w:tcPr>
            <w:tcW w:w="1270" w:type="dxa"/>
            <w:tcBorders>
              <w:top w:val="single" w:color="auto" w:sz="4" w:space="0"/>
              <w:left w:val="single" w:color="auto" w:sz="4" w:space="0"/>
              <w:bottom w:val="single" w:color="auto" w:sz="4" w:space="0"/>
              <w:right w:val="single" w:color="auto" w:sz="4" w:space="0"/>
            </w:tcBorders>
            <w:vAlign w:val="center"/>
          </w:tcPr>
          <w:p w14:paraId="0F2A837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4A1D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28111534">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0D9BE71C">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5F0CC963">
            <w:pPr>
              <w:widowControl/>
              <w:jc w:val="left"/>
              <w:rPr>
                <w:rFonts w:ascii="宋体" w:hAnsi="宋体" w:cs="宋体"/>
                <w:color w:val="auto"/>
                <w:sz w:val="18"/>
                <w:szCs w:val="18"/>
                <w:highlight w:val="none"/>
                <w:u w:val="none"/>
              </w:rPr>
            </w:pPr>
          </w:p>
        </w:tc>
        <w:tc>
          <w:tcPr>
            <w:tcW w:w="1155" w:type="dxa"/>
            <w:vMerge w:val="continue"/>
            <w:tcBorders>
              <w:left w:val="single" w:color="auto" w:sz="4" w:space="0"/>
              <w:right w:val="single" w:color="auto" w:sz="4" w:space="0"/>
            </w:tcBorders>
            <w:vAlign w:val="center"/>
          </w:tcPr>
          <w:p w14:paraId="14DFF4D5">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2EE5AD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100株乔木（孤植灌木）或50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500㎡绿地</w:t>
            </w:r>
          </w:p>
        </w:tc>
        <w:tc>
          <w:tcPr>
            <w:tcW w:w="1270" w:type="dxa"/>
            <w:tcBorders>
              <w:top w:val="single" w:color="auto" w:sz="4" w:space="0"/>
              <w:left w:val="single" w:color="auto" w:sz="4" w:space="0"/>
              <w:bottom w:val="single" w:color="auto" w:sz="4" w:space="0"/>
              <w:right w:val="single" w:color="auto" w:sz="4" w:space="0"/>
            </w:tcBorders>
            <w:vAlign w:val="center"/>
          </w:tcPr>
          <w:p w14:paraId="2345CE3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744A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805" w:type="dxa"/>
            <w:vMerge w:val="continue"/>
            <w:tcBorders>
              <w:left w:val="single" w:color="auto" w:sz="4" w:space="0"/>
              <w:right w:val="single" w:color="auto" w:sz="4" w:space="0"/>
            </w:tcBorders>
            <w:vAlign w:val="center"/>
          </w:tcPr>
          <w:p w14:paraId="0993604B">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1CB16E70">
            <w:pPr>
              <w:widowControl/>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1114F45F">
            <w:pPr>
              <w:widowControl/>
              <w:jc w:val="left"/>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3413F00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04AB8DA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100株乔木（孤植灌木）以上或500㎡以上绿地</w:t>
            </w:r>
          </w:p>
        </w:tc>
        <w:tc>
          <w:tcPr>
            <w:tcW w:w="1270" w:type="dxa"/>
            <w:tcBorders>
              <w:top w:val="single" w:color="auto" w:sz="4" w:space="0"/>
              <w:left w:val="single" w:color="auto" w:sz="4" w:space="0"/>
              <w:bottom w:val="single" w:color="auto" w:sz="4" w:space="0"/>
              <w:right w:val="single" w:color="auto" w:sz="4" w:space="0"/>
            </w:tcBorders>
            <w:vAlign w:val="center"/>
          </w:tcPr>
          <w:p w14:paraId="21117F4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rPr>
              <w:t>分</w:t>
            </w:r>
          </w:p>
        </w:tc>
      </w:tr>
      <w:tr w14:paraId="70E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805" w:type="dxa"/>
            <w:vMerge w:val="continue"/>
            <w:tcBorders>
              <w:left w:val="single" w:color="auto" w:sz="4" w:space="0"/>
              <w:right w:val="single" w:color="auto" w:sz="4" w:space="0"/>
            </w:tcBorders>
            <w:vAlign w:val="center"/>
          </w:tcPr>
          <w:p w14:paraId="7ECA93FE">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5579E773">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7</w:t>
            </w:r>
          </w:p>
        </w:tc>
        <w:tc>
          <w:tcPr>
            <w:tcW w:w="4149" w:type="dxa"/>
            <w:tcBorders>
              <w:top w:val="single" w:color="auto" w:sz="4" w:space="0"/>
              <w:left w:val="single" w:color="auto" w:sz="4" w:space="0"/>
              <w:bottom w:val="single" w:color="auto" w:sz="4" w:space="0"/>
              <w:right w:val="single" w:color="auto" w:sz="4" w:space="0"/>
            </w:tcBorders>
            <w:vAlign w:val="center"/>
          </w:tcPr>
          <w:p w14:paraId="769FE89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w:t>
            </w:r>
            <w:r>
              <w:rPr>
                <w:rFonts w:hint="eastAsia" w:ascii="宋体" w:hAnsi="宋体" w:cs="宋体"/>
                <w:color w:val="auto"/>
                <w:sz w:val="18"/>
                <w:szCs w:val="18"/>
                <w:highlight w:val="none"/>
                <w:u w:val="none"/>
                <w:lang w:eastAsia="zh-CN"/>
              </w:rPr>
              <w:t>合同约定</w:t>
            </w:r>
            <w:r>
              <w:rPr>
                <w:rFonts w:hint="eastAsia" w:ascii="宋体" w:hAnsi="宋体" w:cs="宋体"/>
                <w:color w:val="auto"/>
                <w:sz w:val="18"/>
                <w:szCs w:val="18"/>
                <w:highlight w:val="none"/>
                <w:u w:val="none"/>
              </w:rPr>
              <w:t>以及《南宁市绿化工程管理中心</w:t>
            </w:r>
          </w:p>
          <w:p w14:paraId="6AE9130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道路绿化植物施肥管理办法（</w:t>
            </w:r>
            <w:r>
              <w:rPr>
                <w:rFonts w:hint="eastAsia" w:ascii="宋体" w:hAnsi="宋体" w:cs="宋体"/>
                <w:color w:val="auto"/>
                <w:sz w:val="18"/>
                <w:szCs w:val="18"/>
                <w:highlight w:val="none"/>
                <w:u w:val="none"/>
                <w:lang w:eastAsia="zh-CN"/>
              </w:rPr>
              <w:t>202</w:t>
            </w:r>
            <w:r>
              <w:rPr>
                <w:rFonts w:hint="eastAsia" w:ascii="宋体" w:hAnsi="宋体" w:cs="宋体"/>
                <w:color w:val="auto"/>
                <w:sz w:val="18"/>
                <w:szCs w:val="18"/>
                <w:highlight w:val="none"/>
                <w:u w:val="none"/>
                <w:lang w:val="en-US" w:eastAsia="zh-CN"/>
              </w:rPr>
              <w:t>4</w:t>
            </w:r>
            <w:r>
              <w:rPr>
                <w:rFonts w:hint="eastAsia" w:ascii="宋体" w:hAnsi="宋体" w:cs="宋体"/>
                <w:color w:val="auto"/>
                <w:sz w:val="18"/>
                <w:szCs w:val="18"/>
                <w:highlight w:val="none"/>
                <w:u w:val="none"/>
                <w:lang w:eastAsia="zh-CN"/>
              </w:rPr>
              <w:t>版</w:t>
            </w:r>
            <w:r>
              <w:rPr>
                <w:rFonts w:hint="eastAsia" w:ascii="宋体" w:hAnsi="宋体" w:cs="宋体"/>
                <w:color w:val="auto"/>
                <w:sz w:val="18"/>
                <w:szCs w:val="18"/>
                <w:highlight w:val="none"/>
                <w:u w:val="none"/>
              </w:rPr>
              <w:t>）》施肥，施肥数量与施肥计划不符等</w:t>
            </w:r>
          </w:p>
        </w:tc>
        <w:tc>
          <w:tcPr>
            <w:tcW w:w="1155" w:type="dxa"/>
            <w:tcBorders>
              <w:top w:val="single" w:color="auto" w:sz="4" w:space="0"/>
              <w:left w:val="single" w:color="auto" w:sz="4" w:space="0"/>
              <w:bottom w:val="single" w:color="auto" w:sz="4" w:space="0"/>
              <w:right w:val="single" w:color="auto" w:sz="4" w:space="0"/>
            </w:tcBorders>
            <w:vAlign w:val="center"/>
          </w:tcPr>
          <w:p w14:paraId="3E9832A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3371B43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分（如施用不合格肥料则翻倍扣分）</w:t>
            </w:r>
          </w:p>
        </w:tc>
      </w:tr>
      <w:tr w14:paraId="5CCE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805" w:type="dxa"/>
            <w:vMerge w:val="continue"/>
            <w:tcBorders>
              <w:left w:val="single" w:color="auto" w:sz="4" w:space="0"/>
              <w:right w:val="single" w:color="auto" w:sz="4" w:space="0"/>
            </w:tcBorders>
            <w:vAlign w:val="center"/>
          </w:tcPr>
          <w:p w14:paraId="2594FF97">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0A11C9ED">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8</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1F3DDB63">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绿地、水面有垃圾杂物或落叶过多等；园林绿化设施有明显污渍、积尘、张贴物、钉挂物等；绿地内有鼠迹；绿化泥土过多等</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4E3CBE2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6F69234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一级</w:t>
            </w:r>
          </w:p>
        </w:tc>
        <w:tc>
          <w:tcPr>
            <w:tcW w:w="1270" w:type="dxa"/>
            <w:tcBorders>
              <w:top w:val="single" w:color="auto" w:sz="4" w:space="0"/>
              <w:left w:val="single" w:color="auto" w:sz="4" w:space="0"/>
              <w:bottom w:val="single" w:color="auto" w:sz="4" w:space="0"/>
              <w:right w:val="single" w:color="auto" w:sz="4" w:space="0"/>
            </w:tcBorders>
            <w:vAlign w:val="center"/>
          </w:tcPr>
          <w:p w14:paraId="700DB22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扣0.3分</w:t>
            </w:r>
          </w:p>
        </w:tc>
      </w:tr>
      <w:tr w14:paraId="7CEE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05" w:type="dxa"/>
            <w:vMerge w:val="continue"/>
            <w:tcBorders>
              <w:left w:val="single" w:color="auto" w:sz="4" w:space="0"/>
              <w:right w:val="single" w:color="auto" w:sz="4" w:space="0"/>
            </w:tcBorders>
            <w:vAlign w:val="center"/>
          </w:tcPr>
          <w:p w14:paraId="149DE9B1">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706DA3AB">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727DCD95">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1CDFE581">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CFDFFF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二级</w:t>
            </w:r>
          </w:p>
        </w:tc>
        <w:tc>
          <w:tcPr>
            <w:tcW w:w="1270" w:type="dxa"/>
            <w:tcBorders>
              <w:top w:val="single" w:color="auto" w:sz="4" w:space="0"/>
              <w:left w:val="single" w:color="auto" w:sz="4" w:space="0"/>
              <w:bottom w:val="single" w:color="auto" w:sz="4" w:space="0"/>
              <w:right w:val="single" w:color="auto" w:sz="4" w:space="0"/>
            </w:tcBorders>
            <w:vAlign w:val="center"/>
          </w:tcPr>
          <w:p w14:paraId="2CCF93B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扣0.2分</w:t>
            </w:r>
          </w:p>
        </w:tc>
      </w:tr>
      <w:tr w14:paraId="6E4C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61B01B2A">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78A49544">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2C325110">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37FD91F0">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E98112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22FE8BA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扣0.1分</w:t>
            </w:r>
          </w:p>
        </w:tc>
      </w:tr>
      <w:tr w14:paraId="035B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805" w:type="dxa"/>
            <w:vMerge w:val="continue"/>
            <w:tcBorders>
              <w:left w:val="single" w:color="auto" w:sz="4" w:space="0"/>
              <w:right w:val="single" w:color="auto" w:sz="4" w:space="0"/>
            </w:tcBorders>
            <w:vAlign w:val="center"/>
          </w:tcPr>
          <w:p w14:paraId="4BABCFE2">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0BD56321">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扣则2</w:t>
            </w:r>
            <w:r>
              <w:rPr>
                <w:rFonts w:hint="eastAsia" w:ascii="宋体" w:hAnsi="宋体" w:cs="宋体"/>
                <w:color w:val="auto"/>
                <w:sz w:val="18"/>
                <w:szCs w:val="18"/>
                <w:highlight w:val="none"/>
                <w:u w:val="none"/>
                <w:lang w:val="en-US" w:eastAsia="zh-CN"/>
              </w:rPr>
              <w:t>9</w:t>
            </w:r>
          </w:p>
        </w:tc>
        <w:tc>
          <w:tcPr>
            <w:tcW w:w="4149" w:type="dxa"/>
            <w:tcBorders>
              <w:top w:val="single" w:color="auto" w:sz="4" w:space="0"/>
              <w:left w:val="single" w:color="auto" w:sz="4" w:space="0"/>
              <w:bottom w:val="single" w:color="auto" w:sz="4" w:space="0"/>
              <w:right w:val="single" w:color="auto" w:sz="4" w:space="0"/>
            </w:tcBorders>
            <w:vAlign w:val="center"/>
          </w:tcPr>
          <w:p w14:paraId="0497B59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绿地内焚烧枝叶杂物等</w:t>
            </w:r>
          </w:p>
        </w:tc>
        <w:tc>
          <w:tcPr>
            <w:tcW w:w="1155" w:type="dxa"/>
            <w:tcBorders>
              <w:top w:val="single" w:color="auto" w:sz="4" w:space="0"/>
              <w:left w:val="single" w:color="auto" w:sz="4" w:space="0"/>
              <w:bottom w:val="single" w:color="auto" w:sz="4" w:space="0"/>
              <w:right w:val="single" w:color="auto" w:sz="4" w:space="0"/>
            </w:tcBorders>
            <w:vAlign w:val="center"/>
          </w:tcPr>
          <w:p w14:paraId="3FF32ED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15C26E4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扣2分</w:t>
            </w:r>
          </w:p>
        </w:tc>
      </w:tr>
      <w:tr w14:paraId="3C00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805" w:type="dxa"/>
            <w:vMerge w:val="continue"/>
            <w:tcBorders>
              <w:left w:val="single" w:color="auto" w:sz="4" w:space="0"/>
              <w:right w:val="single" w:color="auto" w:sz="4" w:space="0"/>
            </w:tcBorders>
            <w:vAlign w:val="center"/>
          </w:tcPr>
          <w:p w14:paraId="4119C457">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791AA9C3">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30</w:t>
            </w:r>
          </w:p>
        </w:tc>
        <w:tc>
          <w:tcPr>
            <w:tcW w:w="4149" w:type="dxa"/>
            <w:tcBorders>
              <w:top w:val="single" w:color="auto" w:sz="4" w:space="0"/>
              <w:left w:val="single" w:color="auto" w:sz="4" w:space="0"/>
              <w:bottom w:val="single" w:color="auto" w:sz="4" w:space="0"/>
              <w:right w:val="single" w:color="auto" w:sz="4" w:space="0"/>
            </w:tcBorders>
            <w:vAlign w:val="center"/>
          </w:tcPr>
          <w:p w14:paraId="20E56FF0">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绿地内工具使用或存放点管理不规范，造成不良影响的</w:t>
            </w:r>
          </w:p>
        </w:tc>
        <w:tc>
          <w:tcPr>
            <w:tcW w:w="1155" w:type="dxa"/>
            <w:tcBorders>
              <w:top w:val="single" w:color="auto" w:sz="4" w:space="0"/>
              <w:left w:val="single" w:color="auto" w:sz="4" w:space="0"/>
              <w:bottom w:val="single" w:color="auto" w:sz="4" w:space="0"/>
              <w:right w:val="single" w:color="auto" w:sz="4" w:space="0"/>
            </w:tcBorders>
            <w:vAlign w:val="center"/>
          </w:tcPr>
          <w:p w14:paraId="63C73E2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4A7BD00C">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扣0.1分</w:t>
            </w:r>
          </w:p>
        </w:tc>
      </w:tr>
      <w:tr w14:paraId="6799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03CFD403">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5BD07A7">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1</w:t>
            </w:r>
          </w:p>
        </w:tc>
        <w:tc>
          <w:tcPr>
            <w:tcW w:w="4149" w:type="dxa"/>
            <w:tcBorders>
              <w:top w:val="single" w:color="auto" w:sz="4" w:space="0"/>
              <w:left w:val="single" w:color="auto" w:sz="4" w:space="0"/>
              <w:bottom w:val="single" w:color="auto" w:sz="4" w:space="0"/>
              <w:right w:val="single" w:color="auto" w:sz="4" w:space="0"/>
            </w:tcBorders>
            <w:vAlign w:val="center"/>
          </w:tcPr>
          <w:p w14:paraId="4B8314D7">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绿地</w:t>
            </w:r>
            <w:r>
              <w:rPr>
                <w:rFonts w:hint="eastAsia" w:ascii="宋体" w:hAnsi="宋体" w:cs="宋体"/>
                <w:color w:val="auto"/>
                <w:sz w:val="18"/>
                <w:szCs w:val="18"/>
                <w:highlight w:val="none"/>
                <w:u w:val="none"/>
                <w:lang w:eastAsia="zh-CN"/>
              </w:rPr>
              <w:t>或栽植容器</w:t>
            </w:r>
            <w:r>
              <w:rPr>
                <w:rFonts w:hint="eastAsia" w:ascii="宋体" w:hAnsi="宋体" w:cs="宋体"/>
                <w:color w:val="auto"/>
                <w:sz w:val="18"/>
                <w:szCs w:val="18"/>
                <w:highlight w:val="none"/>
                <w:u w:val="none"/>
              </w:rPr>
              <w:t>积水，未按要求及时处理的</w:t>
            </w:r>
          </w:p>
        </w:tc>
        <w:tc>
          <w:tcPr>
            <w:tcW w:w="1155" w:type="dxa"/>
            <w:tcBorders>
              <w:top w:val="single" w:color="auto" w:sz="4" w:space="0"/>
              <w:left w:val="single" w:color="auto" w:sz="4" w:space="0"/>
              <w:bottom w:val="single" w:color="auto" w:sz="4" w:space="0"/>
              <w:right w:val="single" w:color="auto" w:sz="4" w:space="0"/>
            </w:tcBorders>
            <w:vAlign w:val="center"/>
          </w:tcPr>
          <w:p w14:paraId="42960FC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4B117B0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6B47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805" w:type="dxa"/>
            <w:vMerge w:val="continue"/>
            <w:tcBorders>
              <w:left w:val="single" w:color="auto" w:sz="4" w:space="0"/>
              <w:right w:val="single" w:color="auto" w:sz="4" w:space="0"/>
            </w:tcBorders>
            <w:vAlign w:val="center"/>
          </w:tcPr>
          <w:p w14:paraId="4AB1A182">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A9EE589">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2</w:t>
            </w:r>
          </w:p>
        </w:tc>
        <w:tc>
          <w:tcPr>
            <w:tcW w:w="4149" w:type="dxa"/>
            <w:tcBorders>
              <w:top w:val="single" w:color="auto" w:sz="4" w:space="0"/>
              <w:left w:val="single" w:color="auto" w:sz="4" w:space="0"/>
              <w:bottom w:val="single" w:color="auto" w:sz="4" w:space="0"/>
              <w:right w:val="single" w:color="auto" w:sz="4" w:space="0"/>
            </w:tcBorders>
            <w:vAlign w:val="center"/>
          </w:tcPr>
          <w:p w14:paraId="59E25E73">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植物干枝黄叶、钉挂物、缠绕物等，未按要求及时处理的</w:t>
            </w:r>
          </w:p>
        </w:tc>
        <w:tc>
          <w:tcPr>
            <w:tcW w:w="1155" w:type="dxa"/>
            <w:tcBorders>
              <w:top w:val="single" w:color="auto" w:sz="4" w:space="0"/>
              <w:left w:val="single" w:color="auto" w:sz="4" w:space="0"/>
              <w:bottom w:val="single" w:color="auto" w:sz="4" w:space="0"/>
              <w:right w:val="single" w:color="auto" w:sz="4" w:space="0"/>
            </w:tcBorders>
            <w:vAlign w:val="center"/>
          </w:tcPr>
          <w:p w14:paraId="1EC7937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59ADCFE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3E0D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805" w:type="dxa"/>
            <w:vMerge w:val="continue"/>
            <w:tcBorders>
              <w:left w:val="single" w:color="auto" w:sz="4" w:space="0"/>
              <w:right w:val="single" w:color="auto" w:sz="4" w:space="0"/>
            </w:tcBorders>
            <w:vAlign w:val="center"/>
          </w:tcPr>
          <w:p w14:paraId="4AB6BF28">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167E5947">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3</w:t>
            </w:r>
          </w:p>
        </w:tc>
        <w:tc>
          <w:tcPr>
            <w:tcW w:w="4149" w:type="dxa"/>
            <w:vMerge w:val="restart"/>
            <w:tcBorders>
              <w:top w:val="single" w:color="auto" w:sz="4" w:space="0"/>
              <w:left w:val="single" w:color="auto" w:sz="4" w:space="0"/>
              <w:right w:val="single" w:color="auto" w:sz="4" w:space="0"/>
            </w:tcBorders>
            <w:vAlign w:val="center"/>
          </w:tcPr>
          <w:p w14:paraId="58533E87">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植物受有害生物侵害明显</w:t>
            </w:r>
            <w:r>
              <w:rPr>
                <w:rFonts w:hint="eastAsia" w:ascii="宋体" w:hAnsi="宋体" w:cs="宋体"/>
                <w:color w:val="auto"/>
                <w:sz w:val="18"/>
                <w:szCs w:val="18"/>
                <w:highlight w:val="none"/>
                <w:u w:val="none"/>
                <w:lang w:eastAsia="zh-CN"/>
              </w:rPr>
              <w:t>的</w:t>
            </w:r>
          </w:p>
        </w:tc>
        <w:tc>
          <w:tcPr>
            <w:tcW w:w="1155" w:type="dxa"/>
            <w:vMerge w:val="restart"/>
            <w:tcBorders>
              <w:top w:val="single" w:color="auto" w:sz="4" w:space="0"/>
              <w:left w:val="single" w:color="auto" w:sz="4" w:space="0"/>
              <w:right w:val="single" w:color="auto" w:sz="4" w:space="0"/>
            </w:tcBorders>
            <w:vAlign w:val="center"/>
          </w:tcPr>
          <w:p w14:paraId="341A40D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5162DB6C">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10株乔木（孤植灌木）以下或50㎡以内绿地</w:t>
            </w:r>
          </w:p>
        </w:tc>
        <w:tc>
          <w:tcPr>
            <w:tcW w:w="1270" w:type="dxa"/>
            <w:tcBorders>
              <w:top w:val="single" w:color="auto" w:sz="4" w:space="0"/>
              <w:left w:val="single" w:color="auto" w:sz="4" w:space="0"/>
              <w:bottom w:val="single" w:color="auto" w:sz="4" w:space="0"/>
              <w:right w:val="single" w:color="auto" w:sz="4" w:space="0"/>
            </w:tcBorders>
            <w:vAlign w:val="center"/>
          </w:tcPr>
          <w:p w14:paraId="35B912B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7632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05" w:type="dxa"/>
            <w:vMerge w:val="continue"/>
            <w:tcBorders>
              <w:left w:val="single" w:color="auto" w:sz="4" w:space="0"/>
              <w:right w:val="single" w:color="auto" w:sz="4" w:space="0"/>
            </w:tcBorders>
            <w:vAlign w:val="center"/>
          </w:tcPr>
          <w:p w14:paraId="55C28F65">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04E34F8E">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01457521">
            <w:pPr>
              <w:widowControl/>
              <w:jc w:val="left"/>
              <w:rPr>
                <w:rFonts w:ascii="宋体" w:hAnsi="宋体" w:cs="宋体"/>
                <w:color w:val="auto"/>
                <w:sz w:val="18"/>
                <w:szCs w:val="18"/>
                <w:highlight w:val="none"/>
                <w:u w:val="none"/>
              </w:rPr>
            </w:pPr>
          </w:p>
        </w:tc>
        <w:tc>
          <w:tcPr>
            <w:tcW w:w="1155" w:type="dxa"/>
            <w:vMerge w:val="continue"/>
            <w:tcBorders>
              <w:left w:val="single" w:color="auto" w:sz="4" w:space="0"/>
              <w:right w:val="single" w:color="auto" w:sz="4" w:space="0"/>
            </w:tcBorders>
            <w:vAlign w:val="center"/>
          </w:tcPr>
          <w:p w14:paraId="5E9B435B">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EC9B0B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100株乔木（孤植灌木）或50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500㎡绿地</w:t>
            </w:r>
          </w:p>
        </w:tc>
        <w:tc>
          <w:tcPr>
            <w:tcW w:w="1270" w:type="dxa"/>
            <w:tcBorders>
              <w:top w:val="single" w:color="auto" w:sz="4" w:space="0"/>
              <w:left w:val="single" w:color="auto" w:sz="4" w:space="0"/>
              <w:bottom w:val="single" w:color="auto" w:sz="4" w:space="0"/>
              <w:right w:val="single" w:color="auto" w:sz="4" w:space="0"/>
            </w:tcBorders>
            <w:vAlign w:val="center"/>
          </w:tcPr>
          <w:p w14:paraId="24F4B5C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4626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508871E5">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77A2E24B">
            <w:pPr>
              <w:widowControl/>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26C206CD">
            <w:pPr>
              <w:widowControl/>
              <w:jc w:val="left"/>
              <w:rPr>
                <w:rFonts w:ascii="宋体" w:hAnsi="宋体" w:cs="宋体"/>
                <w:color w:val="auto"/>
                <w:sz w:val="18"/>
                <w:szCs w:val="18"/>
                <w:highlight w:val="none"/>
                <w:u w:val="none"/>
              </w:rPr>
            </w:pPr>
          </w:p>
        </w:tc>
        <w:tc>
          <w:tcPr>
            <w:tcW w:w="1155" w:type="dxa"/>
            <w:vMerge w:val="continue"/>
            <w:tcBorders>
              <w:left w:val="single" w:color="auto" w:sz="4" w:space="0"/>
              <w:right w:val="single" w:color="auto" w:sz="4" w:space="0"/>
            </w:tcBorders>
            <w:vAlign w:val="center"/>
          </w:tcPr>
          <w:p w14:paraId="62FD05D1">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13E1B16">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100株乔木（孤植灌木）以上或500㎡以上绿地</w:t>
            </w:r>
          </w:p>
        </w:tc>
        <w:tc>
          <w:tcPr>
            <w:tcW w:w="1270" w:type="dxa"/>
            <w:tcBorders>
              <w:top w:val="single" w:color="auto" w:sz="4" w:space="0"/>
              <w:left w:val="single" w:color="auto" w:sz="4" w:space="0"/>
              <w:bottom w:val="single" w:color="auto" w:sz="4" w:space="0"/>
              <w:right w:val="single" w:color="auto" w:sz="4" w:space="0"/>
            </w:tcBorders>
            <w:vAlign w:val="center"/>
          </w:tcPr>
          <w:p w14:paraId="2D4CA9A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3</w:t>
            </w:r>
            <w:r>
              <w:rPr>
                <w:rFonts w:hint="eastAsia" w:ascii="宋体" w:hAnsi="宋体" w:cs="宋体"/>
                <w:color w:val="auto"/>
                <w:sz w:val="18"/>
                <w:szCs w:val="18"/>
                <w:highlight w:val="none"/>
                <w:u w:val="none"/>
              </w:rPr>
              <w:t>分</w:t>
            </w:r>
          </w:p>
        </w:tc>
      </w:tr>
      <w:tr w14:paraId="31E0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04597048">
            <w:pPr>
              <w:widowControl/>
              <w:jc w:val="center"/>
              <w:rPr>
                <w:rFonts w:ascii="宋体" w:hAnsi="宋体" w:cs="宋体"/>
                <w:color w:val="auto"/>
                <w:sz w:val="18"/>
                <w:szCs w:val="18"/>
                <w:highlight w:val="none"/>
                <w:u w:val="none"/>
              </w:rPr>
            </w:pPr>
          </w:p>
        </w:tc>
        <w:tc>
          <w:tcPr>
            <w:tcW w:w="995" w:type="dxa"/>
            <w:tcBorders>
              <w:left w:val="single" w:color="auto" w:sz="4" w:space="0"/>
              <w:bottom w:val="single" w:color="auto" w:sz="4" w:space="0"/>
              <w:right w:val="single" w:color="auto" w:sz="4" w:space="0"/>
            </w:tcBorders>
            <w:vAlign w:val="center"/>
          </w:tcPr>
          <w:p w14:paraId="2129ED5A">
            <w:pPr>
              <w:widowControl/>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4</w:t>
            </w:r>
          </w:p>
        </w:tc>
        <w:tc>
          <w:tcPr>
            <w:tcW w:w="4149" w:type="dxa"/>
            <w:tcBorders>
              <w:left w:val="single" w:color="auto" w:sz="4" w:space="0"/>
              <w:bottom w:val="single" w:color="auto" w:sz="4" w:space="0"/>
              <w:right w:val="single" w:color="auto" w:sz="4" w:space="0"/>
            </w:tcBorders>
            <w:vAlign w:val="center"/>
          </w:tcPr>
          <w:p w14:paraId="06038152">
            <w:pPr>
              <w:widowControl/>
              <w:jc w:val="left"/>
              <w:rPr>
                <w:rFonts w:ascii="宋体" w:hAnsi="宋体" w:cs="宋体"/>
                <w:color w:val="auto"/>
                <w:sz w:val="18"/>
                <w:szCs w:val="18"/>
                <w:highlight w:val="none"/>
                <w:u w:val="none"/>
              </w:rPr>
            </w:pPr>
            <w:r>
              <w:rPr>
                <w:rFonts w:hint="eastAsia" w:ascii="宋体" w:hAnsi="宋体" w:cs="宋体"/>
                <w:color w:val="auto"/>
                <w:sz w:val="18"/>
                <w:szCs w:val="18"/>
                <w:highlight w:val="none"/>
                <w:u w:val="none"/>
              </w:rPr>
              <w:t>有害生物防治方法不当影响景观，或违反农药管理规定的（如使用高毒高残留农药）</w:t>
            </w:r>
          </w:p>
        </w:tc>
        <w:tc>
          <w:tcPr>
            <w:tcW w:w="1155" w:type="dxa"/>
            <w:tcBorders>
              <w:left w:val="single" w:color="auto" w:sz="4" w:space="0"/>
              <w:bottom w:val="single" w:color="auto" w:sz="4" w:space="0"/>
              <w:right w:val="single" w:color="auto" w:sz="4" w:space="0"/>
            </w:tcBorders>
            <w:vAlign w:val="center"/>
          </w:tcPr>
          <w:p w14:paraId="7B339376">
            <w:pPr>
              <w:widowControl/>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3B5C555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60A6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554FF511">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41B10EF7">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5</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36D72FE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防寒防冻工作不及时，或方法不正确，造成植物受到损害的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5A80220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685A42F9">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5株乔木（孤植灌木）以下或100㎡以内</w:t>
            </w:r>
          </w:p>
        </w:tc>
        <w:tc>
          <w:tcPr>
            <w:tcW w:w="1270" w:type="dxa"/>
            <w:tcBorders>
              <w:top w:val="single" w:color="auto" w:sz="4" w:space="0"/>
              <w:left w:val="single" w:color="auto" w:sz="4" w:space="0"/>
              <w:bottom w:val="single" w:color="auto" w:sz="4" w:space="0"/>
              <w:right w:val="single" w:color="auto" w:sz="4" w:space="0"/>
            </w:tcBorders>
            <w:vAlign w:val="center"/>
          </w:tcPr>
          <w:p w14:paraId="5F3F984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3361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5A848F5F">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3FDF1A53">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759BD21A">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127A0E76">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4F65C4C6">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10株乔木（孤植灌木）或100</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1000㎡</w:t>
            </w:r>
          </w:p>
        </w:tc>
        <w:tc>
          <w:tcPr>
            <w:tcW w:w="1270" w:type="dxa"/>
            <w:tcBorders>
              <w:top w:val="single" w:color="auto" w:sz="4" w:space="0"/>
              <w:left w:val="single" w:color="auto" w:sz="4" w:space="0"/>
              <w:bottom w:val="single" w:color="auto" w:sz="4" w:space="0"/>
              <w:right w:val="single" w:color="auto" w:sz="4" w:space="0"/>
            </w:tcBorders>
            <w:vAlign w:val="center"/>
          </w:tcPr>
          <w:p w14:paraId="3E802CB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29A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805" w:type="dxa"/>
            <w:vMerge w:val="continue"/>
            <w:tcBorders>
              <w:left w:val="single" w:color="auto" w:sz="4" w:space="0"/>
              <w:right w:val="single" w:color="auto" w:sz="4" w:space="0"/>
            </w:tcBorders>
            <w:vAlign w:val="center"/>
          </w:tcPr>
          <w:p w14:paraId="66F2A148">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515A8FAE">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7DDCBCA5">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61E73F9E">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6F53B77D">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10株乔木（孤植灌木）以上或1000㎡以上</w:t>
            </w:r>
          </w:p>
        </w:tc>
        <w:tc>
          <w:tcPr>
            <w:tcW w:w="1270" w:type="dxa"/>
            <w:tcBorders>
              <w:top w:val="single" w:color="auto" w:sz="4" w:space="0"/>
              <w:left w:val="single" w:color="auto" w:sz="4" w:space="0"/>
              <w:bottom w:val="single" w:color="auto" w:sz="4" w:space="0"/>
              <w:right w:val="single" w:color="auto" w:sz="4" w:space="0"/>
            </w:tcBorders>
            <w:vAlign w:val="center"/>
          </w:tcPr>
          <w:p w14:paraId="47314ED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2</w:t>
            </w:r>
            <w:r>
              <w:rPr>
                <w:rFonts w:hint="eastAsia" w:ascii="宋体" w:hAnsi="宋体" w:cs="宋体"/>
                <w:color w:val="auto"/>
                <w:sz w:val="18"/>
                <w:szCs w:val="18"/>
                <w:highlight w:val="none"/>
                <w:u w:val="none"/>
              </w:rPr>
              <w:t>分</w:t>
            </w:r>
          </w:p>
        </w:tc>
      </w:tr>
      <w:tr w14:paraId="0CDD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805" w:type="dxa"/>
            <w:vMerge w:val="continue"/>
            <w:tcBorders>
              <w:left w:val="single" w:color="auto" w:sz="4" w:space="0"/>
              <w:right w:val="single" w:color="auto" w:sz="4" w:space="0"/>
            </w:tcBorders>
            <w:vAlign w:val="center"/>
          </w:tcPr>
          <w:p w14:paraId="1D7D9E8F">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3866888C">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6</w:t>
            </w:r>
          </w:p>
        </w:tc>
        <w:tc>
          <w:tcPr>
            <w:tcW w:w="4149" w:type="dxa"/>
            <w:tcBorders>
              <w:top w:val="single" w:color="auto" w:sz="4" w:space="0"/>
              <w:left w:val="single" w:color="auto" w:sz="4" w:space="0"/>
              <w:bottom w:val="single" w:color="auto" w:sz="4" w:space="0"/>
              <w:right w:val="single" w:color="auto" w:sz="4" w:space="0"/>
            </w:tcBorders>
            <w:vAlign w:val="center"/>
          </w:tcPr>
          <w:p w14:paraId="0BAFD153">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倒树或断枝未及时处理、歪斜树木未及时扶正和加固</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10BC0F3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每株</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42F5709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1674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jc w:val="center"/>
        </w:trPr>
        <w:tc>
          <w:tcPr>
            <w:tcW w:w="805" w:type="dxa"/>
            <w:vMerge w:val="continue"/>
            <w:tcBorders>
              <w:left w:val="single" w:color="auto" w:sz="4" w:space="0"/>
              <w:right w:val="single" w:color="auto" w:sz="4" w:space="0"/>
            </w:tcBorders>
            <w:vAlign w:val="center"/>
          </w:tcPr>
          <w:p w14:paraId="42D3BE98">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672174E1">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7</w:t>
            </w:r>
          </w:p>
        </w:tc>
        <w:tc>
          <w:tcPr>
            <w:tcW w:w="4149" w:type="dxa"/>
            <w:vMerge w:val="restart"/>
            <w:tcBorders>
              <w:top w:val="single" w:color="auto" w:sz="4" w:space="0"/>
              <w:left w:val="single" w:color="auto" w:sz="4" w:space="0"/>
              <w:right w:val="single" w:color="auto" w:sz="4" w:space="0"/>
            </w:tcBorders>
            <w:vAlign w:val="center"/>
          </w:tcPr>
          <w:p w14:paraId="4DDE7418">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未定期开展树木安全隐患排查，或未及时处理存在安全隐患的树木</w:t>
            </w:r>
            <w:r>
              <w:rPr>
                <w:rFonts w:hint="eastAsia" w:ascii="宋体" w:hAnsi="宋体" w:cs="宋体"/>
                <w:color w:val="auto"/>
                <w:sz w:val="18"/>
                <w:szCs w:val="18"/>
                <w:highlight w:val="none"/>
                <w:u w:val="none"/>
                <w:lang w:eastAsia="zh-CN"/>
              </w:rPr>
              <w:t>，造成不良后果（如人员伤亡、财产损失）的</w:t>
            </w:r>
          </w:p>
        </w:tc>
        <w:tc>
          <w:tcPr>
            <w:tcW w:w="1155" w:type="dxa"/>
            <w:vMerge w:val="restart"/>
            <w:tcBorders>
              <w:top w:val="single" w:color="auto" w:sz="4" w:space="0"/>
              <w:left w:val="single" w:color="auto" w:sz="4" w:space="0"/>
              <w:right w:val="single" w:color="auto" w:sz="4" w:space="0"/>
            </w:tcBorders>
            <w:vAlign w:val="center"/>
          </w:tcPr>
          <w:p w14:paraId="3B5234A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1445" w:type="dxa"/>
            <w:tcBorders>
              <w:top w:val="single" w:color="auto" w:sz="4" w:space="0"/>
              <w:left w:val="single" w:color="auto" w:sz="4" w:space="0"/>
              <w:bottom w:val="single" w:color="auto" w:sz="4" w:space="0"/>
              <w:right w:val="single" w:color="auto" w:sz="4" w:space="0"/>
            </w:tcBorders>
            <w:vAlign w:val="center"/>
          </w:tcPr>
          <w:p w14:paraId="01E1402A">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未巡查</w:t>
            </w:r>
          </w:p>
        </w:tc>
        <w:tc>
          <w:tcPr>
            <w:tcW w:w="1270" w:type="dxa"/>
            <w:tcBorders>
              <w:top w:val="single" w:color="auto" w:sz="4" w:space="0"/>
              <w:left w:val="single" w:color="auto" w:sz="4" w:space="0"/>
              <w:bottom w:val="single" w:color="auto" w:sz="4" w:space="0"/>
              <w:right w:val="single" w:color="auto" w:sz="4" w:space="0"/>
            </w:tcBorders>
            <w:vAlign w:val="center"/>
          </w:tcPr>
          <w:p w14:paraId="1099EBD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1CE3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805" w:type="dxa"/>
            <w:vMerge w:val="continue"/>
            <w:tcBorders>
              <w:left w:val="single" w:color="auto" w:sz="4" w:space="0"/>
              <w:right w:val="single" w:color="auto" w:sz="4" w:space="0"/>
            </w:tcBorders>
            <w:vAlign w:val="center"/>
          </w:tcPr>
          <w:p w14:paraId="1C9F0ED9">
            <w:pPr>
              <w:widowControl/>
              <w:jc w:val="center"/>
              <w:rPr>
                <w:rFonts w:ascii="宋体" w:hAnsi="宋体" w:cs="宋体"/>
                <w:color w:val="auto"/>
                <w:sz w:val="18"/>
                <w:szCs w:val="18"/>
                <w:highlight w:val="none"/>
                <w:u w:val="none"/>
              </w:rPr>
            </w:pPr>
          </w:p>
        </w:tc>
        <w:tc>
          <w:tcPr>
            <w:tcW w:w="995" w:type="dxa"/>
            <w:vMerge w:val="continue"/>
            <w:tcBorders>
              <w:left w:val="single" w:color="auto" w:sz="4" w:space="0"/>
              <w:right w:val="single" w:color="auto" w:sz="4" w:space="0"/>
            </w:tcBorders>
            <w:vAlign w:val="center"/>
          </w:tcPr>
          <w:p w14:paraId="6EF076C9">
            <w:pPr>
              <w:jc w:val="center"/>
              <w:rPr>
                <w:rFonts w:ascii="宋体" w:hAnsi="宋体" w:cs="宋体"/>
                <w:color w:val="auto"/>
                <w:sz w:val="18"/>
                <w:szCs w:val="18"/>
                <w:highlight w:val="none"/>
                <w:u w:val="none"/>
              </w:rPr>
            </w:pPr>
          </w:p>
        </w:tc>
        <w:tc>
          <w:tcPr>
            <w:tcW w:w="4149" w:type="dxa"/>
            <w:vMerge w:val="continue"/>
            <w:tcBorders>
              <w:left w:val="single" w:color="auto" w:sz="4" w:space="0"/>
              <w:right w:val="single" w:color="auto" w:sz="4" w:space="0"/>
            </w:tcBorders>
            <w:vAlign w:val="center"/>
          </w:tcPr>
          <w:p w14:paraId="69C8F9EB">
            <w:pPr>
              <w:rPr>
                <w:rFonts w:ascii="宋体" w:hAnsi="宋体" w:cs="宋体"/>
                <w:color w:val="auto"/>
                <w:sz w:val="18"/>
                <w:szCs w:val="18"/>
                <w:highlight w:val="none"/>
                <w:u w:val="none"/>
              </w:rPr>
            </w:pPr>
          </w:p>
        </w:tc>
        <w:tc>
          <w:tcPr>
            <w:tcW w:w="1155" w:type="dxa"/>
            <w:vMerge w:val="continue"/>
            <w:tcBorders>
              <w:left w:val="single" w:color="auto" w:sz="4" w:space="0"/>
              <w:right w:val="single" w:color="auto" w:sz="4" w:space="0"/>
            </w:tcBorders>
            <w:vAlign w:val="center"/>
          </w:tcPr>
          <w:p w14:paraId="75EB72D1">
            <w:pPr>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28F8213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未处理</w:t>
            </w:r>
          </w:p>
        </w:tc>
        <w:tc>
          <w:tcPr>
            <w:tcW w:w="1270" w:type="dxa"/>
            <w:tcBorders>
              <w:top w:val="single" w:color="auto" w:sz="4" w:space="0"/>
              <w:left w:val="single" w:color="auto" w:sz="4" w:space="0"/>
              <w:bottom w:val="single" w:color="auto" w:sz="4" w:space="0"/>
              <w:right w:val="single" w:color="auto" w:sz="4" w:space="0"/>
            </w:tcBorders>
            <w:vAlign w:val="center"/>
          </w:tcPr>
          <w:p w14:paraId="6E07AF3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025D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805" w:type="dxa"/>
            <w:vMerge w:val="continue"/>
            <w:tcBorders>
              <w:left w:val="single" w:color="auto" w:sz="4" w:space="0"/>
              <w:right w:val="single" w:color="auto" w:sz="4" w:space="0"/>
            </w:tcBorders>
            <w:vAlign w:val="center"/>
          </w:tcPr>
          <w:p w14:paraId="4477AF37">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40BF5EAF">
            <w:pPr>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607C0A41">
            <w:pPr>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40C5EE12">
            <w:pPr>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55D02555">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造成不良后果</w:t>
            </w:r>
          </w:p>
        </w:tc>
        <w:tc>
          <w:tcPr>
            <w:tcW w:w="1270" w:type="dxa"/>
            <w:tcBorders>
              <w:top w:val="single" w:color="auto" w:sz="4" w:space="0"/>
              <w:left w:val="single" w:color="auto" w:sz="4" w:space="0"/>
              <w:bottom w:val="single" w:color="auto" w:sz="4" w:space="0"/>
              <w:right w:val="single" w:color="auto" w:sz="4" w:space="0"/>
            </w:tcBorders>
            <w:vAlign w:val="center"/>
          </w:tcPr>
          <w:p w14:paraId="7C73558E">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10</w:t>
            </w:r>
            <w:r>
              <w:rPr>
                <w:rFonts w:hint="eastAsia" w:ascii="宋体" w:hAnsi="宋体" w:cs="宋体"/>
                <w:color w:val="auto"/>
                <w:sz w:val="18"/>
                <w:szCs w:val="18"/>
                <w:highlight w:val="none"/>
                <w:u w:val="none"/>
              </w:rPr>
              <w:t>分</w:t>
            </w:r>
          </w:p>
        </w:tc>
      </w:tr>
      <w:tr w14:paraId="2EDD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5FFE8ACD">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035E3086">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8</w:t>
            </w:r>
          </w:p>
        </w:tc>
        <w:tc>
          <w:tcPr>
            <w:tcW w:w="4149" w:type="dxa"/>
            <w:vMerge w:val="restart"/>
            <w:tcBorders>
              <w:top w:val="single" w:color="auto" w:sz="4" w:space="0"/>
              <w:left w:val="single" w:color="auto" w:sz="4" w:space="0"/>
              <w:right w:val="single" w:color="auto" w:sz="4" w:space="0"/>
            </w:tcBorders>
            <w:vAlign w:val="center"/>
          </w:tcPr>
          <w:p w14:paraId="035758D2">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乔灌木缺株、死树</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树桩</w:t>
            </w:r>
            <w:r>
              <w:rPr>
                <w:rFonts w:hint="eastAsia" w:ascii="宋体" w:hAnsi="宋体" w:cs="宋体"/>
                <w:color w:val="auto"/>
                <w:sz w:val="18"/>
                <w:szCs w:val="18"/>
                <w:highlight w:val="none"/>
                <w:u w:val="none"/>
                <w:lang w:eastAsia="zh-CN"/>
              </w:rPr>
              <w:t>等</w:t>
            </w:r>
            <w:r>
              <w:rPr>
                <w:rFonts w:hint="eastAsia" w:ascii="宋体" w:hAnsi="宋体" w:cs="宋体"/>
                <w:color w:val="auto"/>
                <w:sz w:val="18"/>
                <w:szCs w:val="18"/>
                <w:highlight w:val="none"/>
                <w:u w:val="none"/>
              </w:rPr>
              <w:t>未及时处理</w:t>
            </w:r>
            <w:r>
              <w:rPr>
                <w:rFonts w:hint="eastAsia" w:ascii="宋体" w:hAnsi="宋体" w:cs="宋体"/>
                <w:color w:val="auto"/>
                <w:sz w:val="18"/>
                <w:szCs w:val="18"/>
                <w:highlight w:val="none"/>
                <w:u w:val="none"/>
                <w:lang w:eastAsia="zh-CN"/>
              </w:rPr>
              <w:t>的</w:t>
            </w:r>
          </w:p>
        </w:tc>
        <w:tc>
          <w:tcPr>
            <w:tcW w:w="1155" w:type="dxa"/>
            <w:vMerge w:val="restart"/>
            <w:tcBorders>
              <w:top w:val="single" w:color="auto" w:sz="4" w:space="0"/>
              <w:left w:val="single" w:color="auto" w:sz="4" w:space="0"/>
              <w:right w:val="single" w:color="auto" w:sz="4" w:space="0"/>
            </w:tcBorders>
            <w:vAlign w:val="center"/>
          </w:tcPr>
          <w:p w14:paraId="7FF882D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每株</w:t>
            </w:r>
          </w:p>
        </w:tc>
        <w:tc>
          <w:tcPr>
            <w:tcW w:w="1445" w:type="dxa"/>
            <w:tcBorders>
              <w:top w:val="single" w:color="auto" w:sz="4" w:space="0"/>
              <w:left w:val="single" w:color="auto" w:sz="4" w:space="0"/>
              <w:bottom w:val="single" w:color="auto" w:sz="4" w:space="0"/>
              <w:right w:val="single" w:color="auto" w:sz="4" w:space="0"/>
            </w:tcBorders>
            <w:vAlign w:val="center"/>
          </w:tcPr>
          <w:p w14:paraId="605BFDD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行道树</w:t>
            </w:r>
          </w:p>
        </w:tc>
        <w:tc>
          <w:tcPr>
            <w:tcW w:w="1270" w:type="dxa"/>
            <w:tcBorders>
              <w:top w:val="single" w:color="auto" w:sz="4" w:space="0"/>
              <w:left w:val="single" w:color="auto" w:sz="4" w:space="0"/>
              <w:bottom w:val="single" w:color="auto" w:sz="4" w:space="0"/>
              <w:right w:val="single" w:color="auto" w:sz="4" w:space="0"/>
            </w:tcBorders>
            <w:vAlign w:val="center"/>
          </w:tcPr>
          <w:p w14:paraId="08D82A1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77E1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1B9F566C">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48B1138F">
            <w:pPr>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04219908">
            <w:pPr>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56F791A8">
            <w:pPr>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152A29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一般乔灌木</w:t>
            </w:r>
          </w:p>
        </w:tc>
        <w:tc>
          <w:tcPr>
            <w:tcW w:w="1270" w:type="dxa"/>
            <w:tcBorders>
              <w:top w:val="single" w:color="auto" w:sz="4" w:space="0"/>
              <w:left w:val="single" w:color="auto" w:sz="4" w:space="0"/>
              <w:bottom w:val="single" w:color="auto" w:sz="4" w:space="0"/>
              <w:right w:val="single" w:color="auto" w:sz="4" w:space="0"/>
            </w:tcBorders>
            <w:vAlign w:val="center"/>
          </w:tcPr>
          <w:p w14:paraId="0DAE08B5">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w:t>
            </w:r>
            <w:r>
              <w:rPr>
                <w:rFonts w:hint="eastAsia" w:ascii="宋体" w:hAnsi="宋体" w:cs="宋体"/>
                <w:color w:val="auto"/>
                <w:sz w:val="18"/>
                <w:szCs w:val="18"/>
                <w:highlight w:val="none"/>
                <w:u w:val="none"/>
                <w:lang w:eastAsia="zh-CN"/>
              </w:rPr>
              <w:t>分</w:t>
            </w:r>
          </w:p>
        </w:tc>
      </w:tr>
      <w:tr w14:paraId="6EF4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0484121A">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104F4DE1">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扣则3</w:t>
            </w:r>
            <w:r>
              <w:rPr>
                <w:rFonts w:hint="eastAsia" w:ascii="宋体" w:hAnsi="宋体" w:cs="宋体"/>
                <w:color w:val="auto"/>
                <w:sz w:val="18"/>
                <w:szCs w:val="18"/>
                <w:highlight w:val="none"/>
                <w:u w:val="none"/>
                <w:lang w:val="en-US" w:eastAsia="zh-CN"/>
              </w:rPr>
              <w:t>9</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0B07F76F">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植物缺损，造成黄土裸露现象</w:t>
            </w:r>
            <w:r>
              <w:rPr>
                <w:rFonts w:hint="eastAsia" w:ascii="宋体" w:hAnsi="宋体" w:cs="宋体"/>
                <w:color w:val="auto"/>
                <w:sz w:val="18"/>
                <w:szCs w:val="18"/>
                <w:highlight w:val="none"/>
                <w:u w:val="none"/>
                <w:lang w:eastAsia="zh-CN"/>
              </w:rPr>
              <w:t>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390D49F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0D8230A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3㎡</w:t>
            </w:r>
          </w:p>
        </w:tc>
        <w:tc>
          <w:tcPr>
            <w:tcW w:w="1270" w:type="dxa"/>
            <w:tcBorders>
              <w:top w:val="single" w:color="auto" w:sz="4" w:space="0"/>
              <w:left w:val="single" w:color="auto" w:sz="4" w:space="0"/>
              <w:bottom w:val="single" w:color="auto" w:sz="4" w:space="0"/>
              <w:right w:val="single" w:color="auto" w:sz="4" w:space="0"/>
            </w:tcBorders>
            <w:vAlign w:val="center"/>
          </w:tcPr>
          <w:p w14:paraId="4E405D9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0.3分</w:t>
            </w:r>
          </w:p>
        </w:tc>
      </w:tr>
      <w:tr w14:paraId="6B19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74D70957">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2097CEA8">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4ECEA72F">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711E8CB5">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42DB959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3㎡以上</w:t>
            </w:r>
          </w:p>
        </w:tc>
        <w:tc>
          <w:tcPr>
            <w:tcW w:w="1270" w:type="dxa"/>
            <w:tcBorders>
              <w:top w:val="single" w:color="auto" w:sz="4" w:space="0"/>
              <w:left w:val="single" w:color="auto" w:sz="4" w:space="0"/>
              <w:bottom w:val="single" w:color="auto" w:sz="4" w:space="0"/>
              <w:right w:val="single" w:color="auto" w:sz="4" w:space="0"/>
            </w:tcBorders>
            <w:vAlign w:val="center"/>
          </w:tcPr>
          <w:p w14:paraId="7911231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扣0.3</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36F4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251E7ECE">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1825A13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40</w:t>
            </w:r>
          </w:p>
        </w:tc>
        <w:tc>
          <w:tcPr>
            <w:tcW w:w="4149" w:type="dxa"/>
            <w:vMerge w:val="restart"/>
            <w:tcBorders>
              <w:top w:val="single" w:color="auto" w:sz="4" w:space="0"/>
              <w:left w:val="single" w:color="auto" w:sz="4" w:space="0"/>
              <w:right w:val="single" w:color="auto" w:sz="4" w:space="0"/>
            </w:tcBorders>
            <w:vAlign w:val="center"/>
          </w:tcPr>
          <w:p w14:paraId="4ABB4F4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补植苗木规格、数量不符合要求，种植不规范的</w:t>
            </w:r>
          </w:p>
        </w:tc>
        <w:tc>
          <w:tcPr>
            <w:tcW w:w="1155" w:type="dxa"/>
            <w:vMerge w:val="restart"/>
            <w:tcBorders>
              <w:top w:val="single" w:color="auto" w:sz="4" w:space="0"/>
              <w:left w:val="single" w:color="auto" w:sz="4" w:space="0"/>
              <w:right w:val="single" w:color="auto" w:sz="4" w:space="0"/>
            </w:tcBorders>
            <w:vAlign w:val="center"/>
          </w:tcPr>
          <w:p w14:paraId="58D4A1E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每株或</w:t>
            </w:r>
          </w:p>
          <w:p w14:paraId="441FEC6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每10㎡</w:t>
            </w:r>
          </w:p>
        </w:tc>
        <w:tc>
          <w:tcPr>
            <w:tcW w:w="1445" w:type="dxa"/>
            <w:tcBorders>
              <w:top w:val="single" w:color="auto" w:sz="4" w:space="0"/>
              <w:left w:val="single" w:color="auto" w:sz="4" w:space="0"/>
              <w:bottom w:val="single" w:color="auto" w:sz="4" w:space="0"/>
              <w:right w:val="single" w:color="auto" w:sz="4" w:space="0"/>
            </w:tcBorders>
            <w:vAlign w:val="center"/>
          </w:tcPr>
          <w:p w14:paraId="010D2353">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一级</w:t>
            </w:r>
          </w:p>
        </w:tc>
        <w:tc>
          <w:tcPr>
            <w:tcW w:w="1270" w:type="dxa"/>
            <w:tcBorders>
              <w:top w:val="single" w:color="auto" w:sz="4" w:space="0"/>
              <w:left w:val="single" w:color="auto" w:sz="4" w:space="0"/>
              <w:bottom w:val="single" w:color="auto" w:sz="4" w:space="0"/>
              <w:right w:val="single" w:color="auto" w:sz="4" w:space="0"/>
            </w:tcBorders>
            <w:vAlign w:val="center"/>
          </w:tcPr>
          <w:p w14:paraId="54426F35">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5389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2E76F984">
            <w:pPr>
              <w:widowControl/>
              <w:jc w:val="center"/>
              <w:rPr>
                <w:rFonts w:ascii="宋体" w:hAnsi="宋体" w:cs="宋体"/>
                <w:color w:val="auto"/>
                <w:sz w:val="18"/>
                <w:szCs w:val="18"/>
                <w:highlight w:val="none"/>
                <w:u w:val="none"/>
              </w:rPr>
            </w:pPr>
          </w:p>
        </w:tc>
        <w:tc>
          <w:tcPr>
            <w:tcW w:w="995" w:type="dxa"/>
            <w:vMerge w:val="continue"/>
            <w:tcBorders>
              <w:left w:val="single" w:color="auto" w:sz="4" w:space="0"/>
              <w:bottom w:val="single" w:color="auto" w:sz="4" w:space="0"/>
              <w:right w:val="single" w:color="auto" w:sz="4" w:space="0"/>
            </w:tcBorders>
            <w:vAlign w:val="center"/>
          </w:tcPr>
          <w:p w14:paraId="68CCFBEF">
            <w:pPr>
              <w:widowControl/>
              <w:jc w:val="center"/>
              <w:rPr>
                <w:rFonts w:ascii="宋体" w:hAnsi="宋体" w:cs="宋体"/>
                <w:color w:val="auto"/>
                <w:sz w:val="18"/>
                <w:szCs w:val="18"/>
                <w:highlight w:val="none"/>
                <w:u w:val="none"/>
              </w:rPr>
            </w:pPr>
          </w:p>
        </w:tc>
        <w:tc>
          <w:tcPr>
            <w:tcW w:w="4149" w:type="dxa"/>
            <w:vMerge w:val="continue"/>
            <w:tcBorders>
              <w:left w:val="single" w:color="auto" w:sz="4" w:space="0"/>
              <w:bottom w:val="single" w:color="auto" w:sz="4" w:space="0"/>
              <w:right w:val="single" w:color="auto" w:sz="4" w:space="0"/>
            </w:tcBorders>
            <w:vAlign w:val="center"/>
          </w:tcPr>
          <w:p w14:paraId="4F288C09">
            <w:pPr>
              <w:widowControl/>
              <w:jc w:val="left"/>
              <w:rPr>
                <w:rFonts w:ascii="宋体" w:hAnsi="宋体" w:cs="宋体"/>
                <w:color w:val="auto"/>
                <w:sz w:val="18"/>
                <w:szCs w:val="18"/>
                <w:highlight w:val="none"/>
                <w:u w:val="none"/>
              </w:rPr>
            </w:pPr>
          </w:p>
        </w:tc>
        <w:tc>
          <w:tcPr>
            <w:tcW w:w="1155" w:type="dxa"/>
            <w:vMerge w:val="continue"/>
            <w:tcBorders>
              <w:left w:val="single" w:color="auto" w:sz="4" w:space="0"/>
              <w:bottom w:val="single" w:color="auto" w:sz="4" w:space="0"/>
              <w:right w:val="single" w:color="auto" w:sz="4" w:space="0"/>
            </w:tcBorders>
            <w:vAlign w:val="center"/>
          </w:tcPr>
          <w:p w14:paraId="249EA7E3">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29B3C27">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二级、三级、四级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352B58C7">
            <w:pPr>
              <w:jc w:val="center"/>
              <w:rPr>
                <w:rFonts w:hint="eastAsia"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7D57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805" w:type="dxa"/>
            <w:vMerge w:val="continue"/>
            <w:tcBorders>
              <w:left w:val="single" w:color="auto" w:sz="4" w:space="0"/>
              <w:right w:val="single" w:color="auto" w:sz="4" w:space="0"/>
            </w:tcBorders>
            <w:vAlign w:val="center"/>
          </w:tcPr>
          <w:p w14:paraId="25CCDB51">
            <w:pPr>
              <w:widowControl/>
              <w:jc w:val="center"/>
              <w:rPr>
                <w:rFonts w:ascii="宋体" w:hAnsi="宋体" w:cs="宋体"/>
                <w:color w:val="auto"/>
                <w:sz w:val="18"/>
                <w:szCs w:val="18"/>
                <w:highlight w:val="none"/>
                <w:u w:val="none"/>
              </w:rPr>
            </w:pPr>
          </w:p>
        </w:tc>
        <w:tc>
          <w:tcPr>
            <w:tcW w:w="995" w:type="dxa"/>
            <w:vMerge w:val="restart"/>
            <w:tcBorders>
              <w:top w:val="single" w:color="auto" w:sz="4" w:space="0"/>
              <w:left w:val="single" w:color="auto" w:sz="4" w:space="0"/>
              <w:right w:val="single" w:color="auto" w:sz="4" w:space="0"/>
            </w:tcBorders>
            <w:vAlign w:val="center"/>
          </w:tcPr>
          <w:p w14:paraId="3D38A56A">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41</w:t>
            </w:r>
          </w:p>
        </w:tc>
        <w:tc>
          <w:tcPr>
            <w:tcW w:w="4149" w:type="dxa"/>
            <w:vMerge w:val="restart"/>
            <w:tcBorders>
              <w:top w:val="single" w:color="auto" w:sz="4" w:space="0"/>
              <w:left w:val="single" w:color="auto" w:sz="4" w:space="0"/>
              <w:right w:val="single" w:color="auto" w:sz="4" w:space="0"/>
            </w:tcBorders>
            <w:vAlign w:val="center"/>
          </w:tcPr>
          <w:p w14:paraId="019BA8E4">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古树名木管理、养护不到位的</w:t>
            </w:r>
          </w:p>
        </w:tc>
        <w:tc>
          <w:tcPr>
            <w:tcW w:w="1155" w:type="dxa"/>
            <w:vMerge w:val="restart"/>
            <w:tcBorders>
              <w:top w:val="single" w:color="auto" w:sz="4" w:space="0"/>
              <w:left w:val="single" w:color="auto" w:sz="4" w:space="0"/>
              <w:right w:val="single" w:color="auto" w:sz="4" w:space="0"/>
            </w:tcBorders>
            <w:vAlign w:val="center"/>
          </w:tcPr>
          <w:p w14:paraId="6F60A5A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72E48002">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lang w:eastAsia="zh-CN"/>
              </w:rPr>
              <w:t>一级古树</w:t>
            </w:r>
          </w:p>
        </w:tc>
        <w:tc>
          <w:tcPr>
            <w:tcW w:w="1270" w:type="dxa"/>
            <w:tcBorders>
              <w:top w:val="single" w:color="auto" w:sz="4" w:space="0"/>
              <w:left w:val="single" w:color="auto" w:sz="4" w:space="0"/>
              <w:bottom w:val="single" w:color="auto" w:sz="4" w:space="0"/>
              <w:right w:val="single" w:color="auto" w:sz="4" w:space="0"/>
            </w:tcBorders>
            <w:vAlign w:val="center"/>
          </w:tcPr>
          <w:p w14:paraId="6F518827">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lang w:eastAsia="zh-CN"/>
              </w:rPr>
              <w:t>扣</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2分</w:t>
            </w:r>
          </w:p>
        </w:tc>
      </w:tr>
      <w:tr w14:paraId="2C9B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805" w:type="dxa"/>
            <w:vMerge w:val="continue"/>
            <w:tcBorders>
              <w:left w:val="single" w:color="auto" w:sz="4" w:space="0"/>
              <w:right w:val="single" w:color="auto" w:sz="4" w:space="0"/>
            </w:tcBorders>
            <w:vAlign w:val="center"/>
          </w:tcPr>
          <w:p w14:paraId="768E4129">
            <w:pPr>
              <w:jc w:val="center"/>
              <w:rPr>
                <w:color w:val="auto"/>
                <w:highlight w:val="none"/>
              </w:rPr>
            </w:pPr>
          </w:p>
        </w:tc>
        <w:tc>
          <w:tcPr>
            <w:tcW w:w="995" w:type="dxa"/>
            <w:vMerge w:val="continue"/>
            <w:tcBorders>
              <w:left w:val="single" w:color="auto" w:sz="4" w:space="0"/>
              <w:right w:val="single" w:color="auto" w:sz="4" w:space="0"/>
            </w:tcBorders>
            <w:vAlign w:val="center"/>
          </w:tcPr>
          <w:p w14:paraId="05804DB0">
            <w:pPr>
              <w:jc w:val="center"/>
              <w:rPr>
                <w:color w:val="auto"/>
                <w:highlight w:val="none"/>
                <w:u w:val="none"/>
              </w:rPr>
            </w:pPr>
          </w:p>
        </w:tc>
        <w:tc>
          <w:tcPr>
            <w:tcW w:w="4149" w:type="dxa"/>
            <w:vMerge w:val="continue"/>
            <w:tcBorders>
              <w:left w:val="single" w:color="auto" w:sz="4" w:space="0"/>
              <w:right w:val="single" w:color="auto" w:sz="4" w:space="0"/>
            </w:tcBorders>
            <w:vAlign w:val="center"/>
          </w:tcPr>
          <w:p w14:paraId="10E8D6A3">
            <w:pPr>
              <w:jc w:val="center"/>
              <w:rPr>
                <w:color w:val="auto"/>
                <w:highlight w:val="none"/>
                <w:u w:val="none"/>
              </w:rPr>
            </w:pPr>
          </w:p>
        </w:tc>
        <w:tc>
          <w:tcPr>
            <w:tcW w:w="1155" w:type="dxa"/>
            <w:vMerge w:val="continue"/>
            <w:tcBorders>
              <w:left w:val="single" w:color="auto" w:sz="4" w:space="0"/>
              <w:right w:val="single" w:color="auto" w:sz="4" w:space="0"/>
            </w:tcBorders>
            <w:vAlign w:val="center"/>
          </w:tcPr>
          <w:p w14:paraId="6C105E32">
            <w:pPr>
              <w:jc w:val="center"/>
              <w:rPr>
                <w:color w:val="auto"/>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65958A8">
            <w:pPr>
              <w:jc w:val="center"/>
              <w:rPr>
                <w:rFonts w:hint="eastAsia" w:eastAsia="宋体"/>
                <w:color w:val="auto"/>
                <w:highlight w:val="none"/>
                <w:u w:val="none"/>
                <w:lang w:eastAsia="zh-CN"/>
              </w:rPr>
            </w:pPr>
            <w:r>
              <w:rPr>
                <w:rFonts w:hint="eastAsia"/>
                <w:color w:val="auto"/>
                <w:highlight w:val="none"/>
                <w:u w:val="none"/>
                <w:lang w:eastAsia="zh-CN"/>
              </w:rPr>
              <w:t>二级古树</w:t>
            </w:r>
          </w:p>
        </w:tc>
        <w:tc>
          <w:tcPr>
            <w:tcW w:w="1270" w:type="dxa"/>
            <w:tcBorders>
              <w:top w:val="single" w:color="auto" w:sz="4" w:space="0"/>
              <w:left w:val="single" w:color="auto" w:sz="4" w:space="0"/>
              <w:bottom w:val="single" w:color="auto" w:sz="4" w:space="0"/>
              <w:right w:val="single" w:color="auto" w:sz="4" w:space="0"/>
            </w:tcBorders>
            <w:vAlign w:val="center"/>
          </w:tcPr>
          <w:p w14:paraId="357A5810">
            <w:pPr>
              <w:jc w:val="center"/>
              <w:rPr>
                <w:rFonts w:hint="default" w:ascii="宋体" w:hAnsi="宋体" w:cs="宋体"/>
                <w:color w:val="auto"/>
                <w:sz w:val="18"/>
                <w:szCs w:val="18"/>
                <w:highlight w:val="none"/>
                <w:u w:val="none"/>
                <w:lang w:val="en-US" w:eastAsia="zh-CN"/>
              </w:rPr>
            </w:pPr>
            <w:r>
              <w:rPr>
                <w:rFonts w:hint="eastAsia" w:ascii="宋体" w:hAnsi="宋体" w:cs="宋体"/>
                <w:color w:val="auto"/>
                <w:sz w:val="18"/>
                <w:szCs w:val="18"/>
                <w:highlight w:val="none"/>
                <w:u w:val="none"/>
                <w:lang w:eastAsia="zh-CN"/>
              </w:rPr>
              <w:t>扣</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1分</w:t>
            </w:r>
          </w:p>
        </w:tc>
      </w:tr>
      <w:tr w14:paraId="1736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805" w:type="dxa"/>
            <w:vMerge w:val="continue"/>
            <w:tcBorders>
              <w:left w:val="single" w:color="auto" w:sz="4" w:space="0"/>
              <w:right w:val="single" w:color="auto" w:sz="4" w:space="0"/>
            </w:tcBorders>
            <w:vAlign w:val="center"/>
          </w:tcPr>
          <w:p w14:paraId="47900C94">
            <w:pPr>
              <w:jc w:val="center"/>
              <w:rPr>
                <w:color w:val="auto"/>
                <w:highlight w:val="none"/>
              </w:rPr>
            </w:pPr>
          </w:p>
        </w:tc>
        <w:tc>
          <w:tcPr>
            <w:tcW w:w="995" w:type="dxa"/>
            <w:vMerge w:val="continue"/>
            <w:tcBorders>
              <w:left w:val="single" w:color="auto" w:sz="4" w:space="0"/>
              <w:right w:val="single" w:color="auto" w:sz="4" w:space="0"/>
            </w:tcBorders>
            <w:vAlign w:val="center"/>
          </w:tcPr>
          <w:p w14:paraId="129B40E4">
            <w:pPr>
              <w:jc w:val="center"/>
              <w:rPr>
                <w:color w:val="auto"/>
                <w:highlight w:val="none"/>
                <w:u w:val="none"/>
              </w:rPr>
            </w:pPr>
          </w:p>
        </w:tc>
        <w:tc>
          <w:tcPr>
            <w:tcW w:w="4149" w:type="dxa"/>
            <w:vMerge w:val="continue"/>
            <w:tcBorders>
              <w:left w:val="single" w:color="auto" w:sz="4" w:space="0"/>
              <w:right w:val="single" w:color="auto" w:sz="4" w:space="0"/>
            </w:tcBorders>
            <w:vAlign w:val="center"/>
          </w:tcPr>
          <w:p w14:paraId="14FB94F2">
            <w:pPr>
              <w:jc w:val="center"/>
              <w:rPr>
                <w:color w:val="auto"/>
                <w:highlight w:val="none"/>
                <w:u w:val="none"/>
              </w:rPr>
            </w:pPr>
          </w:p>
        </w:tc>
        <w:tc>
          <w:tcPr>
            <w:tcW w:w="1155" w:type="dxa"/>
            <w:vMerge w:val="continue"/>
            <w:tcBorders>
              <w:left w:val="single" w:color="auto" w:sz="4" w:space="0"/>
              <w:right w:val="single" w:color="auto" w:sz="4" w:space="0"/>
            </w:tcBorders>
            <w:vAlign w:val="center"/>
          </w:tcPr>
          <w:p w14:paraId="140522E8">
            <w:pPr>
              <w:jc w:val="center"/>
              <w:rPr>
                <w:color w:val="auto"/>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578F8413">
            <w:pPr>
              <w:jc w:val="center"/>
              <w:rPr>
                <w:rFonts w:hint="eastAsia" w:eastAsia="宋体"/>
                <w:color w:val="auto"/>
                <w:highlight w:val="none"/>
                <w:u w:val="none"/>
                <w:lang w:eastAsia="zh-CN"/>
              </w:rPr>
            </w:pPr>
            <w:r>
              <w:rPr>
                <w:rFonts w:hint="eastAsia"/>
                <w:color w:val="auto"/>
                <w:highlight w:val="none"/>
                <w:u w:val="none"/>
                <w:lang w:eastAsia="zh-CN"/>
              </w:rPr>
              <w:t>三级古树或准古树</w:t>
            </w:r>
          </w:p>
        </w:tc>
        <w:tc>
          <w:tcPr>
            <w:tcW w:w="1270" w:type="dxa"/>
            <w:tcBorders>
              <w:top w:val="single" w:color="auto" w:sz="4" w:space="0"/>
              <w:left w:val="single" w:color="auto" w:sz="4" w:space="0"/>
              <w:bottom w:val="single" w:color="auto" w:sz="4" w:space="0"/>
              <w:right w:val="single" w:color="auto" w:sz="4" w:space="0"/>
            </w:tcBorders>
            <w:vAlign w:val="center"/>
          </w:tcPr>
          <w:p w14:paraId="52DAFB62">
            <w:pPr>
              <w:jc w:val="center"/>
              <w:rPr>
                <w:rFonts w:hint="default" w:ascii="宋体" w:hAnsi="宋体" w:cs="宋体"/>
                <w:color w:val="auto"/>
                <w:sz w:val="18"/>
                <w:szCs w:val="18"/>
                <w:highlight w:val="none"/>
                <w:u w:val="none"/>
                <w:lang w:val="en-US" w:eastAsia="zh-CN"/>
              </w:rPr>
            </w:pPr>
            <w:r>
              <w:rPr>
                <w:rFonts w:hint="eastAsia" w:ascii="宋体" w:hAnsi="宋体" w:cs="宋体"/>
                <w:color w:val="auto"/>
                <w:sz w:val="18"/>
                <w:szCs w:val="18"/>
                <w:highlight w:val="none"/>
                <w:u w:val="none"/>
                <w:lang w:eastAsia="zh-CN"/>
              </w:rPr>
              <w:t>扣</w:t>
            </w:r>
            <w:r>
              <w:rPr>
                <w:rFonts w:hint="eastAsia" w:ascii="宋体" w:hAnsi="宋体" w:cs="宋体"/>
                <w:color w:val="auto"/>
                <w:sz w:val="18"/>
                <w:szCs w:val="18"/>
                <w:highlight w:val="none"/>
                <w:u w:val="none"/>
                <w:lang w:val="en-US" w:eastAsia="zh-CN"/>
              </w:rPr>
              <w:t>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0.5分</w:t>
            </w:r>
          </w:p>
        </w:tc>
      </w:tr>
      <w:tr w14:paraId="75B5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805" w:type="dxa"/>
            <w:vMerge w:val="restart"/>
            <w:tcBorders>
              <w:top w:val="single" w:color="auto" w:sz="4" w:space="0"/>
              <w:left w:val="single" w:color="auto" w:sz="4" w:space="0"/>
              <w:right w:val="single" w:color="auto" w:sz="4" w:space="0"/>
            </w:tcBorders>
            <w:vAlign w:val="center"/>
          </w:tcPr>
          <w:p w14:paraId="2C343571">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(六）</w:t>
            </w:r>
          </w:p>
          <w:p w14:paraId="0A3D53F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设施维护</w:t>
            </w: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55E00B0A">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2</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065C13B2">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园林绿化设施损坏后未及时修复或更换，包括园路、铺装、给排水、花池、桌椅、亭子、垃圾桶、护栏、护树架、花架等</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7FA9519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431458A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一级</w:t>
            </w:r>
          </w:p>
        </w:tc>
        <w:tc>
          <w:tcPr>
            <w:tcW w:w="1270" w:type="dxa"/>
            <w:tcBorders>
              <w:top w:val="single" w:color="auto" w:sz="4" w:space="0"/>
              <w:left w:val="single" w:color="auto" w:sz="4" w:space="0"/>
              <w:bottom w:val="single" w:color="auto" w:sz="4" w:space="0"/>
              <w:right w:val="single" w:color="auto" w:sz="4" w:space="0"/>
            </w:tcBorders>
            <w:vAlign w:val="center"/>
          </w:tcPr>
          <w:p w14:paraId="37AA2BC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5D6C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05" w:type="dxa"/>
            <w:vMerge w:val="continue"/>
            <w:tcBorders>
              <w:left w:val="single" w:color="auto" w:sz="4" w:space="0"/>
              <w:right w:val="single" w:color="auto" w:sz="4" w:space="0"/>
            </w:tcBorders>
            <w:vAlign w:val="center"/>
          </w:tcPr>
          <w:p w14:paraId="20CA55BB">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22888320">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52B1B194">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52FE3241">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723C81B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二级、三级、四级</w:t>
            </w:r>
          </w:p>
        </w:tc>
        <w:tc>
          <w:tcPr>
            <w:tcW w:w="1270" w:type="dxa"/>
            <w:tcBorders>
              <w:top w:val="single" w:color="auto" w:sz="4" w:space="0"/>
              <w:left w:val="single" w:color="auto" w:sz="4" w:space="0"/>
              <w:bottom w:val="single" w:color="auto" w:sz="4" w:space="0"/>
              <w:right w:val="single" w:color="auto" w:sz="4" w:space="0"/>
            </w:tcBorders>
            <w:vAlign w:val="center"/>
          </w:tcPr>
          <w:p w14:paraId="0487D1F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0.5分</w:t>
            </w:r>
          </w:p>
        </w:tc>
      </w:tr>
      <w:tr w14:paraId="19C4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805" w:type="dxa"/>
            <w:vMerge w:val="continue"/>
            <w:tcBorders>
              <w:left w:val="single" w:color="auto" w:sz="4" w:space="0"/>
              <w:right w:val="single" w:color="auto" w:sz="4" w:space="0"/>
            </w:tcBorders>
            <w:vAlign w:val="center"/>
          </w:tcPr>
          <w:p w14:paraId="283145C3">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34C19095">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3</w:t>
            </w:r>
          </w:p>
        </w:tc>
        <w:tc>
          <w:tcPr>
            <w:tcW w:w="4149" w:type="dxa"/>
            <w:tcBorders>
              <w:top w:val="single" w:color="auto" w:sz="4" w:space="0"/>
              <w:left w:val="single" w:color="auto" w:sz="4" w:space="0"/>
              <w:bottom w:val="single" w:color="auto" w:sz="4" w:space="0"/>
              <w:right w:val="single" w:color="auto" w:sz="4" w:space="0"/>
            </w:tcBorders>
            <w:vAlign w:val="center"/>
          </w:tcPr>
          <w:p w14:paraId="0D1D0FC0">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未经批准设置园林绿化设施或其他设施，影响景观或存在安全隐患的</w:t>
            </w:r>
          </w:p>
        </w:tc>
        <w:tc>
          <w:tcPr>
            <w:tcW w:w="1155" w:type="dxa"/>
            <w:tcBorders>
              <w:top w:val="single" w:color="auto" w:sz="4" w:space="0"/>
              <w:left w:val="single" w:color="auto" w:sz="4" w:space="0"/>
              <w:bottom w:val="single" w:color="auto" w:sz="4" w:space="0"/>
              <w:right w:val="single" w:color="auto" w:sz="4" w:space="0"/>
            </w:tcBorders>
            <w:vAlign w:val="center"/>
          </w:tcPr>
          <w:p w14:paraId="6784365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6DF98FA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0413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805" w:type="dxa"/>
            <w:vMerge w:val="continue"/>
            <w:tcBorders>
              <w:left w:val="single" w:color="auto" w:sz="4" w:space="0"/>
              <w:right w:val="single" w:color="auto" w:sz="4" w:space="0"/>
            </w:tcBorders>
            <w:vAlign w:val="center"/>
          </w:tcPr>
          <w:p w14:paraId="27D35F4D">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622E658F">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4</w:t>
            </w:r>
          </w:p>
        </w:tc>
        <w:tc>
          <w:tcPr>
            <w:tcW w:w="4149" w:type="dxa"/>
            <w:tcBorders>
              <w:top w:val="single" w:color="auto" w:sz="4" w:space="0"/>
              <w:left w:val="single" w:color="auto" w:sz="4" w:space="0"/>
              <w:bottom w:val="single" w:color="auto" w:sz="4" w:space="0"/>
              <w:right w:val="single" w:color="auto" w:sz="4" w:space="0"/>
            </w:tcBorders>
            <w:vAlign w:val="center"/>
          </w:tcPr>
          <w:p w14:paraId="67BCFAAF">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水、电等设施管理不善造成浪费、损坏未及时修复或造成不良影响的（包括滴漏等）</w:t>
            </w:r>
          </w:p>
        </w:tc>
        <w:tc>
          <w:tcPr>
            <w:tcW w:w="1155" w:type="dxa"/>
            <w:tcBorders>
              <w:top w:val="single" w:color="auto" w:sz="4" w:space="0"/>
              <w:left w:val="single" w:color="auto" w:sz="4" w:space="0"/>
              <w:bottom w:val="single" w:color="auto" w:sz="4" w:space="0"/>
              <w:right w:val="single" w:color="auto" w:sz="4" w:space="0"/>
            </w:tcBorders>
            <w:vAlign w:val="center"/>
          </w:tcPr>
          <w:p w14:paraId="455534D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22C974F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7037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805" w:type="dxa"/>
            <w:vMerge w:val="continue"/>
            <w:tcBorders>
              <w:left w:val="single" w:color="auto" w:sz="4" w:space="0"/>
              <w:right w:val="single" w:color="auto" w:sz="4" w:space="0"/>
            </w:tcBorders>
            <w:vAlign w:val="center"/>
          </w:tcPr>
          <w:p w14:paraId="5B5E49FA">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7E86AFDF">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5</w:t>
            </w:r>
          </w:p>
        </w:tc>
        <w:tc>
          <w:tcPr>
            <w:tcW w:w="4149" w:type="dxa"/>
            <w:tcBorders>
              <w:top w:val="single" w:color="auto" w:sz="4" w:space="0"/>
              <w:left w:val="single" w:color="auto" w:sz="4" w:space="0"/>
              <w:bottom w:val="single" w:color="auto" w:sz="4" w:space="0"/>
              <w:right w:val="single" w:color="auto" w:sz="4" w:space="0"/>
            </w:tcBorders>
            <w:vAlign w:val="center"/>
          </w:tcPr>
          <w:p w14:paraId="34E8DB82">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桥梁绿化花箱缺失，未及时补齐的</w:t>
            </w:r>
          </w:p>
        </w:tc>
        <w:tc>
          <w:tcPr>
            <w:tcW w:w="1155" w:type="dxa"/>
            <w:tcBorders>
              <w:top w:val="single" w:color="auto" w:sz="4" w:space="0"/>
              <w:left w:val="single" w:color="auto" w:sz="4" w:space="0"/>
              <w:bottom w:val="single" w:color="auto" w:sz="4" w:space="0"/>
              <w:right w:val="single" w:color="auto" w:sz="4" w:space="0"/>
            </w:tcBorders>
            <w:vAlign w:val="center"/>
          </w:tcPr>
          <w:p w14:paraId="396EB76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每盆</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6F3D2E5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w:t>
            </w:r>
            <w:r>
              <w:rPr>
                <w:rFonts w:hint="eastAsia" w:ascii="宋体" w:hAnsi="宋体" w:cs="宋体"/>
                <w:color w:val="auto"/>
                <w:sz w:val="18"/>
                <w:szCs w:val="18"/>
                <w:highlight w:val="none"/>
                <w:u w:val="none"/>
                <w:lang w:val="en-US" w:eastAsia="zh-CN"/>
              </w:rPr>
              <w:t>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478F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805" w:type="dxa"/>
            <w:vMerge w:val="continue"/>
            <w:tcBorders>
              <w:left w:val="single" w:color="auto" w:sz="4" w:space="0"/>
              <w:right w:val="single" w:color="auto" w:sz="4" w:space="0"/>
            </w:tcBorders>
            <w:vAlign w:val="center"/>
          </w:tcPr>
          <w:p w14:paraId="6D69992C">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1E3CEC57">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6</w:t>
            </w:r>
          </w:p>
        </w:tc>
        <w:tc>
          <w:tcPr>
            <w:tcW w:w="4149" w:type="dxa"/>
            <w:tcBorders>
              <w:top w:val="single" w:color="auto" w:sz="4" w:space="0"/>
              <w:left w:val="single" w:color="auto" w:sz="4" w:space="0"/>
              <w:bottom w:val="single" w:color="auto" w:sz="4" w:space="0"/>
              <w:right w:val="single" w:color="auto" w:sz="4" w:space="0"/>
            </w:tcBorders>
            <w:vAlign w:val="center"/>
          </w:tcPr>
          <w:p w14:paraId="431660F0">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桥梁绿化花箱箱体变形、破损，未及时修复、更换的</w:t>
            </w:r>
          </w:p>
        </w:tc>
        <w:tc>
          <w:tcPr>
            <w:tcW w:w="1155" w:type="dxa"/>
            <w:tcBorders>
              <w:top w:val="single" w:color="auto" w:sz="4" w:space="0"/>
              <w:left w:val="single" w:color="auto" w:sz="4" w:space="0"/>
              <w:bottom w:val="single" w:color="auto" w:sz="4" w:space="0"/>
              <w:right w:val="single" w:color="auto" w:sz="4" w:space="0"/>
            </w:tcBorders>
            <w:vAlign w:val="center"/>
          </w:tcPr>
          <w:p w14:paraId="3DF40132">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23C0D63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0.5</w:t>
            </w:r>
            <w:r>
              <w:rPr>
                <w:rFonts w:hint="eastAsia" w:ascii="宋体" w:hAnsi="宋体" w:cs="宋体"/>
                <w:color w:val="auto"/>
                <w:sz w:val="18"/>
                <w:szCs w:val="18"/>
                <w:highlight w:val="none"/>
                <w:u w:val="none"/>
              </w:rPr>
              <w:t>分</w:t>
            </w:r>
          </w:p>
        </w:tc>
      </w:tr>
      <w:tr w14:paraId="788E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805" w:type="dxa"/>
            <w:vMerge w:val="continue"/>
            <w:tcBorders>
              <w:left w:val="single" w:color="auto" w:sz="4" w:space="0"/>
              <w:right w:val="single" w:color="auto" w:sz="4" w:space="0"/>
            </w:tcBorders>
            <w:vAlign w:val="center"/>
          </w:tcPr>
          <w:p w14:paraId="34016836">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1AD3F6D0">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7</w:t>
            </w:r>
          </w:p>
        </w:tc>
        <w:tc>
          <w:tcPr>
            <w:tcW w:w="4149" w:type="dxa"/>
            <w:tcBorders>
              <w:top w:val="single" w:color="auto" w:sz="4" w:space="0"/>
              <w:left w:val="single" w:color="auto" w:sz="4" w:space="0"/>
              <w:bottom w:val="single" w:color="auto" w:sz="4" w:space="0"/>
              <w:right w:val="single" w:color="auto" w:sz="4" w:space="0"/>
            </w:tcBorders>
            <w:vAlign w:val="center"/>
          </w:tcPr>
          <w:p w14:paraId="73063BB1">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未对园林绿化设施和桥梁绿化的花箱、支架、固定用构件等配套设施进行定期巡查</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346A536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6F63E6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47C5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805" w:type="dxa"/>
            <w:vMerge w:val="continue"/>
            <w:tcBorders>
              <w:left w:val="single" w:color="auto" w:sz="4" w:space="0"/>
              <w:right w:val="single" w:color="auto" w:sz="4" w:space="0"/>
            </w:tcBorders>
            <w:vAlign w:val="center"/>
          </w:tcPr>
          <w:p w14:paraId="6F7A3D54">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66CC0FEF">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8</w:t>
            </w:r>
          </w:p>
        </w:tc>
        <w:tc>
          <w:tcPr>
            <w:tcW w:w="4149" w:type="dxa"/>
            <w:tcBorders>
              <w:top w:val="single" w:color="auto" w:sz="4" w:space="0"/>
              <w:left w:val="single" w:color="auto" w:sz="4" w:space="0"/>
              <w:bottom w:val="single" w:color="auto" w:sz="4" w:space="0"/>
              <w:right w:val="single" w:color="auto" w:sz="4" w:space="0"/>
            </w:tcBorders>
            <w:vAlign w:val="center"/>
          </w:tcPr>
          <w:p w14:paraId="0F8CD8FB">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园林绿化设施和桥梁绿化的花箱支架、固定用构件、外装饰板等设施出现异位、松动、锈斑、缺失、裂痕等</w:t>
            </w:r>
          </w:p>
        </w:tc>
        <w:tc>
          <w:tcPr>
            <w:tcW w:w="1155" w:type="dxa"/>
            <w:tcBorders>
              <w:top w:val="single" w:color="auto" w:sz="4" w:space="0"/>
              <w:left w:val="single" w:color="auto" w:sz="4" w:space="0"/>
              <w:bottom w:val="single" w:color="auto" w:sz="4" w:space="0"/>
              <w:right w:val="single" w:color="auto" w:sz="4" w:space="0"/>
            </w:tcBorders>
            <w:vAlign w:val="center"/>
          </w:tcPr>
          <w:p w14:paraId="1BAABBEB">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EC5561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5A5B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805" w:type="dxa"/>
            <w:vMerge w:val="continue"/>
            <w:tcBorders>
              <w:left w:val="single" w:color="auto" w:sz="4" w:space="0"/>
              <w:right w:val="single" w:color="auto" w:sz="4" w:space="0"/>
            </w:tcBorders>
            <w:vAlign w:val="center"/>
          </w:tcPr>
          <w:p w14:paraId="3BDF02AE">
            <w:pPr>
              <w:widowControl/>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6123F3CE">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扣则4</w:t>
            </w:r>
            <w:r>
              <w:rPr>
                <w:rFonts w:hint="eastAsia" w:ascii="宋体" w:hAnsi="宋体" w:cs="宋体"/>
                <w:color w:val="auto"/>
                <w:sz w:val="18"/>
                <w:szCs w:val="18"/>
                <w:highlight w:val="none"/>
                <w:u w:val="none"/>
                <w:lang w:val="en-US" w:eastAsia="zh-CN"/>
              </w:rPr>
              <w:t>9</w:t>
            </w:r>
          </w:p>
        </w:tc>
        <w:tc>
          <w:tcPr>
            <w:tcW w:w="4149" w:type="dxa"/>
            <w:tcBorders>
              <w:top w:val="single" w:color="auto" w:sz="4" w:space="0"/>
              <w:left w:val="single" w:color="auto" w:sz="4" w:space="0"/>
              <w:bottom w:val="single" w:color="auto" w:sz="4" w:space="0"/>
              <w:right w:val="single" w:color="auto" w:sz="4" w:space="0"/>
            </w:tcBorders>
            <w:vAlign w:val="center"/>
          </w:tcPr>
          <w:p w14:paraId="3C7C330A">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园林绿化设施和桥梁绿化的花箱、植物、泥土、支架、固定用构件等物体掉落的</w:t>
            </w:r>
          </w:p>
        </w:tc>
        <w:tc>
          <w:tcPr>
            <w:tcW w:w="1155" w:type="dxa"/>
            <w:tcBorders>
              <w:top w:val="single" w:color="auto" w:sz="4" w:space="0"/>
              <w:left w:val="single" w:color="auto" w:sz="4" w:space="0"/>
              <w:bottom w:val="single" w:color="auto" w:sz="4" w:space="0"/>
              <w:right w:val="single" w:color="auto" w:sz="4" w:space="0"/>
            </w:tcBorders>
            <w:vAlign w:val="center"/>
          </w:tcPr>
          <w:p w14:paraId="4AB4B618">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F83F5D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4824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5B0D010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（七)专项工作考核</w:t>
            </w:r>
          </w:p>
        </w:tc>
        <w:tc>
          <w:tcPr>
            <w:tcW w:w="995" w:type="dxa"/>
            <w:vMerge w:val="restart"/>
            <w:tcBorders>
              <w:top w:val="single" w:color="auto" w:sz="4" w:space="0"/>
              <w:left w:val="single" w:color="auto" w:sz="4" w:space="0"/>
              <w:bottom w:val="single" w:color="auto" w:sz="4" w:space="0"/>
              <w:right w:val="single" w:color="auto" w:sz="4" w:space="0"/>
            </w:tcBorders>
            <w:vAlign w:val="center"/>
          </w:tcPr>
          <w:p w14:paraId="37915A5D">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50</w:t>
            </w:r>
          </w:p>
        </w:tc>
        <w:tc>
          <w:tcPr>
            <w:tcW w:w="4149" w:type="dxa"/>
            <w:vMerge w:val="restart"/>
            <w:tcBorders>
              <w:top w:val="single" w:color="auto" w:sz="4" w:space="0"/>
              <w:left w:val="single" w:color="auto" w:sz="4" w:space="0"/>
              <w:bottom w:val="single" w:color="auto" w:sz="4" w:space="0"/>
              <w:right w:val="single" w:color="auto" w:sz="4" w:space="0"/>
            </w:tcBorders>
            <w:vAlign w:val="center"/>
          </w:tcPr>
          <w:p w14:paraId="549BB71E">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未按要求完成绿管中心下达的各种专项、临时性任务的</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14:paraId="0FDF22E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1445" w:type="dxa"/>
            <w:tcBorders>
              <w:top w:val="single" w:color="auto" w:sz="4" w:space="0"/>
              <w:left w:val="single" w:color="auto" w:sz="4" w:space="0"/>
              <w:bottom w:val="single" w:color="auto" w:sz="4" w:space="0"/>
              <w:right w:val="single" w:color="auto" w:sz="4" w:space="0"/>
            </w:tcBorders>
            <w:vAlign w:val="center"/>
          </w:tcPr>
          <w:p w14:paraId="7A4EA07E">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情节较轻，影响较少</w:t>
            </w:r>
          </w:p>
        </w:tc>
        <w:tc>
          <w:tcPr>
            <w:tcW w:w="1270" w:type="dxa"/>
            <w:tcBorders>
              <w:top w:val="single" w:color="auto" w:sz="4" w:space="0"/>
              <w:left w:val="single" w:color="auto" w:sz="4" w:space="0"/>
              <w:bottom w:val="single" w:color="auto" w:sz="4" w:space="0"/>
              <w:right w:val="single" w:color="auto" w:sz="4" w:space="0"/>
            </w:tcBorders>
            <w:vAlign w:val="center"/>
          </w:tcPr>
          <w:p w14:paraId="60C473A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2分</w:t>
            </w:r>
          </w:p>
        </w:tc>
      </w:tr>
      <w:tr w14:paraId="1BF4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677ACFE6">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1497C35B">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248639FC">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44695830">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2FE9B40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情节较重，影响较大</w:t>
            </w:r>
          </w:p>
        </w:tc>
        <w:tc>
          <w:tcPr>
            <w:tcW w:w="1270" w:type="dxa"/>
            <w:tcBorders>
              <w:top w:val="single" w:color="auto" w:sz="4" w:space="0"/>
              <w:left w:val="single" w:color="auto" w:sz="4" w:space="0"/>
              <w:bottom w:val="single" w:color="auto" w:sz="4" w:space="0"/>
              <w:right w:val="single" w:color="auto" w:sz="4" w:space="0"/>
            </w:tcBorders>
            <w:vAlign w:val="center"/>
          </w:tcPr>
          <w:p w14:paraId="12F2E3D3">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扣5</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10分</w:t>
            </w:r>
          </w:p>
        </w:tc>
      </w:tr>
      <w:tr w14:paraId="6AC7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4334B63F">
            <w:pPr>
              <w:widowControl/>
              <w:jc w:val="center"/>
              <w:rPr>
                <w:rFonts w:ascii="宋体" w:hAnsi="宋体" w:cs="宋体"/>
                <w:color w:val="auto"/>
                <w:sz w:val="18"/>
                <w:szCs w:val="18"/>
                <w:highlight w:val="none"/>
                <w:u w:val="none"/>
              </w:rPr>
            </w:pPr>
          </w:p>
        </w:tc>
        <w:tc>
          <w:tcPr>
            <w:tcW w:w="995" w:type="dxa"/>
            <w:vMerge w:val="continue"/>
            <w:tcBorders>
              <w:top w:val="single" w:color="auto" w:sz="4" w:space="0"/>
              <w:left w:val="single" w:color="auto" w:sz="4" w:space="0"/>
              <w:bottom w:val="single" w:color="auto" w:sz="4" w:space="0"/>
              <w:right w:val="single" w:color="auto" w:sz="4" w:space="0"/>
            </w:tcBorders>
            <w:vAlign w:val="center"/>
          </w:tcPr>
          <w:p w14:paraId="585C1620">
            <w:pPr>
              <w:widowControl/>
              <w:jc w:val="center"/>
              <w:rPr>
                <w:rFonts w:ascii="宋体" w:hAnsi="宋体" w:cs="宋体"/>
                <w:color w:val="auto"/>
                <w:sz w:val="18"/>
                <w:szCs w:val="18"/>
                <w:highlight w:val="none"/>
                <w:u w:val="none"/>
              </w:rPr>
            </w:pPr>
          </w:p>
        </w:tc>
        <w:tc>
          <w:tcPr>
            <w:tcW w:w="4149" w:type="dxa"/>
            <w:vMerge w:val="continue"/>
            <w:tcBorders>
              <w:top w:val="single" w:color="auto" w:sz="4" w:space="0"/>
              <w:left w:val="single" w:color="auto" w:sz="4" w:space="0"/>
              <w:bottom w:val="single" w:color="auto" w:sz="4" w:space="0"/>
              <w:right w:val="single" w:color="auto" w:sz="4" w:space="0"/>
            </w:tcBorders>
            <w:vAlign w:val="center"/>
          </w:tcPr>
          <w:p w14:paraId="5722AD4B">
            <w:pPr>
              <w:widowControl/>
              <w:jc w:val="left"/>
              <w:rPr>
                <w:rFonts w:ascii="宋体" w:hAnsi="宋体" w:cs="宋体"/>
                <w:color w:val="auto"/>
                <w:sz w:val="18"/>
                <w:szCs w:val="18"/>
                <w:highlight w:val="none"/>
                <w:u w:val="none"/>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14:paraId="4301AF2B">
            <w:pPr>
              <w:widowControl/>
              <w:jc w:val="center"/>
              <w:rPr>
                <w:rFonts w:ascii="宋体" w:hAnsi="宋体" w:cs="宋体"/>
                <w:color w:val="auto"/>
                <w:sz w:val="18"/>
                <w:szCs w:val="18"/>
                <w:highlight w:val="none"/>
                <w:u w:val="none"/>
              </w:rPr>
            </w:pPr>
          </w:p>
        </w:tc>
        <w:tc>
          <w:tcPr>
            <w:tcW w:w="1445" w:type="dxa"/>
            <w:tcBorders>
              <w:top w:val="single" w:color="auto" w:sz="4" w:space="0"/>
              <w:left w:val="single" w:color="auto" w:sz="4" w:space="0"/>
              <w:bottom w:val="single" w:color="auto" w:sz="4" w:space="0"/>
              <w:right w:val="single" w:color="auto" w:sz="4" w:space="0"/>
            </w:tcBorders>
            <w:vAlign w:val="center"/>
          </w:tcPr>
          <w:p w14:paraId="1C2D13D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造成严重不良影响</w:t>
            </w:r>
          </w:p>
        </w:tc>
        <w:tc>
          <w:tcPr>
            <w:tcW w:w="1270" w:type="dxa"/>
            <w:tcBorders>
              <w:top w:val="single" w:color="auto" w:sz="4" w:space="0"/>
              <w:left w:val="single" w:color="auto" w:sz="4" w:space="0"/>
              <w:bottom w:val="single" w:color="auto" w:sz="4" w:space="0"/>
              <w:right w:val="single" w:color="auto" w:sz="4" w:space="0"/>
            </w:tcBorders>
            <w:vAlign w:val="center"/>
          </w:tcPr>
          <w:p w14:paraId="7B899CD7">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扣20分</w:t>
            </w:r>
          </w:p>
        </w:tc>
      </w:tr>
      <w:tr w14:paraId="68D8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14:paraId="15FAB5F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(八)内业管理</w:t>
            </w:r>
          </w:p>
        </w:tc>
        <w:tc>
          <w:tcPr>
            <w:tcW w:w="995" w:type="dxa"/>
            <w:tcBorders>
              <w:top w:val="single" w:color="auto" w:sz="4" w:space="0"/>
              <w:left w:val="single" w:color="auto" w:sz="4" w:space="0"/>
              <w:bottom w:val="single" w:color="auto" w:sz="4" w:space="0"/>
              <w:right w:val="single" w:color="auto" w:sz="4" w:space="0"/>
            </w:tcBorders>
            <w:vAlign w:val="center"/>
          </w:tcPr>
          <w:p w14:paraId="556BF69E">
            <w:pPr>
              <w:jc w:val="center"/>
              <w:rPr>
                <w:rFonts w:hint="default" w:ascii="宋体" w:hAnsi="宋体" w:eastAsia="宋体" w:cs="宋体"/>
                <w:color w:val="auto"/>
                <w:sz w:val="18"/>
                <w:szCs w:val="18"/>
                <w:highlight w:val="none"/>
                <w:u w:val="none"/>
                <w:lang w:val="en-US" w:eastAsia="zh-CN"/>
              </w:rPr>
            </w:pPr>
            <w:r>
              <w:rPr>
                <w:rFonts w:hint="eastAsia" w:ascii="宋体" w:hAnsi="宋体" w:cs="宋体"/>
                <w:color w:val="auto"/>
                <w:sz w:val="18"/>
                <w:szCs w:val="18"/>
                <w:highlight w:val="none"/>
                <w:u w:val="none"/>
              </w:rPr>
              <w:t>扣则</w:t>
            </w:r>
            <w:r>
              <w:rPr>
                <w:rFonts w:hint="eastAsia" w:ascii="宋体" w:hAnsi="宋体" w:cs="宋体"/>
                <w:color w:val="auto"/>
                <w:sz w:val="18"/>
                <w:szCs w:val="18"/>
                <w:highlight w:val="none"/>
                <w:u w:val="none"/>
                <w:lang w:val="en-US" w:eastAsia="zh-CN"/>
              </w:rPr>
              <w:t>51</w:t>
            </w:r>
          </w:p>
        </w:tc>
        <w:tc>
          <w:tcPr>
            <w:tcW w:w="4149" w:type="dxa"/>
            <w:tcBorders>
              <w:top w:val="single" w:color="auto" w:sz="4" w:space="0"/>
              <w:left w:val="single" w:color="auto" w:sz="4" w:space="0"/>
              <w:bottom w:val="single" w:color="auto" w:sz="4" w:space="0"/>
              <w:right w:val="single" w:color="auto" w:sz="4" w:space="0"/>
            </w:tcBorders>
            <w:vAlign w:val="center"/>
          </w:tcPr>
          <w:p w14:paraId="460F966A">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传达信息、上报资料不准确，内容不完整或不符合实际</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3D13CC7D">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每处</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08A23656">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245D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14:paraId="5CA184F4">
            <w:pPr>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9BB32C0">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扣则5</w:t>
            </w:r>
            <w:r>
              <w:rPr>
                <w:rFonts w:hint="eastAsia" w:ascii="宋体" w:hAnsi="宋体" w:cs="宋体"/>
                <w:color w:val="auto"/>
                <w:sz w:val="18"/>
                <w:szCs w:val="18"/>
                <w:highlight w:val="none"/>
                <w:u w:val="none"/>
                <w:lang w:val="en-US" w:eastAsia="zh-CN"/>
              </w:rPr>
              <w:t>2</w:t>
            </w:r>
          </w:p>
        </w:tc>
        <w:tc>
          <w:tcPr>
            <w:tcW w:w="4149" w:type="dxa"/>
            <w:tcBorders>
              <w:top w:val="single" w:color="auto" w:sz="4" w:space="0"/>
              <w:left w:val="single" w:color="auto" w:sz="4" w:space="0"/>
              <w:bottom w:val="single" w:color="auto" w:sz="4" w:space="0"/>
              <w:right w:val="single" w:color="auto" w:sz="4" w:space="0"/>
            </w:tcBorders>
            <w:vAlign w:val="center"/>
          </w:tcPr>
          <w:p w14:paraId="36EF372C">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未按要求传达信息、上报资料等</w:t>
            </w:r>
          </w:p>
        </w:tc>
        <w:tc>
          <w:tcPr>
            <w:tcW w:w="1155" w:type="dxa"/>
            <w:tcBorders>
              <w:top w:val="single" w:color="auto" w:sz="4" w:space="0"/>
              <w:left w:val="single" w:color="auto" w:sz="4" w:space="0"/>
              <w:bottom w:val="single" w:color="auto" w:sz="4" w:space="0"/>
              <w:right w:val="single" w:color="auto" w:sz="4" w:space="0"/>
            </w:tcBorders>
            <w:vAlign w:val="center"/>
          </w:tcPr>
          <w:p w14:paraId="4AF33E4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6C48294F">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扣0.2</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rPr>
              <w:t>1分</w:t>
            </w:r>
          </w:p>
        </w:tc>
      </w:tr>
      <w:tr w14:paraId="07D0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805" w:type="dxa"/>
            <w:vMerge w:val="restart"/>
            <w:tcBorders>
              <w:top w:val="single" w:color="auto" w:sz="4" w:space="0"/>
              <w:left w:val="single" w:color="auto" w:sz="4" w:space="0"/>
              <w:right w:val="single" w:color="auto" w:sz="4" w:space="0"/>
            </w:tcBorders>
            <w:vAlign w:val="center"/>
          </w:tcPr>
          <w:p w14:paraId="2F955959">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（九）</w:t>
            </w:r>
          </w:p>
          <w:p w14:paraId="7BDD5F45">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其他</w:t>
            </w:r>
          </w:p>
        </w:tc>
        <w:tc>
          <w:tcPr>
            <w:tcW w:w="995" w:type="dxa"/>
            <w:tcBorders>
              <w:top w:val="single" w:color="auto" w:sz="4" w:space="0"/>
              <w:left w:val="single" w:color="auto" w:sz="4" w:space="0"/>
              <w:bottom w:val="single" w:color="auto" w:sz="4" w:space="0"/>
              <w:right w:val="single" w:color="auto" w:sz="4" w:space="0"/>
            </w:tcBorders>
            <w:vAlign w:val="center"/>
          </w:tcPr>
          <w:p w14:paraId="6A353C6D">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扣则5</w:t>
            </w:r>
            <w:r>
              <w:rPr>
                <w:rFonts w:hint="eastAsia" w:ascii="宋体" w:hAnsi="宋体" w:cs="宋体"/>
                <w:color w:val="auto"/>
                <w:sz w:val="18"/>
                <w:szCs w:val="18"/>
                <w:highlight w:val="none"/>
                <w:u w:val="none"/>
                <w:lang w:val="en-US" w:eastAsia="zh-CN"/>
              </w:rPr>
              <w:t>3</w:t>
            </w:r>
          </w:p>
        </w:tc>
        <w:tc>
          <w:tcPr>
            <w:tcW w:w="4149" w:type="dxa"/>
            <w:tcBorders>
              <w:top w:val="single" w:color="auto" w:sz="4" w:space="0"/>
              <w:left w:val="single" w:color="auto" w:sz="4" w:space="0"/>
              <w:bottom w:val="single" w:color="auto" w:sz="4" w:space="0"/>
              <w:right w:val="single" w:color="auto" w:sz="4" w:space="0"/>
            </w:tcBorders>
            <w:vAlign w:val="center"/>
          </w:tcPr>
          <w:p w14:paraId="3F3EBEBA">
            <w:pP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服务及时性差，未按要求在期限内完成相关工作</w:t>
            </w:r>
            <w:r>
              <w:rPr>
                <w:rFonts w:hint="eastAsia" w:ascii="宋体" w:hAnsi="宋体" w:cs="宋体"/>
                <w:color w:val="auto"/>
                <w:sz w:val="18"/>
                <w:szCs w:val="18"/>
                <w:highlight w:val="none"/>
                <w:u w:val="none"/>
                <w:lang w:eastAsia="zh-CN"/>
              </w:rPr>
              <w:t>的</w:t>
            </w:r>
          </w:p>
        </w:tc>
        <w:tc>
          <w:tcPr>
            <w:tcW w:w="1155" w:type="dxa"/>
            <w:tcBorders>
              <w:top w:val="single" w:color="auto" w:sz="4" w:space="0"/>
              <w:left w:val="single" w:color="auto" w:sz="4" w:space="0"/>
              <w:bottom w:val="single" w:color="auto" w:sz="4" w:space="0"/>
              <w:right w:val="single" w:color="auto" w:sz="4" w:space="0"/>
            </w:tcBorders>
            <w:vAlign w:val="center"/>
          </w:tcPr>
          <w:p w14:paraId="0A6FA9A4">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每次</w:t>
            </w: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2A3A54B0">
            <w:pPr>
              <w:jc w:val="center"/>
              <w:rPr>
                <w:rFonts w:ascii="宋体" w:hAnsi="宋体" w:cs="宋体"/>
                <w:color w:val="auto"/>
                <w:sz w:val="18"/>
                <w:szCs w:val="18"/>
                <w:highlight w:val="none"/>
                <w:u w:val="none"/>
              </w:rPr>
            </w:pPr>
            <w:r>
              <w:rPr>
                <w:rFonts w:hint="eastAsia" w:ascii="宋体" w:hAnsi="宋体" w:cs="宋体"/>
                <w:color w:val="auto"/>
                <w:sz w:val="18"/>
                <w:szCs w:val="18"/>
                <w:highlight w:val="none"/>
                <w:u w:val="none"/>
              </w:rPr>
              <w:t>扣0.1</w:t>
            </w:r>
            <w:r>
              <w:rPr>
                <w:rFonts w:hint="eastAsia" w:ascii="宋体" w:hAnsi="宋体" w:cs="宋体"/>
                <w:color w:val="auto"/>
                <w:sz w:val="18"/>
                <w:szCs w:val="18"/>
                <w:highlight w:val="none"/>
                <w:u w:val="none"/>
                <w:lang w:eastAsia="zh-CN"/>
              </w:rPr>
              <w:t>～</w:t>
            </w:r>
            <w:r>
              <w:rPr>
                <w:rFonts w:hint="eastAsia" w:ascii="宋体" w:hAnsi="宋体" w:cs="宋体"/>
                <w:color w:val="auto"/>
                <w:sz w:val="18"/>
                <w:szCs w:val="18"/>
                <w:highlight w:val="none"/>
                <w:u w:val="none"/>
                <w:lang w:val="en-US" w:eastAsia="zh-CN"/>
              </w:rPr>
              <w:t>1</w:t>
            </w:r>
            <w:r>
              <w:rPr>
                <w:rFonts w:hint="eastAsia" w:ascii="宋体" w:hAnsi="宋体" w:cs="宋体"/>
                <w:color w:val="auto"/>
                <w:sz w:val="18"/>
                <w:szCs w:val="18"/>
                <w:highlight w:val="none"/>
                <w:u w:val="none"/>
              </w:rPr>
              <w:t>分</w:t>
            </w:r>
          </w:p>
        </w:tc>
      </w:tr>
      <w:tr w14:paraId="5FFD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805" w:type="dxa"/>
            <w:vMerge w:val="continue"/>
            <w:tcBorders>
              <w:left w:val="single" w:color="auto" w:sz="4" w:space="0"/>
              <w:bottom w:val="single" w:color="auto" w:sz="4" w:space="0"/>
              <w:right w:val="single" w:color="auto" w:sz="4" w:space="0"/>
            </w:tcBorders>
            <w:vAlign w:val="center"/>
          </w:tcPr>
          <w:p w14:paraId="6C5D1EE0">
            <w:pPr>
              <w:jc w:val="center"/>
              <w:rPr>
                <w:rFonts w:ascii="宋体" w:hAnsi="宋体" w:cs="宋体"/>
                <w:color w:val="auto"/>
                <w:sz w:val="18"/>
                <w:szCs w:val="18"/>
                <w:highlight w:val="none"/>
                <w:u w:val="none"/>
              </w:rPr>
            </w:pPr>
          </w:p>
        </w:tc>
        <w:tc>
          <w:tcPr>
            <w:tcW w:w="995" w:type="dxa"/>
            <w:tcBorders>
              <w:top w:val="single" w:color="auto" w:sz="4" w:space="0"/>
              <w:left w:val="single" w:color="auto" w:sz="4" w:space="0"/>
              <w:bottom w:val="single" w:color="auto" w:sz="4" w:space="0"/>
              <w:right w:val="single" w:color="auto" w:sz="4" w:space="0"/>
            </w:tcBorders>
            <w:vAlign w:val="center"/>
          </w:tcPr>
          <w:p w14:paraId="4AC13392">
            <w:pPr>
              <w:jc w:val="center"/>
              <w:rPr>
                <w:rFonts w:hint="eastAsia" w:ascii="宋体" w:hAnsi="宋体" w:eastAsia="宋体" w:cs="宋体"/>
                <w:color w:val="auto"/>
                <w:sz w:val="18"/>
                <w:szCs w:val="18"/>
                <w:highlight w:val="none"/>
                <w:u w:val="none"/>
                <w:lang w:eastAsia="zh-CN"/>
              </w:rPr>
            </w:pPr>
            <w:r>
              <w:rPr>
                <w:rFonts w:hint="eastAsia" w:ascii="宋体" w:hAnsi="宋体" w:cs="宋体"/>
                <w:color w:val="auto"/>
                <w:sz w:val="18"/>
                <w:szCs w:val="18"/>
                <w:highlight w:val="none"/>
                <w:u w:val="none"/>
              </w:rPr>
              <w:t>扣则5</w:t>
            </w:r>
            <w:r>
              <w:rPr>
                <w:rFonts w:hint="eastAsia" w:ascii="宋体" w:hAnsi="宋体" w:cs="宋体"/>
                <w:color w:val="auto"/>
                <w:sz w:val="18"/>
                <w:szCs w:val="18"/>
                <w:highlight w:val="none"/>
                <w:u w:val="none"/>
                <w:lang w:val="en-US" w:eastAsia="zh-CN"/>
              </w:rPr>
              <w:t>4</w:t>
            </w:r>
          </w:p>
        </w:tc>
        <w:tc>
          <w:tcPr>
            <w:tcW w:w="4149" w:type="dxa"/>
            <w:tcBorders>
              <w:top w:val="single" w:color="auto" w:sz="4" w:space="0"/>
              <w:left w:val="single" w:color="auto" w:sz="4" w:space="0"/>
              <w:bottom w:val="single" w:color="auto" w:sz="4" w:space="0"/>
              <w:right w:val="single" w:color="auto" w:sz="4" w:space="0"/>
            </w:tcBorders>
            <w:vAlign w:val="center"/>
          </w:tcPr>
          <w:p w14:paraId="1FD36006">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其他涉及到安全或对园林景观有不良影响的</w:t>
            </w:r>
          </w:p>
        </w:tc>
        <w:tc>
          <w:tcPr>
            <w:tcW w:w="1155" w:type="dxa"/>
            <w:tcBorders>
              <w:top w:val="single" w:color="auto" w:sz="4" w:space="0"/>
              <w:left w:val="single" w:color="auto" w:sz="4" w:space="0"/>
              <w:bottom w:val="single" w:color="auto" w:sz="4" w:space="0"/>
              <w:right w:val="single" w:color="auto" w:sz="4" w:space="0"/>
            </w:tcBorders>
            <w:vAlign w:val="center"/>
          </w:tcPr>
          <w:p w14:paraId="4D666DA0">
            <w:pPr>
              <w:jc w:val="center"/>
              <w:rPr>
                <w:rFonts w:ascii="宋体" w:hAnsi="宋体" w:cs="宋体"/>
                <w:color w:val="auto"/>
                <w:sz w:val="18"/>
                <w:szCs w:val="18"/>
                <w:highlight w:val="none"/>
                <w:u w:val="none"/>
              </w:rPr>
            </w:pPr>
          </w:p>
        </w:tc>
        <w:tc>
          <w:tcPr>
            <w:tcW w:w="2715" w:type="dxa"/>
            <w:gridSpan w:val="2"/>
            <w:tcBorders>
              <w:top w:val="single" w:color="auto" w:sz="4" w:space="0"/>
              <w:left w:val="single" w:color="auto" w:sz="4" w:space="0"/>
              <w:bottom w:val="single" w:color="auto" w:sz="4" w:space="0"/>
              <w:right w:val="single" w:color="auto" w:sz="4" w:space="0"/>
            </w:tcBorders>
            <w:vAlign w:val="center"/>
          </w:tcPr>
          <w:p w14:paraId="612F81FB">
            <w:pPr>
              <w:rPr>
                <w:rFonts w:ascii="宋体" w:hAnsi="宋体" w:cs="宋体"/>
                <w:color w:val="auto"/>
                <w:sz w:val="18"/>
                <w:szCs w:val="18"/>
                <w:highlight w:val="none"/>
                <w:u w:val="none"/>
              </w:rPr>
            </w:pPr>
            <w:r>
              <w:rPr>
                <w:rFonts w:hint="eastAsia" w:ascii="宋体" w:hAnsi="宋体" w:cs="宋体"/>
                <w:color w:val="auto"/>
                <w:sz w:val="18"/>
                <w:szCs w:val="18"/>
                <w:highlight w:val="none"/>
                <w:u w:val="none"/>
              </w:rPr>
              <w:t>由养护管理科视具体内容及扣分标准现场认定</w:t>
            </w:r>
          </w:p>
        </w:tc>
      </w:tr>
    </w:tbl>
    <w:p w14:paraId="4176FFAA">
      <w:pPr>
        <w:rPr>
          <w:rFonts w:ascii="宋体" w:hAnsi="宋体" w:cs="宋体"/>
          <w:color w:val="auto"/>
          <w:highlight w:val="none"/>
          <w:u w:val="none"/>
        </w:rPr>
      </w:pPr>
    </w:p>
    <w:p w14:paraId="09420549">
      <w:pPr>
        <w:ind w:firstLine="420" w:firstLineChars="200"/>
        <w:rPr>
          <w:rFonts w:ascii="宋体" w:hAnsi="宋体" w:cs="宋体"/>
          <w:color w:val="auto"/>
          <w:highlight w:val="none"/>
          <w:u w:val="none"/>
        </w:rPr>
      </w:pPr>
      <w:r>
        <w:rPr>
          <w:rFonts w:hint="eastAsia" w:ascii="宋体" w:hAnsi="宋体" w:cs="宋体"/>
          <w:color w:val="auto"/>
          <w:highlight w:val="none"/>
          <w:u w:val="none"/>
        </w:rPr>
        <w:t>说明：</w:t>
      </w:r>
    </w:p>
    <w:p w14:paraId="166DA8E7">
      <w:pPr>
        <w:ind w:firstLine="420" w:firstLineChars="200"/>
        <w:rPr>
          <w:rFonts w:ascii="宋体" w:hAnsi="宋体" w:cs="宋体"/>
          <w:color w:val="auto"/>
          <w:highlight w:val="none"/>
          <w:u w:val="none"/>
        </w:rPr>
      </w:pPr>
      <w:r>
        <w:rPr>
          <w:rFonts w:hint="eastAsia" w:ascii="宋体" w:hAnsi="宋体" w:cs="宋体"/>
          <w:color w:val="auto"/>
          <w:highlight w:val="none"/>
          <w:u w:val="none"/>
        </w:rPr>
        <w:t>1.检查人员对扣分项给予限期整改，整改期限内同一地点同一事项不再重复扣分。整改期限后仍出现问题的，可再次扣罚，并可加倍扣罚。</w:t>
      </w:r>
    </w:p>
    <w:p w14:paraId="6A297F43">
      <w:pPr>
        <w:rPr>
          <w:rFonts w:ascii="宋体" w:hAnsi="宋体" w:cs="宋体"/>
          <w:color w:val="auto"/>
          <w:highlight w:val="none"/>
          <w:u w:val="none"/>
        </w:rPr>
      </w:pPr>
      <w:r>
        <w:rPr>
          <w:rFonts w:hint="eastAsia" w:ascii="宋体" w:hAnsi="宋体" w:cs="宋体"/>
          <w:color w:val="auto"/>
          <w:highlight w:val="none"/>
          <w:u w:val="none"/>
        </w:rPr>
        <w:t xml:space="preserve">    2.扣分整改期限规定：</w:t>
      </w:r>
    </w:p>
    <w:p w14:paraId="464E7CA2">
      <w:pPr>
        <w:ind w:firstLine="420" w:firstLineChars="200"/>
        <w:rPr>
          <w:rFonts w:ascii="宋体" w:hAnsi="宋体" w:cs="宋体"/>
          <w:color w:val="auto"/>
          <w:highlight w:val="none"/>
          <w:u w:val="none"/>
        </w:rPr>
      </w:pPr>
      <w:r>
        <w:rPr>
          <w:rFonts w:hint="eastAsia" w:ascii="宋体" w:hAnsi="宋体" w:cs="宋体"/>
          <w:color w:val="auto"/>
          <w:highlight w:val="none"/>
          <w:u w:val="none"/>
        </w:rPr>
        <w:t>（1）出现违反《中华人民共和国道路交通安全法》和《南宁市绿化工程管理中心道路绿化养护安全管理办法（</w:t>
      </w:r>
      <w:r>
        <w:rPr>
          <w:rFonts w:hint="eastAsia" w:ascii="宋体" w:hAnsi="宋体" w:cs="宋体"/>
          <w:color w:val="auto"/>
          <w:highlight w:val="none"/>
          <w:u w:val="none"/>
          <w:lang w:eastAsia="zh-CN"/>
        </w:rPr>
        <w:t>2025年修订版</w:t>
      </w:r>
      <w:r>
        <w:rPr>
          <w:rFonts w:hint="eastAsia" w:ascii="宋体" w:hAnsi="宋体" w:cs="宋体"/>
          <w:color w:val="auto"/>
          <w:highlight w:val="none"/>
          <w:u w:val="none"/>
        </w:rPr>
        <w:t>）》的情况立即整改；</w:t>
      </w:r>
    </w:p>
    <w:p w14:paraId="59325DAA">
      <w:pPr>
        <w:ind w:firstLine="420" w:firstLineChars="200"/>
        <w:rPr>
          <w:rFonts w:ascii="宋体" w:hAnsi="宋体" w:cs="宋体"/>
          <w:color w:val="auto"/>
          <w:highlight w:val="none"/>
          <w:u w:val="none"/>
        </w:rPr>
      </w:pPr>
      <w:r>
        <w:rPr>
          <w:rFonts w:hint="eastAsia" w:ascii="宋体" w:hAnsi="宋体" w:cs="宋体"/>
          <w:color w:val="auto"/>
          <w:highlight w:val="none"/>
          <w:u w:val="none"/>
        </w:rPr>
        <w:t>（2）黄土裸露整改时限为1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10</w:t>
      </w:r>
      <w:r>
        <w:rPr>
          <w:rFonts w:hint="eastAsia" w:ascii="宋体" w:hAnsi="宋体" w:cs="宋体"/>
          <w:color w:val="auto"/>
          <w:highlight w:val="none"/>
          <w:u w:val="none"/>
        </w:rPr>
        <w:t>天；行道树缺株补种时限为1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rPr>
        <w:t>1</w:t>
      </w:r>
      <w:r>
        <w:rPr>
          <w:rFonts w:hint="eastAsia" w:ascii="宋体" w:hAnsi="宋体" w:cs="宋体"/>
          <w:color w:val="auto"/>
          <w:highlight w:val="none"/>
          <w:u w:val="none"/>
          <w:lang w:val="en-US" w:eastAsia="zh-CN"/>
        </w:rPr>
        <w:t>5</w:t>
      </w:r>
      <w:r>
        <w:rPr>
          <w:rFonts w:hint="eastAsia" w:ascii="宋体" w:hAnsi="宋体" w:cs="宋体"/>
          <w:color w:val="auto"/>
          <w:highlight w:val="none"/>
          <w:u w:val="none"/>
        </w:rPr>
        <w:t>天；</w:t>
      </w:r>
    </w:p>
    <w:p w14:paraId="27A19BBD">
      <w:pPr>
        <w:ind w:firstLine="420" w:firstLineChars="200"/>
        <w:rPr>
          <w:rFonts w:ascii="宋体" w:hAnsi="宋体" w:cs="宋体"/>
          <w:color w:val="auto"/>
          <w:highlight w:val="none"/>
          <w:u w:val="none"/>
        </w:rPr>
      </w:pPr>
      <w:r>
        <w:rPr>
          <w:rFonts w:hint="eastAsia" w:ascii="宋体" w:hAnsi="宋体" w:cs="宋体"/>
          <w:color w:val="auto"/>
          <w:highlight w:val="none"/>
          <w:u w:val="none"/>
        </w:rPr>
        <w:t>（3）倒伏树木的整改时限为1天，非自然倾斜树木</w:t>
      </w:r>
      <w:r>
        <w:rPr>
          <w:rFonts w:hint="eastAsia" w:ascii="宋体" w:hAnsi="宋体" w:cs="宋体"/>
          <w:color w:val="auto"/>
          <w:highlight w:val="none"/>
          <w:u w:val="none"/>
          <w:lang w:eastAsia="zh-CN"/>
        </w:rPr>
        <w:t>或死树</w:t>
      </w:r>
      <w:r>
        <w:rPr>
          <w:rFonts w:hint="eastAsia" w:ascii="宋体" w:hAnsi="宋体" w:cs="宋体"/>
          <w:color w:val="auto"/>
          <w:highlight w:val="none"/>
          <w:u w:val="none"/>
        </w:rPr>
        <w:t>的整改时限为1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1</w:t>
      </w:r>
      <w:r>
        <w:rPr>
          <w:rFonts w:hint="eastAsia" w:ascii="宋体" w:hAnsi="宋体" w:cs="宋体"/>
          <w:color w:val="auto"/>
          <w:highlight w:val="none"/>
          <w:u w:val="none"/>
        </w:rPr>
        <w:t>5天</w:t>
      </w:r>
      <w:r>
        <w:rPr>
          <w:rFonts w:hint="eastAsia" w:ascii="宋体" w:hAnsi="宋体" w:cs="宋体"/>
          <w:color w:val="auto"/>
          <w:highlight w:val="none"/>
          <w:u w:val="none"/>
          <w:lang w:eastAsia="zh-CN"/>
        </w:rPr>
        <w:t>，</w:t>
      </w:r>
      <w:r>
        <w:rPr>
          <w:rFonts w:hint="eastAsia" w:ascii="宋体" w:hAnsi="宋体" w:cs="宋体"/>
          <w:color w:val="auto"/>
          <w:highlight w:val="none"/>
          <w:u w:val="none"/>
        </w:rPr>
        <w:t>但影响交通及安全，须立即整改；</w:t>
      </w:r>
    </w:p>
    <w:p w14:paraId="637034C9">
      <w:pPr>
        <w:ind w:firstLine="420" w:firstLineChars="200"/>
        <w:rPr>
          <w:rFonts w:ascii="宋体" w:hAnsi="宋体" w:cs="宋体"/>
          <w:color w:val="auto"/>
          <w:highlight w:val="none"/>
          <w:u w:val="none"/>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4</w:t>
      </w:r>
      <w:r>
        <w:rPr>
          <w:rFonts w:hint="eastAsia" w:ascii="宋体" w:hAnsi="宋体" w:cs="宋体"/>
          <w:color w:val="auto"/>
          <w:highlight w:val="none"/>
          <w:u w:val="none"/>
        </w:rPr>
        <w:t>）绿地垃圾（包括生活垃圾、绿化垃圾）整改需当天完成；</w:t>
      </w:r>
    </w:p>
    <w:p w14:paraId="093640C6">
      <w:pPr>
        <w:ind w:firstLine="420" w:firstLineChars="200"/>
        <w:rPr>
          <w:rFonts w:ascii="宋体" w:hAnsi="宋体" w:cs="宋体"/>
          <w:color w:val="auto"/>
          <w:highlight w:val="none"/>
          <w:u w:val="none"/>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5</w:t>
      </w:r>
      <w:r>
        <w:rPr>
          <w:rFonts w:hint="eastAsia" w:ascii="宋体" w:hAnsi="宋体" w:cs="宋体"/>
          <w:color w:val="auto"/>
          <w:highlight w:val="none"/>
          <w:u w:val="none"/>
        </w:rPr>
        <w:t>）杂草整改时限为1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1</w:t>
      </w:r>
      <w:r>
        <w:rPr>
          <w:rFonts w:hint="eastAsia" w:ascii="宋体" w:hAnsi="宋体" w:cs="宋体"/>
          <w:color w:val="auto"/>
          <w:highlight w:val="none"/>
          <w:u w:val="none"/>
        </w:rPr>
        <w:t>5天；</w:t>
      </w:r>
    </w:p>
    <w:p w14:paraId="04D29A4E">
      <w:pPr>
        <w:ind w:firstLine="420" w:firstLineChars="200"/>
        <w:rPr>
          <w:rFonts w:ascii="宋体" w:hAnsi="宋体" w:cs="宋体"/>
          <w:color w:val="auto"/>
          <w:highlight w:val="none"/>
          <w:u w:val="none"/>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6</w:t>
      </w:r>
      <w:r>
        <w:rPr>
          <w:rFonts w:hint="eastAsia" w:ascii="宋体" w:hAnsi="宋体" w:cs="宋体"/>
          <w:color w:val="auto"/>
          <w:highlight w:val="none"/>
          <w:u w:val="none"/>
        </w:rPr>
        <w:t>）有害生物的整改时限为1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15</w:t>
      </w:r>
      <w:r>
        <w:rPr>
          <w:rFonts w:hint="eastAsia" w:ascii="宋体" w:hAnsi="宋体" w:cs="宋体"/>
          <w:color w:val="auto"/>
          <w:highlight w:val="none"/>
          <w:u w:val="none"/>
        </w:rPr>
        <w:t>天；</w:t>
      </w:r>
    </w:p>
    <w:p w14:paraId="530A11D0">
      <w:pPr>
        <w:ind w:firstLine="420" w:firstLineChars="200"/>
        <w:rPr>
          <w:rFonts w:ascii="宋体" w:hAnsi="宋体" w:cs="宋体"/>
          <w:color w:val="auto"/>
          <w:highlight w:val="none"/>
          <w:u w:val="none"/>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7</w:t>
      </w:r>
      <w:r>
        <w:rPr>
          <w:rFonts w:hint="eastAsia" w:ascii="宋体" w:hAnsi="宋体" w:cs="宋体"/>
          <w:color w:val="auto"/>
          <w:highlight w:val="none"/>
          <w:u w:val="none"/>
        </w:rPr>
        <w:t>）园林绿化设施破损、脏污等整改时限为1</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1</w:t>
      </w:r>
      <w:r>
        <w:rPr>
          <w:rFonts w:hint="eastAsia" w:ascii="宋体" w:hAnsi="宋体" w:cs="宋体"/>
          <w:color w:val="auto"/>
          <w:highlight w:val="none"/>
          <w:u w:val="none"/>
        </w:rPr>
        <w:t>5天；</w:t>
      </w:r>
    </w:p>
    <w:p w14:paraId="562FDDDF">
      <w:pPr>
        <w:ind w:firstLine="420" w:firstLineChars="200"/>
        <w:rPr>
          <w:rFonts w:ascii="宋体" w:hAnsi="宋体" w:cs="宋体"/>
          <w:color w:val="auto"/>
          <w:highlight w:val="none"/>
          <w:u w:val="none"/>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8</w:t>
      </w:r>
      <w:r>
        <w:rPr>
          <w:rFonts w:hint="eastAsia" w:ascii="宋体" w:hAnsi="宋体" w:cs="宋体"/>
          <w:color w:val="auto"/>
          <w:highlight w:val="none"/>
          <w:u w:val="none"/>
        </w:rPr>
        <w:t>）水、电设施损坏整改时限为2个小时至</w:t>
      </w:r>
      <w:r>
        <w:rPr>
          <w:rFonts w:hint="eastAsia" w:ascii="宋体" w:hAnsi="宋体" w:cs="宋体"/>
          <w:color w:val="auto"/>
          <w:highlight w:val="none"/>
          <w:u w:val="none"/>
          <w:lang w:val="en-US" w:eastAsia="zh-CN"/>
        </w:rPr>
        <w:t>7</w:t>
      </w:r>
      <w:r>
        <w:rPr>
          <w:rFonts w:hint="eastAsia" w:ascii="宋体" w:hAnsi="宋体" w:cs="宋体"/>
          <w:color w:val="auto"/>
          <w:highlight w:val="none"/>
          <w:u w:val="none"/>
        </w:rPr>
        <w:t>天；</w:t>
      </w:r>
    </w:p>
    <w:p w14:paraId="1F3A26F9">
      <w:pPr>
        <w:ind w:firstLine="420" w:firstLineChars="200"/>
        <w:rPr>
          <w:rFonts w:hint="default" w:ascii="宋体" w:hAnsi="宋体" w:eastAsia="宋体" w:cs="宋体"/>
          <w:color w:val="auto"/>
          <w:highlight w:val="none"/>
          <w:u w:val="none"/>
          <w:lang w:val="en-US" w:eastAsia="zh-CN"/>
        </w:rPr>
      </w:pPr>
      <w:r>
        <w:rPr>
          <w:rFonts w:hint="eastAsia" w:ascii="宋体" w:hAnsi="宋体" w:cs="宋体"/>
          <w:color w:val="auto"/>
          <w:highlight w:val="none"/>
          <w:u w:val="none"/>
        </w:rPr>
        <w:t>（</w:t>
      </w:r>
      <w:r>
        <w:rPr>
          <w:rFonts w:hint="eastAsia" w:ascii="宋体" w:hAnsi="宋体" w:cs="宋体"/>
          <w:color w:val="auto"/>
          <w:highlight w:val="none"/>
          <w:u w:val="none"/>
          <w:lang w:val="en-US" w:eastAsia="zh-CN"/>
        </w:rPr>
        <w:t>9</w:t>
      </w:r>
      <w:r>
        <w:rPr>
          <w:rFonts w:hint="eastAsia" w:ascii="宋体" w:hAnsi="宋体" w:cs="宋体"/>
          <w:color w:val="auto"/>
          <w:highlight w:val="none"/>
          <w:u w:val="none"/>
        </w:rPr>
        <w:t>）</w:t>
      </w:r>
      <w:r>
        <w:rPr>
          <w:rFonts w:hint="eastAsia" w:ascii="宋体" w:hAnsi="宋体" w:cs="宋体"/>
          <w:color w:val="auto"/>
          <w:highlight w:val="none"/>
          <w:u w:val="none"/>
          <w:lang w:eastAsia="zh-CN"/>
        </w:rPr>
        <w:t>道路绿化养护智慧化管理平台故障整改时限为</w:t>
      </w:r>
      <w:r>
        <w:rPr>
          <w:rFonts w:hint="eastAsia" w:ascii="宋体" w:hAnsi="宋体" w:cs="宋体"/>
          <w:color w:val="auto"/>
          <w:highlight w:val="none"/>
          <w:u w:val="none"/>
          <w:lang w:val="en-US" w:eastAsia="zh-CN"/>
        </w:rPr>
        <w:t>4小时</w:t>
      </w:r>
      <w:r>
        <w:rPr>
          <w:rFonts w:hint="eastAsia" w:ascii="宋体" w:hAnsi="宋体" w:cs="宋体"/>
          <w:color w:val="auto"/>
          <w:sz w:val="18"/>
          <w:szCs w:val="18"/>
          <w:highlight w:val="none"/>
          <w:u w:val="none"/>
          <w:lang w:eastAsia="zh-CN"/>
        </w:rPr>
        <w:t>～</w:t>
      </w:r>
      <w:r>
        <w:rPr>
          <w:rFonts w:hint="eastAsia" w:ascii="宋体" w:hAnsi="宋体" w:cs="宋体"/>
          <w:color w:val="auto"/>
          <w:highlight w:val="none"/>
          <w:u w:val="none"/>
          <w:lang w:val="en-US" w:eastAsia="zh-CN"/>
        </w:rPr>
        <w:t>2天；</w:t>
      </w:r>
    </w:p>
    <w:p w14:paraId="02B17DB7">
      <w:pPr>
        <w:ind w:firstLine="420" w:firstLineChars="200"/>
        <w:rPr>
          <w:rFonts w:ascii="宋体" w:hAnsi="宋体" w:cs="宋体"/>
          <w:color w:val="auto"/>
          <w:highlight w:val="none"/>
          <w:u w:val="none"/>
        </w:rPr>
      </w:pPr>
      <w:r>
        <w:rPr>
          <w:rFonts w:hint="eastAsia" w:ascii="宋体" w:hAnsi="宋体" w:cs="宋体"/>
          <w:color w:val="auto"/>
          <w:highlight w:val="none"/>
          <w:u w:val="none"/>
          <w:lang w:eastAsia="zh-CN"/>
        </w:rPr>
        <w:t>（</w:t>
      </w:r>
      <w:r>
        <w:rPr>
          <w:rFonts w:hint="eastAsia" w:ascii="宋体" w:hAnsi="宋体" w:cs="宋体"/>
          <w:color w:val="auto"/>
          <w:highlight w:val="none"/>
          <w:u w:val="none"/>
          <w:lang w:val="en-US" w:eastAsia="zh-CN"/>
        </w:rPr>
        <w:t>10</w:t>
      </w:r>
      <w:r>
        <w:rPr>
          <w:rFonts w:hint="eastAsia" w:ascii="宋体" w:hAnsi="宋体" w:cs="宋体"/>
          <w:color w:val="auto"/>
          <w:highlight w:val="none"/>
          <w:u w:val="none"/>
          <w:lang w:eastAsia="zh-CN"/>
        </w:rPr>
        <w:t>）养护</w:t>
      </w:r>
      <w:r>
        <w:rPr>
          <w:rFonts w:hint="eastAsia" w:ascii="宋体" w:hAnsi="宋体" w:cs="宋体"/>
          <w:color w:val="auto"/>
          <w:highlight w:val="none"/>
          <w:u w:val="none"/>
        </w:rPr>
        <w:t>管理</w:t>
      </w:r>
      <w:r>
        <w:rPr>
          <w:rFonts w:hint="eastAsia" w:ascii="宋体" w:hAnsi="宋体" w:cs="宋体"/>
          <w:color w:val="auto"/>
          <w:highlight w:val="none"/>
          <w:u w:val="none"/>
          <w:lang w:eastAsia="zh-CN"/>
        </w:rPr>
        <w:t>用</w:t>
      </w:r>
      <w:r>
        <w:rPr>
          <w:rFonts w:hint="eastAsia" w:ascii="宋体" w:hAnsi="宋体" w:cs="宋体"/>
          <w:color w:val="auto"/>
          <w:highlight w:val="none"/>
          <w:u w:val="none"/>
        </w:rPr>
        <w:t>房等整改时限为15天。</w:t>
      </w:r>
    </w:p>
    <w:p w14:paraId="3E97B9EB">
      <w:pPr>
        <w:ind w:firstLine="420" w:firstLineChars="200"/>
        <w:rPr>
          <w:rFonts w:ascii="黑体" w:hAnsi="黑体" w:eastAsia="黑体" w:cs="宋体"/>
          <w:color w:val="auto"/>
          <w:sz w:val="32"/>
          <w:szCs w:val="32"/>
          <w:highlight w:val="none"/>
          <w:u w:val="none"/>
        </w:rPr>
      </w:pPr>
      <w:bookmarkStart w:id="151" w:name="_Toc438629328"/>
      <w:r>
        <w:rPr>
          <w:rFonts w:hint="eastAsia" w:ascii="宋体" w:hAnsi="宋体" w:cs="宋体"/>
          <w:color w:val="auto"/>
          <w:highlight w:val="none"/>
          <w:u w:val="none"/>
        </w:rPr>
        <w:t>以上情况检查人员可视具体时间、具体路段及工作量适当调整。</w:t>
      </w:r>
      <w:bookmarkEnd w:id="151"/>
    </w:p>
    <w:p w14:paraId="7AF7C09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1F17F61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6CEAA61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70280FA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3C3300A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7972CB8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14FF7B0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33EC3E9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6640F06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1FE4F33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5D9FAAB9">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38FFD8C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4718F93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黑体" w:hAnsi="黑体" w:eastAsia="黑体" w:cs="宋体"/>
          <w:color w:val="auto"/>
          <w:sz w:val="32"/>
          <w:szCs w:val="32"/>
          <w:highlight w:val="none"/>
        </w:rPr>
      </w:pPr>
    </w:p>
    <w:p w14:paraId="1ADAE2A1">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default" w:ascii="黑体" w:hAnsi="黑体" w:eastAsia="黑体" w:cs="宋体"/>
          <w:color w:val="auto"/>
          <w:sz w:val="32"/>
          <w:szCs w:val="32"/>
          <w:highlight w:val="none"/>
          <w:lang w:val="en-US" w:eastAsia="zh-CN"/>
        </w:rPr>
      </w:pPr>
      <w:r>
        <w:rPr>
          <w:rFonts w:hint="eastAsia" w:ascii="黑体" w:hAnsi="黑体" w:eastAsia="黑体" w:cs="宋体"/>
          <w:color w:val="auto"/>
          <w:sz w:val="32"/>
          <w:szCs w:val="32"/>
          <w:highlight w:val="none"/>
        </w:rPr>
        <w:t>附件</w:t>
      </w:r>
      <w:r>
        <w:rPr>
          <w:rFonts w:hint="eastAsia" w:ascii="黑体" w:hAnsi="黑体" w:eastAsia="黑体" w:cs="宋体"/>
          <w:color w:val="auto"/>
          <w:sz w:val="32"/>
          <w:szCs w:val="32"/>
          <w:highlight w:val="none"/>
          <w:lang w:val="en-US" w:eastAsia="zh-CN"/>
        </w:rPr>
        <w:t>3-2：南宁市绿化工程管理中心道路绿化养护市场化管理养护效果考核评分表（2024版）</w:t>
      </w:r>
      <w:bookmarkEnd w:id="150"/>
    </w:p>
    <w:p w14:paraId="503FB44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b/>
          <w:color w:val="auto"/>
          <w:szCs w:val="21"/>
          <w:highlight w:val="none"/>
        </w:rPr>
      </w:pPr>
    </w:p>
    <w:p w14:paraId="6248CE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方正小标宋_GBK" w:hAnsi="宋体" w:eastAsia="方正小标宋_GBK" w:cs="宋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南宁市绿化工程管理中心道路绿化养护市场化管理养护效果考核评分表（202</w:t>
      </w:r>
      <w:r>
        <w:rPr>
          <w:rFonts w:hint="eastAsia" w:ascii="方正小标宋简体" w:hAnsi="方正小标宋简体" w:eastAsia="方正小标宋简体" w:cs="方正小标宋简体"/>
          <w:color w:val="auto"/>
          <w:sz w:val="44"/>
          <w:szCs w:val="44"/>
          <w:highlight w:val="none"/>
          <w:lang w:val="en-US" w:eastAsia="zh-CN"/>
        </w:rPr>
        <w:t>4</w:t>
      </w:r>
      <w:r>
        <w:rPr>
          <w:rFonts w:hint="eastAsia" w:ascii="方正小标宋简体" w:hAnsi="方正小标宋简体" w:eastAsia="方正小标宋简体" w:cs="方正小标宋简体"/>
          <w:color w:val="auto"/>
          <w:sz w:val="44"/>
          <w:szCs w:val="44"/>
          <w:highlight w:val="none"/>
        </w:rPr>
        <w:t>版）</w:t>
      </w:r>
    </w:p>
    <w:p w14:paraId="11235B5B">
      <w:pPr>
        <w:keepNext w:val="0"/>
        <w:keepLines w:val="0"/>
        <w:pageBreakBefore w:val="0"/>
        <w:kinsoku/>
        <w:overflowPunct/>
        <w:topLinePunct w:val="0"/>
        <w:bidi w:val="0"/>
        <w:snapToGrid/>
        <w:spacing w:line="360" w:lineRule="auto"/>
        <w:outlineLvl w:val="9"/>
        <w:rPr>
          <w:rFonts w:ascii="方正小标宋_GBK" w:hAnsi="宋体" w:eastAsia="方正小标宋_GBK" w:cs="宋体"/>
          <w:color w:val="auto"/>
          <w:sz w:val="44"/>
          <w:szCs w:val="44"/>
          <w:highlight w:val="none"/>
        </w:rPr>
      </w:pPr>
      <w:r>
        <w:rPr>
          <w:rFonts w:hint="eastAsia" w:ascii="宋体" w:hAnsi="宋体" w:cs="宋体"/>
          <w:b/>
          <w:bCs/>
          <w:color w:val="auto"/>
          <w:sz w:val="28"/>
          <w:szCs w:val="28"/>
          <w:highlight w:val="none"/>
        </w:rPr>
        <w:t>一、各养护级别绿地养护效果评分表</w:t>
      </w:r>
    </w:p>
    <w:tbl>
      <w:tblPr>
        <w:tblStyle w:val="20"/>
        <w:tblW w:w="9097" w:type="dxa"/>
        <w:jc w:val="center"/>
        <w:tblLayout w:type="fixed"/>
        <w:tblCellMar>
          <w:top w:w="0" w:type="dxa"/>
          <w:left w:w="108" w:type="dxa"/>
          <w:bottom w:w="0" w:type="dxa"/>
          <w:right w:w="108" w:type="dxa"/>
        </w:tblCellMar>
      </w:tblPr>
      <w:tblGrid>
        <w:gridCol w:w="525"/>
        <w:gridCol w:w="4653"/>
        <w:gridCol w:w="720"/>
        <w:gridCol w:w="768"/>
        <w:gridCol w:w="727"/>
        <w:gridCol w:w="566"/>
        <w:gridCol w:w="565"/>
        <w:gridCol w:w="573"/>
      </w:tblGrid>
      <w:tr w14:paraId="2690407D">
        <w:tblPrEx>
          <w:tblCellMar>
            <w:top w:w="0" w:type="dxa"/>
            <w:left w:w="108" w:type="dxa"/>
            <w:bottom w:w="0" w:type="dxa"/>
            <w:right w:w="108" w:type="dxa"/>
          </w:tblCellMar>
        </w:tblPrEx>
        <w:trPr>
          <w:trHeight w:val="570" w:hRule="atLeast"/>
          <w:jc w:val="center"/>
        </w:trPr>
        <w:tc>
          <w:tcPr>
            <w:tcW w:w="9097" w:type="dxa"/>
            <w:gridSpan w:val="8"/>
            <w:vAlign w:val="center"/>
          </w:tcPr>
          <w:p w14:paraId="757B56B9">
            <w:pPr>
              <w:keepNext w:val="0"/>
              <w:keepLines w:val="0"/>
              <w:pageBreakBefore w:val="0"/>
              <w:kinsoku/>
              <w:overflowPunct/>
              <w:topLinePunct w:val="0"/>
              <w:bidi w:val="0"/>
              <w:snapToGrid/>
              <w:spacing w:line="36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1．一级绿地养护效果评分表</w:t>
            </w:r>
          </w:p>
        </w:tc>
      </w:tr>
      <w:tr w14:paraId="2E1B0592">
        <w:tblPrEx>
          <w:tblCellMar>
            <w:top w:w="0" w:type="dxa"/>
            <w:left w:w="108" w:type="dxa"/>
            <w:bottom w:w="0" w:type="dxa"/>
            <w:right w:w="108" w:type="dxa"/>
          </w:tblCellMar>
        </w:tblPrEx>
        <w:trPr>
          <w:trHeight w:val="660" w:hRule="atLeast"/>
          <w:jc w:val="center"/>
        </w:trPr>
        <w:tc>
          <w:tcPr>
            <w:tcW w:w="525" w:type="dxa"/>
            <w:vAlign w:val="center"/>
          </w:tcPr>
          <w:p w14:paraId="20AFE85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p>
        </w:tc>
        <w:tc>
          <w:tcPr>
            <w:tcW w:w="8572" w:type="dxa"/>
            <w:gridSpan w:val="7"/>
            <w:tcBorders>
              <w:top w:val="nil"/>
              <w:left w:val="nil"/>
              <w:bottom w:val="single" w:color="auto" w:sz="4" w:space="0"/>
              <w:right w:val="nil"/>
            </w:tcBorders>
            <w:vAlign w:val="center"/>
          </w:tcPr>
          <w:p w14:paraId="6B5785A4">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067D7771">
        <w:tblPrEx>
          <w:tblCellMar>
            <w:top w:w="0" w:type="dxa"/>
            <w:left w:w="108" w:type="dxa"/>
            <w:bottom w:w="0" w:type="dxa"/>
            <w:right w:w="108" w:type="dxa"/>
          </w:tblCellMar>
        </w:tblPrEx>
        <w:trPr>
          <w:trHeight w:val="540"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3169836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53" w:type="dxa"/>
            <w:tcBorders>
              <w:top w:val="single" w:color="auto" w:sz="4" w:space="0"/>
              <w:left w:val="nil"/>
              <w:bottom w:val="single" w:color="auto" w:sz="4" w:space="0"/>
              <w:right w:val="single" w:color="auto" w:sz="4" w:space="0"/>
            </w:tcBorders>
            <w:vAlign w:val="center"/>
          </w:tcPr>
          <w:p w14:paraId="22F9863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20" w:type="dxa"/>
            <w:tcBorders>
              <w:top w:val="single" w:color="auto" w:sz="4" w:space="0"/>
              <w:left w:val="nil"/>
              <w:bottom w:val="single" w:color="auto" w:sz="4" w:space="0"/>
              <w:right w:val="single" w:color="auto" w:sz="4" w:space="0"/>
            </w:tcBorders>
            <w:vAlign w:val="center"/>
          </w:tcPr>
          <w:p w14:paraId="70D6DA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nil"/>
              <w:bottom w:val="single" w:color="auto" w:sz="4" w:space="0"/>
              <w:right w:val="single" w:color="auto" w:sz="4" w:space="0"/>
            </w:tcBorders>
            <w:vAlign w:val="center"/>
          </w:tcPr>
          <w:p w14:paraId="242691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431" w:type="dxa"/>
            <w:gridSpan w:val="4"/>
            <w:tcBorders>
              <w:top w:val="single" w:color="auto" w:sz="4" w:space="0"/>
              <w:left w:val="nil"/>
              <w:bottom w:val="single" w:color="auto" w:sz="4" w:space="0"/>
              <w:right w:val="single" w:color="auto" w:sz="4" w:space="0"/>
            </w:tcBorders>
            <w:vAlign w:val="center"/>
          </w:tcPr>
          <w:p w14:paraId="1CEE24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46E99A97">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33C5AF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4653" w:type="dxa"/>
            <w:tcBorders>
              <w:top w:val="nil"/>
              <w:left w:val="nil"/>
              <w:bottom w:val="single" w:color="auto" w:sz="4" w:space="0"/>
              <w:right w:val="single" w:color="auto" w:sz="4" w:space="0"/>
            </w:tcBorders>
            <w:vAlign w:val="center"/>
          </w:tcPr>
          <w:p w14:paraId="09BF19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20" w:type="dxa"/>
            <w:tcBorders>
              <w:top w:val="nil"/>
              <w:left w:val="nil"/>
              <w:bottom w:val="single" w:color="auto" w:sz="4" w:space="0"/>
              <w:right w:val="single" w:color="auto" w:sz="4" w:space="0"/>
            </w:tcBorders>
            <w:vAlign w:val="center"/>
          </w:tcPr>
          <w:p w14:paraId="26B7255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781A3AA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2209000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73F46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19E60C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3686CDD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198B93D">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6EC4D66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653" w:type="dxa"/>
            <w:tcBorders>
              <w:top w:val="nil"/>
              <w:left w:val="nil"/>
              <w:bottom w:val="single" w:color="auto" w:sz="4" w:space="0"/>
              <w:right w:val="single" w:color="auto" w:sz="4" w:space="0"/>
            </w:tcBorders>
            <w:vAlign w:val="center"/>
          </w:tcPr>
          <w:p w14:paraId="2F83D3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整体景观效果优良，植物生长良好，层次分明，植物干净无明显积尘。</w:t>
            </w:r>
          </w:p>
        </w:tc>
        <w:tc>
          <w:tcPr>
            <w:tcW w:w="720" w:type="dxa"/>
            <w:tcBorders>
              <w:top w:val="nil"/>
              <w:left w:val="nil"/>
              <w:bottom w:val="single" w:color="auto" w:sz="4" w:space="0"/>
              <w:right w:val="single" w:color="auto" w:sz="4" w:space="0"/>
            </w:tcBorders>
            <w:vAlign w:val="center"/>
          </w:tcPr>
          <w:p w14:paraId="23C2B03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center"/>
          </w:tcPr>
          <w:p w14:paraId="7A059F3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A48A6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9FA3A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2E83C8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2DE36F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0F21863">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5D64F8E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4653" w:type="dxa"/>
            <w:tcBorders>
              <w:top w:val="nil"/>
              <w:left w:val="nil"/>
              <w:bottom w:val="single" w:color="auto" w:sz="4" w:space="0"/>
              <w:right w:val="single" w:color="auto" w:sz="4" w:space="0"/>
            </w:tcBorders>
            <w:vAlign w:val="center"/>
          </w:tcPr>
          <w:p w14:paraId="55A8AC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20" w:type="dxa"/>
            <w:tcBorders>
              <w:top w:val="nil"/>
              <w:left w:val="nil"/>
              <w:bottom w:val="single" w:color="auto" w:sz="4" w:space="0"/>
              <w:right w:val="single" w:color="auto" w:sz="4" w:space="0"/>
            </w:tcBorders>
            <w:vAlign w:val="center"/>
          </w:tcPr>
          <w:p w14:paraId="753F80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B6496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45DDD8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14B02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115DD79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670699B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D0ACDC3">
        <w:tblPrEx>
          <w:tblCellMar>
            <w:top w:w="0" w:type="dxa"/>
            <w:left w:w="108" w:type="dxa"/>
            <w:bottom w:w="0" w:type="dxa"/>
            <w:right w:w="108" w:type="dxa"/>
          </w:tblCellMar>
        </w:tblPrEx>
        <w:trPr>
          <w:trHeight w:val="780" w:hRule="atLeast"/>
          <w:jc w:val="center"/>
        </w:trPr>
        <w:tc>
          <w:tcPr>
            <w:tcW w:w="525" w:type="dxa"/>
            <w:tcBorders>
              <w:top w:val="nil"/>
              <w:left w:val="single" w:color="auto" w:sz="4" w:space="0"/>
              <w:bottom w:val="single" w:color="auto" w:sz="4" w:space="0"/>
              <w:right w:val="single" w:color="auto" w:sz="4" w:space="0"/>
            </w:tcBorders>
            <w:vAlign w:val="center"/>
          </w:tcPr>
          <w:p w14:paraId="1730D51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42E85E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生长：生长良好,符合物候状况;树体正直不偏斜;枝叶健壮、茂盛；叶色、形状、大小正常;观花植物适时开花。</w:t>
            </w:r>
          </w:p>
        </w:tc>
        <w:tc>
          <w:tcPr>
            <w:tcW w:w="720" w:type="dxa"/>
            <w:tcBorders>
              <w:top w:val="nil"/>
              <w:left w:val="nil"/>
              <w:bottom w:val="single" w:color="auto" w:sz="4" w:space="0"/>
              <w:right w:val="single" w:color="auto" w:sz="4" w:space="0"/>
            </w:tcBorders>
            <w:vAlign w:val="center"/>
          </w:tcPr>
          <w:p w14:paraId="3088171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68" w:type="dxa"/>
            <w:tcBorders>
              <w:top w:val="nil"/>
              <w:left w:val="nil"/>
              <w:bottom w:val="single" w:color="auto" w:sz="4" w:space="0"/>
              <w:right w:val="single" w:color="auto" w:sz="4" w:space="0"/>
            </w:tcBorders>
            <w:vAlign w:val="center"/>
          </w:tcPr>
          <w:p w14:paraId="2409B5E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2A354ED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5F5135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B4B59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4FE10F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6D8A19">
        <w:tblPrEx>
          <w:tblCellMar>
            <w:top w:w="0" w:type="dxa"/>
            <w:left w:w="108" w:type="dxa"/>
            <w:bottom w:w="0" w:type="dxa"/>
            <w:right w:w="108" w:type="dxa"/>
          </w:tblCellMar>
        </w:tblPrEx>
        <w:trPr>
          <w:trHeight w:val="3718" w:hRule="atLeast"/>
          <w:jc w:val="center"/>
        </w:trPr>
        <w:tc>
          <w:tcPr>
            <w:tcW w:w="525" w:type="dxa"/>
            <w:tcBorders>
              <w:top w:val="nil"/>
              <w:left w:val="single" w:color="auto" w:sz="4" w:space="0"/>
              <w:bottom w:val="single" w:color="auto" w:sz="4" w:space="0"/>
              <w:right w:val="single" w:color="auto" w:sz="4" w:space="0"/>
            </w:tcBorders>
            <w:vAlign w:val="center"/>
          </w:tcPr>
          <w:p w14:paraId="04F41C3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574955A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乔木修整：维持树种特征，树冠丰满匀称,分枝合理，无明显交叉枝、低垂枝、伤残枝、过密枝。剪口平整,无损皮现象,枝干无明显伤残现象。</w:t>
            </w:r>
          </w:p>
        </w:tc>
        <w:tc>
          <w:tcPr>
            <w:tcW w:w="720" w:type="dxa"/>
            <w:tcBorders>
              <w:top w:val="nil"/>
              <w:left w:val="nil"/>
              <w:bottom w:val="single" w:color="auto" w:sz="4" w:space="0"/>
              <w:right w:val="single" w:color="auto" w:sz="4" w:space="0"/>
            </w:tcBorders>
            <w:vAlign w:val="center"/>
          </w:tcPr>
          <w:p w14:paraId="082AE10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69E02A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672250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1FED640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6061046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D4EE95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76360D">
        <w:tblPrEx>
          <w:tblCellMar>
            <w:top w:w="0" w:type="dxa"/>
            <w:left w:w="108" w:type="dxa"/>
            <w:bottom w:w="0" w:type="dxa"/>
            <w:right w:w="108" w:type="dxa"/>
          </w:tblCellMar>
        </w:tblPrEx>
        <w:trPr>
          <w:trHeight w:val="540"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28CDF6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53" w:type="dxa"/>
            <w:tcBorders>
              <w:top w:val="single" w:color="auto" w:sz="4" w:space="0"/>
              <w:left w:val="nil"/>
              <w:bottom w:val="single" w:color="auto" w:sz="4" w:space="0"/>
              <w:right w:val="single" w:color="auto" w:sz="4" w:space="0"/>
            </w:tcBorders>
            <w:vAlign w:val="center"/>
          </w:tcPr>
          <w:p w14:paraId="5604A7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20" w:type="dxa"/>
            <w:tcBorders>
              <w:top w:val="single" w:color="auto" w:sz="4" w:space="0"/>
              <w:left w:val="nil"/>
              <w:bottom w:val="single" w:color="auto" w:sz="4" w:space="0"/>
              <w:right w:val="single" w:color="auto" w:sz="4" w:space="0"/>
            </w:tcBorders>
            <w:vAlign w:val="center"/>
          </w:tcPr>
          <w:p w14:paraId="7E8AAE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nil"/>
              <w:bottom w:val="single" w:color="auto" w:sz="4" w:space="0"/>
              <w:right w:val="single" w:color="auto" w:sz="4" w:space="0"/>
            </w:tcBorders>
            <w:vAlign w:val="center"/>
          </w:tcPr>
          <w:p w14:paraId="3F1199D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431" w:type="dxa"/>
            <w:gridSpan w:val="4"/>
            <w:tcBorders>
              <w:top w:val="single" w:color="auto" w:sz="4" w:space="0"/>
              <w:left w:val="nil"/>
              <w:bottom w:val="single" w:color="auto" w:sz="4" w:space="0"/>
              <w:right w:val="single" w:color="auto" w:sz="4" w:space="0"/>
            </w:tcBorders>
            <w:vAlign w:val="center"/>
          </w:tcPr>
          <w:p w14:paraId="4ACB11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3523042A">
        <w:tblPrEx>
          <w:tblCellMar>
            <w:top w:w="0" w:type="dxa"/>
            <w:left w:w="108" w:type="dxa"/>
            <w:bottom w:w="0" w:type="dxa"/>
            <w:right w:w="108" w:type="dxa"/>
          </w:tblCellMar>
        </w:tblPrEx>
        <w:trPr>
          <w:trHeight w:val="540" w:hRule="atLeast"/>
          <w:jc w:val="center"/>
        </w:trPr>
        <w:tc>
          <w:tcPr>
            <w:tcW w:w="525" w:type="dxa"/>
            <w:tcBorders>
              <w:top w:val="nil"/>
              <w:left w:val="single" w:color="auto" w:sz="4" w:space="0"/>
              <w:bottom w:val="single" w:color="auto" w:sz="4" w:space="0"/>
              <w:right w:val="single" w:color="auto" w:sz="4" w:space="0"/>
            </w:tcBorders>
            <w:vAlign w:val="center"/>
          </w:tcPr>
          <w:p w14:paraId="6222CC1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53" w:type="dxa"/>
            <w:tcBorders>
              <w:top w:val="nil"/>
              <w:left w:val="nil"/>
              <w:bottom w:val="single" w:color="auto" w:sz="4" w:space="0"/>
              <w:right w:val="single" w:color="auto" w:sz="4" w:space="0"/>
            </w:tcBorders>
            <w:vAlign w:val="center"/>
          </w:tcPr>
          <w:p w14:paraId="46AE12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钉挂物、干枯枝等：无死株及死树桩头。树木无明显干枯枝及枯黄枝叶，无钉挂物、铁丝等缠绕物。</w:t>
            </w:r>
          </w:p>
        </w:tc>
        <w:tc>
          <w:tcPr>
            <w:tcW w:w="720" w:type="dxa"/>
            <w:tcBorders>
              <w:top w:val="nil"/>
              <w:left w:val="nil"/>
              <w:bottom w:val="single" w:color="auto" w:sz="4" w:space="0"/>
              <w:right w:val="single" w:color="auto" w:sz="4" w:space="0"/>
            </w:tcBorders>
            <w:vAlign w:val="center"/>
          </w:tcPr>
          <w:p w14:paraId="5742C2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11E4F9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F37D4C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3B6A43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4D626A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BF804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A1BD3E">
        <w:tblPrEx>
          <w:tblCellMar>
            <w:top w:w="0" w:type="dxa"/>
            <w:left w:w="108" w:type="dxa"/>
            <w:bottom w:w="0" w:type="dxa"/>
            <w:right w:w="108" w:type="dxa"/>
          </w:tblCellMar>
        </w:tblPrEx>
        <w:trPr>
          <w:trHeight w:val="410" w:hRule="atLeast"/>
          <w:jc w:val="center"/>
        </w:trPr>
        <w:tc>
          <w:tcPr>
            <w:tcW w:w="525" w:type="dxa"/>
            <w:tcBorders>
              <w:top w:val="nil"/>
              <w:left w:val="single" w:color="auto" w:sz="4" w:space="0"/>
              <w:bottom w:val="single" w:color="auto" w:sz="4" w:space="0"/>
              <w:right w:val="single" w:color="auto" w:sz="4" w:space="0"/>
            </w:tcBorders>
            <w:vAlign w:val="center"/>
          </w:tcPr>
          <w:p w14:paraId="0A2852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4653" w:type="dxa"/>
            <w:tcBorders>
              <w:top w:val="nil"/>
              <w:left w:val="nil"/>
              <w:bottom w:val="single" w:color="auto" w:sz="4" w:space="0"/>
              <w:right w:val="single" w:color="auto" w:sz="4" w:space="0"/>
            </w:tcBorders>
            <w:vAlign w:val="center"/>
          </w:tcPr>
          <w:p w14:paraId="2DD8C5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720" w:type="dxa"/>
            <w:tcBorders>
              <w:top w:val="nil"/>
              <w:left w:val="nil"/>
              <w:bottom w:val="single" w:color="auto" w:sz="4" w:space="0"/>
              <w:right w:val="single" w:color="auto" w:sz="4" w:space="0"/>
            </w:tcBorders>
            <w:vAlign w:val="center"/>
          </w:tcPr>
          <w:p w14:paraId="36E182F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424D9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6D07379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43C186B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012B4D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595236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AEA73C5">
        <w:tblPrEx>
          <w:tblCellMar>
            <w:top w:w="0" w:type="dxa"/>
            <w:left w:w="108" w:type="dxa"/>
            <w:bottom w:w="0" w:type="dxa"/>
            <w:right w:w="108" w:type="dxa"/>
          </w:tblCellMar>
        </w:tblPrEx>
        <w:trPr>
          <w:trHeight w:val="540" w:hRule="atLeast"/>
          <w:jc w:val="center"/>
        </w:trPr>
        <w:tc>
          <w:tcPr>
            <w:tcW w:w="525" w:type="dxa"/>
            <w:tcBorders>
              <w:top w:val="nil"/>
              <w:left w:val="single" w:color="auto" w:sz="4" w:space="0"/>
              <w:bottom w:val="single" w:color="auto" w:sz="4" w:space="0"/>
              <w:right w:val="single" w:color="auto" w:sz="4" w:space="0"/>
            </w:tcBorders>
            <w:vAlign w:val="center"/>
          </w:tcPr>
          <w:p w14:paraId="2A97D65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178585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生长：生长良好，符合物候状况，枝粗叶壮，树体正直不偏斜。叶色、叶形、大小正常，观花植物适时开花。</w:t>
            </w:r>
          </w:p>
        </w:tc>
        <w:tc>
          <w:tcPr>
            <w:tcW w:w="720" w:type="dxa"/>
            <w:tcBorders>
              <w:top w:val="nil"/>
              <w:left w:val="nil"/>
              <w:bottom w:val="single" w:color="auto" w:sz="4" w:space="0"/>
              <w:right w:val="single" w:color="auto" w:sz="4" w:space="0"/>
            </w:tcBorders>
            <w:vAlign w:val="center"/>
          </w:tcPr>
          <w:p w14:paraId="71BDF7B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68" w:type="dxa"/>
            <w:tcBorders>
              <w:top w:val="nil"/>
              <w:left w:val="nil"/>
              <w:bottom w:val="single" w:color="auto" w:sz="4" w:space="0"/>
              <w:right w:val="single" w:color="auto" w:sz="4" w:space="0"/>
            </w:tcBorders>
            <w:vAlign w:val="center"/>
          </w:tcPr>
          <w:p w14:paraId="10C957E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707F709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7117E8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164AF7F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6303BA2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6BC15D1">
        <w:tblPrEx>
          <w:tblCellMar>
            <w:top w:w="0" w:type="dxa"/>
            <w:left w:w="108" w:type="dxa"/>
            <w:bottom w:w="0" w:type="dxa"/>
            <w:right w:w="108" w:type="dxa"/>
          </w:tblCellMar>
        </w:tblPrEx>
        <w:trPr>
          <w:trHeight w:val="540" w:hRule="atLeast"/>
          <w:jc w:val="center"/>
        </w:trPr>
        <w:tc>
          <w:tcPr>
            <w:tcW w:w="525" w:type="dxa"/>
            <w:tcBorders>
              <w:top w:val="nil"/>
              <w:left w:val="single" w:color="auto" w:sz="4" w:space="0"/>
              <w:bottom w:val="single" w:color="auto" w:sz="4" w:space="0"/>
              <w:right w:val="single" w:color="auto" w:sz="4" w:space="0"/>
            </w:tcBorders>
            <w:vAlign w:val="center"/>
          </w:tcPr>
          <w:p w14:paraId="68FCD6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15F6D7E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灌木修剪：树形整齐美观，按要求维持形状。严格按照规范要求进行修剪。</w:t>
            </w:r>
          </w:p>
        </w:tc>
        <w:tc>
          <w:tcPr>
            <w:tcW w:w="720" w:type="dxa"/>
            <w:tcBorders>
              <w:top w:val="nil"/>
              <w:left w:val="nil"/>
              <w:bottom w:val="single" w:color="auto" w:sz="4" w:space="0"/>
              <w:right w:val="single" w:color="auto" w:sz="4" w:space="0"/>
            </w:tcBorders>
            <w:vAlign w:val="center"/>
          </w:tcPr>
          <w:p w14:paraId="0ED3EC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179F356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56721B3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47C9E6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51B56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F82FB7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2201A2">
        <w:tblPrEx>
          <w:tblCellMar>
            <w:top w:w="0" w:type="dxa"/>
            <w:left w:w="108" w:type="dxa"/>
            <w:bottom w:w="0" w:type="dxa"/>
            <w:right w:w="108" w:type="dxa"/>
          </w:tblCellMar>
        </w:tblPrEx>
        <w:trPr>
          <w:trHeight w:val="540" w:hRule="atLeast"/>
          <w:jc w:val="center"/>
        </w:trPr>
        <w:tc>
          <w:tcPr>
            <w:tcW w:w="525" w:type="dxa"/>
            <w:tcBorders>
              <w:top w:val="nil"/>
              <w:left w:val="single" w:color="auto" w:sz="4" w:space="0"/>
              <w:bottom w:val="single" w:color="auto" w:sz="4" w:space="0"/>
              <w:right w:val="single" w:color="auto" w:sz="4" w:space="0"/>
            </w:tcBorders>
            <w:vAlign w:val="center"/>
          </w:tcPr>
          <w:p w14:paraId="041144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53" w:type="dxa"/>
            <w:tcBorders>
              <w:top w:val="nil"/>
              <w:left w:val="nil"/>
              <w:bottom w:val="single" w:color="auto" w:sz="4" w:space="0"/>
              <w:right w:val="single" w:color="auto" w:sz="4" w:space="0"/>
            </w:tcBorders>
            <w:vAlign w:val="center"/>
          </w:tcPr>
          <w:p w14:paraId="7DE6651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钉挂物、干枯枝等：无死株和干枯枝、伤残枝。树体无明显钉挂物、铁丝等缠绕物。</w:t>
            </w:r>
          </w:p>
        </w:tc>
        <w:tc>
          <w:tcPr>
            <w:tcW w:w="720" w:type="dxa"/>
            <w:tcBorders>
              <w:top w:val="nil"/>
              <w:left w:val="nil"/>
              <w:bottom w:val="single" w:color="auto" w:sz="4" w:space="0"/>
              <w:right w:val="single" w:color="auto" w:sz="4" w:space="0"/>
            </w:tcBorders>
            <w:vAlign w:val="center"/>
          </w:tcPr>
          <w:p w14:paraId="5236C4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4EA6B2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1CC284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5E33E1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452E42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3A1AC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6AA8A91">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0EAAA2C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4653" w:type="dxa"/>
            <w:tcBorders>
              <w:top w:val="nil"/>
              <w:left w:val="nil"/>
              <w:bottom w:val="single" w:color="auto" w:sz="4" w:space="0"/>
              <w:right w:val="single" w:color="auto" w:sz="4" w:space="0"/>
            </w:tcBorders>
            <w:vAlign w:val="center"/>
          </w:tcPr>
          <w:p w14:paraId="7843889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片植灌木、草本地被</w:t>
            </w:r>
          </w:p>
        </w:tc>
        <w:tc>
          <w:tcPr>
            <w:tcW w:w="720" w:type="dxa"/>
            <w:tcBorders>
              <w:top w:val="nil"/>
              <w:left w:val="nil"/>
              <w:bottom w:val="single" w:color="auto" w:sz="4" w:space="0"/>
              <w:right w:val="single" w:color="auto" w:sz="4" w:space="0"/>
            </w:tcBorders>
            <w:vAlign w:val="center"/>
          </w:tcPr>
          <w:p w14:paraId="10E1BC2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6CE1A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765595D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7DF5B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695D5F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E2CE7A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59B6155">
        <w:tblPrEx>
          <w:tblCellMar>
            <w:top w:w="0" w:type="dxa"/>
            <w:left w:w="108" w:type="dxa"/>
            <w:bottom w:w="0" w:type="dxa"/>
            <w:right w:w="108" w:type="dxa"/>
          </w:tblCellMar>
        </w:tblPrEx>
        <w:trPr>
          <w:trHeight w:val="765" w:hRule="atLeast"/>
          <w:jc w:val="center"/>
        </w:trPr>
        <w:tc>
          <w:tcPr>
            <w:tcW w:w="525" w:type="dxa"/>
            <w:tcBorders>
              <w:top w:val="nil"/>
              <w:left w:val="single" w:color="auto" w:sz="4" w:space="0"/>
              <w:bottom w:val="single" w:color="auto" w:sz="4" w:space="0"/>
              <w:right w:val="single" w:color="auto" w:sz="4" w:space="0"/>
            </w:tcBorders>
            <w:vAlign w:val="center"/>
          </w:tcPr>
          <w:p w14:paraId="4869514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106697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生长及外观:生长良好，色块丰满无缺；按修剪要求及时进行修剪，并控制合理高度。无杂草、干枯枝、伤残枝及黄叶。</w:t>
            </w:r>
          </w:p>
        </w:tc>
        <w:tc>
          <w:tcPr>
            <w:tcW w:w="720" w:type="dxa"/>
            <w:tcBorders>
              <w:top w:val="nil"/>
              <w:left w:val="nil"/>
              <w:bottom w:val="single" w:color="auto" w:sz="4" w:space="0"/>
              <w:right w:val="single" w:color="auto" w:sz="4" w:space="0"/>
            </w:tcBorders>
            <w:vAlign w:val="center"/>
          </w:tcPr>
          <w:p w14:paraId="2FB2B35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768" w:type="dxa"/>
            <w:tcBorders>
              <w:top w:val="nil"/>
              <w:left w:val="nil"/>
              <w:bottom w:val="single" w:color="auto" w:sz="4" w:space="0"/>
              <w:right w:val="single" w:color="auto" w:sz="4" w:space="0"/>
            </w:tcBorders>
            <w:vAlign w:val="center"/>
          </w:tcPr>
          <w:p w14:paraId="0EC3A0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609264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3AA0311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4EA4F4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5B7B7D6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1A8DB31">
        <w:tblPrEx>
          <w:tblCellMar>
            <w:top w:w="0" w:type="dxa"/>
            <w:left w:w="108" w:type="dxa"/>
            <w:bottom w:w="0" w:type="dxa"/>
            <w:right w:w="108" w:type="dxa"/>
          </w:tblCellMar>
        </w:tblPrEx>
        <w:trPr>
          <w:trHeight w:val="555" w:hRule="atLeast"/>
          <w:jc w:val="center"/>
        </w:trPr>
        <w:tc>
          <w:tcPr>
            <w:tcW w:w="525" w:type="dxa"/>
            <w:tcBorders>
              <w:top w:val="nil"/>
              <w:left w:val="single" w:color="auto" w:sz="4" w:space="0"/>
              <w:bottom w:val="single" w:color="auto" w:sz="4" w:space="0"/>
              <w:right w:val="single" w:color="auto" w:sz="4" w:space="0"/>
            </w:tcBorders>
            <w:vAlign w:val="center"/>
          </w:tcPr>
          <w:p w14:paraId="7A76BD8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28894A3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松土、勾边：土壤平整，疏松通透、湿润，无积水；勾边顺滑整齐、规范。</w:t>
            </w:r>
          </w:p>
        </w:tc>
        <w:tc>
          <w:tcPr>
            <w:tcW w:w="720" w:type="dxa"/>
            <w:tcBorders>
              <w:top w:val="nil"/>
              <w:left w:val="nil"/>
              <w:bottom w:val="single" w:color="auto" w:sz="4" w:space="0"/>
              <w:right w:val="single" w:color="auto" w:sz="4" w:space="0"/>
            </w:tcBorders>
            <w:vAlign w:val="center"/>
          </w:tcPr>
          <w:p w14:paraId="3FCD8F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226165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5D4C67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2BDB18D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16AADE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79E021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3365384">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32CE6D7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w:t>
            </w:r>
          </w:p>
        </w:tc>
        <w:tc>
          <w:tcPr>
            <w:tcW w:w="4653" w:type="dxa"/>
            <w:tcBorders>
              <w:top w:val="nil"/>
              <w:left w:val="nil"/>
              <w:bottom w:val="single" w:color="auto" w:sz="4" w:space="0"/>
              <w:right w:val="single" w:color="auto" w:sz="4" w:space="0"/>
            </w:tcBorders>
            <w:vAlign w:val="center"/>
          </w:tcPr>
          <w:p w14:paraId="6732CBF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720" w:type="dxa"/>
            <w:tcBorders>
              <w:top w:val="nil"/>
              <w:left w:val="nil"/>
              <w:bottom w:val="single" w:color="auto" w:sz="4" w:space="0"/>
              <w:right w:val="single" w:color="auto" w:sz="4" w:space="0"/>
            </w:tcBorders>
            <w:vAlign w:val="center"/>
          </w:tcPr>
          <w:p w14:paraId="3E4DF39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6D6E5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5B47B5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20FE49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7B4755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711573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C046329">
        <w:tblPrEx>
          <w:tblCellMar>
            <w:top w:w="0" w:type="dxa"/>
            <w:left w:w="108" w:type="dxa"/>
            <w:bottom w:w="0" w:type="dxa"/>
            <w:right w:w="108" w:type="dxa"/>
          </w:tblCellMar>
        </w:tblPrEx>
        <w:trPr>
          <w:trHeight w:val="1162" w:hRule="atLeast"/>
          <w:jc w:val="center"/>
        </w:trPr>
        <w:tc>
          <w:tcPr>
            <w:tcW w:w="525" w:type="dxa"/>
            <w:tcBorders>
              <w:top w:val="nil"/>
              <w:left w:val="single" w:color="auto" w:sz="4" w:space="0"/>
              <w:bottom w:val="single" w:color="auto" w:sz="4" w:space="0"/>
              <w:right w:val="single" w:color="auto" w:sz="4" w:space="0"/>
            </w:tcBorders>
            <w:vAlign w:val="center"/>
          </w:tcPr>
          <w:p w14:paraId="206498A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653" w:type="dxa"/>
            <w:tcBorders>
              <w:top w:val="nil"/>
              <w:left w:val="nil"/>
              <w:bottom w:val="single" w:color="auto" w:sz="4" w:space="0"/>
              <w:right w:val="single" w:color="auto" w:sz="4" w:space="0"/>
            </w:tcBorders>
            <w:vAlign w:val="center"/>
          </w:tcPr>
          <w:p w14:paraId="684FFE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大小适合，边线清晰，土面高度适当，培土规范。树盘干净整洁，无杂草及积水。土壤疏松、通透湿润。</w:t>
            </w:r>
          </w:p>
        </w:tc>
        <w:tc>
          <w:tcPr>
            <w:tcW w:w="720" w:type="dxa"/>
            <w:tcBorders>
              <w:top w:val="nil"/>
              <w:left w:val="nil"/>
              <w:bottom w:val="single" w:color="auto" w:sz="4" w:space="0"/>
              <w:right w:val="single" w:color="auto" w:sz="4" w:space="0"/>
            </w:tcBorders>
            <w:vAlign w:val="center"/>
          </w:tcPr>
          <w:p w14:paraId="2D6E23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center"/>
          </w:tcPr>
          <w:p w14:paraId="2F29EE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09ECCE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8AD297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CA533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53FD87F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7F5A71D">
        <w:tblPrEx>
          <w:tblCellMar>
            <w:top w:w="0" w:type="dxa"/>
            <w:left w:w="108" w:type="dxa"/>
            <w:bottom w:w="0" w:type="dxa"/>
            <w:right w:w="108" w:type="dxa"/>
          </w:tblCellMar>
        </w:tblPrEx>
        <w:trPr>
          <w:trHeight w:val="226" w:hRule="atLeast"/>
          <w:jc w:val="center"/>
        </w:trPr>
        <w:tc>
          <w:tcPr>
            <w:tcW w:w="525" w:type="dxa"/>
            <w:tcBorders>
              <w:top w:val="nil"/>
              <w:left w:val="single" w:color="auto" w:sz="4" w:space="0"/>
              <w:bottom w:val="single" w:color="auto" w:sz="4" w:space="0"/>
              <w:right w:val="single" w:color="auto" w:sz="4" w:space="0"/>
            </w:tcBorders>
            <w:vAlign w:val="center"/>
          </w:tcPr>
          <w:p w14:paraId="625D378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w:t>
            </w:r>
          </w:p>
        </w:tc>
        <w:tc>
          <w:tcPr>
            <w:tcW w:w="4653" w:type="dxa"/>
            <w:tcBorders>
              <w:top w:val="nil"/>
              <w:left w:val="nil"/>
              <w:bottom w:val="single" w:color="auto" w:sz="4" w:space="0"/>
              <w:right w:val="single" w:color="auto" w:sz="4" w:space="0"/>
            </w:tcBorders>
            <w:vAlign w:val="center"/>
          </w:tcPr>
          <w:p w14:paraId="483B3B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720" w:type="dxa"/>
            <w:tcBorders>
              <w:top w:val="nil"/>
              <w:left w:val="nil"/>
              <w:bottom w:val="single" w:color="auto" w:sz="4" w:space="0"/>
              <w:right w:val="single" w:color="auto" w:sz="4" w:space="0"/>
            </w:tcBorders>
            <w:vAlign w:val="center"/>
          </w:tcPr>
          <w:p w14:paraId="01436FB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3E5E0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6DE6602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63486AF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1A6DCE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73B2C8B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445C344">
        <w:tblPrEx>
          <w:tblCellMar>
            <w:top w:w="0" w:type="dxa"/>
            <w:left w:w="108" w:type="dxa"/>
            <w:bottom w:w="0" w:type="dxa"/>
            <w:right w:w="108" w:type="dxa"/>
          </w:tblCellMar>
        </w:tblPrEx>
        <w:trPr>
          <w:trHeight w:val="2265" w:hRule="atLeast"/>
          <w:jc w:val="center"/>
        </w:trPr>
        <w:tc>
          <w:tcPr>
            <w:tcW w:w="525" w:type="dxa"/>
            <w:tcBorders>
              <w:top w:val="nil"/>
              <w:left w:val="single" w:color="auto" w:sz="4" w:space="0"/>
              <w:bottom w:val="single" w:color="auto" w:sz="4" w:space="0"/>
              <w:right w:val="single" w:color="auto" w:sz="4" w:space="0"/>
            </w:tcBorders>
            <w:vAlign w:val="center"/>
          </w:tcPr>
          <w:p w14:paraId="3D46C5E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032056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生长及外观：草坪平整、青绿、色泽均匀、无枯黄；高度控制在8㎝以下；草坪边缘（与路面、色块交界处）线清晰，无交叉生长现象。</w:t>
            </w:r>
          </w:p>
        </w:tc>
        <w:tc>
          <w:tcPr>
            <w:tcW w:w="720" w:type="dxa"/>
            <w:tcBorders>
              <w:top w:val="nil"/>
              <w:left w:val="nil"/>
              <w:bottom w:val="single" w:color="auto" w:sz="4" w:space="0"/>
              <w:right w:val="single" w:color="auto" w:sz="4" w:space="0"/>
            </w:tcBorders>
            <w:vAlign w:val="center"/>
          </w:tcPr>
          <w:p w14:paraId="699ED8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68" w:type="dxa"/>
            <w:tcBorders>
              <w:top w:val="nil"/>
              <w:left w:val="nil"/>
              <w:bottom w:val="single" w:color="auto" w:sz="4" w:space="0"/>
              <w:right w:val="single" w:color="auto" w:sz="4" w:space="0"/>
            </w:tcBorders>
            <w:vAlign w:val="center"/>
          </w:tcPr>
          <w:p w14:paraId="68BD992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single" w:color="auto" w:sz="4" w:space="0"/>
              <w:bottom w:val="single" w:color="auto" w:sz="4" w:space="0"/>
              <w:right w:val="single" w:color="auto" w:sz="4" w:space="0"/>
            </w:tcBorders>
            <w:vAlign w:val="center"/>
          </w:tcPr>
          <w:p w14:paraId="7F39B6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single" w:color="auto" w:sz="4" w:space="0"/>
              <w:bottom w:val="single" w:color="auto" w:sz="4" w:space="0"/>
              <w:right w:val="single" w:color="auto" w:sz="4" w:space="0"/>
            </w:tcBorders>
            <w:vAlign w:val="center"/>
          </w:tcPr>
          <w:p w14:paraId="1B483E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4579D5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7984110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236F6E9">
        <w:tblPrEx>
          <w:tblCellMar>
            <w:top w:w="0" w:type="dxa"/>
            <w:left w:w="108" w:type="dxa"/>
            <w:bottom w:w="0" w:type="dxa"/>
            <w:right w:w="108" w:type="dxa"/>
          </w:tblCellMar>
        </w:tblPrEx>
        <w:trPr>
          <w:trHeight w:val="1007"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761FC2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53" w:type="dxa"/>
            <w:tcBorders>
              <w:top w:val="single" w:color="auto" w:sz="4" w:space="0"/>
              <w:left w:val="nil"/>
              <w:bottom w:val="single" w:color="auto" w:sz="4" w:space="0"/>
              <w:right w:val="single" w:color="auto" w:sz="4" w:space="0"/>
            </w:tcBorders>
            <w:vAlign w:val="center"/>
          </w:tcPr>
          <w:p w14:paraId="67C1DB9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20" w:type="dxa"/>
            <w:tcBorders>
              <w:top w:val="single" w:color="auto" w:sz="4" w:space="0"/>
              <w:left w:val="nil"/>
              <w:bottom w:val="single" w:color="auto" w:sz="4" w:space="0"/>
              <w:right w:val="single" w:color="auto" w:sz="4" w:space="0"/>
            </w:tcBorders>
            <w:vAlign w:val="center"/>
          </w:tcPr>
          <w:p w14:paraId="0907E7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nil"/>
              <w:bottom w:val="single" w:color="auto" w:sz="4" w:space="0"/>
              <w:right w:val="single" w:color="auto" w:sz="4" w:space="0"/>
            </w:tcBorders>
            <w:vAlign w:val="center"/>
          </w:tcPr>
          <w:p w14:paraId="74C662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431" w:type="dxa"/>
            <w:gridSpan w:val="4"/>
            <w:tcBorders>
              <w:top w:val="single" w:color="auto" w:sz="4" w:space="0"/>
              <w:left w:val="nil"/>
              <w:bottom w:val="single" w:color="auto" w:sz="4" w:space="0"/>
              <w:right w:val="single" w:color="auto" w:sz="4" w:space="0"/>
            </w:tcBorders>
            <w:vAlign w:val="center"/>
          </w:tcPr>
          <w:p w14:paraId="732A72B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2595F9CC">
        <w:tblPrEx>
          <w:tblCellMar>
            <w:top w:w="0" w:type="dxa"/>
            <w:left w:w="108" w:type="dxa"/>
            <w:bottom w:w="0" w:type="dxa"/>
            <w:right w:w="108" w:type="dxa"/>
          </w:tblCellMar>
        </w:tblPrEx>
        <w:trPr>
          <w:trHeight w:val="585" w:hRule="atLeast"/>
          <w:jc w:val="center"/>
        </w:trPr>
        <w:tc>
          <w:tcPr>
            <w:tcW w:w="525" w:type="dxa"/>
            <w:tcBorders>
              <w:top w:val="nil"/>
              <w:left w:val="single" w:color="auto" w:sz="4" w:space="0"/>
              <w:bottom w:val="single" w:color="auto" w:sz="4" w:space="0"/>
              <w:right w:val="single" w:color="auto" w:sz="4" w:space="0"/>
            </w:tcBorders>
            <w:vAlign w:val="center"/>
          </w:tcPr>
          <w:p w14:paraId="5C7D60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4EF1E0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除杂：及时除杂，基本无杂草，目的草种纯度90%以上，草地无因除杂而形成的坑洼小洞。</w:t>
            </w:r>
          </w:p>
        </w:tc>
        <w:tc>
          <w:tcPr>
            <w:tcW w:w="720" w:type="dxa"/>
            <w:tcBorders>
              <w:top w:val="nil"/>
              <w:left w:val="nil"/>
              <w:bottom w:val="single" w:color="auto" w:sz="4" w:space="0"/>
              <w:right w:val="single" w:color="auto" w:sz="4" w:space="0"/>
            </w:tcBorders>
            <w:vAlign w:val="center"/>
          </w:tcPr>
          <w:p w14:paraId="1184C5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68" w:type="dxa"/>
            <w:tcBorders>
              <w:top w:val="nil"/>
              <w:left w:val="nil"/>
              <w:bottom w:val="single" w:color="auto" w:sz="4" w:space="0"/>
              <w:right w:val="single" w:color="auto" w:sz="4" w:space="0"/>
            </w:tcBorders>
            <w:vAlign w:val="center"/>
          </w:tcPr>
          <w:p w14:paraId="1296C6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7D9907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26A950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E5452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5FCE46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8FC6D9">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4B41627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w:t>
            </w:r>
          </w:p>
        </w:tc>
        <w:tc>
          <w:tcPr>
            <w:tcW w:w="4653" w:type="dxa"/>
            <w:tcBorders>
              <w:top w:val="nil"/>
              <w:left w:val="nil"/>
              <w:bottom w:val="single" w:color="auto" w:sz="4" w:space="0"/>
              <w:right w:val="single" w:color="auto" w:sz="4" w:space="0"/>
            </w:tcBorders>
            <w:vAlign w:val="center"/>
          </w:tcPr>
          <w:p w14:paraId="1F92D6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绿地卫生</w:t>
            </w:r>
          </w:p>
        </w:tc>
        <w:tc>
          <w:tcPr>
            <w:tcW w:w="720" w:type="dxa"/>
            <w:tcBorders>
              <w:top w:val="nil"/>
              <w:left w:val="nil"/>
              <w:bottom w:val="single" w:color="auto" w:sz="4" w:space="0"/>
              <w:right w:val="single" w:color="auto" w:sz="4" w:space="0"/>
            </w:tcBorders>
            <w:vAlign w:val="center"/>
          </w:tcPr>
          <w:p w14:paraId="766D6AD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CE1E52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F95442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7F32266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3BBE30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3FF84BA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4877039">
        <w:tblPrEx>
          <w:tblCellMar>
            <w:top w:w="0" w:type="dxa"/>
            <w:left w:w="108" w:type="dxa"/>
            <w:bottom w:w="0" w:type="dxa"/>
            <w:right w:w="108" w:type="dxa"/>
          </w:tblCellMar>
        </w:tblPrEx>
        <w:trPr>
          <w:trHeight w:val="645" w:hRule="atLeast"/>
          <w:jc w:val="center"/>
        </w:trPr>
        <w:tc>
          <w:tcPr>
            <w:tcW w:w="525" w:type="dxa"/>
            <w:tcBorders>
              <w:top w:val="nil"/>
              <w:left w:val="single" w:color="auto" w:sz="4" w:space="0"/>
              <w:bottom w:val="single" w:color="auto" w:sz="4" w:space="0"/>
              <w:right w:val="single" w:color="auto" w:sz="4" w:space="0"/>
            </w:tcBorders>
            <w:vAlign w:val="center"/>
          </w:tcPr>
          <w:p w14:paraId="677211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5C6248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绿地干净整洁，无垃圾，修剪后枝叶、碎草及时清理；无散落枝叶、草、淤泥、石块、杂物堆积。</w:t>
            </w:r>
          </w:p>
        </w:tc>
        <w:tc>
          <w:tcPr>
            <w:tcW w:w="720" w:type="dxa"/>
            <w:tcBorders>
              <w:top w:val="nil"/>
              <w:left w:val="nil"/>
              <w:bottom w:val="single" w:color="auto" w:sz="4" w:space="0"/>
              <w:right w:val="single" w:color="auto" w:sz="4" w:space="0"/>
            </w:tcBorders>
            <w:vAlign w:val="center"/>
          </w:tcPr>
          <w:p w14:paraId="2FB8FD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68" w:type="dxa"/>
            <w:tcBorders>
              <w:top w:val="nil"/>
              <w:left w:val="nil"/>
              <w:bottom w:val="single" w:color="auto" w:sz="4" w:space="0"/>
              <w:right w:val="single" w:color="auto" w:sz="4" w:space="0"/>
            </w:tcBorders>
            <w:vAlign w:val="center"/>
          </w:tcPr>
          <w:p w14:paraId="70EFE2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5C39D5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0E1E7E4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0375AB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03D28B9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9908E8A">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01C499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403A490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游园设施干净清洁，护绿设施整齐规范。</w:t>
            </w:r>
          </w:p>
        </w:tc>
        <w:tc>
          <w:tcPr>
            <w:tcW w:w="720" w:type="dxa"/>
            <w:tcBorders>
              <w:top w:val="nil"/>
              <w:left w:val="nil"/>
              <w:bottom w:val="single" w:color="auto" w:sz="4" w:space="0"/>
              <w:right w:val="single" w:color="auto" w:sz="4" w:space="0"/>
            </w:tcBorders>
            <w:vAlign w:val="center"/>
          </w:tcPr>
          <w:p w14:paraId="1E86626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72F776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64207E6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37FB79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326ED9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30EA40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F8DDE97">
        <w:tblPrEx>
          <w:tblCellMar>
            <w:top w:w="0" w:type="dxa"/>
            <w:left w:w="108" w:type="dxa"/>
            <w:bottom w:w="0" w:type="dxa"/>
            <w:right w:w="108" w:type="dxa"/>
          </w:tblCellMar>
        </w:tblPrEx>
        <w:trPr>
          <w:trHeight w:val="405" w:hRule="atLeast"/>
          <w:jc w:val="center"/>
        </w:trPr>
        <w:tc>
          <w:tcPr>
            <w:tcW w:w="525" w:type="dxa"/>
            <w:tcBorders>
              <w:top w:val="nil"/>
              <w:left w:val="single" w:color="auto" w:sz="4" w:space="0"/>
              <w:bottom w:val="single" w:color="auto" w:sz="4" w:space="0"/>
              <w:right w:val="single" w:color="auto" w:sz="4" w:space="0"/>
            </w:tcBorders>
            <w:vAlign w:val="center"/>
          </w:tcPr>
          <w:p w14:paraId="520DC51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53" w:type="dxa"/>
            <w:tcBorders>
              <w:top w:val="nil"/>
              <w:left w:val="nil"/>
              <w:bottom w:val="single" w:color="auto" w:sz="4" w:space="0"/>
              <w:right w:val="single" w:color="auto" w:sz="4" w:space="0"/>
            </w:tcBorders>
            <w:vAlign w:val="center"/>
          </w:tcPr>
          <w:p w14:paraId="14BE235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w:t>
            </w:r>
          </w:p>
        </w:tc>
        <w:tc>
          <w:tcPr>
            <w:tcW w:w="720" w:type="dxa"/>
            <w:tcBorders>
              <w:top w:val="nil"/>
              <w:left w:val="nil"/>
              <w:bottom w:val="single" w:color="auto" w:sz="4" w:space="0"/>
              <w:right w:val="single" w:color="auto" w:sz="4" w:space="0"/>
            </w:tcBorders>
            <w:vAlign w:val="center"/>
          </w:tcPr>
          <w:p w14:paraId="698E82F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28345D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14E6AA5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06331D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13CCA8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61D23F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042BC0">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45278B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w:t>
            </w:r>
          </w:p>
        </w:tc>
        <w:tc>
          <w:tcPr>
            <w:tcW w:w="4653" w:type="dxa"/>
            <w:tcBorders>
              <w:top w:val="nil"/>
              <w:left w:val="nil"/>
              <w:bottom w:val="single" w:color="auto" w:sz="4" w:space="0"/>
              <w:right w:val="single" w:color="auto" w:sz="4" w:space="0"/>
            </w:tcBorders>
            <w:vAlign w:val="center"/>
          </w:tcPr>
          <w:p w14:paraId="24A11B8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720" w:type="dxa"/>
            <w:tcBorders>
              <w:top w:val="nil"/>
              <w:left w:val="nil"/>
              <w:bottom w:val="single" w:color="auto" w:sz="4" w:space="0"/>
              <w:right w:val="single" w:color="auto" w:sz="4" w:space="0"/>
            </w:tcBorders>
            <w:vAlign w:val="center"/>
          </w:tcPr>
          <w:p w14:paraId="7ADB67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9CB028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1D2E6F1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7CB139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5841A17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66063A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0DDB3CA">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1C2AE3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vAlign w:val="center"/>
          </w:tcPr>
          <w:p w14:paraId="275D0E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绿地保存完好，无黄土裸露现象。</w:t>
            </w:r>
          </w:p>
        </w:tc>
        <w:tc>
          <w:tcPr>
            <w:tcW w:w="720" w:type="dxa"/>
            <w:tcBorders>
              <w:top w:val="nil"/>
              <w:left w:val="nil"/>
              <w:bottom w:val="single" w:color="auto" w:sz="4" w:space="0"/>
              <w:right w:val="single" w:color="auto" w:sz="4" w:space="0"/>
            </w:tcBorders>
            <w:vAlign w:val="center"/>
          </w:tcPr>
          <w:p w14:paraId="157B0B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68" w:type="dxa"/>
            <w:tcBorders>
              <w:top w:val="nil"/>
              <w:left w:val="nil"/>
              <w:bottom w:val="single" w:color="auto" w:sz="4" w:space="0"/>
              <w:right w:val="single" w:color="auto" w:sz="4" w:space="0"/>
            </w:tcBorders>
            <w:vAlign w:val="center"/>
          </w:tcPr>
          <w:p w14:paraId="5DDBCC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090460D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1D853A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787F80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4527BB7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1BE624E">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10DE13E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53" w:type="dxa"/>
            <w:tcBorders>
              <w:top w:val="nil"/>
              <w:left w:val="nil"/>
              <w:bottom w:val="single" w:color="auto" w:sz="4" w:space="0"/>
              <w:right w:val="single" w:color="auto" w:sz="4" w:space="0"/>
            </w:tcBorders>
            <w:vAlign w:val="center"/>
          </w:tcPr>
          <w:p w14:paraId="2CC4D8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乔木与孤植灌木无缺株。</w:t>
            </w:r>
          </w:p>
        </w:tc>
        <w:tc>
          <w:tcPr>
            <w:tcW w:w="720" w:type="dxa"/>
            <w:tcBorders>
              <w:top w:val="nil"/>
              <w:left w:val="nil"/>
              <w:bottom w:val="single" w:color="auto" w:sz="4" w:space="0"/>
              <w:right w:val="single" w:color="auto" w:sz="4" w:space="0"/>
            </w:tcBorders>
            <w:vAlign w:val="center"/>
          </w:tcPr>
          <w:p w14:paraId="3E8067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68" w:type="dxa"/>
            <w:tcBorders>
              <w:top w:val="nil"/>
              <w:left w:val="nil"/>
              <w:bottom w:val="single" w:color="auto" w:sz="4" w:space="0"/>
              <w:right w:val="single" w:color="auto" w:sz="4" w:space="0"/>
            </w:tcBorders>
            <w:vAlign w:val="center"/>
          </w:tcPr>
          <w:p w14:paraId="7B1C91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center"/>
          </w:tcPr>
          <w:p w14:paraId="7B2DA0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345F1E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39D620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687E6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7AD9FBD">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4545AF7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4653" w:type="dxa"/>
            <w:tcBorders>
              <w:top w:val="nil"/>
              <w:left w:val="nil"/>
              <w:bottom w:val="single" w:color="auto" w:sz="4" w:space="0"/>
              <w:right w:val="single" w:color="auto" w:sz="4" w:space="0"/>
            </w:tcBorders>
          </w:tcPr>
          <w:p w14:paraId="036CB52E">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20" w:type="dxa"/>
            <w:tcBorders>
              <w:top w:val="nil"/>
              <w:left w:val="nil"/>
              <w:bottom w:val="single" w:color="auto" w:sz="4" w:space="0"/>
              <w:right w:val="single" w:color="auto" w:sz="4" w:space="0"/>
            </w:tcBorders>
            <w:vAlign w:val="center"/>
          </w:tcPr>
          <w:p w14:paraId="7851BD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67DE1D24">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27" w:type="dxa"/>
            <w:tcBorders>
              <w:top w:val="nil"/>
              <w:left w:val="nil"/>
              <w:bottom w:val="single" w:color="auto" w:sz="4" w:space="0"/>
              <w:right w:val="single" w:color="auto" w:sz="4" w:space="0"/>
            </w:tcBorders>
            <w:vAlign w:val="bottom"/>
          </w:tcPr>
          <w:p w14:paraId="57F88CF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257743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6810B64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3ADD9E2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r>
      <w:tr w14:paraId="347B072B">
        <w:tblPrEx>
          <w:tblCellMar>
            <w:top w:w="0" w:type="dxa"/>
            <w:left w:w="108" w:type="dxa"/>
            <w:bottom w:w="0" w:type="dxa"/>
            <w:right w:w="108" w:type="dxa"/>
          </w:tblCellMar>
        </w:tblPrEx>
        <w:trPr>
          <w:trHeight w:val="855" w:hRule="atLeast"/>
          <w:jc w:val="center"/>
        </w:trPr>
        <w:tc>
          <w:tcPr>
            <w:tcW w:w="525" w:type="dxa"/>
            <w:tcBorders>
              <w:top w:val="nil"/>
              <w:left w:val="single" w:color="auto" w:sz="4" w:space="0"/>
              <w:bottom w:val="single" w:color="auto" w:sz="4" w:space="0"/>
              <w:right w:val="single" w:color="auto" w:sz="4" w:space="0"/>
            </w:tcBorders>
            <w:vAlign w:val="center"/>
          </w:tcPr>
          <w:p w14:paraId="17B51C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tcPr>
          <w:p w14:paraId="4696B4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基本无病虫害危害。食叶害虫危害的叶片每处（株）不超过5%,刺吸式害虫危害的叶片每处（株）不超过10%，无蛀干性害虫的活虫、活卵。病害每处（株）不超过5%。</w:t>
            </w:r>
          </w:p>
        </w:tc>
        <w:tc>
          <w:tcPr>
            <w:tcW w:w="720" w:type="dxa"/>
            <w:tcBorders>
              <w:top w:val="nil"/>
              <w:left w:val="nil"/>
              <w:bottom w:val="single" w:color="auto" w:sz="4" w:space="0"/>
              <w:right w:val="single" w:color="auto" w:sz="4" w:space="0"/>
            </w:tcBorders>
            <w:vAlign w:val="center"/>
          </w:tcPr>
          <w:p w14:paraId="5BC6993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bottom"/>
          </w:tcPr>
          <w:p w14:paraId="7CBEE1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bottom"/>
          </w:tcPr>
          <w:p w14:paraId="10399B8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055120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370018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031B14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FA539A0">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153CABD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w:t>
            </w:r>
          </w:p>
        </w:tc>
        <w:tc>
          <w:tcPr>
            <w:tcW w:w="4653" w:type="dxa"/>
            <w:tcBorders>
              <w:top w:val="nil"/>
              <w:left w:val="nil"/>
              <w:bottom w:val="single" w:color="auto" w:sz="4" w:space="0"/>
              <w:right w:val="single" w:color="auto" w:sz="4" w:space="0"/>
            </w:tcBorders>
            <w:vAlign w:val="bottom"/>
          </w:tcPr>
          <w:p w14:paraId="403FAA24">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20" w:type="dxa"/>
            <w:tcBorders>
              <w:top w:val="nil"/>
              <w:left w:val="nil"/>
              <w:bottom w:val="single" w:color="auto" w:sz="4" w:space="0"/>
              <w:right w:val="single" w:color="auto" w:sz="4" w:space="0"/>
            </w:tcBorders>
            <w:vAlign w:val="center"/>
          </w:tcPr>
          <w:p w14:paraId="6C733EE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0BEA8B7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bottom"/>
          </w:tcPr>
          <w:p w14:paraId="2C33BA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483448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2A2236A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358E13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1B8E3E">
        <w:tblPrEx>
          <w:tblCellMar>
            <w:top w:w="0" w:type="dxa"/>
            <w:left w:w="108" w:type="dxa"/>
            <w:bottom w:w="0" w:type="dxa"/>
            <w:right w:w="108" w:type="dxa"/>
          </w:tblCellMar>
        </w:tblPrEx>
        <w:trPr>
          <w:trHeight w:val="645" w:hRule="atLeast"/>
          <w:jc w:val="center"/>
        </w:trPr>
        <w:tc>
          <w:tcPr>
            <w:tcW w:w="525" w:type="dxa"/>
            <w:tcBorders>
              <w:top w:val="nil"/>
              <w:left w:val="single" w:color="auto" w:sz="4" w:space="0"/>
              <w:bottom w:val="single" w:color="auto" w:sz="4" w:space="0"/>
              <w:right w:val="single" w:color="auto" w:sz="4" w:space="0"/>
            </w:tcBorders>
            <w:vAlign w:val="center"/>
          </w:tcPr>
          <w:p w14:paraId="187231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53" w:type="dxa"/>
            <w:tcBorders>
              <w:top w:val="nil"/>
              <w:left w:val="nil"/>
              <w:bottom w:val="single" w:color="auto" w:sz="4" w:space="0"/>
              <w:right w:val="single" w:color="auto" w:sz="4" w:space="0"/>
            </w:tcBorders>
          </w:tcPr>
          <w:p w14:paraId="7E20A0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植株长势旺盛，叶子挺直，嫩稍不萎垂，土壤不干裂，无积水。无淋水造成的苗木倒伏、枝叶损伤、黄土污染路面现象</w:t>
            </w:r>
          </w:p>
        </w:tc>
        <w:tc>
          <w:tcPr>
            <w:tcW w:w="720" w:type="dxa"/>
            <w:tcBorders>
              <w:top w:val="nil"/>
              <w:left w:val="nil"/>
              <w:bottom w:val="single" w:color="auto" w:sz="4" w:space="0"/>
              <w:right w:val="single" w:color="auto" w:sz="4" w:space="0"/>
            </w:tcBorders>
            <w:vAlign w:val="center"/>
          </w:tcPr>
          <w:p w14:paraId="3ED836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bottom"/>
          </w:tcPr>
          <w:p w14:paraId="189C48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27" w:type="dxa"/>
            <w:tcBorders>
              <w:top w:val="nil"/>
              <w:left w:val="nil"/>
              <w:bottom w:val="single" w:color="auto" w:sz="4" w:space="0"/>
              <w:right w:val="single" w:color="auto" w:sz="4" w:space="0"/>
            </w:tcBorders>
            <w:vAlign w:val="bottom"/>
          </w:tcPr>
          <w:p w14:paraId="0F8AB5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6" w:type="dxa"/>
            <w:tcBorders>
              <w:top w:val="nil"/>
              <w:left w:val="nil"/>
              <w:bottom w:val="single" w:color="auto" w:sz="4" w:space="0"/>
              <w:right w:val="single" w:color="auto" w:sz="4" w:space="0"/>
            </w:tcBorders>
            <w:vAlign w:val="center"/>
          </w:tcPr>
          <w:p w14:paraId="786531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5" w:type="dxa"/>
            <w:tcBorders>
              <w:top w:val="nil"/>
              <w:left w:val="nil"/>
              <w:bottom w:val="single" w:color="auto" w:sz="4" w:space="0"/>
              <w:right w:val="single" w:color="auto" w:sz="4" w:space="0"/>
            </w:tcBorders>
            <w:vAlign w:val="center"/>
          </w:tcPr>
          <w:p w14:paraId="3C61B6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73" w:type="dxa"/>
            <w:tcBorders>
              <w:top w:val="nil"/>
              <w:left w:val="nil"/>
              <w:bottom w:val="single" w:color="auto" w:sz="4" w:space="0"/>
              <w:right w:val="single" w:color="auto" w:sz="4" w:space="0"/>
            </w:tcBorders>
            <w:vAlign w:val="center"/>
          </w:tcPr>
          <w:p w14:paraId="11091F0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6EC161">
        <w:tblPrEx>
          <w:tblCellMar>
            <w:top w:w="0" w:type="dxa"/>
            <w:left w:w="108" w:type="dxa"/>
            <w:bottom w:w="0" w:type="dxa"/>
            <w:right w:w="108" w:type="dxa"/>
          </w:tblCellMar>
        </w:tblPrEx>
        <w:trPr>
          <w:trHeight w:val="529" w:hRule="atLeast"/>
          <w:jc w:val="center"/>
        </w:trPr>
        <w:tc>
          <w:tcPr>
            <w:tcW w:w="525" w:type="dxa"/>
            <w:tcBorders>
              <w:top w:val="nil"/>
              <w:left w:val="single" w:color="auto" w:sz="4" w:space="0"/>
              <w:bottom w:val="single" w:color="auto" w:sz="4" w:space="0"/>
              <w:right w:val="single" w:color="auto" w:sz="4" w:space="0"/>
            </w:tcBorders>
            <w:vAlign w:val="center"/>
          </w:tcPr>
          <w:p w14:paraId="751669E9">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4653" w:type="dxa"/>
            <w:tcBorders>
              <w:top w:val="nil"/>
              <w:left w:val="nil"/>
              <w:bottom w:val="single" w:color="auto" w:sz="4" w:space="0"/>
              <w:right w:val="single" w:color="auto" w:sz="4" w:space="0"/>
            </w:tcBorders>
            <w:vAlign w:val="center"/>
          </w:tcPr>
          <w:p w14:paraId="31E9CD80">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20" w:type="dxa"/>
            <w:tcBorders>
              <w:top w:val="nil"/>
              <w:left w:val="nil"/>
              <w:bottom w:val="single" w:color="auto" w:sz="4" w:space="0"/>
              <w:right w:val="single" w:color="auto" w:sz="4" w:space="0"/>
            </w:tcBorders>
            <w:vAlign w:val="center"/>
          </w:tcPr>
          <w:p w14:paraId="4694A8E6">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768" w:type="dxa"/>
            <w:tcBorders>
              <w:top w:val="nil"/>
              <w:left w:val="nil"/>
              <w:bottom w:val="single" w:color="auto" w:sz="4" w:space="0"/>
              <w:right w:val="single" w:color="auto" w:sz="4" w:space="0"/>
            </w:tcBorders>
            <w:vAlign w:val="center"/>
          </w:tcPr>
          <w:p w14:paraId="31B6EA09">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727" w:type="dxa"/>
            <w:tcBorders>
              <w:top w:val="nil"/>
              <w:left w:val="nil"/>
              <w:bottom w:val="single" w:color="auto" w:sz="4" w:space="0"/>
              <w:right w:val="single" w:color="auto" w:sz="4" w:space="0"/>
            </w:tcBorders>
            <w:vAlign w:val="center"/>
          </w:tcPr>
          <w:p w14:paraId="395047F1">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566" w:type="dxa"/>
            <w:tcBorders>
              <w:top w:val="nil"/>
              <w:left w:val="nil"/>
              <w:bottom w:val="single" w:color="auto" w:sz="4" w:space="0"/>
              <w:right w:val="single" w:color="auto" w:sz="4" w:space="0"/>
            </w:tcBorders>
            <w:vAlign w:val="center"/>
          </w:tcPr>
          <w:p w14:paraId="530BA3A9">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565" w:type="dxa"/>
            <w:tcBorders>
              <w:top w:val="nil"/>
              <w:left w:val="nil"/>
              <w:bottom w:val="single" w:color="auto" w:sz="4" w:space="0"/>
              <w:right w:val="single" w:color="auto" w:sz="4" w:space="0"/>
            </w:tcBorders>
            <w:vAlign w:val="center"/>
          </w:tcPr>
          <w:p w14:paraId="46E06896">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c>
          <w:tcPr>
            <w:tcW w:w="573" w:type="dxa"/>
            <w:tcBorders>
              <w:top w:val="nil"/>
              <w:left w:val="nil"/>
              <w:bottom w:val="single" w:color="auto" w:sz="4" w:space="0"/>
              <w:right w:val="single" w:color="auto" w:sz="4" w:space="0"/>
            </w:tcBorders>
            <w:vAlign w:val="center"/>
          </w:tcPr>
          <w:p w14:paraId="1A278FD6">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p>
        </w:tc>
      </w:tr>
    </w:tbl>
    <w:p w14:paraId="18E433DE">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75F65F06">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p w14:paraId="53B0FEBE">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p w14:paraId="73FBE96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p w14:paraId="0714E5AF">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p w14:paraId="33C142BC">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tbl>
      <w:tblPr>
        <w:tblStyle w:val="20"/>
        <w:tblW w:w="9837" w:type="dxa"/>
        <w:jc w:val="center"/>
        <w:tblLayout w:type="fixed"/>
        <w:tblCellMar>
          <w:top w:w="0" w:type="dxa"/>
          <w:left w:w="108" w:type="dxa"/>
          <w:bottom w:w="0" w:type="dxa"/>
          <w:right w:w="108" w:type="dxa"/>
        </w:tblCellMar>
      </w:tblPr>
      <w:tblGrid>
        <w:gridCol w:w="569"/>
        <w:gridCol w:w="4164"/>
        <w:gridCol w:w="877"/>
        <w:gridCol w:w="768"/>
        <w:gridCol w:w="768"/>
        <w:gridCol w:w="768"/>
        <w:gridCol w:w="912"/>
        <w:gridCol w:w="468"/>
        <w:gridCol w:w="543"/>
      </w:tblGrid>
      <w:tr w14:paraId="26DE13F1">
        <w:tblPrEx>
          <w:tblCellMar>
            <w:top w:w="0" w:type="dxa"/>
            <w:left w:w="108" w:type="dxa"/>
            <w:bottom w:w="0" w:type="dxa"/>
            <w:right w:w="108" w:type="dxa"/>
          </w:tblCellMar>
        </w:tblPrEx>
        <w:trPr>
          <w:trHeight w:val="1038" w:hRule="atLeast"/>
          <w:jc w:val="center"/>
        </w:trPr>
        <w:tc>
          <w:tcPr>
            <w:tcW w:w="9837" w:type="dxa"/>
            <w:gridSpan w:val="9"/>
            <w:tcBorders>
              <w:bottom w:val="nil"/>
            </w:tcBorders>
            <w:vAlign w:val="center"/>
          </w:tcPr>
          <w:p w14:paraId="2DF4AC94">
            <w:pPr>
              <w:keepNext w:val="0"/>
              <w:keepLines w:val="0"/>
              <w:pageBreakBefore w:val="0"/>
              <w:kinsoku/>
              <w:overflowPunct/>
              <w:topLinePunct w:val="0"/>
              <w:bidi w:val="0"/>
              <w:snapToGrid/>
              <w:spacing w:line="36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2．二级绿地养护效果评分表</w:t>
            </w:r>
          </w:p>
        </w:tc>
      </w:tr>
      <w:tr w14:paraId="1278CFFD">
        <w:tblPrEx>
          <w:tblCellMar>
            <w:top w:w="0" w:type="dxa"/>
            <w:left w:w="108" w:type="dxa"/>
            <w:bottom w:w="0" w:type="dxa"/>
            <w:right w:w="108" w:type="dxa"/>
          </w:tblCellMar>
        </w:tblPrEx>
        <w:trPr>
          <w:gridAfter w:val="1"/>
          <w:wAfter w:w="543" w:type="dxa"/>
          <w:trHeight w:val="834" w:hRule="atLeast"/>
          <w:jc w:val="center"/>
        </w:trPr>
        <w:tc>
          <w:tcPr>
            <w:tcW w:w="569" w:type="dxa"/>
            <w:tcBorders>
              <w:top w:val="single" w:color="auto" w:sz="4" w:space="0"/>
              <w:left w:val="single" w:color="auto" w:sz="4" w:space="0"/>
              <w:bottom w:val="single" w:color="auto" w:sz="4" w:space="0"/>
              <w:right w:val="single" w:color="auto" w:sz="4" w:space="0"/>
            </w:tcBorders>
            <w:vAlign w:val="center"/>
          </w:tcPr>
          <w:p w14:paraId="4DA26C7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164" w:type="dxa"/>
            <w:tcBorders>
              <w:top w:val="single" w:color="auto" w:sz="4" w:space="0"/>
              <w:left w:val="single" w:color="auto" w:sz="4" w:space="0"/>
              <w:bottom w:val="single" w:color="auto" w:sz="4" w:space="0"/>
              <w:right w:val="single" w:color="auto" w:sz="4" w:space="0"/>
            </w:tcBorders>
            <w:vAlign w:val="center"/>
          </w:tcPr>
          <w:p w14:paraId="3498C27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877" w:type="dxa"/>
            <w:tcBorders>
              <w:top w:val="single" w:color="auto" w:sz="4" w:space="0"/>
              <w:left w:val="single" w:color="auto" w:sz="4" w:space="0"/>
              <w:bottom w:val="single" w:color="auto" w:sz="4" w:space="0"/>
              <w:right w:val="single" w:color="auto" w:sz="4" w:space="0"/>
            </w:tcBorders>
            <w:vAlign w:val="center"/>
          </w:tcPr>
          <w:p w14:paraId="5B5A69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single" w:color="auto" w:sz="4" w:space="0"/>
              <w:bottom w:val="single" w:color="000000" w:sz="4" w:space="0"/>
              <w:right w:val="single" w:color="auto" w:sz="4" w:space="0"/>
            </w:tcBorders>
            <w:vAlign w:val="center"/>
          </w:tcPr>
          <w:p w14:paraId="6814F8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916" w:type="dxa"/>
            <w:gridSpan w:val="4"/>
            <w:tcBorders>
              <w:top w:val="single" w:color="auto" w:sz="4" w:space="0"/>
              <w:left w:val="single" w:color="auto" w:sz="4" w:space="0"/>
              <w:bottom w:val="single" w:color="auto" w:sz="4" w:space="0"/>
              <w:right w:val="single" w:color="auto" w:sz="4" w:space="0"/>
            </w:tcBorders>
            <w:vAlign w:val="center"/>
          </w:tcPr>
          <w:p w14:paraId="6B1ED56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14D6A315">
        <w:tblPrEx>
          <w:tblCellMar>
            <w:top w:w="0" w:type="dxa"/>
            <w:left w:w="108" w:type="dxa"/>
            <w:bottom w:w="0" w:type="dxa"/>
            <w:right w:w="108" w:type="dxa"/>
          </w:tblCellMar>
        </w:tblPrEx>
        <w:trPr>
          <w:gridAfter w:val="1"/>
          <w:wAfter w:w="543" w:type="dxa"/>
          <w:trHeight w:val="390" w:hRule="atLeast"/>
          <w:jc w:val="center"/>
        </w:trPr>
        <w:tc>
          <w:tcPr>
            <w:tcW w:w="569" w:type="dxa"/>
            <w:tcBorders>
              <w:top w:val="nil"/>
              <w:left w:val="single" w:color="auto" w:sz="4" w:space="0"/>
              <w:bottom w:val="single" w:color="auto" w:sz="4" w:space="0"/>
              <w:right w:val="single" w:color="auto" w:sz="4" w:space="0"/>
            </w:tcBorders>
            <w:vAlign w:val="center"/>
          </w:tcPr>
          <w:p w14:paraId="3A92AA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p>
        </w:tc>
        <w:tc>
          <w:tcPr>
            <w:tcW w:w="4164" w:type="dxa"/>
            <w:tcBorders>
              <w:top w:val="nil"/>
              <w:left w:val="nil"/>
              <w:bottom w:val="single" w:color="auto" w:sz="4" w:space="0"/>
              <w:right w:val="single" w:color="auto" w:sz="4" w:space="0"/>
            </w:tcBorders>
            <w:vAlign w:val="center"/>
          </w:tcPr>
          <w:p w14:paraId="0BE4484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877" w:type="dxa"/>
            <w:tcBorders>
              <w:top w:val="nil"/>
              <w:left w:val="nil"/>
              <w:bottom w:val="single" w:color="auto" w:sz="4" w:space="0"/>
              <w:right w:val="single" w:color="auto" w:sz="4" w:space="0"/>
            </w:tcBorders>
            <w:vAlign w:val="center"/>
          </w:tcPr>
          <w:p w14:paraId="0CFD65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28F66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8E5F75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1C7DAB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1F3279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4E293F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876360">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3BBADA8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178514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整体景观效果良好，植物生长较好，层次较分明，植物干净积尘较少。</w:t>
            </w:r>
          </w:p>
        </w:tc>
        <w:tc>
          <w:tcPr>
            <w:tcW w:w="877" w:type="dxa"/>
            <w:tcBorders>
              <w:top w:val="nil"/>
              <w:left w:val="nil"/>
              <w:bottom w:val="single" w:color="auto" w:sz="4" w:space="0"/>
              <w:right w:val="single" w:color="auto" w:sz="4" w:space="0"/>
            </w:tcBorders>
            <w:vAlign w:val="center"/>
          </w:tcPr>
          <w:p w14:paraId="4AE592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center"/>
          </w:tcPr>
          <w:p w14:paraId="45BED9E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C5E366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EE9AC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34061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56332F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C46ADB">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41AC7F6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w:t>
            </w:r>
          </w:p>
        </w:tc>
        <w:tc>
          <w:tcPr>
            <w:tcW w:w="4164" w:type="dxa"/>
            <w:tcBorders>
              <w:top w:val="nil"/>
              <w:left w:val="nil"/>
              <w:bottom w:val="single" w:color="auto" w:sz="4" w:space="0"/>
              <w:right w:val="single" w:color="auto" w:sz="4" w:space="0"/>
            </w:tcBorders>
            <w:vAlign w:val="center"/>
          </w:tcPr>
          <w:p w14:paraId="0F42A51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877" w:type="dxa"/>
            <w:tcBorders>
              <w:top w:val="nil"/>
              <w:left w:val="nil"/>
              <w:bottom w:val="single" w:color="auto" w:sz="4" w:space="0"/>
              <w:right w:val="single" w:color="auto" w:sz="4" w:space="0"/>
            </w:tcBorders>
            <w:vAlign w:val="center"/>
          </w:tcPr>
          <w:p w14:paraId="17234F8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91F4B8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406ED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99239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5E4C45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AB57F2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0913869">
        <w:tblPrEx>
          <w:tblCellMar>
            <w:top w:w="0" w:type="dxa"/>
            <w:left w:w="108" w:type="dxa"/>
            <w:bottom w:w="0" w:type="dxa"/>
            <w:right w:w="108" w:type="dxa"/>
          </w:tblCellMar>
        </w:tblPrEx>
        <w:trPr>
          <w:gridAfter w:val="1"/>
          <w:wAfter w:w="543" w:type="dxa"/>
          <w:trHeight w:val="810" w:hRule="atLeast"/>
          <w:jc w:val="center"/>
        </w:trPr>
        <w:tc>
          <w:tcPr>
            <w:tcW w:w="569" w:type="dxa"/>
            <w:tcBorders>
              <w:top w:val="nil"/>
              <w:left w:val="single" w:color="auto" w:sz="4" w:space="0"/>
              <w:bottom w:val="single" w:color="auto" w:sz="4" w:space="0"/>
              <w:right w:val="single" w:color="auto" w:sz="4" w:space="0"/>
            </w:tcBorders>
            <w:vAlign w:val="center"/>
          </w:tcPr>
          <w:p w14:paraId="47B0CF5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556886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生长：植物生长较好，符合物候状况;树体基本正直;枝叶较健壮、茂盛,叶色、形状、大小正常；观花植物适时开花。</w:t>
            </w:r>
          </w:p>
        </w:tc>
        <w:tc>
          <w:tcPr>
            <w:tcW w:w="877" w:type="dxa"/>
            <w:tcBorders>
              <w:top w:val="nil"/>
              <w:left w:val="nil"/>
              <w:bottom w:val="single" w:color="auto" w:sz="4" w:space="0"/>
              <w:right w:val="single" w:color="auto" w:sz="4" w:space="0"/>
            </w:tcBorders>
            <w:vAlign w:val="center"/>
          </w:tcPr>
          <w:p w14:paraId="50FE51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68" w:type="dxa"/>
            <w:tcBorders>
              <w:top w:val="nil"/>
              <w:left w:val="nil"/>
              <w:bottom w:val="single" w:color="auto" w:sz="4" w:space="0"/>
              <w:right w:val="single" w:color="auto" w:sz="4" w:space="0"/>
            </w:tcBorders>
            <w:vAlign w:val="center"/>
          </w:tcPr>
          <w:p w14:paraId="0E69F5C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533B5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D8C9E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89560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6193D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224DE3E">
        <w:tblPrEx>
          <w:tblCellMar>
            <w:top w:w="0" w:type="dxa"/>
            <w:left w:w="108" w:type="dxa"/>
            <w:bottom w:w="0" w:type="dxa"/>
            <w:right w:w="108" w:type="dxa"/>
          </w:tblCellMar>
        </w:tblPrEx>
        <w:trPr>
          <w:gridAfter w:val="1"/>
          <w:wAfter w:w="543" w:type="dxa"/>
          <w:trHeight w:val="1020" w:hRule="atLeast"/>
          <w:jc w:val="center"/>
        </w:trPr>
        <w:tc>
          <w:tcPr>
            <w:tcW w:w="569" w:type="dxa"/>
            <w:tcBorders>
              <w:top w:val="nil"/>
              <w:left w:val="single" w:color="auto" w:sz="4" w:space="0"/>
              <w:bottom w:val="single" w:color="auto" w:sz="4" w:space="0"/>
              <w:right w:val="single" w:color="auto" w:sz="4" w:space="0"/>
            </w:tcBorders>
            <w:vAlign w:val="center"/>
          </w:tcPr>
          <w:p w14:paraId="2BB818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463CD5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乔木修整:维持树种特征，树冠较匀称,分枝合理。无明显叉枝、低垂枝、伤残枝、过密枝。剪口平整,无损皮现象,枝干无明显伤残现象。</w:t>
            </w:r>
          </w:p>
        </w:tc>
        <w:tc>
          <w:tcPr>
            <w:tcW w:w="877" w:type="dxa"/>
            <w:tcBorders>
              <w:top w:val="nil"/>
              <w:left w:val="nil"/>
              <w:bottom w:val="single" w:color="auto" w:sz="4" w:space="0"/>
              <w:right w:val="single" w:color="auto" w:sz="4" w:space="0"/>
            </w:tcBorders>
            <w:vAlign w:val="center"/>
          </w:tcPr>
          <w:p w14:paraId="321350F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3DA6329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76582A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707174B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39D079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76CD81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EDC590C">
        <w:tblPrEx>
          <w:tblCellMar>
            <w:top w:w="0" w:type="dxa"/>
            <w:left w:w="108" w:type="dxa"/>
            <w:bottom w:w="0" w:type="dxa"/>
            <w:right w:w="108" w:type="dxa"/>
          </w:tblCellMar>
        </w:tblPrEx>
        <w:trPr>
          <w:gridAfter w:val="1"/>
          <w:wAfter w:w="543" w:type="dxa"/>
          <w:trHeight w:val="679" w:hRule="atLeast"/>
          <w:jc w:val="center"/>
        </w:trPr>
        <w:tc>
          <w:tcPr>
            <w:tcW w:w="569" w:type="dxa"/>
            <w:tcBorders>
              <w:top w:val="nil"/>
              <w:left w:val="single" w:color="auto" w:sz="4" w:space="0"/>
              <w:bottom w:val="single" w:color="auto" w:sz="4" w:space="0"/>
              <w:right w:val="single" w:color="auto" w:sz="4" w:space="0"/>
            </w:tcBorders>
            <w:vAlign w:val="center"/>
          </w:tcPr>
          <w:p w14:paraId="7D3A35F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164" w:type="dxa"/>
            <w:tcBorders>
              <w:top w:val="nil"/>
              <w:left w:val="nil"/>
              <w:bottom w:val="single" w:color="auto" w:sz="4" w:space="0"/>
              <w:right w:val="single" w:color="auto" w:sz="4" w:space="0"/>
            </w:tcBorders>
            <w:vAlign w:val="center"/>
          </w:tcPr>
          <w:p w14:paraId="1D5256D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钉挂物、干枯枝等：无明显死株及死树桩头、树体无明显钉挂物、铁丝等缠绕物。</w:t>
            </w:r>
          </w:p>
        </w:tc>
        <w:tc>
          <w:tcPr>
            <w:tcW w:w="877" w:type="dxa"/>
            <w:tcBorders>
              <w:top w:val="nil"/>
              <w:left w:val="nil"/>
              <w:bottom w:val="single" w:color="auto" w:sz="4" w:space="0"/>
              <w:right w:val="single" w:color="auto" w:sz="4" w:space="0"/>
            </w:tcBorders>
            <w:vAlign w:val="center"/>
          </w:tcPr>
          <w:p w14:paraId="01A46A4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2D5CB3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80818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9D81A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293F4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B9F93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0EC91D">
        <w:tblPrEx>
          <w:tblCellMar>
            <w:top w:w="0" w:type="dxa"/>
            <w:left w:w="108" w:type="dxa"/>
            <w:bottom w:w="0" w:type="dxa"/>
            <w:right w:w="108" w:type="dxa"/>
          </w:tblCellMar>
        </w:tblPrEx>
        <w:trPr>
          <w:gridAfter w:val="1"/>
          <w:wAfter w:w="543" w:type="dxa"/>
          <w:trHeight w:val="420" w:hRule="atLeast"/>
          <w:jc w:val="center"/>
        </w:trPr>
        <w:tc>
          <w:tcPr>
            <w:tcW w:w="569" w:type="dxa"/>
            <w:tcBorders>
              <w:top w:val="nil"/>
              <w:left w:val="single" w:color="auto" w:sz="4" w:space="0"/>
              <w:bottom w:val="single" w:color="auto" w:sz="4" w:space="0"/>
              <w:right w:val="single" w:color="auto" w:sz="4" w:space="0"/>
            </w:tcBorders>
            <w:vAlign w:val="center"/>
          </w:tcPr>
          <w:p w14:paraId="63EF021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p>
        </w:tc>
        <w:tc>
          <w:tcPr>
            <w:tcW w:w="4164" w:type="dxa"/>
            <w:tcBorders>
              <w:top w:val="nil"/>
              <w:left w:val="nil"/>
              <w:bottom w:val="single" w:color="auto" w:sz="4" w:space="0"/>
              <w:right w:val="single" w:color="auto" w:sz="4" w:space="0"/>
            </w:tcBorders>
            <w:vAlign w:val="center"/>
          </w:tcPr>
          <w:p w14:paraId="2616BBD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877" w:type="dxa"/>
            <w:tcBorders>
              <w:top w:val="nil"/>
              <w:left w:val="nil"/>
              <w:bottom w:val="single" w:color="auto" w:sz="4" w:space="0"/>
              <w:right w:val="single" w:color="auto" w:sz="4" w:space="0"/>
            </w:tcBorders>
            <w:vAlign w:val="center"/>
          </w:tcPr>
          <w:p w14:paraId="056C185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2D344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1058D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BA2C72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D14DD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57F722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EFE713A">
        <w:tblPrEx>
          <w:tblCellMar>
            <w:top w:w="0" w:type="dxa"/>
            <w:left w:w="108" w:type="dxa"/>
            <w:bottom w:w="0" w:type="dxa"/>
            <w:right w:w="108" w:type="dxa"/>
          </w:tblCellMar>
        </w:tblPrEx>
        <w:trPr>
          <w:gridAfter w:val="1"/>
          <w:wAfter w:w="543" w:type="dxa"/>
          <w:trHeight w:val="900" w:hRule="atLeast"/>
          <w:jc w:val="center"/>
        </w:trPr>
        <w:tc>
          <w:tcPr>
            <w:tcW w:w="569" w:type="dxa"/>
            <w:tcBorders>
              <w:top w:val="nil"/>
              <w:left w:val="single" w:color="auto" w:sz="4" w:space="0"/>
              <w:bottom w:val="single" w:color="auto" w:sz="4" w:space="0"/>
              <w:right w:val="single" w:color="auto" w:sz="4" w:space="0"/>
            </w:tcBorders>
            <w:vAlign w:val="center"/>
          </w:tcPr>
          <w:p w14:paraId="1D2820B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0E8C56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生长：生长较好，符合物候状况;枝叶健壮、茂盛,叶色、形状、大小正常；观花植物适时开花。</w:t>
            </w:r>
          </w:p>
        </w:tc>
        <w:tc>
          <w:tcPr>
            <w:tcW w:w="877" w:type="dxa"/>
            <w:tcBorders>
              <w:top w:val="nil"/>
              <w:left w:val="nil"/>
              <w:bottom w:val="single" w:color="auto" w:sz="4" w:space="0"/>
              <w:right w:val="single" w:color="auto" w:sz="4" w:space="0"/>
            </w:tcBorders>
            <w:vAlign w:val="center"/>
          </w:tcPr>
          <w:p w14:paraId="583DE31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68" w:type="dxa"/>
            <w:tcBorders>
              <w:top w:val="nil"/>
              <w:left w:val="nil"/>
              <w:bottom w:val="single" w:color="auto" w:sz="4" w:space="0"/>
              <w:right w:val="single" w:color="auto" w:sz="4" w:space="0"/>
            </w:tcBorders>
            <w:vAlign w:val="center"/>
          </w:tcPr>
          <w:p w14:paraId="689A627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88036A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9222C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2EC7BF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E4871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5E5A47D">
        <w:tblPrEx>
          <w:tblCellMar>
            <w:top w:w="0" w:type="dxa"/>
            <w:left w:w="108" w:type="dxa"/>
            <w:bottom w:w="0" w:type="dxa"/>
            <w:right w:w="108" w:type="dxa"/>
          </w:tblCellMar>
        </w:tblPrEx>
        <w:trPr>
          <w:gridAfter w:val="1"/>
          <w:wAfter w:w="543" w:type="dxa"/>
          <w:trHeight w:val="2062" w:hRule="atLeast"/>
          <w:jc w:val="center"/>
        </w:trPr>
        <w:tc>
          <w:tcPr>
            <w:tcW w:w="569" w:type="dxa"/>
            <w:tcBorders>
              <w:top w:val="nil"/>
              <w:left w:val="single" w:color="auto" w:sz="4" w:space="0"/>
              <w:bottom w:val="single" w:color="auto" w:sz="4" w:space="0"/>
              <w:right w:val="single" w:color="auto" w:sz="4" w:space="0"/>
            </w:tcBorders>
            <w:vAlign w:val="center"/>
          </w:tcPr>
          <w:p w14:paraId="663AB1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5044D81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灌木修剪：树形较整齐美观，按要求维持形状。能够按照规范要求进行修剪。</w:t>
            </w:r>
          </w:p>
        </w:tc>
        <w:tc>
          <w:tcPr>
            <w:tcW w:w="877" w:type="dxa"/>
            <w:tcBorders>
              <w:top w:val="nil"/>
              <w:left w:val="nil"/>
              <w:bottom w:val="single" w:color="auto" w:sz="4" w:space="0"/>
              <w:right w:val="single" w:color="auto" w:sz="4" w:space="0"/>
            </w:tcBorders>
            <w:vAlign w:val="center"/>
          </w:tcPr>
          <w:p w14:paraId="02A12CC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34B9E11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720E3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EEEB8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0757F5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E7123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3353554">
        <w:tblPrEx>
          <w:tblCellMar>
            <w:top w:w="0" w:type="dxa"/>
            <w:left w:w="108" w:type="dxa"/>
            <w:bottom w:w="0" w:type="dxa"/>
            <w:right w:w="108" w:type="dxa"/>
          </w:tblCellMar>
        </w:tblPrEx>
        <w:trPr>
          <w:gridAfter w:val="1"/>
          <w:wAfter w:w="543" w:type="dxa"/>
          <w:trHeight w:val="90" w:hRule="atLeast"/>
          <w:jc w:val="center"/>
        </w:trPr>
        <w:tc>
          <w:tcPr>
            <w:tcW w:w="569" w:type="dxa"/>
            <w:tcBorders>
              <w:top w:val="single" w:color="auto" w:sz="4" w:space="0"/>
              <w:left w:val="single" w:color="auto" w:sz="4" w:space="0"/>
              <w:bottom w:val="single" w:color="auto" w:sz="4" w:space="0"/>
              <w:right w:val="single" w:color="auto" w:sz="4" w:space="0"/>
            </w:tcBorders>
            <w:vAlign w:val="center"/>
          </w:tcPr>
          <w:p w14:paraId="2A425F8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164" w:type="dxa"/>
            <w:tcBorders>
              <w:top w:val="single" w:color="auto" w:sz="4" w:space="0"/>
              <w:left w:val="nil"/>
              <w:bottom w:val="single" w:color="auto" w:sz="4" w:space="0"/>
              <w:right w:val="single" w:color="auto" w:sz="4" w:space="0"/>
            </w:tcBorders>
            <w:vAlign w:val="center"/>
          </w:tcPr>
          <w:p w14:paraId="13FC9B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877" w:type="dxa"/>
            <w:tcBorders>
              <w:top w:val="single" w:color="auto" w:sz="4" w:space="0"/>
              <w:left w:val="nil"/>
              <w:bottom w:val="single" w:color="auto" w:sz="4" w:space="0"/>
              <w:right w:val="single" w:color="auto" w:sz="4" w:space="0"/>
            </w:tcBorders>
            <w:vAlign w:val="center"/>
          </w:tcPr>
          <w:p w14:paraId="2657B0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nil"/>
              <w:bottom w:val="single" w:color="auto" w:sz="4" w:space="0"/>
              <w:right w:val="single" w:color="auto" w:sz="4" w:space="0"/>
            </w:tcBorders>
            <w:vAlign w:val="center"/>
          </w:tcPr>
          <w:p w14:paraId="530B9B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916" w:type="dxa"/>
            <w:gridSpan w:val="4"/>
            <w:tcBorders>
              <w:top w:val="single" w:color="auto" w:sz="4" w:space="0"/>
              <w:left w:val="nil"/>
              <w:bottom w:val="single" w:color="auto" w:sz="4" w:space="0"/>
              <w:right w:val="single" w:color="auto" w:sz="4" w:space="0"/>
            </w:tcBorders>
            <w:vAlign w:val="center"/>
          </w:tcPr>
          <w:p w14:paraId="0C404E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5B51F835">
        <w:tblPrEx>
          <w:tblCellMar>
            <w:top w:w="0" w:type="dxa"/>
            <w:left w:w="108" w:type="dxa"/>
            <w:bottom w:w="0" w:type="dxa"/>
            <w:right w:w="108" w:type="dxa"/>
          </w:tblCellMar>
        </w:tblPrEx>
        <w:trPr>
          <w:gridAfter w:val="1"/>
          <w:wAfter w:w="543" w:type="dxa"/>
          <w:trHeight w:val="630" w:hRule="atLeast"/>
          <w:jc w:val="center"/>
        </w:trPr>
        <w:tc>
          <w:tcPr>
            <w:tcW w:w="569" w:type="dxa"/>
            <w:tcBorders>
              <w:top w:val="nil"/>
              <w:left w:val="single" w:color="auto" w:sz="4" w:space="0"/>
              <w:bottom w:val="single" w:color="auto" w:sz="4" w:space="0"/>
              <w:right w:val="single" w:color="auto" w:sz="4" w:space="0"/>
            </w:tcBorders>
            <w:vAlign w:val="center"/>
          </w:tcPr>
          <w:p w14:paraId="5FEEA99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164" w:type="dxa"/>
            <w:tcBorders>
              <w:top w:val="nil"/>
              <w:left w:val="nil"/>
              <w:bottom w:val="single" w:color="auto" w:sz="4" w:space="0"/>
              <w:right w:val="single" w:color="auto" w:sz="4" w:space="0"/>
            </w:tcBorders>
            <w:vAlign w:val="center"/>
          </w:tcPr>
          <w:p w14:paraId="4862C9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钉挂物、干枯枝等：无明显死株和干枯枝、伤残枝及杂草；树体无明显钉挂物、铁丝等缠绕物。</w:t>
            </w:r>
          </w:p>
        </w:tc>
        <w:tc>
          <w:tcPr>
            <w:tcW w:w="877" w:type="dxa"/>
            <w:tcBorders>
              <w:top w:val="nil"/>
              <w:left w:val="nil"/>
              <w:bottom w:val="single" w:color="auto" w:sz="4" w:space="0"/>
              <w:right w:val="single" w:color="auto" w:sz="4" w:space="0"/>
            </w:tcBorders>
            <w:vAlign w:val="center"/>
          </w:tcPr>
          <w:p w14:paraId="7E39E5F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02A318C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2D011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F556CF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04ACC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6D4410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11E9995">
        <w:tblPrEx>
          <w:tblCellMar>
            <w:top w:w="0" w:type="dxa"/>
            <w:left w:w="108" w:type="dxa"/>
            <w:bottom w:w="0" w:type="dxa"/>
            <w:right w:w="108" w:type="dxa"/>
          </w:tblCellMar>
        </w:tblPrEx>
        <w:trPr>
          <w:gridAfter w:val="1"/>
          <w:wAfter w:w="543" w:type="dxa"/>
          <w:trHeight w:val="390" w:hRule="atLeast"/>
          <w:jc w:val="center"/>
        </w:trPr>
        <w:tc>
          <w:tcPr>
            <w:tcW w:w="569" w:type="dxa"/>
            <w:tcBorders>
              <w:top w:val="nil"/>
              <w:left w:val="single" w:color="auto" w:sz="4" w:space="0"/>
              <w:bottom w:val="single" w:color="auto" w:sz="4" w:space="0"/>
              <w:right w:val="single" w:color="auto" w:sz="4" w:space="0"/>
            </w:tcBorders>
            <w:vAlign w:val="center"/>
          </w:tcPr>
          <w:p w14:paraId="7403B2A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4164" w:type="dxa"/>
            <w:tcBorders>
              <w:top w:val="nil"/>
              <w:left w:val="nil"/>
              <w:bottom w:val="single" w:color="auto" w:sz="4" w:space="0"/>
              <w:right w:val="single" w:color="auto" w:sz="4" w:space="0"/>
            </w:tcBorders>
            <w:vAlign w:val="center"/>
          </w:tcPr>
          <w:p w14:paraId="79284EF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草本地被、片植灌木</w:t>
            </w:r>
          </w:p>
        </w:tc>
        <w:tc>
          <w:tcPr>
            <w:tcW w:w="877" w:type="dxa"/>
            <w:tcBorders>
              <w:top w:val="nil"/>
              <w:left w:val="nil"/>
              <w:bottom w:val="single" w:color="auto" w:sz="4" w:space="0"/>
              <w:right w:val="single" w:color="auto" w:sz="4" w:space="0"/>
            </w:tcBorders>
            <w:vAlign w:val="center"/>
          </w:tcPr>
          <w:p w14:paraId="7D012FF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BF7C3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31D3D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3B4BC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46A9B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7A47F6E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285950A">
        <w:tblPrEx>
          <w:tblCellMar>
            <w:top w:w="0" w:type="dxa"/>
            <w:left w:w="108" w:type="dxa"/>
            <w:bottom w:w="0" w:type="dxa"/>
            <w:right w:w="108" w:type="dxa"/>
          </w:tblCellMar>
        </w:tblPrEx>
        <w:trPr>
          <w:gridAfter w:val="1"/>
          <w:wAfter w:w="543" w:type="dxa"/>
          <w:trHeight w:val="720" w:hRule="atLeast"/>
          <w:jc w:val="center"/>
        </w:trPr>
        <w:tc>
          <w:tcPr>
            <w:tcW w:w="569" w:type="dxa"/>
            <w:tcBorders>
              <w:top w:val="nil"/>
              <w:left w:val="single" w:color="auto" w:sz="4" w:space="0"/>
              <w:bottom w:val="single" w:color="auto" w:sz="4" w:space="0"/>
              <w:right w:val="single" w:color="auto" w:sz="4" w:space="0"/>
            </w:tcBorders>
            <w:vAlign w:val="center"/>
          </w:tcPr>
          <w:p w14:paraId="057861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648A63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生长及外观：生长良好，色块较满基本无缺，按修剪要求进行修剪，并能控制合理高度；无明显杂草、干枯枝、伤残枝及黄叶。</w:t>
            </w:r>
          </w:p>
        </w:tc>
        <w:tc>
          <w:tcPr>
            <w:tcW w:w="877" w:type="dxa"/>
            <w:tcBorders>
              <w:top w:val="nil"/>
              <w:left w:val="nil"/>
              <w:bottom w:val="single" w:color="auto" w:sz="4" w:space="0"/>
              <w:right w:val="single" w:color="auto" w:sz="4" w:space="0"/>
            </w:tcBorders>
            <w:vAlign w:val="center"/>
          </w:tcPr>
          <w:p w14:paraId="1F52EF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768" w:type="dxa"/>
            <w:tcBorders>
              <w:top w:val="nil"/>
              <w:left w:val="nil"/>
              <w:bottom w:val="single" w:color="auto" w:sz="4" w:space="0"/>
              <w:right w:val="single" w:color="auto" w:sz="4" w:space="0"/>
            </w:tcBorders>
            <w:vAlign w:val="center"/>
          </w:tcPr>
          <w:p w14:paraId="2451C55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AA98C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10C94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C6BD3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3B21E8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A4C281D">
        <w:tblPrEx>
          <w:tblCellMar>
            <w:top w:w="0" w:type="dxa"/>
            <w:left w:w="108" w:type="dxa"/>
            <w:bottom w:w="0" w:type="dxa"/>
            <w:right w:w="108" w:type="dxa"/>
          </w:tblCellMar>
        </w:tblPrEx>
        <w:trPr>
          <w:gridAfter w:val="1"/>
          <w:wAfter w:w="543" w:type="dxa"/>
          <w:trHeight w:val="540" w:hRule="atLeast"/>
          <w:jc w:val="center"/>
        </w:trPr>
        <w:tc>
          <w:tcPr>
            <w:tcW w:w="569" w:type="dxa"/>
            <w:tcBorders>
              <w:top w:val="nil"/>
              <w:left w:val="single" w:color="auto" w:sz="4" w:space="0"/>
              <w:bottom w:val="single" w:color="auto" w:sz="4" w:space="0"/>
              <w:right w:val="single" w:color="auto" w:sz="4" w:space="0"/>
            </w:tcBorders>
            <w:vAlign w:val="center"/>
          </w:tcPr>
          <w:p w14:paraId="6FC341A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312984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松土、勾边：土壤平整，疏松通透湿润、无积水；勾边顺滑整齐、规范。</w:t>
            </w:r>
          </w:p>
        </w:tc>
        <w:tc>
          <w:tcPr>
            <w:tcW w:w="877" w:type="dxa"/>
            <w:tcBorders>
              <w:top w:val="nil"/>
              <w:left w:val="nil"/>
              <w:bottom w:val="single" w:color="auto" w:sz="4" w:space="0"/>
              <w:right w:val="single" w:color="auto" w:sz="4" w:space="0"/>
            </w:tcBorders>
            <w:vAlign w:val="center"/>
          </w:tcPr>
          <w:p w14:paraId="47EC9C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5E475DA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7BEA43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CD3BE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7DF9E5E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D78EB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087CAD7">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3B7E7D3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4164" w:type="dxa"/>
            <w:tcBorders>
              <w:top w:val="nil"/>
              <w:left w:val="nil"/>
              <w:bottom w:val="single" w:color="auto" w:sz="4" w:space="0"/>
              <w:right w:val="single" w:color="auto" w:sz="4" w:space="0"/>
            </w:tcBorders>
            <w:vAlign w:val="center"/>
          </w:tcPr>
          <w:p w14:paraId="480C94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877" w:type="dxa"/>
            <w:tcBorders>
              <w:top w:val="nil"/>
              <w:left w:val="nil"/>
              <w:bottom w:val="single" w:color="auto" w:sz="4" w:space="0"/>
              <w:right w:val="single" w:color="auto" w:sz="4" w:space="0"/>
            </w:tcBorders>
            <w:vAlign w:val="center"/>
          </w:tcPr>
          <w:p w14:paraId="47D397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6C55A3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75367A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9EE96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0EFBAB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B7C06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E7E62F">
        <w:tblPrEx>
          <w:tblCellMar>
            <w:top w:w="0" w:type="dxa"/>
            <w:left w:w="108" w:type="dxa"/>
            <w:bottom w:w="0" w:type="dxa"/>
            <w:right w:w="108" w:type="dxa"/>
          </w:tblCellMar>
        </w:tblPrEx>
        <w:trPr>
          <w:gridAfter w:val="1"/>
          <w:wAfter w:w="543" w:type="dxa"/>
          <w:trHeight w:val="2010" w:hRule="atLeast"/>
          <w:jc w:val="center"/>
        </w:trPr>
        <w:tc>
          <w:tcPr>
            <w:tcW w:w="569" w:type="dxa"/>
            <w:tcBorders>
              <w:top w:val="nil"/>
              <w:left w:val="single" w:color="auto" w:sz="4" w:space="0"/>
              <w:bottom w:val="single" w:color="auto" w:sz="4" w:space="0"/>
              <w:right w:val="single" w:color="auto" w:sz="4" w:space="0"/>
            </w:tcBorders>
            <w:vAlign w:val="center"/>
          </w:tcPr>
          <w:p w14:paraId="182578F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164" w:type="dxa"/>
            <w:tcBorders>
              <w:top w:val="nil"/>
              <w:left w:val="nil"/>
              <w:bottom w:val="single" w:color="auto" w:sz="4" w:space="0"/>
              <w:right w:val="single" w:color="auto" w:sz="4" w:space="0"/>
            </w:tcBorders>
            <w:vAlign w:val="center"/>
          </w:tcPr>
          <w:p w14:paraId="460739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树盘大小适合，边线整齐，土面高度适当，培土较规范。树盘较整洁，无明显杂草及积水。土壤疏松、通透湿润。</w:t>
            </w:r>
          </w:p>
        </w:tc>
        <w:tc>
          <w:tcPr>
            <w:tcW w:w="877" w:type="dxa"/>
            <w:tcBorders>
              <w:top w:val="nil"/>
              <w:left w:val="nil"/>
              <w:bottom w:val="single" w:color="auto" w:sz="4" w:space="0"/>
              <w:right w:val="single" w:color="auto" w:sz="4" w:space="0"/>
            </w:tcBorders>
            <w:vAlign w:val="center"/>
          </w:tcPr>
          <w:p w14:paraId="1A216A8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center"/>
          </w:tcPr>
          <w:p w14:paraId="44D1224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3CE94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DE77D5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1034EF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1A7647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21CB00B">
        <w:tblPrEx>
          <w:tblCellMar>
            <w:top w:w="0" w:type="dxa"/>
            <w:left w:w="108" w:type="dxa"/>
            <w:bottom w:w="0" w:type="dxa"/>
            <w:right w:w="108" w:type="dxa"/>
          </w:tblCellMar>
        </w:tblPrEx>
        <w:trPr>
          <w:gridAfter w:val="1"/>
          <w:wAfter w:w="543" w:type="dxa"/>
          <w:trHeight w:val="664" w:hRule="atLeast"/>
          <w:jc w:val="center"/>
        </w:trPr>
        <w:tc>
          <w:tcPr>
            <w:tcW w:w="569" w:type="dxa"/>
            <w:tcBorders>
              <w:top w:val="nil"/>
              <w:left w:val="single" w:color="auto" w:sz="4" w:space="0"/>
              <w:bottom w:val="single" w:color="auto" w:sz="4" w:space="0"/>
              <w:right w:val="single" w:color="auto" w:sz="4" w:space="0"/>
            </w:tcBorders>
            <w:vAlign w:val="center"/>
          </w:tcPr>
          <w:p w14:paraId="2C742F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4164" w:type="dxa"/>
            <w:tcBorders>
              <w:top w:val="nil"/>
              <w:left w:val="nil"/>
              <w:bottom w:val="single" w:color="auto" w:sz="4" w:space="0"/>
              <w:right w:val="single" w:color="auto" w:sz="4" w:space="0"/>
            </w:tcBorders>
            <w:vAlign w:val="center"/>
          </w:tcPr>
          <w:p w14:paraId="1D5EDDB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877" w:type="dxa"/>
            <w:tcBorders>
              <w:top w:val="nil"/>
              <w:left w:val="nil"/>
              <w:bottom w:val="single" w:color="auto" w:sz="4" w:space="0"/>
              <w:right w:val="single" w:color="auto" w:sz="4" w:space="0"/>
            </w:tcBorders>
            <w:vAlign w:val="center"/>
          </w:tcPr>
          <w:p w14:paraId="4D6BC97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66BF755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646CF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9C00F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3981A1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368FF33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FB64634">
        <w:tblPrEx>
          <w:tblCellMar>
            <w:top w:w="0" w:type="dxa"/>
            <w:left w:w="108" w:type="dxa"/>
            <w:bottom w:w="0" w:type="dxa"/>
            <w:right w:w="108" w:type="dxa"/>
          </w:tblCellMar>
        </w:tblPrEx>
        <w:trPr>
          <w:gridAfter w:val="1"/>
          <w:wAfter w:w="543" w:type="dxa"/>
          <w:trHeight w:val="2559" w:hRule="atLeast"/>
          <w:jc w:val="center"/>
        </w:trPr>
        <w:tc>
          <w:tcPr>
            <w:tcW w:w="569" w:type="dxa"/>
            <w:tcBorders>
              <w:top w:val="nil"/>
              <w:left w:val="single" w:color="auto" w:sz="4" w:space="0"/>
              <w:bottom w:val="single" w:color="auto" w:sz="4" w:space="0"/>
              <w:right w:val="single" w:color="auto" w:sz="4" w:space="0"/>
            </w:tcBorders>
            <w:vAlign w:val="center"/>
          </w:tcPr>
          <w:p w14:paraId="493B2D7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4C2FCCD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生长及外观：草坪平整、青绿、色泽均匀、无明显枯黄现象；草坪高度控制在8cm以下，草坪边缘（与路面、色块交界处）线较清晰，无交叉生长现象。</w:t>
            </w:r>
          </w:p>
        </w:tc>
        <w:tc>
          <w:tcPr>
            <w:tcW w:w="877" w:type="dxa"/>
            <w:tcBorders>
              <w:top w:val="nil"/>
              <w:left w:val="nil"/>
              <w:bottom w:val="single" w:color="auto" w:sz="4" w:space="0"/>
              <w:right w:val="single" w:color="auto" w:sz="4" w:space="0"/>
            </w:tcBorders>
            <w:vAlign w:val="center"/>
          </w:tcPr>
          <w:p w14:paraId="7FCD58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68" w:type="dxa"/>
            <w:tcBorders>
              <w:top w:val="nil"/>
              <w:left w:val="nil"/>
              <w:bottom w:val="single" w:color="auto" w:sz="4" w:space="0"/>
              <w:right w:val="single" w:color="auto" w:sz="4" w:space="0"/>
            </w:tcBorders>
            <w:vAlign w:val="center"/>
          </w:tcPr>
          <w:p w14:paraId="3D37493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5F3948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A8139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3A0CA1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4279814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3BF2D9A">
        <w:tblPrEx>
          <w:tblCellMar>
            <w:top w:w="0" w:type="dxa"/>
            <w:left w:w="108" w:type="dxa"/>
            <w:bottom w:w="0" w:type="dxa"/>
            <w:right w:w="108" w:type="dxa"/>
          </w:tblCellMar>
        </w:tblPrEx>
        <w:trPr>
          <w:gridAfter w:val="1"/>
          <w:wAfter w:w="543" w:type="dxa"/>
          <w:trHeight w:val="1612" w:hRule="atLeast"/>
          <w:jc w:val="center"/>
        </w:trPr>
        <w:tc>
          <w:tcPr>
            <w:tcW w:w="569" w:type="dxa"/>
            <w:tcBorders>
              <w:top w:val="nil"/>
              <w:left w:val="single" w:color="auto" w:sz="4" w:space="0"/>
              <w:bottom w:val="single" w:color="auto" w:sz="4" w:space="0"/>
              <w:right w:val="single" w:color="auto" w:sz="4" w:space="0"/>
            </w:tcBorders>
            <w:vAlign w:val="center"/>
          </w:tcPr>
          <w:p w14:paraId="63A4B26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63FC5B5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除杂：及时除杂，无大型杂草，目的草种纯度85﹪以上；草地无因除杂而形成的坑洼小洞。</w:t>
            </w:r>
          </w:p>
        </w:tc>
        <w:tc>
          <w:tcPr>
            <w:tcW w:w="877" w:type="dxa"/>
            <w:tcBorders>
              <w:top w:val="nil"/>
              <w:left w:val="nil"/>
              <w:bottom w:val="single" w:color="auto" w:sz="4" w:space="0"/>
              <w:right w:val="single" w:color="auto" w:sz="4" w:space="0"/>
            </w:tcBorders>
            <w:vAlign w:val="center"/>
          </w:tcPr>
          <w:p w14:paraId="565FFFC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68" w:type="dxa"/>
            <w:tcBorders>
              <w:top w:val="nil"/>
              <w:left w:val="nil"/>
              <w:bottom w:val="single" w:color="auto" w:sz="4" w:space="0"/>
              <w:right w:val="single" w:color="auto" w:sz="4" w:space="0"/>
            </w:tcBorders>
            <w:vAlign w:val="center"/>
          </w:tcPr>
          <w:p w14:paraId="44CB4FD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0836E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E356C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7EF09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715127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CB29D9B">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3AF0484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4164" w:type="dxa"/>
            <w:tcBorders>
              <w:top w:val="nil"/>
              <w:left w:val="nil"/>
              <w:bottom w:val="single" w:color="auto" w:sz="4" w:space="0"/>
              <w:right w:val="single" w:color="auto" w:sz="4" w:space="0"/>
            </w:tcBorders>
            <w:vAlign w:val="center"/>
          </w:tcPr>
          <w:p w14:paraId="05E507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绿地卫生</w:t>
            </w:r>
          </w:p>
        </w:tc>
        <w:tc>
          <w:tcPr>
            <w:tcW w:w="877" w:type="dxa"/>
            <w:tcBorders>
              <w:top w:val="nil"/>
              <w:left w:val="nil"/>
              <w:bottom w:val="single" w:color="auto" w:sz="4" w:space="0"/>
              <w:right w:val="single" w:color="auto" w:sz="4" w:space="0"/>
            </w:tcBorders>
            <w:vAlign w:val="center"/>
          </w:tcPr>
          <w:p w14:paraId="3F45A4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137D6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D41A2C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D148B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2D441F1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4351DB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F0894FC">
        <w:tblPrEx>
          <w:tblCellMar>
            <w:top w:w="0" w:type="dxa"/>
            <w:left w:w="108" w:type="dxa"/>
            <w:bottom w:w="0" w:type="dxa"/>
            <w:right w:w="108" w:type="dxa"/>
          </w:tblCellMar>
        </w:tblPrEx>
        <w:trPr>
          <w:gridAfter w:val="1"/>
          <w:wAfter w:w="543" w:type="dxa"/>
          <w:trHeight w:val="360" w:hRule="atLeast"/>
          <w:jc w:val="center"/>
        </w:trPr>
        <w:tc>
          <w:tcPr>
            <w:tcW w:w="569" w:type="dxa"/>
            <w:tcBorders>
              <w:top w:val="single" w:color="auto" w:sz="4" w:space="0"/>
              <w:left w:val="single" w:color="auto" w:sz="4" w:space="0"/>
              <w:bottom w:val="single" w:color="auto" w:sz="4" w:space="0"/>
              <w:right w:val="single" w:color="auto" w:sz="4" w:space="0"/>
            </w:tcBorders>
            <w:vAlign w:val="center"/>
          </w:tcPr>
          <w:p w14:paraId="31F4EF1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164" w:type="dxa"/>
            <w:tcBorders>
              <w:top w:val="single" w:color="auto" w:sz="4" w:space="0"/>
              <w:left w:val="single" w:color="auto" w:sz="4" w:space="0"/>
              <w:bottom w:val="single" w:color="auto" w:sz="4" w:space="0"/>
              <w:right w:val="single" w:color="auto" w:sz="4" w:space="0"/>
            </w:tcBorders>
            <w:vAlign w:val="center"/>
          </w:tcPr>
          <w:p w14:paraId="2E2777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877" w:type="dxa"/>
            <w:tcBorders>
              <w:top w:val="single" w:color="auto" w:sz="4" w:space="0"/>
              <w:left w:val="nil"/>
              <w:bottom w:val="single" w:color="auto" w:sz="4" w:space="0"/>
              <w:right w:val="single" w:color="auto" w:sz="4" w:space="0"/>
            </w:tcBorders>
            <w:vAlign w:val="center"/>
          </w:tcPr>
          <w:p w14:paraId="04C9621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68" w:type="dxa"/>
            <w:tcBorders>
              <w:top w:val="single" w:color="auto" w:sz="4" w:space="0"/>
              <w:left w:val="nil"/>
              <w:bottom w:val="single" w:color="auto" w:sz="4" w:space="0"/>
              <w:right w:val="single" w:color="auto" w:sz="4" w:space="0"/>
            </w:tcBorders>
            <w:vAlign w:val="center"/>
          </w:tcPr>
          <w:p w14:paraId="6515FB8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916" w:type="dxa"/>
            <w:gridSpan w:val="4"/>
            <w:tcBorders>
              <w:top w:val="single" w:color="auto" w:sz="4" w:space="0"/>
              <w:left w:val="nil"/>
              <w:bottom w:val="single" w:color="auto" w:sz="4" w:space="0"/>
              <w:right w:val="single" w:color="auto" w:sz="4" w:space="0"/>
            </w:tcBorders>
            <w:vAlign w:val="center"/>
          </w:tcPr>
          <w:p w14:paraId="5161B59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02A1D858">
        <w:tblPrEx>
          <w:tblCellMar>
            <w:top w:w="0" w:type="dxa"/>
            <w:left w:w="108" w:type="dxa"/>
            <w:bottom w:w="0" w:type="dxa"/>
            <w:right w:w="108" w:type="dxa"/>
          </w:tblCellMar>
        </w:tblPrEx>
        <w:trPr>
          <w:gridAfter w:val="1"/>
          <w:wAfter w:w="543" w:type="dxa"/>
          <w:trHeight w:val="226" w:hRule="atLeast"/>
          <w:jc w:val="center"/>
        </w:trPr>
        <w:tc>
          <w:tcPr>
            <w:tcW w:w="569" w:type="dxa"/>
            <w:tcBorders>
              <w:top w:val="nil"/>
              <w:left w:val="single" w:color="auto" w:sz="4" w:space="0"/>
              <w:bottom w:val="single" w:color="auto" w:sz="4" w:space="0"/>
              <w:right w:val="single" w:color="auto" w:sz="4" w:space="0"/>
            </w:tcBorders>
            <w:vAlign w:val="center"/>
          </w:tcPr>
          <w:p w14:paraId="027DF1D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3A6E52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绿地较整洁，无明显垃圾，修剪后枝叶、碎草及时清理；无明显散落枝叶、草、余泥、石块、杂物堆积。</w:t>
            </w:r>
          </w:p>
        </w:tc>
        <w:tc>
          <w:tcPr>
            <w:tcW w:w="877" w:type="dxa"/>
            <w:tcBorders>
              <w:top w:val="nil"/>
              <w:left w:val="nil"/>
              <w:bottom w:val="single" w:color="auto" w:sz="4" w:space="0"/>
              <w:right w:val="single" w:color="auto" w:sz="4" w:space="0"/>
            </w:tcBorders>
            <w:vAlign w:val="center"/>
          </w:tcPr>
          <w:p w14:paraId="2F1C90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68" w:type="dxa"/>
            <w:tcBorders>
              <w:top w:val="nil"/>
              <w:left w:val="nil"/>
              <w:bottom w:val="single" w:color="auto" w:sz="4" w:space="0"/>
              <w:right w:val="single" w:color="auto" w:sz="4" w:space="0"/>
            </w:tcBorders>
            <w:vAlign w:val="center"/>
          </w:tcPr>
          <w:p w14:paraId="1F4029E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0F52D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BF61C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1E8D4C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137BB5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F2B8AD">
        <w:tblPrEx>
          <w:tblCellMar>
            <w:top w:w="0" w:type="dxa"/>
            <w:left w:w="108" w:type="dxa"/>
            <w:bottom w:w="0" w:type="dxa"/>
            <w:right w:w="108" w:type="dxa"/>
          </w:tblCellMar>
        </w:tblPrEx>
        <w:trPr>
          <w:gridAfter w:val="1"/>
          <w:wAfter w:w="543" w:type="dxa"/>
          <w:trHeight w:val="420" w:hRule="atLeast"/>
          <w:jc w:val="center"/>
        </w:trPr>
        <w:tc>
          <w:tcPr>
            <w:tcW w:w="569" w:type="dxa"/>
            <w:tcBorders>
              <w:top w:val="nil"/>
              <w:left w:val="single" w:color="auto" w:sz="4" w:space="0"/>
              <w:bottom w:val="single" w:color="auto" w:sz="4" w:space="0"/>
              <w:right w:val="single" w:color="auto" w:sz="4" w:space="0"/>
            </w:tcBorders>
            <w:vAlign w:val="center"/>
          </w:tcPr>
          <w:p w14:paraId="0630676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6D4C79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游园设施干净清洁，护绿设施整齐规范。</w:t>
            </w:r>
          </w:p>
        </w:tc>
        <w:tc>
          <w:tcPr>
            <w:tcW w:w="877" w:type="dxa"/>
            <w:tcBorders>
              <w:top w:val="nil"/>
              <w:left w:val="nil"/>
              <w:bottom w:val="single" w:color="auto" w:sz="4" w:space="0"/>
              <w:right w:val="single" w:color="auto" w:sz="4" w:space="0"/>
            </w:tcBorders>
            <w:vAlign w:val="center"/>
          </w:tcPr>
          <w:p w14:paraId="69B8498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68" w:type="dxa"/>
            <w:tcBorders>
              <w:top w:val="nil"/>
              <w:left w:val="nil"/>
              <w:bottom w:val="single" w:color="auto" w:sz="4" w:space="0"/>
              <w:right w:val="single" w:color="auto" w:sz="4" w:space="0"/>
            </w:tcBorders>
            <w:vAlign w:val="center"/>
          </w:tcPr>
          <w:p w14:paraId="62F287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35A10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EF3EF8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6BB870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193135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1CE4AAD">
        <w:tblPrEx>
          <w:tblCellMar>
            <w:top w:w="0" w:type="dxa"/>
            <w:left w:w="108" w:type="dxa"/>
            <w:bottom w:w="0" w:type="dxa"/>
            <w:right w:w="108" w:type="dxa"/>
          </w:tblCellMar>
        </w:tblPrEx>
        <w:trPr>
          <w:gridAfter w:val="1"/>
          <w:wAfter w:w="543" w:type="dxa"/>
          <w:trHeight w:val="462" w:hRule="atLeast"/>
          <w:jc w:val="center"/>
        </w:trPr>
        <w:tc>
          <w:tcPr>
            <w:tcW w:w="569" w:type="dxa"/>
            <w:tcBorders>
              <w:top w:val="nil"/>
              <w:left w:val="single" w:color="auto" w:sz="4" w:space="0"/>
              <w:bottom w:val="single" w:color="auto" w:sz="4" w:space="0"/>
              <w:right w:val="single" w:color="auto" w:sz="4" w:space="0"/>
            </w:tcBorders>
            <w:vAlign w:val="center"/>
          </w:tcPr>
          <w:p w14:paraId="14E5AF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164" w:type="dxa"/>
            <w:tcBorders>
              <w:top w:val="nil"/>
              <w:left w:val="nil"/>
              <w:bottom w:val="single" w:color="auto" w:sz="4" w:space="0"/>
              <w:right w:val="single" w:color="auto" w:sz="4" w:space="0"/>
            </w:tcBorders>
            <w:vAlign w:val="center"/>
          </w:tcPr>
          <w:p w14:paraId="437F56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w:t>
            </w:r>
          </w:p>
        </w:tc>
        <w:tc>
          <w:tcPr>
            <w:tcW w:w="877" w:type="dxa"/>
            <w:tcBorders>
              <w:top w:val="nil"/>
              <w:left w:val="nil"/>
              <w:bottom w:val="single" w:color="auto" w:sz="4" w:space="0"/>
              <w:right w:val="single" w:color="auto" w:sz="4" w:space="0"/>
            </w:tcBorders>
            <w:vAlign w:val="center"/>
          </w:tcPr>
          <w:p w14:paraId="575C465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210A07C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CCC462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231DDF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3EE16E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3DD321D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7B51019">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2005282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4164" w:type="dxa"/>
            <w:tcBorders>
              <w:top w:val="nil"/>
              <w:left w:val="nil"/>
              <w:bottom w:val="single" w:color="auto" w:sz="4" w:space="0"/>
              <w:right w:val="single" w:color="auto" w:sz="4" w:space="0"/>
            </w:tcBorders>
            <w:vAlign w:val="center"/>
          </w:tcPr>
          <w:p w14:paraId="1496605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877" w:type="dxa"/>
            <w:tcBorders>
              <w:top w:val="nil"/>
              <w:left w:val="nil"/>
              <w:bottom w:val="single" w:color="auto" w:sz="4" w:space="0"/>
              <w:right w:val="single" w:color="auto" w:sz="4" w:space="0"/>
            </w:tcBorders>
            <w:vAlign w:val="center"/>
          </w:tcPr>
          <w:p w14:paraId="0676E73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B3B276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A9C71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1500B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00D6ECC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C58F1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69230E">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17C403E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vAlign w:val="center"/>
          </w:tcPr>
          <w:p w14:paraId="100292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绿地保存完好，无黄土裸露现象。</w:t>
            </w:r>
          </w:p>
        </w:tc>
        <w:tc>
          <w:tcPr>
            <w:tcW w:w="877" w:type="dxa"/>
            <w:tcBorders>
              <w:top w:val="nil"/>
              <w:left w:val="nil"/>
              <w:bottom w:val="single" w:color="auto" w:sz="4" w:space="0"/>
              <w:right w:val="single" w:color="auto" w:sz="4" w:space="0"/>
            </w:tcBorders>
            <w:vAlign w:val="center"/>
          </w:tcPr>
          <w:p w14:paraId="0CFC159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768" w:type="dxa"/>
            <w:tcBorders>
              <w:top w:val="nil"/>
              <w:left w:val="nil"/>
              <w:bottom w:val="single" w:color="auto" w:sz="4" w:space="0"/>
              <w:right w:val="single" w:color="auto" w:sz="4" w:space="0"/>
            </w:tcBorders>
            <w:vAlign w:val="center"/>
          </w:tcPr>
          <w:p w14:paraId="5D992D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10AF30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8D38D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57665F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9C2276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0478886">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08EF217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164" w:type="dxa"/>
            <w:tcBorders>
              <w:top w:val="nil"/>
              <w:left w:val="nil"/>
              <w:bottom w:val="single" w:color="auto" w:sz="4" w:space="0"/>
              <w:right w:val="single" w:color="auto" w:sz="4" w:space="0"/>
            </w:tcBorders>
            <w:vAlign w:val="center"/>
          </w:tcPr>
          <w:p w14:paraId="1E99AE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乔木与孤植灌木无缺株。</w:t>
            </w:r>
          </w:p>
        </w:tc>
        <w:tc>
          <w:tcPr>
            <w:tcW w:w="877" w:type="dxa"/>
            <w:tcBorders>
              <w:top w:val="nil"/>
              <w:left w:val="nil"/>
              <w:bottom w:val="single" w:color="auto" w:sz="4" w:space="0"/>
              <w:right w:val="single" w:color="auto" w:sz="4" w:space="0"/>
            </w:tcBorders>
            <w:vAlign w:val="center"/>
          </w:tcPr>
          <w:p w14:paraId="1860FB2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68" w:type="dxa"/>
            <w:tcBorders>
              <w:top w:val="nil"/>
              <w:left w:val="nil"/>
              <w:bottom w:val="single" w:color="auto" w:sz="4" w:space="0"/>
              <w:right w:val="single" w:color="auto" w:sz="4" w:space="0"/>
            </w:tcBorders>
            <w:vAlign w:val="center"/>
          </w:tcPr>
          <w:p w14:paraId="567C14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C71289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5745C10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3B438F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0AA6FE8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95B31D7">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5DF00DF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4164" w:type="dxa"/>
            <w:tcBorders>
              <w:top w:val="nil"/>
              <w:left w:val="nil"/>
              <w:bottom w:val="single" w:color="auto" w:sz="4" w:space="0"/>
              <w:right w:val="single" w:color="auto" w:sz="4" w:space="0"/>
            </w:tcBorders>
            <w:vAlign w:val="center"/>
          </w:tcPr>
          <w:p w14:paraId="55F55A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877" w:type="dxa"/>
            <w:tcBorders>
              <w:top w:val="nil"/>
              <w:left w:val="nil"/>
              <w:bottom w:val="single" w:color="auto" w:sz="4" w:space="0"/>
              <w:right w:val="single" w:color="auto" w:sz="4" w:space="0"/>
            </w:tcBorders>
            <w:vAlign w:val="center"/>
          </w:tcPr>
          <w:p w14:paraId="133401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002FC42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43E756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51717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14BE14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22B3DF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EE76C8D">
        <w:tblPrEx>
          <w:tblCellMar>
            <w:top w:w="0" w:type="dxa"/>
            <w:left w:w="108" w:type="dxa"/>
            <w:bottom w:w="0" w:type="dxa"/>
            <w:right w:w="108" w:type="dxa"/>
          </w:tblCellMar>
        </w:tblPrEx>
        <w:trPr>
          <w:gridAfter w:val="1"/>
          <w:wAfter w:w="543" w:type="dxa"/>
          <w:trHeight w:val="795" w:hRule="atLeast"/>
          <w:jc w:val="center"/>
        </w:trPr>
        <w:tc>
          <w:tcPr>
            <w:tcW w:w="569" w:type="dxa"/>
            <w:tcBorders>
              <w:top w:val="nil"/>
              <w:left w:val="single" w:color="auto" w:sz="4" w:space="0"/>
              <w:bottom w:val="single" w:color="auto" w:sz="4" w:space="0"/>
              <w:right w:val="single" w:color="auto" w:sz="4" w:space="0"/>
            </w:tcBorders>
            <w:vAlign w:val="center"/>
          </w:tcPr>
          <w:p w14:paraId="04B661F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164" w:type="dxa"/>
            <w:tcBorders>
              <w:top w:val="nil"/>
              <w:left w:val="nil"/>
              <w:bottom w:val="single" w:color="auto" w:sz="4" w:space="0"/>
              <w:right w:val="single" w:color="auto" w:sz="4" w:space="0"/>
            </w:tcBorders>
          </w:tcPr>
          <w:p w14:paraId="303648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病虫害危害未达到明显程度。食叶害虫危害的叶片每处（株）不超过10%，刺吸式害虫危害的叶片每处（株）不超过15%，蛀干性害虫危害每处（株）在2%以下。病害每处（株）不超过10%。</w:t>
            </w:r>
          </w:p>
        </w:tc>
        <w:tc>
          <w:tcPr>
            <w:tcW w:w="877" w:type="dxa"/>
            <w:tcBorders>
              <w:top w:val="nil"/>
              <w:left w:val="nil"/>
              <w:bottom w:val="single" w:color="auto" w:sz="4" w:space="0"/>
              <w:right w:val="single" w:color="auto" w:sz="4" w:space="0"/>
            </w:tcBorders>
            <w:vAlign w:val="center"/>
          </w:tcPr>
          <w:p w14:paraId="56436CA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bottom"/>
          </w:tcPr>
          <w:p w14:paraId="2288652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5AFB3B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246AC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70FA81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76B736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5073DA">
        <w:tblPrEx>
          <w:tblCellMar>
            <w:top w:w="0" w:type="dxa"/>
            <w:left w:w="108" w:type="dxa"/>
            <w:bottom w:w="0" w:type="dxa"/>
            <w:right w:w="108" w:type="dxa"/>
          </w:tblCellMar>
        </w:tblPrEx>
        <w:trPr>
          <w:gridAfter w:val="1"/>
          <w:wAfter w:w="543" w:type="dxa"/>
          <w:trHeight w:val="360" w:hRule="atLeast"/>
          <w:jc w:val="center"/>
        </w:trPr>
        <w:tc>
          <w:tcPr>
            <w:tcW w:w="569" w:type="dxa"/>
            <w:tcBorders>
              <w:top w:val="nil"/>
              <w:left w:val="single" w:color="auto" w:sz="4" w:space="0"/>
              <w:bottom w:val="single" w:color="auto" w:sz="4" w:space="0"/>
              <w:right w:val="single" w:color="auto" w:sz="4" w:space="0"/>
            </w:tcBorders>
            <w:vAlign w:val="center"/>
          </w:tcPr>
          <w:p w14:paraId="31F28E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w:t>
            </w:r>
          </w:p>
        </w:tc>
        <w:tc>
          <w:tcPr>
            <w:tcW w:w="4164" w:type="dxa"/>
            <w:tcBorders>
              <w:top w:val="nil"/>
              <w:left w:val="nil"/>
              <w:bottom w:val="single" w:color="auto" w:sz="4" w:space="0"/>
              <w:right w:val="single" w:color="auto" w:sz="4" w:space="0"/>
            </w:tcBorders>
            <w:vAlign w:val="center"/>
          </w:tcPr>
          <w:p w14:paraId="6D07892A">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877" w:type="dxa"/>
            <w:tcBorders>
              <w:top w:val="nil"/>
              <w:left w:val="nil"/>
              <w:bottom w:val="single" w:color="auto" w:sz="4" w:space="0"/>
              <w:right w:val="single" w:color="auto" w:sz="4" w:space="0"/>
            </w:tcBorders>
            <w:vAlign w:val="center"/>
          </w:tcPr>
          <w:p w14:paraId="58A076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0B1AB56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3599F4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3B546F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493E68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7978D1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F66C6C1">
        <w:tblPrEx>
          <w:tblCellMar>
            <w:top w:w="0" w:type="dxa"/>
            <w:left w:w="108" w:type="dxa"/>
            <w:bottom w:w="0" w:type="dxa"/>
            <w:right w:w="108" w:type="dxa"/>
          </w:tblCellMar>
        </w:tblPrEx>
        <w:trPr>
          <w:gridAfter w:val="1"/>
          <w:wAfter w:w="543" w:type="dxa"/>
          <w:trHeight w:val="480" w:hRule="atLeast"/>
          <w:jc w:val="center"/>
        </w:trPr>
        <w:tc>
          <w:tcPr>
            <w:tcW w:w="569" w:type="dxa"/>
            <w:tcBorders>
              <w:top w:val="nil"/>
              <w:left w:val="single" w:color="auto" w:sz="4" w:space="0"/>
              <w:bottom w:val="single" w:color="auto" w:sz="4" w:space="0"/>
              <w:right w:val="single" w:color="auto" w:sz="4" w:space="0"/>
            </w:tcBorders>
            <w:vAlign w:val="center"/>
          </w:tcPr>
          <w:p w14:paraId="3D5132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164" w:type="dxa"/>
            <w:tcBorders>
              <w:top w:val="nil"/>
              <w:left w:val="nil"/>
              <w:bottom w:val="single" w:color="auto" w:sz="4" w:space="0"/>
              <w:right w:val="single" w:color="auto" w:sz="4" w:space="0"/>
            </w:tcBorders>
            <w:vAlign w:val="center"/>
          </w:tcPr>
          <w:p w14:paraId="258CC31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植株长势旺盛，叶子挺直，嫩稍不萎垂，土壤不干裂，无积水。无淋水造成的苗木倒伏、枝叶损伤、黄土污染路面现象。</w:t>
            </w:r>
          </w:p>
        </w:tc>
        <w:tc>
          <w:tcPr>
            <w:tcW w:w="877" w:type="dxa"/>
            <w:tcBorders>
              <w:top w:val="nil"/>
              <w:left w:val="nil"/>
              <w:bottom w:val="single" w:color="auto" w:sz="4" w:space="0"/>
              <w:right w:val="single" w:color="auto" w:sz="4" w:space="0"/>
            </w:tcBorders>
            <w:vAlign w:val="center"/>
          </w:tcPr>
          <w:p w14:paraId="448C27D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68" w:type="dxa"/>
            <w:tcBorders>
              <w:top w:val="nil"/>
              <w:left w:val="nil"/>
              <w:bottom w:val="single" w:color="auto" w:sz="4" w:space="0"/>
              <w:right w:val="single" w:color="auto" w:sz="4" w:space="0"/>
            </w:tcBorders>
            <w:vAlign w:val="bottom"/>
          </w:tcPr>
          <w:p w14:paraId="073D99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DA282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2781A6D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1848844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68DFE3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675EE6B">
        <w:tblPrEx>
          <w:tblCellMar>
            <w:top w:w="0" w:type="dxa"/>
            <w:left w:w="108" w:type="dxa"/>
            <w:bottom w:w="0" w:type="dxa"/>
            <w:right w:w="108" w:type="dxa"/>
          </w:tblCellMar>
        </w:tblPrEx>
        <w:trPr>
          <w:gridAfter w:val="1"/>
          <w:wAfter w:w="543" w:type="dxa"/>
          <w:trHeight w:val="405" w:hRule="atLeast"/>
          <w:jc w:val="center"/>
        </w:trPr>
        <w:tc>
          <w:tcPr>
            <w:tcW w:w="569" w:type="dxa"/>
            <w:tcBorders>
              <w:top w:val="nil"/>
              <w:left w:val="single" w:color="auto" w:sz="4" w:space="0"/>
              <w:bottom w:val="single" w:color="auto" w:sz="4" w:space="0"/>
              <w:right w:val="single" w:color="auto" w:sz="4" w:space="0"/>
            </w:tcBorders>
            <w:vAlign w:val="center"/>
          </w:tcPr>
          <w:p w14:paraId="48E24B2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4164" w:type="dxa"/>
            <w:tcBorders>
              <w:top w:val="nil"/>
              <w:left w:val="nil"/>
              <w:bottom w:val="single" w:color="auto" w:sz="4" w:space="0"/>
              <w:right w:val="single" w:color="auto" w:sz="4" w:space="0"/>
            </w:tcBorders>
            <w:vAlign w:val="center"/>
          </w:tcPr>
          <w:p w14:paraId="4904DC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877" w:type="dxa"/>
            <w:tcBorders>
              <w:top w:val="nil"/>
              <w:left w:val="nil"/>
              <w:bottom w:val="single" w:color="auto" w:sz="4" w:space="0"/>
              <w:right w:val="single" w:color="auto" w:sz="4" w:space="0"/>
            </w:tcBorders>
            <w:vAlign w:val="bottom"/>
          </w:tcPr>
          <w:p w14:paraId="420F3E00">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bottom"/>
          </w:tcPr>
          <w:p w14:paraId="2C67B6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0E7C38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8" w:type="dxa"/>
            <w:tcBorders>
              <w:top w:val="nil"/>
              <w:left w:val="nil"/>
              <w:bottom w:val="single" w:color="auto" w:sz="4" w:space="0"/>
              <w:right w:val="single" w:color="auto" w:sz="4" w:space="0"/>
            </w:tcBorders>
            <w:vAlign w:val="center"/>
          </w:tcPr>
          <w:p w14:paraId="4730D68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12" w:type="dxa"/>
            <w:tcBorders>
              <w:top w:val="nil"/>
              <w:left w:val="nil"/>
              <w:bottom w:val="single" w:color="auto" w:sz="4" w:space="0"/>
              <w:right w:val="single" w:color="auto" w:sz="4" w:space="0"/>
            </w:tcBorders>
            <w:vAlign w:val="center"/>
          </w:tcPr>
          <w:p w14:paraId="77D6993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8" w:type="dxa"/>
            <w:tcBorders>
              <w:top w:val="nil"/>
              <w:left w:val="nil"/>
              <w:bottom w:val="single" w:color="auto" w:sz="4" w:space="0"/>
              <w:right w:val="single" w:color="auto" w:sz="4" w:space="0"/>
            </w:tcBorders>
            <w:vAlign w:val="center"/>
          </w:tcPr>
          <w:p w14:paraId="1618B9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2FCF7C1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1E2B34C5">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6033A9B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1299CA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0246C17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bl>
      <w:tblPr>
        <w:tblStyle w:val="20"/>
        <w:tblW w:w="9837" w:type="dxa"/>
        <w:jc w:val="center"/>
        <w:tblLayout w:type="fixed"/>
        <w:tblCellMar>
          <w:top w:w="0" w:type="dxa"/>
          <w:left w:w="108" w:type="dxa"/>
          <w:bottom w:w="0" w:type="dxa"/>
          <w:right w:w="108" w:type="dxa"/>
        </w:tblCellMar>
      </w:tblPr>
      <w:tblGrid>
        <w:gridCol w:w="570"/>
        <w:gridCol w:w="4639"/>
        <w:gridCol w:w="742"/>
        <w:gridCol w:w="742"/>
        <w:gridCol w:w="742"/>
        <w:gridCol w:w="609"/>
        <w:gridCol w:w="759"/>
        <w:gridCol w:w="539"/>
        <w:gridCol w:w="495"/>
      </w:tblGrid>
      <w:tr w14:paraId="55331C6A">
        <w:tblPrEx>
          <w:tblCellMar>
            <w:top w:w="0" w:type="dxa"/>
            <w:left w:w="108" w:type="dxa"/>
            <w:bottom w:w="0" w:type="dxa"/>
            <w:right w:w="108" w:type="dxa"/>
          </w:tblCellMar>
        </w:tblPrEx>
        <w:trPr>
          <w:trHeight w:val="623" w:hRule="atLeast"/>
          <w:jc w:val="center"/>
        </w:trPr>
        <w:tc>
          <w:tcPr>
            <w:tcW w:w="9837" w:type="dxa"/>
            <w:gridSpan w:val="9"/>
            <w:vAlign w:val="center"/>
          </w:tcPr>
          <w:p w14:paraId="3420020A">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szCs w:val="24"/>
                <w:highlight w:val="none"/>
              </w:rPr>
              <w:t>3．三级绿地养护效果评分表</w:t>
            </w:r>
          </w:p>
        </w:tc>
      </w:tr>
      <w:tr w14:paraId="4C5A2FCC">
        <w:tblPrEx>
          <w:tblCellMar>
            <w:top w:w="0" w:type="dxa"/>
            <w:left w:w="108" w:type="dxa"/>
            <w:bottom w:w="0" w:type="dxa"/>
            <w:right w:w="108" w:type="dxa"/>
          </w:tblCellMar>
        </w:tblPrEx>
        <w:trPr>
          <w:trHeight w:val="480" w:hRule="atLeast"/>
          <w:jc w:val="center"/>
        </w:trPr>
        <w:tc>
          <w:tcPr>
            <w:tcW w:w="9837" w:type="dxa"/>
            <w:gridSpan w:val="9"/>
            <w:tcBorders>
              <w:top w:val="nil"/>
              <w:left w:val="nil"/>
              <w:bottom w:val="nil"/>
              <w:right w:val="nil"/>
            </w:tcBorders>
            <w:vAlign w:val="center"/>
          </w:tcPr>
          <w:p w14:paraId="6958518D">
            <w:pPr>
              <w:keepNext w:val="0"/>
              <w:keepLines w:val="0"/>
              <w:pageBreakBefore w:val="0"/>
              <w:widowControl/>
              <w:kinsoku/>
              <w:overflowPunct/>
              <w:topLinePunct w:val="0"/>
              <w:bidi w:val="0"/>
              <w:snapToGrid/>
              <w:spacing w:line="360" w:lineRule="auto"/>
              <w:ind w:firstLine="480" w:firstLineChars="200"/>
              <w:outlineLvl w:val="9"/>
              <w:rPr>
                <w:rFonts w:hint="eastAsia" w:ascii="宋体" w:hAnsi="宋体" w:eastAsia="宋体" w:cs="宋体"/>
                <w:b/>
                <w:bCs/>
                <w:color w:val="auto"/>
                <w:kern w:val="0"/>
                <w:sz w:val="24"/>
                <w:szCs w:val="24"/>
                <w:highlight w:val="none"/>
              </w:rPr>
            </w:pPr>
          </w:p>
        </w:tc>
      </w:tr>
      <w:tr w14:paraId="248CDB31">
        <w:tblPrEx>
          <w:tblCellMar>
            <w:top w:w="0" w:type="dxa"/>
            <w:left w:w="108" w:type="dxa"/>
            <w:bottom w:w="0" w:type="dxa"/>
            <w:right w:w="108" w:type="dxa"/>
          </w:tblCellMar>
        </w:tblPrEx>
        <w:trPr>
          <w:gridAfter w:val="1"/>
          <w:wAfter w:w="495" w:type="dxa"/>
          <w:trHeight w:val="924"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7420719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39" w:type="dxa"/>
            <w:tcBorders>
              <w:top w:val="single" w:color="auto" w:sz="4" w:space="0"/>
              <w:left w:val="single" w:color="auto" w:sz="4" w:space="0"/>
              <w:bottom w:val="single" w:color="auto" w:sz="4" w:space="0"/>
              <w:right w:val="single" w:color="auto" w:sz="4" w:space="0"/>
            </w:tcBorders>
            <w:vAlign w:val="center"/>
          </w:tcPr>
          <w:p w14:paraId="0F3FA2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42" w:type="dxa"/>
            <w:tcBorders>
              <w:top w:val="single" w:color="auto" w:sz="4" w:space="0"/>
              <w:left w:val="single" w:color="auto" w:sz="4" w:space="0"/>
              <w:bottom w:val="single" w:color="auto" w:sz="4" w:space="0"/>
              <w:right w:val="single" w:color="auto" w:sz="4" w:space="0"/>
            </w:tcBorders>
            <w:vAlign w:val="center"/>
          </w:tcPr>
          <w:p w14:paraId="6A416B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42" w:type="dxa"/>
            <w:tcBorders>
              <w:top w:val="single" w:color="auto" w:sz="4" w:space="0"/>
              <w:left w:val="single" w:color="auto" w:sz="4" w:space="0"/>
              <w:bottom w:val="single" w:color="000000" w:sz="4" w:space="0"/>
              <w:right w:val="single" w:color="auto" w:sz="4" w:space="0"/>
            </w:tcBorders>
            <w:vAlign w:val="center"/>
          </w:tcPr>
          <w:p w14:paraId="6FD1ECD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649" w:type="dxa"/>
            <w:gridSpan w:val="4"/>
            <w:tcBorders>
              <w:top w:val="single" w:color="auto" w:sz="4" w:space="0"/>
              <w:left w:val="nil"/>
              <w:bottom w:val="single" w:color="auto" w:sz="4" w:space="0"/>
              <w:right w:val="single" w:color="auto" w:sz="4" w:space="0"/>
            </w:tcBorders>
            <w:vAlign w:val="center"/>
          </w:tcPr>
          <w:p w14:paraId="4286BA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508728AF">
        <w:tblPrEx>
          <w:tblCellMar>
            <w:top w:w="0" w:type="dxa"/>
            <w:left w:w="108" w:type="dxa"/>
            <w:bottom w:w="0" w:type="dxa"/>
            <w:right w:w="108" w:type="dxa"/>
          </w:tblCellMar>
        </w:tblPrEx>
        <w:trPr>
          <w:gridAfter w:val="1"/>
          <w:wAfter w:w="495" w:type="dxa"/>
          <w:trHeight w:val="465" w:hRule="exact"/>
          <w:jc w:val="center"/>
        </w:trPr>
        <w:tc>
          <w:tcPr>
            <w:tcW w:w="570" w:type="dxa"/>
            <w:tcBorders>
              <w:top w:val="nil"/>
              <w:left w:val="single" w:color="auto" w:sz="4" w:space="0"/>
              <w:bottom w:val="single" w:color="auto" w:sz="4" w:space="0"/>
              <w:right w:val="single" w:color="auto" w:sz="4" w:space="0"/>
            </w:tcBorders>
            <w:vAlign w:val="center"/>
          </w:tcPr>
          <w:p w14:paraId="41C00DF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4639" w:type="dxa"/>
            <w:tcBorders>
              <w:top w:val="nil"/>
              <w:left w:val="nil"/>
              <w:bottom w:val="single" w:color="auto" w:sz="4" w:space="0"/>
              <w:right w:val="single" w:color="auto" w:sz="4" w:space="0"/>
            </w:tcBorders>
            <w:vAlign w:val="center"/>
          </w:tcPr>
          <w:p w14:paraId="48163F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42" w:type="dxa"/>
            <w:tcBorders>
              <w:top w:val="nil"/>
              <w:left w:val="nil"/>
              <w:bottom w:val="single" w:color="auto" w:sz="4" w:space="0"/>
              <w:right w:val="single" w:color="auto" w:sz="4" w:space="0"/>
            </w:tcBorders>
            <w:vAlign w:val="center"/>
          </w:tcPr>
          <w:p w14:paraId="2CD07C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56F1991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46741D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0E0C36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72992A9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1CAF7B8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09D992D">
        <w:tblPrEx>
          <w:tblCellMar>
            <w:top w:w="0" w:type="dxa"/>
            <w:left w:w="108" w:type="dxa"/>
            <w:bottom w:w="0" w:type="dxa"/>
            <w:right w:w="108" w:type="dxa"/>
          </w:tblCellMar>
        </w:tblPrEx>
        <w:trPr>
          <w:gridAfter w:val="1"/>
          <w:wAfter w:w="495" w:type="dxa"/>
          <w:trHeight w:val="909" w:hRule="atLeast"/>
          <w:jc w:val="center"/>
        </w:trPr>
        <w:tc>
          <w:tcPr>
            <w:tcW w:w="570" w:type="dxa"/>
            <w:tcBorders>
              <w:top w:val="nil"/>
              <w:left w:val="single" w:color="auto" w:sz="4" w:space="0"/>
              <w:bottom w:val="single" w:color="auto" w:sz="4" w:space="0"/>
              <w:right w:val="single" w:color="auto" w:sz="4" w:space="0"/>
            </w:tcBorders>
            <w:vAlign w:val="center"/>
          </w:tcPr>
          <w:p w14:paraId="30DC16F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73ED008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整体观赏效果较好，植物无明显的生长不良现象，植物干净积尘少。</w:t>
            </w:r>
          </w:p>
        </w:tc>
        <w:tc>
          <w:tcPr>
            <w:tcW w:w="742" w:type="dxa"/>
            <w:tcBorders>
              <w:top w:val="nil"/>
              <w:left w:val="nil"/>
              <w:bottom w:val="single" w:color="auto" w:sz="4" w:space="0"/>
              <w:right w:val="single" w:color="auto" w:sz="4" w:space="0"/>
            </w:tcBorders>
            <w:vAlign w:val="center"/>
          </w:tcPr>
          <w:p w14:paraId="6F69D4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2" w:type="dxa"/>
            <w:tcBorders>
              <w:top w:val="nil"/>
              <w:left w:val="nil"/>
              <w:bottom w:val="single" w:color="auto" w:sz="4" w:space="0"/>
              <w:right w:val="single" w:color="auto" w:sz="4" w:space="0"/>
            </w:tcBorders>
            <w:vAlign w:val="center"/>
          </w:tcPr>
          <w:p w14:paraId="56AA8F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2F9894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7D1E469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1E175F7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08A0C2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DA6881D">
        <w:tblPrEx>
          <w:tblCellMar>
            <w:top w:w="0" w:type="dxa"/>
            <w:left w:w="108" w:type="dxa"/>
            <w:bottom w:w="0" w:type="dxa"/>
            <w:right w:w="108" w:type="dxa"/>
          </w:tblCellMar>
        </w:tblPrEx>
        <w:trPr>
          <w:gridAfter w:val="1"/>
          <w:wAfter w:w="495" w:type="dxa"/>
          <w:trHeight w:val="340" w:hRule="exact"/>
          <w:jc w:val="center"/>
        </w:trPr>
        <w:tc>
          <w:tcPr>
            <w:tcW w:w="570" w:type="dxa"/>
            <w:tcBorders>
              <w:top w:val="nil"/>
              <w:left w:val="single" w:color="auto" w:sz="4" w:space="0"/>
              <w:bottom w:val="single" w:color="auto" w:sz="4" w:space="0"/>
              <w:right w:val="single" w:color="auto" w:sz="4" w:space="0"/>
            </w:tcBorders>
            <w:vAlign w:val="center"/>
          </w:tcPr>
          <w:p w14:paraId="78DB96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4639" w:type="dxa"/>
            <w:tcBorders>
              <w:top w:val="nil"/>
              <w:left w:val="nil"/>
              <w:bottom w:val="single" w:color="auto" w:sz="4" w:space="0"/>
              <w:right w:val="single" w:color="auto" w:sz="4" w:space="0"/>
            </w:tcBorders>
            <w:vAlign w:val="center"/>
          </w:tcPr>
          <w:p w14:paraId="5F68C1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42" w:type="dxa"/>
            <w:tcBorders>
              <w:top w:val="nil"/>
              <w:left w:val="nil"/>
              <w:bottom w:val="single" w:color="auto" w:sz="4" w:space="0"/>
              <w:right w:val="single" w:color="auto" w:sz="4" w:space="0"/>
            </w:tcBorders>
            <w:vAlign w:val="center"/>
          </w:tcPr>
          <w:p w14:paraId="3ABC462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405BA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0D82BE8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458A68E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2B910B1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54863C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D503A65">
        <w:tblPrEx>
          <w:tblCellMar>
            <w:top w:w="0" w:type="dxa"/>
            <w:left w:w="108" w:type="dxa"/>
            <w:bottom w:w="0" w:type="dxa"/>
            <w:right w:w="108" w:type="dxa"/>
          </w:tblCellMar>
        </w:tblPrEx>
        <w:trPr>
          <w:gridAfter w:val="1"/>
          <w:wAfter w:w="495" w:type="dxa"/>
          <w:trHeight w:val="1056" w:hRule="atLeast"/>
          <w:jc w:val="center"/>
        </w:trPr>
        <w:tc>
          <w:tcPr>
            <w:tcW w:w="570" w:type="dxa"/>
            <w:tcBorders>
              <w:top w:val="nil"/>
              <w:left w:val="single" w:color="auto" w:sz="4" w:space="0"/>
              <w:bottom w:val="single" w:color="auto" w:sz="4" w:space="0"/>
              <w:right w:val="single" w:color="auto" w:sz="4" w:space="0"/>
            </w:tcBorders>
            <w:vAlign w:val="center"/>
          </w:tcPr>
          <w:p w14:paraId="51A345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705A2D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生长：生长较好，符合物候状况；树体基本正直；枝叶较健壮、茂盛,叶色、形状、大小基本正常；观花植物适时开花。</w:t>
            </w:r>
          </w:p>
        </w:tc>
        <w:tc>
          <w:tcPr>
            <w:tcW w:w="742" w:type="dxa"/>
            <w:tcBorders>
              <w:top w:val="nil"/>
              <w:left w:val="nil"/>
              <w:bottom w:val="single" w:color="auto" w:sz="4" w:space="0"/>
              <w:right w:val="single" w:color="auto" w:sz="4" w:space="0"/>
            </w:tcBorders>
            <w:vAlign w:val="center"/>
          </w:tcPr>
          <w:p w14:paraId="307A9B5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42" w:type="dxa"/>
            <w:tcBorders>
              <w:top w:val="nil"/>
              <w:left w:val="nil"/>
              <w:bottom w:val="single" w:color="auto" w:sz="4" w:space="0"/>
              <w:right w:val="single" w:color="auto" w:sz="4" w:space="0"/>
            </w:tcBorders>
            <w:vAlign w:val="center"/>
          </w:tcPr>
          <w:p w14:paraId="41B85B6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1985ADB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0E278F6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620EE03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117ECF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2733B02">
        <w:tblPrEx>
          <w:tblCellMar>
            <w:top w:w="0" w:type="dxa"/>
            <w:left w:w="108" w:type="dxa"/>
            <w:bottom w:w="0" w:type="dxa"/>
            <w:right w:w="108" w:type="dxa"/>
          </w:tblCellMar>
        </w:tblPrEx>
        <w:trPr>
          <w:gridAfter w:val="1"/>
          <w:wAfter w:w="495" w:type="dxa"/>
          <w:trHeight w:val="1305" w:hRule="atLeast"/>
          <w:jc w:val="center"/>
        </w:trPr>
        <w:tc>
          <w:tcPr>
            <w:tcW w:w="570" w:type="dxa"/>
            <w:tcBorders>
              <w:top w:val="nil"/>
              <w:left w:val="single" w:color="auto" w:sz="4" w:space="0"/>
              <w:bottom w:val="single" w:color="auto" w:sz="4" w:space="0"/>
              <w:right w:val="single" w:color="auto" w:sz="4" w:space="0"/>
            </w:tcBorders>
            <w:vAlign w:val="center"/>
          </w:tcPr>
          <w:p w14:paraId="09CF09B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09C9840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乔木修整:维持树种特征，树冠较匀称,分枝基本合理，无明显过密枝，交叉枝，低垂枝，伤残枝.剪口平整,无损皮现象,枝干无明显伤残现象。</w:t>
            </w:r>
          </w:p>
        </w:tc>
        <w:tc>
          <w:tcPr>
            <w:tcW w:w="742" w:type="dxa"/>
            <w:tcBorders>
              <w:top w:val="nil"/>
              <w:left w:val="nil"/>
              <w:bottom w:val="single" w:color="auto" w:sz="4" w:space="0"/>
              <w:right w:val="single" w:color="auto" w:sz="4" w:space="0"/>
            </w:tcBorders>
            <w:vAlign w:val="center"/>
          </w:tcPr>
          <w:p w14:paraId="1C699D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42" w:type="dxa"/>
            <w:tcBorders>
              <w:top w:val="nil"/>
              <w:left w:val="nil"/>
              <w:bottom w:val="single" w:color="auto" w:sz="4" w:space="0"/>
              <w:right w:val="single" w:color="auto" w:sz="4" w:space="0"/>
            </w:tcBorders>
            <w:vAlign w:val="center"/>
          </w:tcPr>
          <w:p w14:paraId="0B7858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5716E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6DC7D7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6FBB75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527855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74DBF45">
        <w:tblPrEx>
          <w:tblCellMar>
            <w:top w:w="0" w:type="dxa"/>
            <w:left w:w="108" w:type="dxa"/>
            <w:bottom w:w="0" w:type="dxa"/>
            <w:right w:w="108" w:type="dxa"/>
          </w:tblCellMar>
        </w:tblPrEx>
        <w:trPr>
          <w:gridAfter w:val="1"/>
          <w:wAfter w:w="495" w:type="dxa"/>
          <w:trHeight w:val="795" w:hRule="atLeast"/>
          <w:jc w:val="center"/>
        </w:trPr>
        <w:tc>
          <w:tcPr>
            <w:tcW w:w="570" w:type="dxa"/>
            <w:tcBorders>
              <w:top w:val="nil"/>
              <w:left w:val="single" w:color="auto" w:sz="4" w:space="0"/>
              <w:bottom w:val="single" w:color="auto" w:sz="4" w:space="0"/>
              <w:right w:val="single" w:color="auto" w:sz="4" w:space="0"/>
            </w:tcBorders>
            <w:vAlign w:val="center"/>
          </w:tcPr>
          <w:p w14:paraId="456586B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39" w:type="dxa"/>
            <w:tcBorders>
              <w:top w:val="nil"/>
              <w:left w:val="nil"/>
              <w:bottom w:val="single" w:color="auto" w:sz="4" w:space="0"/>
              <w:right w:val="single" w:color="auto" w:sz="4" w:space="0"/>
            </w:tcBorders>
            <w:vAlign w:val="center"/>
          </w:tcPr>
          <w:p w14:paraId="79DA129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钉挂物、干枯枝等：无明显死株及死树桩头。树体无明显钉挂物、铁丝等缠绕物。</w:t>
            </w:r>
          </w:p>
        </w:tc>
        <w:tc>
          <w:tcPr>
            <w:tcW w:w="742" w:type="dxa"/>
            <w:tcBorders>
              <w:top w:val="nil"/>
              <w:left w:val="nil"/>
              <w:bottom w:val="single" w:color="auto" w:sz="4" w:space="0"/>
              <w:right w:val="single" w:color="auto" w:sz="4" w:space="0"/>
            </w:tcBorders>
            <w:vAlign w:val="center"/>
          </w:tcPr>
          <w:p w14:paraId="74BFF89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42" w:type="dxa"/>
            <w:tcBorders>
              <w:top w:val="nil"/>
              <w:left w:val="nil"/>
              <w:bottom w:val="single" w:color="auto" w:sz="4" w:space="0"/>
              <w:right w:val="single" w:color="auto" w:sz="4" w:space="0"/>
            </w:tcBorders>
            <w:vAlign w:val="center"/>
          </w:tcPr>
          <w:p w14:paraId="3742774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61BEC8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2F900C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19C20C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551092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C034F49">
        <w:tblPrEx>
          <w:tblCellMar>
            <w:top w:w="0" w:type="dxa"/>
            <w:left w:w="108" w:type="dxa"/>
            <w:bottom w:w="0" w:type="dxa"/>
            <w:right w:w="108" w:type="dxa"/>
          </w:tblCellMar>
        </w:tblPrEx>
        <w:trPr>
          <w:gridAfter w:val="1"/>
          <w:wAfter w:w="495" w:type="dxa"/>
          <w:trHeight w:val="340" w:hRule="exact"/>
          <w:jc w:val="center"/>
        </w:trPr>
        <w:tc>
          <w:tcPr>
            <w:tcW w:w="570" w:type="dxa"/>
            <w:tcBorders>
              <w:top w:val="nil"/>
              <w:left w:val="single" w:color="auto" w:sz="4" w:space="0"/>
              <w:bottom w:val="single" w:color="auto" w:sz="4" w:space="0"/>
              <w:right w:val="single" w:color="auto" w:sz="4" w:space="0"/>
            </w:tcBorders>
            <w:vAlign w:val="center"/>
          </w:tcPr>
          <w:p w14:paraId="264E80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4639" w:type="dxa"/>
            <w:tcBorders>
              <w:top w:val="nil"/>
              <w:left w:val="nil"/>
              <w:bottom w:val="single" w:color="auto" w:sz="4" w:space="0"/>
              <w:right w:val="single" w:color="auto" w:sz="4" w:space="0"/>
            </w:tcBorders>
            <w:vAlign w:val="center"/>
          </w:tcPr>
          <w:p w14:paraId="7048F8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742" w:type="dxa"/>
            <w:tcBorders>
              <w:top w:val="nil"/>
              <w:left w:val="nil"/>
              <w:bottom w:val="single" w:color="auto" w:sz="4" w:space="0"/>
              <w:right w:val="single" w:color="auto" w:sz="4" w:space="0"/>
            </w:tcBorders>
            <w:vAlign w:val="center"/>
          </w:tcPr>
          <w:p w14:paraId="5852B1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6699D3F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5BF8A86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475F24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29609F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37B6259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CC9A9BC">
        <w:tblPrEx>
          <w:tblCellMar>
            <w:top w:w="0" w:type="dxa"/>
            <w:left w:w="108" w:type="dxa"/>
            <w:bottom w:w="0" w:type="dxa"/>
            <w:right w:w="108" w:type="dxa"/>
          </w:tblCellMar>
        </w:tblPrEx>
        <w:trPr>
          <w:gridAfter w:val="1"/>
          <w:wAfter w:w="495" w:type="dxa"/>
          <w:trHeight w:val="945" w:hRule="atLeast"/>
          <w:jc w:val="center"/>
        </w:trPr>
        <w:tc>
          <w:tcPr>
            <w:tcW w:w="570" w:type="dxa"/>
            <w:tcBorders>
              <w:top w:val="nil"/>
              <w:left w:val="single" w:color="auto" w:sz="4" w:space="0"/>
              <w:bottom w:val="single" w:color="auto" w:sz="4" w:space="0"/>
              <w:right w:val="single" w:color="auto" w:sz="4" w:space="0"/>
            </w:tcBorders>
            <w:vAlign w:val="center"/>
          </w:tcPr>
          <w:p w14:paraId="3270E55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0E6C058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生长：生长较好，符合物候状况;枝叶较健壮、茂盛,叶色、形状、大小基本正常；观花植物适时开花。</w:t>
            </w:r>
          </w:p>
        </w:tc>
        <w:tc>
          <w:tcPr>
            <w:tcW w:w="742" w:type="dxa"/>
            <w:tcBorders>
              <w:top w:val="nil"/>
              <w:left w:val="nil"/>
              <w:bottom w:val="single" w:color="auto" w:sz="4" w:space="0"/>
              <w:right w:val="single" w:color="auto" w:sz="4" w:space="0"/>
            </w:tcBorders>
            <w:vAlign w:val="center"/>
          </w:tcPr>
          <w:p w14:paraId="2244F4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42" w:type="dxa"/>
            <w:tcBorders>
              <w:top w:val="nil"/>
              <w:left w:val="nil"/>
              <w:bottom w:val="single" w:color="auto" w:sz="4" w:space="0"/>
              <w:right w:val="single" w:color="auto" w:sz="4" w:space="0"/>
            </w:tcBorders>
            <w:vAlign w:val="center"/>
          </w:tcPr>
          <w:p w14:paraId="0786818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C7F9A8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45B8684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1CEE99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325354B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975083D">
        <w:tblPrEx>
          <w:tblCellMar>
            <w:top w:w="0" w:type="dxa"/>
            <w:left w:w="108" w:type="dxa"/>
            <w:bottom w:w="0" w:type="dxa"/>
            <w:right w:w="108" w:type="dxa"/>
          </w:tblCellMar>
        </w:tblPrEx>
        <w:trPr>
          <w:gridAfter w:val="1"/>
          <w:wAfter w:w="495" w:type="dxa"/>
          <w:trHeight w:val="804" w:hRule="atLeast"/>
          <w:jc w:val="center"/>
        </w:trPr>
        <w:tc>
          <w:tcPr>
            <w:tcW w:w="570" w:type="dxa"/>
            <w:tcBorders>
              <w:top w:val="nil"/>
              <w:left w:val="single" w:color="auto" w:sz="4" w:space="0"/>
              <w:bottom w:val="single" w:color="auto" w:sz="4" w:space="0"/>
              <w:right w:val="single" w:color="auto" w:sz="4" w:space="0"/>
            </w:tcBorders>
            <w:vAlign w:val="center"/>
          </w:tcPr>
          <w:p w14:paraId="157626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433CA0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灌木修剪:树形较整齐美观，按要求维持基本形状，能基本按照规范要求修剪。</w:t>
            </w:r>
          </w:p>
        </w:tc>
        <w:tc>
          <w:tcPr>
            <w:tcW w:w="742" w:type="dxa"/>
            <w:tcBorders>
              <w:top w:val="nil"/>
              <w:left w:val="nil"/>
              <w:bottom w:val="single" w:color="auto" w:sz="4" w:space="0"/>
              <w:right w:val="single" w:color="auto" w:sz="4" w:space="0"/>
            </w:tcBorders>
            <w:vAlign w:val="center"/>
          </w:tcPr>
          <w:p w14:paraId="6E69E9C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42" w:type="dxa"/>
            <w:tcBorders>
              <w:top w:val="nil"/>
              <w:left w:val="nil"/>
              <w:bottom w:val="single" w:color="auto" w:sz="4" w:space="0"/>
              <w:right w:val="single" w:color="auto" w:sz="4" w:space="0"/>
            </w:tcBorders>
            <w:vAlign w:val="center"/>
          </w:tcPr>
          <w:p w14:paraId="3E94B1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5EECAB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4C7C3A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0A4DD4F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13B5BA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E8F67C1">
        <w:tblPrEx>
          <w:tblCellMar>
            <w:top w:w="0" w:type="dxa"/>
            <w:left w:w="108" w:type="dxa"/>
            <w:bottom w:w="0" w:type="dxa"/>
            <w:right w:w="108" w:type="dxa"/>
          </w:tblCellMar>
        </w:tblPrEx>
        <w:trPr>
          <w:gridAfter w:val="1"/>
          <w:wAfter w:w="495" w:type="dxa"/>
          <w:trHeight w:val="825" w:hRule="atLeast"/>
          <w:jc w:val="center"/>
        </w:trPr>
        <w:tc>
          <w:tcPr>
            <w:tcW w:w="570" w:type="dxa"/>
            <w:tcBorders>
              <w:top w:val="nil"/>
              <w:left w:val="single" w:color="auto" w:sz="4" w:space="0"/>
              <w:bottom w:val="single" w:color="auto" w:sz="4" w:space="0"/>
              <w:right w:val="single" w:color="auto" w:sz="4" w:space="0"/>
            </w:tcBorders>
            <w:vAlign w:val="center"/>
          </w:tcPr>
          <w:p w14:paraId="6207447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39" w:type="dxa"/>
            <w:tcBorders>
              <w:top w:val="nil"/>
              <w:left w:val="nil"/>
              <w:bottom w:val="single" w:color="auto" w:sz="4" w:space="0"/>
              <w:right w:val="single" w:color="auto" w:sz="4" w:space="0"/>
            </w:tcBorders>
            <w:vAlign w:val="center"/>
          </w:tcPr>
          <w:p w14:paraId="1F9980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钉挂物、干枯枝等：无明显死株和干枯枝、伤残枝；树体无明显钉挂物、铁丝等缠绕物。</w:t>
            </w:r>
          </w:p>
        </w:tc>
        <w:tc>
          <w:tcPr>
            <w:tcW w:w="742" w:type="dxa"/>
            <w:tcBorders>
              <w:top w:val="nil"/>
              <w:left w:val="nil"/>
              <w:bottom w:val="single" w:color="auto" w:sz="4" w:space="0"/>
              <w:right w:val="single" w:color="auto" w:sz="4" w:space="0"/>
            </w:tcBorders>
            <w:vAlign w:val="center"/>
          </w:tcPr>
          <w:p w14:paraId="3A3606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2" w:type="dxa"/>
            <w:tcBorders>
              <w:top w:val="nil"/>
              <w:left w:val="nil"/>
              <w:bottom w:val="single" w:color="auto" w:sz="4" w:space="0"/>
              <w:right w:val="single" w:color="auto" w:sz="4" w:space="0"/>
            </w:tcBorders>
            <w:vAlign w:val="center"/>
          </w:tcPr>
          <w:p w14:paraId="2DCAD85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4A1310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F5EBB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3656E4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50054E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67846DF">
        <w:tblPrEx>
          <w:tblCellMar>
            <w:top w:w="0" w:type="dxa"/>
            <w:left w:w="108" w:type="dxa"/>
            <w:bottom w:w="0" w:type="dxa"/>
            <w:right w:w="108" w:type="dxa"/>
          </w:tblCellMar>
        </w:tblPrEx>
        <w:trPr>
          <w:gridAfter w:val="1"/>
          <w:wAfter w:w="495" w:type="dxa"/>
          <w:trHeight w:val="607" w:hRule="exact"/>
          <w:jc w:val="center"/>
        </w:trPr>
        <w:tc>
          <w:tcPr>
            <w:tcW w:w="570" w:type="dxa"/>
            <w:tcBorders>
              <w:top w:val="nil"/>
              <w:left w:val="single" w:color="auto" w:sz="4" w:space="0"/>
              <w:bottom w:val="single" w:color="auto" w:sz="4" w:space="0"/>
              <w:right w:val="single" w:color="auto" w:sz="4" w:space="0"/>
            </w:tcBorders>
            <w:vAlign w:val="center"/>
          </w:tcPr>
          <w:p w14:paraId="5538A5C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4639" w:type="dxa"/>
            <w:tcBorders>
              <w:top w:val="nil"/>
              <w:left w:val="nil"/>
              <w:bottom w:val="single" w:color="auto" w:sz="4" w:space="0"/>
              <w:right w:val="single" w:color="auto" w:sz="4" w:space="0"/>
            </w:tcBorders>
            <w:vAlign w:val="center"/>
          </w:tcPr>
          <w:p w14:paraId="65D75F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片植灌木、草本地被</w:t>
            </w:r>
          </w:p>
        </w:tc>
        <w:tc>
          <w:tcPr>
            <w:tcW w:w="742" w:type="dxa"/>
            <w:tcBorders>
              <w:top w:val="nil"/>
              <w:left w:val="nil"/>
              <w:bottom w:val="single" w:color="auto" w:sz="4" w:space="0"/>
              <w:right w:val="single" w:color="auto" w:sz="4" w:space="0"/>
            </w:tcBorders>
            <w:vAlign w:val="center"/>
          </w:tcPr>
          <w:p w14:paraId="6C24BC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5EE0A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10C608F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330CA4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6DB665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64D34DE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E511C76">
        <w:tblPrEx>
          <w:tblCellMar>
            <w:top w:w="0" w:type="dxa"/>
            <w:left w:w="108" w:type="dxa"/>
            <w:bottom w:w="0" w:type="dxa"/>
            <w:right w:w="108" w:type="dxa"/>
          </w:tblCellMar>
        </w:tblPrEx>
        <w:trPr>
          <w:gridAfter w:val="1"/>
          <w:wAfter w:w="495" w:type="dxa"/>
          <w:trHeight w:val="1215"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426BD63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39" w:type="dxa"/>
            <w:tcBorders>
              <w:top w:val="single" w:color="auto" w:sz="4" w:space="0"/>
              <w:left w:val="single" w:color="auto" w:sz="4" w:space="0"/>
              <w:bottom w:val="single" w:color="auto" w:sz="4" w:space="0"/>
              <w:right w:val="single" w:color="auto" w:sz="4" w:space="0"/>
            </w:tcBorders>
            <w:vAlign w:val="center"/>
          </w:tcPr>
          <w:p w14:paraId="398D8E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42" w:type="dxa"/>
            <w:tcBorders>
              <w:top w:val="single" w:color="auto" w:sz="4" w:space="0"/>
              <w:left w:val="nil"/>
              <w:bottom w:val="single" w:color="auto" w:sz="4" w:space="0"/>
              <w:right w:val="single" w:color="auto" w:sz="4" w:space="0"/>
            </w:tcBorders>
            <w:vAlign w:val="center"/>
          </w:tcPr>
          <w:p w14:paraId="256ED41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42" w:type="dxa"/>
            <w:tcBorders>
              <w:top w:val="single" w:color="auto" w:sz="4" w:space="0"/>
              <w:left w:val="nil"/>
              <w:bottom w:val="single" w:color="auto" w:sz="4" w:space="0"/>
              <w:right w:val="single" w:color="auto" w:sz="4" w:space="0"/>
            </w:tcBorders>
            <w:vAlign w:val="center"/>
          </w:tcPr>
          <w:p w14:paraId="6AB52B9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649" w:type="dxa"/>
            <w:gridSpan w:val="4"/>
            <w:tcBorders>
              <w:top w:val="single" w:color="auto" w:sz="4" w:space="0"/>
              <w:left w:val="nil"/>
              <w:bottom w:val="single" w:color="auto" w:sz="4" w:space="0"/>
              <w:right w:val="single" w:color="auto" w:sz="4" w:space="0"/>
            </w:tcBorders>
            <w:vAlign w:val="center"/>
          </w:tcPr>
          <w:p w14:paraId="070273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1F62FE0C">
        <w:tblPrEx>
          <w:tblCellMar>
            <w:top w:w="0" w:type="dxa"/>
            <w:left w:w="108" w:type="dxa"/>
            <w:bottom w:w="0" w:type="dxa"/>
            <w:right w:w="108" w:type="dxa"/>
          </w:tblCellMar>
        </w:tblPrEx>
        <w:trPr>
          <w:gridAfter w:val="1"/>
          <w:wAfter w:w="495" w:type="dxa"/>
          <w:trHeight w:val="1215" w:hRule="atLeast"/>
          <w:jc w:val="center"/>
        </w:trPr>
        <w:tc>
          <w:tcPr>
            <w:tcW w:w="570" w:type="dxa"/>
            <w:tcBorders>
              <w:top w:val="nil"/>
              <w:left w:val="single" w:color="auto" w:sz="4" w:space="0"/>
              <w:bottom w:val="single" w:color="auto" w:sz="4" w:space="0"/>
              <w:right w:val="single" w:color="auto" w:sz="4" w:space="0"/>
            </w:tcBorders>
            <w:vAlign w:val="center"/>
          </w:tcPr>
          <w:p w14:paraId="4A32126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651D26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生长及外观：生长较好，叶色、形状、大小基本正常；色块无大片缺株现象，基本能按修剪要求进行修剪。整体较清洁，杂草及黄叶。</w:t>
            </w:r>
          </w:p>
        </w:tc>
        <w:tc>
          <w:tcPr>
            <w:tcW w:w="742" w:type="dxa"/>
            <w:tcBorders>
              <w:top w:val="nil"/>
              <w:left w:val="nil"/>
              <w:bottom w:val="single" w:color="auto" w:sz="4" w:space="0"/>
              <w:right w:val="single" w:color="auto" w:sz="4" w:space="0"/>
            </w:tcBorders>
            <w:vAlign w:val="center"/>
          </w:tcPr>
          <w:p w14:paraId="45A6782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742" w:type="dxa"/>
            <w:tcBorders>
              <w:top w:val="nil"/>
              <w:left w:val="nil"/>
              <w:bottom w:val="single" w:color="auto" w:sz="4" w:space="0"/>
              <w:right w:val="single" w:color="auto" w:sz="4" w:space="0"/>
            </w:tcBorders>
            <w:vAlign w:val="center"/>
          </w:tcPr>
          <w:p w14:paraId="6C11BA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52309A2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2D7FC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61370B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2BE13C2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293F23">
        <w:tblPrEx>
          <w:tblCellMar>
            <w:top w:w="0" w:type="dxa"/>
            <w:left w:w="108" w:type="dxa"/>
            <w:bottom w:w="0" w:type="dxa"/>
            <w:right w:w="108" w:type="dxa"/>
          </w:tblCellMar>
        </w:tblPrEx>
        <w:trPr>
          <w:gridAfter w:val="1"/>
          <w:wAfter w:w="495" w:type="dxa"/>
          <w:trHeight w:val="814" w:hRule="atLeast"/>
          <w:jc w:val="center"/>
        </w:trPr>
        <w:tc>
          <w:tcPr>
            <w:tcW w:w="570" w:type="dxa"/>
            <w:tcBorders>
              <w:top w:val="nil"/>
              <w:left w:val="single" w:color="auto" w:sz="4" w:space="0"/>
              <w:bottom w:val="single" w:color="auto" w:sz="4" w:space="0"/>
              <w:right w:val="single" w:color="auto" w:sz="4" w:space="0"/>
            </w:tcBorders>
            <w:vAlign w:val="center"/>
          </w:tcPr>
          <w:p w14:paraId="0757EF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4A21AE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松土、勾边：土壤基本平整，疏松通透性较好，无明显积水；勾边基本规范。</w:t>
            </w:r>
          </w:p>
        </w:tc>
        <w:tc>
          <w:tcPr>
            <w:tcW w:w="742" w:type="dxa"/>
            <w:tcBorders>
              <w:top w:val="nil"/>
              <w:left w:val="nil"/>
              <w:bottom w:val="single" w:color="auto" w:sz="4" w:space="0"/>
              <w:right w:val="single" w:color="auto" w:sz="4" w:space="0"/>
            </w:tcBorders>
            <w:vAlign w:val="center"/>
          </w:tcPr>
          <w:p w14:paraId="2138B51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2" w:type="dxa"/>
            <w:tcBorders>
              <w:top w:val="nil"/>
              <w:left w:val="nil"/>
              <w:bottom w:val="single" w:color="auto" w:sz="4" w:space="0"/>
              <w:right w:val="single" w:color="auto" w:sz="4" w:space="0"/>
            </w:tcBorders>
            <w:vAlign w:val="center"/>
          </w:tcPr>
          <w:p w14:paraId="48FF12B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0D4A6B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4CD2B1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4446AF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07232F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F03480D">
        <w:tblPrEx>
          <w:tblCellMar>
            <w:top w:w="0" w:type="dxa"/>
            <w:left w:w="108" w:type="dxa"/>
            <w:bottom w:w="0" w:type="dxa"/>
            <w:right w:w="108" w:type="dxa"/>
          </w:tblCellMar>
        </w:tblPrEx>
        <w:trPr>
          <w:gridAfter w:val="1"/>
          <w:wAfter w:w="495" w:type="dxa"/>
          <w:trHeight w:val="608" w:hRule="exact"/>
          <w:jc w:val="center"/>
        </w:trPr>
        <w:tc>
          <w:tcPr>
            <w:tcW w:w="570" w:type="dxa"/>
            <w:tcBorders>
              <w:top w:val="nil"/>
              <w:left w:val="single" w:color="auto" w:sz="4" w:space="0"/>
              <w:bottom w:val="single" w:color="auto" w:sz="4" w:space="0"/>
              <w:right w:val="single" w:color="auto" w:sz="4" w:space="0"/>
            </w:tcBorders>
            <w:vAlign w:val="center"/>
          </w:tcPr>
          <w:p w14:paraId="70BB81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4639" w:type="dxa"/>
            <w:tcBorders>
              <w:top w:val="nil"/>
              <w:left w:val="nil"/>
              <w:bottom w:val="single" w:color="auto" w:sz="4" w:space="0"/>
              <w:right w:val="single" w:color="auto" w:sz="4" w:space="0"/>
            </w:tcBorders>
            <w:vAlign w:val="center"/>
          </w:tcPr>
          <w:p w14:paraId="35D315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742" w:type="dxa"/>
            <w:tcBorders>
              <w:top w:val="nil"/>
              <w:left w:val="nil"/>
              <w:bottom w:val="single" w:color="auto" w:sz="4" w:space="0"/>
              <w:right w:val="single" w:color="auto" w:sz="4" w:space="0"/>
            </w:tcBorders>
            <w:vAlign w:val="center"/>
          </w:tcPr>
          <w:p w14:paraId="01CA244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63F873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59DC9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572D10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21B652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9570DF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7A0C6B2">
        <w:tblPrEx>
          <w:tblCellMar>
            <w:top w:w="0" w:type="dxa"/>
            <w:left w:w="108" w:type="dxa"/>
            <w:bottom w:w="0" w:type="dxa"/>
            <w:right w:w="108" w:type="dxa"/>
          </w:tblCellMar>
        </w:tblPrEx>
        <w:trPr>
          <w:gridAfter w:val="1"/>
          <w:wAfter w:w="495" w:type="dxa"/>
          <w:trHeight w:val="1508" w:hRule="atLeast"/>
          <w:jc w:val="center"/>
        </w:trPr>
        <w:tc>
          <w:tcPr>
            <w:tcW w:w="570" w:type="dxa"/>
            <w:tcBorders>
              <w:top w:val="nil"/>
              <w:left w:val="single" w:color="auto" w:sz="4" w:space="0"/>
              <w:bottom w:val="single" w:color="auto" w:sz="4" w:space="0"/>
              <w:right w:val="single" w:color="auto" w:sz="4" w:space="0"/>
            </w:tcBorders>
            <w:vAlign w:val="center"/>
          </w:tcPr>
          <w:p w14:paraId="037B1F2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639" w:type="dxa"/>
            <w:tcBorders>
              <w:top w:val="nil"/>
              <w:left w:val="nil"/>
              <w:bottom w:val="single" w:color="auto" w:sz="4" w:space="0"/>
              <w:right w:val="single" w:color="auto" w:sz="4" w:space="0"/>
            </w:tcBorders>
            <w:vAlign w:val="center"/>
          </w:tcPr>
          <w:p w14:paraId="3FD9CF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大小基本适合，边线比较清晰，土面高度适当，培土较规范。树盘较整洁，无明显杂草及积水。土壤较疏松。</w:t>
            </w:r>
          </w:p>
        </w:tc>
        <w:tc>
          <w:tcPr>
            <w:tcW w:w="742" w:type="dxa"/>
            <w:tcBorders>
              <w:top w:val="nil"/>
              <w:left w:val="nil"/>
              <w:bottom w:val="single" w:color="auto" w:sz="4" w:space="0"/>
              <w:right w:val="single" w:color="auto" w:sz="4" w:space="0"/>
            </w:tcBorders>
            <w:vAlign w:val="center"/>
          </w:tcPr>
          <w:p w14:paraId="104515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2" w:type="dxa"/>
            <w:tcBorders>
              <w:top w:val="nil"/>
              <w:left w:val="nil"/>
              <w:bottom w:val="single" w:color="auto" w:sz="4" w:space="0"/>
              <w:right w:val="single" w:color="auto" w:sz="4" w:space="0"/>
            </w:tcBorders>
            <w:vAlign w:val="center"/>
          </w:tcPr>
          <w:p w14:paraId="6F11C0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08159B9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F19AF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33CF95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2E36A9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C9D45E1">
        <w:tblPrEx>
          <w:tblCellMar>
            <w:top w:w="0" w:type="dxa"/>
            <w:left w:w="108" w:type="dxa"/>
            <w:bottom w:w="0" w:type="dxa"/>
            <w:right w:w="108" w:type="dxa"/>
          </w:tblCellMar>
        </w:tblPrEx>
        <w:trPr>
          <w:gridAfter w:val="1"/>
          <w:wAfter w:w="495" w:type="dxa"/>
          <w:trHeight w:val="623" w:hRule="exact"/>
          <w:jc w:val="center"/>
        </w:trPr>
        <w:tc>
          <w:tcPr>
            <w:tcW w:w="570" w:type="dxa"/>
            <w:tcBorders>
              <w:top w:val="single" w:color="auto" w:sz="4" w:space="0"/>
              <w:left w:val="single" w:color="auto" w:sz="4" w:space="0"/>
              <w:bottom w:val="single" w:color="auto" w:sz="4" w:space="0"/>
              <w:right w:val="single" w:color="auto" w:sz="4" w:space="0"/>
            </w:tcBorders>
            <w:vAlign w:val="center"/>
          </w:tcPr>
          <w:p w14:paraId="259810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4639" w:type="dxa"/>
            <w:tcBorders>
              <w:top w:val="single" w:color="auto" w:sz="4" w:space="0"/>
              <w:left w:val="single" w:color="auto" w:sz="4" w:space="0"/>
              <w:bottom w:val="single" w:color="auto" w:sz="4" w:space="0"/>
              <w:right w:val="single" w:color="auto" w:sz="4" w:space="0"/>
            </w:tcBorders>
            <w:vAlign w:val="center"/>
          </w:tcPr>
          <w:p w14:paraId="25C6B1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742" w:type="dxa"/>
            <w:tcBorders>
              <w:top w:val="single" w:color="auto" w:sz="4" w:space="0"/>
              <w:left w:val="single" w:color="auto" w:sz="4" w:space="0"/>
              <w:bottom w:val="single" w:color="auto" w:sz="4" w:space="0"/>
              <w:right w:val="single" w:color="auto" w:sz="4" w:space="0"/>
            </w:tcBorders>
            <w:vAlign w:val="center"/>
          </w:tcPr>
          <w:p w14:paraId="2901DF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single" w:color="auto" w:sz="4" w:space="0"/>
              <w:left w:val="single" w:color="auto" w:sz="4" w:space="0"/>
              <w:bottom w:val="single" w:color="auto" w:sz="4" w:space="0"/>
              <w:right w:val="single" w:color="auto" w:sz="4" w:space="0"/>
            </w:tcBorders>
            <w:vAlign w:val="center"/>
          </w:tcPr>
          <w:p w14:paraId="4908655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single" w:color="auto" w:sz="4" w:space="0"/>
              <w:left w:val="single" w:color="auto" w:sz="4" w:space="0"/>
              <w:bottom w:val="single" w:color="auto" w:sz="4" w:space="0"/>
              <w:right w:val="single" w:color="auto" w:sz="4" w:space="0"/>
            </w:tcBorders>
            <w:vAlign w:val="center"/>
          </w:tcPr>
          <w:p w14:paraId="43E0FF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single" w:color="auto" w:sz="4" w:space="0"/>
              <w:left w:val="single" w:color="auto" w:sz="4" w:space="0"/>
              <w:bottom w:val="single" w:color="auto" w:sz="4" w:space="0"/>
              <w:right w:val="single" w:color="auto" w:sz="4" w:space="0"/>
            </w:tcBorders>
            <w:vAlign w:val="center"/>
          </w:tcPr>
          <w:p w14:paraId="2E25C6E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single" w:color="auto" w:sz="4" w:space="0"/>
              <w:left w:val="single" w:color="auto" w:sz="4" w:space="0"/>
              <w:bottom w:val="single" w:color="auto" w:sz="4" w:space="0"/>
              <w:right w:val="single" w:color="auto" w:sz="4" w:space="0"/>
            </w:tcBorders>
            <w:vAlign w:val="center"/>
          </w:tcPr>
          <w:p w14:paraId="144028C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single" w:color="auto" w:sz="4" w:space="0"/>
              <w:left w:val="single" w:color="auto" w:sz="4" w:space="0"/>
              <w:bottom w:val="single" w:color="auto" w:sz="4" w:space="0"/>
              <w:right w:val="single" w:color="auto" w:sz="4" w:space="0"/>
            </w:tcBorders>
            <w:vAlign w:val="center"/>
          </w:tcPr>
          <w:p w14:paraId="60E154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E6B90F7">
        <w:tblPrEx>
          <w:tblCellMar>
            <w:top w:w="0" w:type="dxa"/>
            <w:left w:w="108" w:type="dxa"/>
            <w:bottom w:w="0" w:type="dxa"/>
            <w:right w:w="108" w:type="dxa"/>
          </w:tblCellMar>
        </w:tblPrEx>
        <w:trPr>
          <w:gridAfter w:val="1"/>
          <w:wAfter w:w="495" w:type="dxa"/>
          <w:trHeight w:val="549"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49E515A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single" w:color="auto" w:sz="4" w:space="0"/>
              <w:left w:val="nil"/>
              <w:bottom w:val="single" w:color="auto" w:sz="4" w:space="0"/>
              <w:right w:val="single" w:color="auto" w:sz="4" w:space="0"/>
            </w:tcBorders>
            <w:vAlign w:val="center"/>
          </w:tcPr>
          <w:p w14:paraId="3CD8D1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生长及外观：草坪基本平整，无大片枯黄现象；草坪边缘（与路面、色块交界处）线较整齐，无明显的交叉生长现象。</w:t>
            </w:r>
          </w:p>
        </w:tc>
        <w:tc>
          <w:tcPr>
            <w:tcW w:w="742" w:type="dxa"/>
            <w:tcBorders>
              <w:top w:val="single" w:color="auto" w:sz="4" w:space="0"/>
              <w:left w:val="nil"/>
              <w:bottom w:val="single" w:color="auto" w:sz="4" w:space="0"/>
              <w:right w:val="single" w:color="auto" w:sz="4" w:space="0"/>
            </w:tcBorders>
            <w:vAlign w:val="center"/>
          </w:tcPr>
          <w:p w14:paraId="3169C75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42" w:type="dxa"/>
            <w:tcBorders>
              <w:top w:val="single" w:color="auto" w:sz="4" w:space="0"/>
              <w:left w:val="nil"/>
              <w:bottom w:val="single" w:color="auto" w:sz="4" w:space="0"/>
              <w:right w:val="single" w:color="auto" w:sz="4" w:space="0"/>
            </w:tcBorders>
            <w:vAlign w:val="center"/>
          </w:tcPr>
          <w:p w14:paraId="3E74CF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single" w:color="auto" w:sz="4" w:space="0"/>
              <w:left w:val="nil"/>
              <w:bottom w:val="single" w:color="auto" w:sz="4" w:space="0"/>
              <w:right w:val="single" w:color="auto" w:sz="4" w:space="0"/>
            </w:tcBorders>
            <w:vAlign w:val="center"/>
          </w:tcPr>
          <w:p w14:paraId="4F21F8D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single" w:color="auto" w:sz="4" w:space="0"/>
              <w:left w:val="nil"/>
              <w:bottom w:val="single" w:color="auto" w:sz="4" w:space="0"/>
              <w:right w:val="single" w:color="auto" w:sz="4" w:space="0"/>
            </w:tcBorders>
            <w:vAlign w:val="center"/>
          </w:tcPr>
          <w:p w14:paraId="30DA503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single" w:color="auto" w:sz="4" w:space="0"/>
              <w:left w:val="nil"/>
              <w:bottom w:val="single" w:color="auto" w:sz="4" w:space="0"/>
              <w:right w:val="single" w:color="auto" w:sz="4" w:space="0"/>
            </w:tcBorders>
            <w:vAlign w:val="center"/>
          </w:tcPr>
          <w:p w14:paraId="64C1D4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single" w:color="auto" w:sz="4" w:space="0"/>
              <w:left w:val="nil"/>
              <w:bottom w:val="single" w:color="auto" w:sz="4" w:space="0"/>
              <w:right w:val="single" w:color="auto" w:sz="4" w:space="0"/>
            </w:tcBorders>
            <w:vAlign w:val="center"/>
          </w:tcPr>
          <w:p w14:paraId="3C4A62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4CBCA8">
        <w:tblPrEx>
          <w:tblCellMar>
            <w:top w:w="0" w:type="dxa"/>
            <w:left w:w="108" w:type="dxa"/>
            <w:bottom w:w="0" w:type="dxa"/>
            <w:right w:w="108" w:type="dxa"/>
          </w:tblCellMar>
        </w:tblPrEx>
        <w:trPr>
          <w:gridAfter w:val="1"/>
          <w:wAfter w:w="495" w:type="dxa"/>
          <w:trHeight w:val="660" w:hRule="atLeast"/>
          <w:jc w:val="center"/>
        </w:trPr>
        <w:tc>
          <w:tcPr>
            <w:tcW w:w="570" w:type="dxa"/>
            <w:tcBorders>
              <w:top w:val="nil"/>
              <w:left w:val="single" w:color="auto" w:sz="4" w:space="0"/>
              <w:bottom w:val="single" w:color="auto" w:sz="4" w:space="0"/>
              <w:right w:val="single" w:color="auto" w:sz="4" w:space="0"/>
            </w:tcBorders>
            <w:vAlign w:val="center"/>
          </w:tcPr>
          <w:p w14:paraId="3249323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6EE2FD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除杂：及时除杂，无大型杂草，目的草种纯度80%以上，草地无因除杂而形成的坑洼小洞。</w:t>
            </w:r>
          </w:p>
        </w:tc>
        <w:tc>
          <w:tcPr>
            <w:tcW w:w="742" w:type="dxa"/>
            <w:tcBorders>
              <w:top w:val="nil"/>
              <w:left w:val="nil"/>
              <w:bottom w:val="single" w:color="auto" w:sz="4" w:space="0"/>
              <w:right w:val="single" w:color="auto" w:sz="4" w:space="0"/>
            </w:tcBorders>
            <w:vAlign w:val="center"/>
          </w:tcPr>
          <w:p w14:paraId="3BD9A09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42" w:type="dxa"/>
            <w:tcBorders>
              <w:top w:val="nil"/>
              <w:left w:val="nil"/>
              <w:bottom w:val="single" w:color="auto" w:sz="4" w:space="0"/>
              <w:right w:val="single" w:color="auto" w:sz="4" w:space="0"/>
            </w:tcBorders>
            <w:vAlign w:val="center"/>
          </w:tcPr>
          <w:p w14:paraId="5A75D5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91AE0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907DE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611E1A5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591304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27C9B5B">
        <w:tblPrEx>
          <w:tblCellMar>
            <w:top w:w="0" w:type="dxa"/>
            <w:left w:w="108" w:type="dxa"/>
            <w:bottom w:w="0" w:type="dxa"/>
            <w:right w:w="108" w:type="dxa"/>
          </w:tblCellMar>
        </w:tblPrEx>
        <w:trPr>
          <w:gridAfter w:val="1"/>
          <w:wAfter w:w="495" w:type="dxa"/>
          <w:trHeight w:val="285" w:hRule="atLeast"/>
          <w:jc w:val="center"/>
        </w:trPr>
        <w:tc>
          <w:tcPr>
            <w:tcW w:w="570" w:type="dxa"/>
            <w:tcBorders>
              <w:top w:val="nil"/>
              <w:left w:val="single" w:color="auto" w:sz="4" w:space="0"/>
              <w:bottom w:val="single" w:color="auto" w:sz="4" w:space="0"/>
              <w:right w:val="single" w:color="auto" w:sz="4" w:space="0"/>
            </w:tcBorders>
            <w:vAlign w:val="center"/>
          </w:tcPr>
          <w:p w14:paraId="7AE983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4639" w:type="dxa"/>
            <w:tcBorders>
              <w:top w:val="nil"/>
              <w:left w:val="nil"/>
              <w:bottom w:val="single" w:color="auto" w:sz="4" w:space="0"/>
              <w:right w:val="single" w:color="auto" w:sz="4" w:space="0"/>
            </w:tcBorders>
            <w:vAlign w:val="center"/>
          </w:tcPr>
          <w:p w14:paraId="5FE48AF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绿地卫生</w:t>
            </w:r>
          </w:p>
        </w:tc>
        <w:tc>
          <w:tcPr>
            <w:tcW w:w="742" w:type="dxa"/>
            <w:tcBorders>
              <w:top w:val="nil"/>
              <w:left w:val="nil"/>
              <w:bottom w:val="single" w:color="auto" w:sz="4" w:space="0"/>
              <w:right w:val="single" w:color="auto" w:sz="4" w:space="0"/>
            </w:tcBorders>
            <w:vAlign w:val="center"/>
          </w:tcPr>
          <w:p w14:paraId="373A27E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289378A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50FE69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AD00D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17A149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3179E5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D6BE636">
        <w:tblPrEx>
          <w:tblCellMar>
            <w:top w:w="0" w:type="dxa"/>
            <w:left w:w="108" w:type="dxa"/>
            <w:bottom w:w="0" w:type="dxa"/>
            <w:right w:w="108" w:type="dxa"/>
          </w:tblCellMar>
        </w:tblPrEx>
        <w:trPr>
          <w:gridAfter w:val="1"/>
          <w:wAfter w:w="495" w:type="dxa"/>
          <w:trHeight w:val="975" w:hRule="atLeast"/>
          <w:jc w:val="center"/>
        </w:trPr>
        <w:tc>
          <w:tcPr>
            <w:tcW w:w="570" w:type="dxa"/>
            <w:tcBorders>
              <w:top w:val="nil"/>
              <w:left w:val="single" w:color="auto" w:sz="4" w:space="0"/>
              <w:bottom w:val="single" w:color="auto" w:sz="4" w:space="0"/>
              <w:right w:val="single" w:color="auto" w:sz="4" w:space="0"/>
            </w:tcBorders>
            <w:vAlign w:val="center"/>
          </w:tcPr>
          <w:p w14:paraId="7263601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765707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绿地较整洁，无明显垃圾，修剪后枝叶、碎草及时清理；无明显散落枝叶、草、余泥、石块、杂物堆积。游园设施基本清洁，护绿设施较规范。</w:t>
            </w:r>
          </w:p>
        </w:tc>
        <w:tc>
          <w:tcPr>
            <w:tcW w:w="742" w:type="dxa"/>
            <w:tcBorders>
              <w:top w:val="nil"/>
              <w:left w:val="nil"/>
              <w:bottom w:val="single" w:color="auto" w:sz="4" w:space="0"/>
              <w:right w:val="single" w:color="auto" w:sz="4" w:space="0"/>
            </w:tcBorders>
            <w:vAlign w:val="center"/>
          </w:tcPr>
          <w:p w14:paraId="5E541E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42" w:type="dxa"/>
            <w:tcBorders>
              <w:top w:val="nil"/>
              <w:left w:val="nil"/>
              <w:bottom w:val="single" w:color="auto" w:sz="4" w:space="0"/>
              <w:right w:val="single" w:color="auto" w:sz="4" w:space="0"/>
            </w:tcBorders>
            <w:vAlign w:val="center"/>
          </w:tcPr>
          <w:p w14:paraId="5E8F7C3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0A6D8F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05B78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4CFA49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5415A2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5BA42B1">
        <w:tblPrEx>
          <w:tblCellMar>
            <w:top w:w="0" w:type="dxa"/>
            <w:left w:w="108" w:type="dxa"/>
            <w:bottom w:w="0" w:type="dxa"/>
            <w:right w:w="108" w:type="dxa"/>
          </w:tblCellMar>
        </w:tblPrEx>
        <w:trPr>
          <w:gridAfter w:val="1"/>
          <w:wAfter w:w="495" w:type="dxa"/>
          <w:trHeight w:val="510" w:hRule="atLeast"/>
          <w:jc w:val="center"/>
        </w:trPr>
        <w:tc>
          <w:tcPr>
            <w:tcW w:w="570" w:type="dxa"/>
            <w:tcBorders>
              <w:top w:val="nil"/>
              <w:left w:val="single" w:color="auto" w:sz="4" w:space="0"/>
              <w:bottom w:val="single" w:color="auto" w:sz="4" w:space="0"/>
              <w:right w:val="single" w:color="auto" w:sz="4" w:space="0"/>
            </w:tcBorders>
            <w:vAlign w:val="center"/>
          </w:tcPr>
          <w:p w14:paraId="7D3C6F0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517DAA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游园设施基本清洁，护绿设施较规范。</w:t>
            </w:r>
          </w:p>
        </w:tc>
        <w:tc>
          <w:tcPr>
            <w:tcW w:w="742" w:type="dxa"/>
            <w:tcBorders>
              <w:top w:val="nil"/>
              <w:left w:val="nil"/>
              <w:bottom w:val="single" w:color="auto" w:sz="4" w:space="0"/>
              <w:right w:val="single" w:color="auto" w:sz="4" w:space="0"/>
            </w:tcBorders>
            <w:vAlign w:val="center"/>
          </w:tcPr>
          <w:p w14:paraId="2EC0FA8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42" w:type="dxa"/>
            <w:tcBorders>
              <w:top w:val="nil"/>
              <w:left w:val="nil"/>
              <w:bottom w:val="single" w:color="auto" w:sz="4" w:space="0"/>
              <w:right w:val="single" w:color="auto" w:sz="4" w:space="0"/>
            </w:tcBorders>
            <w:vAlign w:val="center"/>
          </w:tcPr>
          <w:p w14:paraId="1DA45C7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187095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7053A7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7794A1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455881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650AC9">
        <w:tblPrEx>
          <w:tblCellMar>
            <w:top w:w="0" w:type="dxa"/>
            <w:left w:w="108" w:type="dxa"/>
            <w:bottom w:w="0" w:type="dxa"/>
            <w:right w:w="108" w:type="dxa"/>
          </w:tblCellMar>
        </w:tblPrEx>
        <w:trPr>
          <w:gridAfter w:val="1"/>
          <w:wAfter w:w="495" w:type="dxa"/>
          <w:trHeight w:val="285" w:hRule="atLeast"/>
          <w:jc w:val="center"/>
        </w:trPr>
        <w:tc>
          <w:tcPr>
            <w:tcW w:w="570" w:type="dxa"/>
            <w:tcBorders>
              <w:top w:val="nil"/>
              <w:left w:val="single" w:color="auto" w:sz="4" w:space="0"/>
              <w:bottom w:val="single" w:color="auto" w:sz="4" w:space="0"/>
              <w:right w:val="single" w:color="auto" w:sz="4" w:space="0"/>
            </w:tcBorders>
            <w:vAlign w:val="center"/>
          </w:tcPr>
          <w:p w14:paraId="7BEC05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639" w:type="dxa"/>
            <w:tcBorders>
              <w:top w:val="nil"/>
              <w:left w:val="nil"/>
              <w:bottom w:val="single" w:color="auto" w:sz="4" w:space="0"/>
              <w:right w:val="single" w:color="auto" w:sz="4" w:space="0"/>
            </w:tcBorders>
            <w:vAlign w:val="center"/>
          </w:tcPr>
          <w:p w14:paraId="30A10E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无明显鼠迹现象。</w:t>
            </w:r>
          </w:p>
        </w:tc>
        <w:tc>
          <w:tcPr>
            <w:tcW w:w="742" w:type="dxa"/>
            <w:tcBorders>
              <w:top w:val="nil"/>
              <w:left w:val="nil"/>
              <w:bottom w:val="single" w:color="auto" w:sz="4" w:space="0"/>
              <w:right w:val="single" w:color="auto" w:sz="4" w:space="0"/>
            </w:tcBorders>
            <w:vAlign w:val="center"/>
          </w:tcPr>
          <w:p w14:paraId="2FDB50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2" w:type="dxa"/>
            <w:tcBorders>
              <w:top w:val="nil"/>
              <w:left w:val="nil"/>
              <w:bottom w:val="single" w:color="auto" w:sz="4" w:space="0"/>
              <w:right w:val="single" w:color="auto" w:sz="4" w:space="0"/>
            </w:tcBorders>
            <w:vAlign w:val="center"/>
          </w:tcPr>
          <w:p w14:paraId="6248ECB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9DACC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3ED1CDE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02277D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52784A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93A4312">
        <w:tblPrEx>
          <w:tblCellMar>
            <w:top w:w="0" w:type="dxa"/>
            <w:left w:w="108" w:type="dxa"/>
            <w:bottom w:w="0" w:type="dxa"/>
            <w:right w:w="108" w:type="dxa"/>
          </w:tblCellMar>
        </w:tblPrEx>
        <w:trPr>
          <w:gridAfter w:val="1"/>
          <w:wAfter w:w="495" w:type="dxa"/>
          <w:trHeight w:val="285" w:hRule="atLeast"/>
          <w:jc w:val="center"/>
        </w:trPr>
        <w:tc>
          <w:tcPr>
            <w:tcW w:w="570" w:type="dxa"/>
            <w:tcBorders>
              <w:top w:val="nil"/>
              <w:left w:val="single" w:color="auto" w:sz="4" w:space="0"/>
              <w:bottom w:val="single" w:color="auto" w:sz="4" w:space="0"/>
              <w:right w:val="single" w:color="auto" w:sz="4" w:space="0"/>
            </w:tcBorders>
            <w:vAlign w:val="center"/>
          </w:tcPr>
          <w:p w14:paraId="1143D7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4639" w:type="dxa"/>
            <w:tcBorders>
              <w:top w:val="nil"/>
              <w:left w:val="nil"/>
              <w:bottom w:val="single" w:color="auto" w:sz="4" w:space="0"/>
              <w:right w:val="single" w:color="auto" w:sz="4" w:space="0"/>
            </w:tcBorders>
            <w:vAlign w:val="center"/>
          </w:tcPr>
          <w:p w14:paraId="691E89E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742" w:type="dxa"/>
            <w:tcBorders>
              <w:top w:val="nil"/>
              <w:left w:val="nil"/>
              <w:bottom w:val="single" w:color="auto" w:sz="4" w:space="0"/>
              <w:right w:val="single" w:color="auto" w:sz="4" w:space="0"/>
            </w:tcBorders>
            <w:vAlign w:val="center"/>
          </w:tcPr>
          <w:p w14:paraId="732BA9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06BF55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1B4FF7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004413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51A0A7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11E30F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3700532">
        <w:tblPrEx>
          <w:tblCellMar>
            <w:top w:w="0" w:type="dxa"/>
            <w:left w:w="108" w:type="dxa"/>
            <w:bottom w:w="0" w:type="dxa"/>
            <w:right w:w="108" w:type="dxa"/>
          </w:tblCellMar>
        </w:tblPrEx>
        <w:trPr>
          <w:gridAfter w:val="1"/>
          <w:wAfter w:w="495" w:type="dxa"/>
          <w:trHeight w:val="570"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2CB8B7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639" w:type="dxa"/>
            <w:tcBorders>
              <w:top w:val="single" w:color="auto" w:sz="4" w:space="0"/>
              <w:left w:val="nil"/>
              <w:bottom w:val="single" w:color="auto" w:sz="4" w:space="0"/>
              <w:right w:val="single" w:color="auto" w:sz="4" w:space="0"/>
            </w:tcBorders>
            <w:vAlign w:val="center"/>
          </w:tcPr>
          <w:p w14:paraId="020A37E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42" w:type="dxa"/>
            <w:tcBorders>
              <w:top w:val="single" w:color="auto" w:sz="4" w:space="0"/>
              <w:left w:val="nil"/>
              <w:bottom w:val="single" w:color="auto" w:sz="4" w:space="0"/>
              <w:right w:val="single" w:color="auto" w:sz="4" w:space="0"/>
            </w:tcBorders>
            <w:vAlign w:val="center"/>
          </w:tcPr>
          <w:p w14:paraId="1B3CEAD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42" w:type="dxa"/>
            <w:tcBorders>
              <w:top w:val="single" w:color="auto" w:sz="4" w:space="0"/>
              <w:left w:val="nil"/>
              <w:bottom w:val="single" w:color="auto" w:sz="4" w:space="0"/>
              <w:right w:val="single" w:color="auto" w:sz="4" w:space="0"/>
            </w:tcBorders>
            <w:vAlign w:val="center"/>
          </w:tcPr>
          <w:p w14:paraId="0CB719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649" w:type="dxa"/>
            <w:gridSpan w:val="4"/>
            <w:tcBorders>
              <w:top w:val="single" w:color="auto" w:sz="4" w:space="0"/>
              <w:left w:val="nil"/>
              <w:bottom w:val="single" w:color="auto" w:sz="4" w:space="0"/>
              <w:right w:val="single" w:color="auto" w:sz="4" w:space="0"/>
            </w:tcBorders>
            <w:vAlign w:val="center"/>
          </w:tcPr>
          <w:p w14:paraId="3A935D3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00957A7D">
        <w:tblPrEx>
          <w:tblCellMar>
            <w:top w:w="0" w:type="dxa"/>
            <w:left w:w="108" w:type="dxa"/>
            <w:bottom w:w="0" w:type="dxa"/>
            <w:right w:w="108" w:type="dxa"/>
          </w:tblCellMar>
        </w:tblPrEx>
        <w:trPr>
          <w:gridAfter w:val="1"/>
          <w:wAfter w:w="495" w:type="dxa"/>
          <w:trHeight w:val="570" w:hRule="atLeast"/>
          <w:jc w:val="center"/>
        </w:trPr>
        <w:tc>
          <w:tcPr>
            <w:tcW w:w="570" w:type="dxa"/>
            <w:tcBorders>
              <w:top w:val="nil"/>
              <w:left w:val="single" w:color="auto" w:sz="4" w:space="0"/>
              <w:bottom w:val="single" w:color="auto" w:sz="4" w:space="0"/>
              <w:right w:val="single" w:color="auto" w:sz="4" w:space="0"/>
            </w:tcBorders>
            <w:vAlign w:val="center"/>
          </w:tcPr>
          <w:p w14:paraId="4F097D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678152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绿地保存较好，无大片黄土裸露现象。</w:t>
            </w:r>
          </w:p>
        </w:tc>
        <w:tc>
          <w:tcPr>
            <w:tcW w:w="742" w:type="dxa"/>
            <w:tcBorders>
              <w:top w:val="nil"/>
              <w:left w:val="nil"/>
              <w:bottom w:val="single" w:color="auto" w:sz="4" w:space="0"/>
              <w:right w:val="single" w:color="auto" w:sz="4" w:space="0"/>
            </w:tcBorders>
            <w:vAlign w:val="center"/>
          </w:tcPr>
          <w:p w14:paraId="06AF9E3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742" w:type="dxa"/>
            <w:tcBorders>
              <w:top w:val="nil"/>
              <w:left w:val="nil"/>
              <w:bottom w:val="single" w:color="auto" w:sz="4" w:space="0"/>
              <w:right w:val="single" w:color="auto" w:sz="4" w:space="0"/>
            </w:tcBorders>
            <w:vAlign w:val="center"/>
          </w:tcPr>
          <w:p w14:paraId="2A40436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563113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02382E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269F7BF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4B65C7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16FC54B">
        <w:tblPrEx>
          <w:tblCellMar>
            <w:top w:w="0" w:type="dxa"/>
            <w:left w:w="108" w:type="dxa"/>
            <w:bottom w:w="0" w:type="dxa"/>
            <w:right w:w="108" w:type="dxa"/>
          </w:tblCellMar>
        </w:tblPrEx>
        <w:trPr>
          <w:gridAfter w:val="1"/>
          <w:wAfter w:w="495" w:type="dxa"/>
          <w:trHeight w:val="585" w:hRule="atLeast"/>
          <w:jc w:val="center"/>
        </w:trPr>
        <w:tc>
          <w:tcPr>
            <w:tcW w:w="570" w:type="dxa"/>
            <w:tcBorders>
              <w:top w:val="nil"/>
              <w:left w:val="single" w:color="auto" w:sz="4" w:space="0"/>
              <w:bottom w:val="single" w:color="auto" w:sz="4" w:space="0"/>
              <w:right w:val="single" w:color="auto" w:sz="4" w:space="0"/>
            </w:tcBorders>
            <w:vAlign w:val="center"/>
          </w:tcPr>
          <w:p w14:paraId="50B543D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639" w:type="dxa"/>
            <w:tcBorders>
              <w:top w:val="nil"/>
              <w:left w:val="nil"/>
              <w:bottom w:val="single" w:color="auto" w:sz="4" w:space="0"/>
              <w:right w:val="single" w:color="auto" w:sz="4" w:space="0"/>
            </w:tcBorders>
            <w:vAlign w:val="center"/>
          </w:tcPr>
          <w:p w14:paraId="785C09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乔木与孤植灌木无明显缺株。</w:t>
            </w:r>
          </w:p>
        </w:tc>
        <w:tc>
          <w:tcPr>
            <w:tcW w:w="742" w:type="dxa"/>
            <w:tcBorders>
              <w:top w:val="nil"/>
              <w:left w:val="nil"/>
              <w:bottom w:val="single" w:color="auto" w:sz="4" w:space="0"/>
              <w:right w:val="single" w:color="auto" w:sz="4" w:space="0"/>
            </w:tcBorders>
            <w:vAlign w:val="center"/>
          </w:tcPr>
          <w:p w14:paraId="4DC25B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2" w:type="dxa"/>
            <w:tcBorders>
              <w:top w:val="nil"/>
              <w:left w:val="nil"/>
              <w:bottom w:val="single" w:color="auto" w:sz="4" w:space="0"/>
              <w:right w:val="single" w:color="auto" w:sz="4" w:space="0"/>
            </w:tcBorders>
            <w:vAlign w:val="center"/>
          </w:tcPr>
          <w:p w14:paraId="67F1BF3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67C3D7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6173BF5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70E482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2C1CF7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CCE03C5">
        <w:tblPrEx>
          <w:tblCellMar>
            <w:top w:w="0" w:type="dxa"/>
            <w:left w:w="108" w:type="dxa"/>
            <w:bottom w:w="0" w:type="dxa"/>
            <w:right w:w="108" w:type="dxa"/>
          </w:tblCellMar>
        </w:tblPrEx>
        <w:trPr>
          <w:gridAfter w:val="1"/>
          <w:wAfter w:w="495" w:type="dxa"/>
          <w:trHeight w:val="300" w:hRule="atLeast"/>
          <w:jc w:val="center"/>
        </w:trPr>
        <w:tc>
          <w:tcPr>
            <w:tcW w:w="570" w:type="dxa"/>
            <w:tcBorders>
              <w:top w:val="nil"/>
              <w:left w:val="single" w:color="auto" w:sz="4" w:space="0"/>
              <w:bottom w:val="single" w:color="auto" w:sz="4" w:space="0"/>
              <w:right w:val="single" w:color="auto" w:sz="4" w:space="0"/>
            </w:tcBorders>
            <w:vAlign w:val="center"/>
          </w:tcPr>
          <w:p w14:paraId="3F0809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4639" w:type="dxa"/>
            <w:tcBorders>
              <w:top w:val="nil"/>
              <w:left w:val="nil"/>
              <w:bottom w:val="single" w:color="auto" w:sz="4" w:space="0"/>
              <w:right w:val="single" w:color="auto" w:sz="4" w:space="0"/>
            </w:tcBorders>
            <w:vAlign w:val="center"/>
          </w:tcPr>
          <w:p w14:paraId="1E633D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42" w:type="dxa"/>
            <w:tcBorders>
              <w:top w:val="nil"/>
              <w:left w:val="nil"/>
              <w:bottom w:val="single" w:color="auto" w:sz="4" w:space="0"/>
              <w:right w:val="single" w:color="auto" w:sz="4" w:space="0"/>
            </w:tcBorders>
            <w:vAlign w:val="center"/>
          </w:tcPr>
          <w:p w14:paraId="7B033CC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bottom"/>
          </w:tcPr>
          <w:p w14:paraId="0E428E0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bottom"/>
          </w:tcPr>
          <w:p w14:paraId="3192E08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465E14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3CBF0E9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2FCD77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E5EFF77">
        <w:tblPrEx>
          <w:tblCellMar>
            <w:top w:w="0" w:type="dxa"/>
            <w:left w:w="108" w:type="dxa"/>
            <w:bottom w:w="0" w:type="dxa"/>
            <w:right w:w="108" w:type="dxa"/>
          </w:tblCellMar>
        </w:tblPrEx>
        <w:trPr>
          <w:gridAfter w:val="1"/>
          <w:wAfter w:w="495" w:type="dxa"/>
          <w:trHeight w:val="915" w:hRule="atLeast"/>
          <w:jc w:val="center"/>
        </w:trPr>
        <w:tc>
          <w:tcPr>
            <w:tcW w:w="570" w:type="dxa"/>
            <w:tcBorders>
              <w:top w:val="nil"/>
              <w:left w:val="single" w:color="auto" w:sz="4" w:space="0"/>
              <w:bottom w:val="single" w:color="auto" w:sz="4" w:space="0"/>
              <w:right w:val="single" w:color="auto" w:sz="4" w:space="0"/>
            </w:tcBorders>
            <w:vAlign w:val="center"/>
          </w:tcPr>
          <w:p w14:paraId="2C52444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tcPr>
          <w:p w14:paraId="44F125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有病虫害控制措施。食叶害虫危害的叶片每处（株）不超过15%，刺吸式害虫危害的叶片每处（株）不超过20%，蛀干性害虫危害每处（株）在5%以下。病害每处（株）不超过15%。</w:t>
            </w:r>
          </w:p>
        </w:tc>
        <w:tc>
          <w:tcPr>
            <w:tcW w:w="742" w:type="dxa"/>
            <w:tcBorders>
              <w:top w:val="nil"/>
              <w:left w:val="nil"/>
              <w:bottom w:val="single" w:color="auto" w:sz="4" w:space="0"/>
              <w:right w:val="single" w:color="auto" w:sz="4" w:space="0"/>
            </w:tcBorders>
            <w:vAlign w:val="center"/>
          </w:tcPr>
          <w:p w14:paraId="79029F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2" w:type="dxa"/>
            <w:tcBorders>
              <w:top w:val="nil"/>
              <w:left w:val="nil"/>
              <w:bottom w:val="single" w:color="auto" w:sz="4" w:space="0"/>
              <w:right w:val="single" w:color="auto" w:sz="4" w:space="0"/>
            </w:tcBorders>
            <w:vAlign w:val="bottom"/>
          </w:tcPr>
          <w:p w14:paraId="0694498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3EEA9E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1E4153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08AA7F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1A228D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836164B">
        <w:tblPrEx>
          <w:tblCellMar>
            <w:top w:w="0" w:type="dxa"/>
            <w:left w:w="108" w:type="dxa"/>
            <w:bottom w:w="0" w:type="dxa"/>
            <w:right w:w="108" w:type="dxa"/>
          </w:tblCellMar>
        </w:tblPrEx>
        <w:trPr>
          <w:gridAfter w:val="1"/>
          <w:wAfter w:w="495" w:type="dxa"/>
          <w:trHeight w:val="300" w:hRule="atLeast"/>
          <w:jc w:val="center"/>
        </w:trPr>
        <w:tc>
          <w:tcPr>
            <w:tcW w:w="570" w:type="dxa"/>
            <w:tcBorders>
              <w:top w:val="nil"/>
              <w:left w:val="single" w:color="auto" w:sz="4" w:space="0"/>
              <w:bottom w:val="single" w:color="auto" w:sz="4" w:space="0"/>
              <w:right w:val="single" w:color="auto" w:sz="4" w:space="0"/>
            </w:tcBorders>
            <w:vAlign w:val="center"/>
          </w:tcPr>
          <w:p w14:paraId="4BD1AAD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w:t>
            </w:r>
          </w:p>
        </w:tc>
        <w:tc>
          <w:tcPr>
            <w:tcW w:w="4639" w:type="dxa"/>
            <w:tcBorders>
              <w:top w:val="nil"/>
              <w:left w:val="nil"/>
              <w:bottom w:val="single" w:color="auto" w:sz="4" w:space="0"/>
              <w:right w:val="single" w:color="auto" w:sz="4" w:space="0"/>
            </w:tcBorders>
            <w:vAlign w:val="center"/>
          </w:tcPr>
          <w:p w14:paraId="3B556290">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42" w:type="dxa"/>
            <w:tcBorders>
              <w:top w:val="nil"/>
              <w:left w:val="nil"/>
              <w:bottom w:val="single" w:color="auto" w:sz="4" w:space="0"/>
              <w:right w:val="single" w:color="auto" w:sz="4" w:space="0"/>
            </w:tcBorders>
            <w:vAlign w:val="center"/>
          </w:tcPr>
          <w:p w14:paraId="2B35F7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bottom"/>
          </w:tcPr>
          <w:p w14:paraId="336C66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2B2735D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5D11973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069B7C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08DECF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EAC75EE">
        <w:tblPrEx>
          <w:tblCellMar>
            <w:top w:w="0" w:type="dxa"/>
            <w:left w:w="108" w:type="dxa"/>
            <w:bottom w:w="0" w:type="dxa"/>
            <w:right w:w="108" w:type="dxa"/>
          </w:tblCellMar>
        </w:tblPrEx>
        <w:trPr>
          <w:gridAfter w:val="1"/>
          <w:wAfter w:w="495" w:type="dxa"/>
          <w:trHeight w:val="870" w:hRule="atLeast"/>
          <w:jc w:val="center"/>
        </w:trPr>
        <w:tc>
          <w:tcPr>
            <w:tcW w:w="570" w:type="dxa"/>
            <w:tcBorders>
              <w:top w:val="nil"/>
              <w:left w:val="single" w:color="auto" w:sz="4" w:space="0"/>
              <w:bottom w:val="single" w:color="auto" w:sz="4" w:space="0"/>
              <w:right w:val="single" w:color="auto" w:sz="4" w:space="0"/>
            </w:tcBorders>
            <w:vAlign w:val="center"/>
          </w:tcPr>
          <w:p w14:paraId="41039C1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639" w:type="dxa"/>
            <w:tcBorders>
              <w:top w:val="nil"/>
              <w:left w:val="nil"/>
              <w:bottom w:val="single" w:color="auto" w:sz="4" w:space="0"/>
              <w:right w:val="single" w:color="auto" w:sz="4" w:space="0"/>
            </w:tcBorders>
            <w:vAlign w:val="center"/>
          </w:tcPr>
          <w:p w14:paraId="057452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植株长势旺盛，叶子挺直，嫩稍不萎垂，土壤不干裂，无积水。无淋水造成的苗木倒伏、枝叶损伤、黄土污染路面现象</w:t>
            </w:r>
          </w:p>
        </w:tc>
        <w:tc>
          <w:tcPr>
            <w:tcW w:w="742" w:type="dxa"/>
            <w:tcBorders>
              <w:top w:val="nil"/>
              <w:left w:val="nil"/>
              <w:bottom w:val="single" w:color="auto" w:sz="4" w:space="0"/>
              <w:right w:val="single" w:color="auto" w:sz="4" w:space="0"/>
            </w:tcBorders>
            <w:vAlign w:val="center"/>
          </w:tcPr>
          <w:p w14:paraId="0ED5C20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2" w:type="dxa"/>
            <w:tcBorders>
              <w:top w:val="nil"/>
              <w:left w:val="nil"/>
              <w:bottom w:val="single" w:color="auto" w:sz="4" w:space="0"/>
              <w:right w:val="single" w:color="auto" w:sz="4" w:space="0"/>
            </w:tcBorders>
            <w:vAlign w:val="bottom"/>
          </w:tcPr>
          <w:p w14:paraId="03260BC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403A7C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5325A7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7511CE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1C897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A4964DF">
        <w:tblPrEx>
          <w:tblCellMar>
            <w:top w:w="0" w:type="dxa"/>
            <w:left w:w="108" w:type="dxa"/>
            <w:bottom w:w="0" w:type="dxa"/>
            <w:right w:w="108" w:type="dxa"/>
          </w:tblCellMar>
        </w:tblPrEx>
        <w:trPr>
          <w:gridAfter w:val="1"/>
          <w:wAfter w:w="495" w:type="dxa"/>
          <w:trHeight w:val="687" w:hRule="atLeast"/>
          <w:jc w:val="center"/>
        </w:trPr>
        <w:tc>
          <w:tcPr>
            <w:tcW w:w="570" w:type="dxa"/>
            <w:tcBorders>
              <w:top w:val="nil"/>
              <w:left w:val="single" w:color="auto" w:sz="4" w:space="0"/>
              <w:bottom w:val="single" w:color="auto" w:sz="4" w:space="0"/>
              <w:right w:val="single" w:color="auto" w:sz="4" w:space="0"/>
            </w:tcBorders>
          </w:tcPr>
          <w:p w14:paraId="7EE34512">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39" w:type="dxa"/>
            <w:tcBorders>
              <w:top w:val="nil"/>
              <w:left w:val="nil"/>
              <w:bottom w:val="single" w:color="auto" w:sz="4" w:space="0"/>
              <w:right w:val="single" w:color="auto" w:sz="4" w:space="0"/>
            </w:tcBorders>
            <w:vAlign w:val="center"/>
          </w:tcPr>
          <w:p w14:paraId="09EA85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42" w:type="dxa"/>
            <w:tcBorders>
              <w:top w:val="nil"/>
              <w:left w:val="nil"/>
              <w:bottom w:val="single" w:color="auto" w:sz="4" w:space="0"/>
              <w:right w:val="single" w:color="auto" w:sz="4" w:space="0"/>
            </w:tcBorders>
            <w:vAlign w:val="bottom"/>
          </w:tcPr>
          <w:p w14:paraId="41280701">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2" w:type="dxa"/>
            <w:tcBorders>
              <w:top w:val="nil"/>
              <w:left w:val="nil"/>
              <w:bottom w:val="single" w:color="auto" w:sz="4" w:space="0"/>
              <w:right w:val="single" w:color="auto" w:sz="4" w:space="0"/>
            </w:tcBorders>
            <w:vAlign w:val="bottom"/>
          </w:tcPr>
          <w:p w14:paraId="44F0414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42" w:type="dxa"/>
            <w:tcBorders>
              <w:top w:val="nil"/>
              <w:left w:val="nil"/>
              <w:bottom w:val="single" w:color="auto" w:sz="4" w:space="0"/>
              <w:right w:val="single" w:color="auto" w:sz="4" w:space="0"/>
            </w:tcBorders>
            <w:vAlign w:val="center"/>
          </w:tcPr>
          <w:p w14:paraId="7DE8CD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09" w:type="dxa"/>
            <w:tcBorders>
              <w:top w:val="nil"/>
              <w:left w:val="nil"/>
              <w:bottom w:val="single" w:color="auto" w:sz="4" w:space="0"/>
              <w:right w:val="single" w:color="auto" w:sz="4" w:space="0"/>
            </w:tcBorders>
            <w:vAlign w:val="center"/>
          </w:tcPr>
          <w:p w14:paraId="0ADAEFD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59" w:type="dxa"/>
            <w:tcBorders>
              <w:top w:val="nil"/>
              <w:left w:val="nil"/>
              <w:bottom w:val="single" w:color="auto" w:sz="4" w:space="0"/>
              <w:right w:val="single" w:color="auto" w:sz="4" w:space="0"/>
            </w:tcBorders>
            <w:vAlign w:val="center"/>
          </w:tcPr>
          <w:p w14:paraId="374D96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 w:type="dxa"/>
            <w:tcBorders>
              <w:top w:val="nil"/>
              <w:left w:val="nil"/>
              <w:bottom w:val="single" w:color="auto" w:sz="4" w:space="0"/>
              <w:right w:val="single" w:color="auto" w:sz="4" w:space="0"/>
            </w:tcBorders>
            <w:vAlign w:val="center"/>
          </w:tcPr>
          <w:p w14:paraId="78E5EF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165E4D9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4620AF1">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4B64F749">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7F0B49A6">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2763DCC3">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35A3FFE2">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14486407">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2BD77AAE">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0AE2E986">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5103F295">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313EBEFA">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08A41D52">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5BB60A8D">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tbl>
      <w:tblPr>
        <w:tblStyle w:val="20"/>
        <w:tblW w:w="9733" w:type="dxa"/>
        <w:jc w:val="center"/>
        <w:tblLayout w:type="fixed"/>
        <w:tblCellMar>
          <w:top w:w="0" w:type="dxa"/>
          <w:left w:w="108" w:type="dxa"/>
          <w:bottom w:w="0" w:type="dxa"/>
          <w:right w:w="108" w:type="dxa"/>
        </w:tblCellMar>
      </w:tblPr>
      <w:tblGrid>
        <w:gridCol w:w="624"/>
        <w:gridCol w:w="3768"/>
        <w:gridCol w:w="709"/>
        <w:gridCol w:w="709"/>
        <w:gridCol w:w="709"/>
        <w:gridCol w:w="708"/>
        <w:gridCol w:w="709"/>
        <w:gridCol w:w="709"/>
        <w:gridCol w:w="343"/>
        <w:gridCol w:w="402"/>
        <w:gridCol w:w="343"/>
      </w:tblGrid>
      <w:tr w14:paraId="679036DA">
        <w:tblPrEx>
          <w:tblCellMar>
            <w:top w:w="0" w:type="dxa"/>
            <w:left w:w="108" w:type="dxa"/>
            <w:bottom w:w="0" w:type="dxa"/>
            <w:right w:w="108" w:type="dxa"/>
          </w:tblCellMar>
        </w:tblPrEx>
        <w:trPr>
          <w:trHeight w:val="623" w:hRule="atLeast"/>
          <w:jc w:val="center"/>
        </w:trPr>
        <w:tc>
          <w:tcPr>
            <w:tcW w:w="8988" w:type="dxa"/>
            <w:gridSpan w:val="9"/>
            <w:vAlign w:val="center"/>
          </w:tcPr>
          <w:p w14:paraId="3EA64582">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szCs w:val="24"/>
                <w:highlight w:val="none"/>
              </w:rPr>
              <w:t>4．四级绿地养护效果评分表</w:t>
            </w:r>
          </w:p>
        </w:tc>
        <w:tc>
          <w:tcPr>
            <w:tcW w:w="745" w:type="dxa"/>
            <w:gridSpan w:val="2"/>
          </w:tcPr>
          <w:p w14:paraId="06AEF711">
            <w:pPr>
              <w:keepNext w:val="0"/>
              <w:keepLines w:val="0"/>
              <w:pageBreakBefore w:val="0"/>
              <w:kinsoku/>
              <w:overflowPunct/>
              <w:topLinePunct w:val="0"/>
              <w:bidi w:val="0"/>
              <w:snapToGrid/>
              <w:spacing w:line="360" w:lineRule="auto"/>
              <w:jc w:val="center"/>
              <w:outlineLvl w:val="9"/>
              <w:rPr>
                <w:rFonts w:hint="eastAsia" w:ascii="宋体" w:hAnsi="宋体" w:eastAsia="宋体" w:cs="宋体"/>
                <w:b/>
                <w:color w:val="auto"/>
                <w:sz w:val="24"/>
                <w:szCs w:val="24"/>
                <w:highlight w:val="none"/>
              </w:rPr>
            </w:pPr>
          </w:p>
        </w:tc>
      </w:tr>
      <w:tr w14:paraId="41457F2A">
        <w:tblPrEx>
          <w:tblCellMar>
            <w:top w:w="0" w:type="dxa"/>
            <w:left w:w="108" w:type="dxa"/>
            <w:bottom w:w="0" w:type="dxa"/>
            <w:right w:w="108" w:type="dxa"/>
          </w:tblCellMar>
        </w:tblPrEx>
        <w:trPr>
          <w:trHeight w:val="766" w:hRule="atLeast"/>
          <w:jc w:val="center"/>
        </w:trPr>
        <w:tc>
          <w:tcPr>
            <w:tcW w:w="8988" w:type="dxa"/>
            <w:gridSpan w:val="9"/>
            <w:tcBorders>
              <w:top w:val="nil"/>
              <w:left w:val="nil"/>
              <w:bottom w:val="single" w:color="auto" w:sz="4" w:space="0"/>
              <w:right w:val="nil"/>
            </w:tcBorders>
            <w:vAlign w:val="center"/>
          </w:tcPr>
          <w:p w14:paraId="77C150A5">
            <w:pPr>
              <w:keepNext w:val="0"/>
              <w:keepLines w:val="0"/>
              <w:pageBreakBefore w:val="0"/>
              <w:widowControl/>
              <w:kinsoku/>
              <w:overflowPunct/>
              <w:topLinePunct w:val="0"/>
              <w:bidi w:val="0"/>
              <w:snapToGrid/>
              <w:spacing w:line="360" w:lineRule="auto"/>
              <w:ind w:firstLine="480" w:firstLineChars="2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c>
          <w:tcPr>
            <w:tcW w:w="745" w:type="dxa"/>
            <w:gridSpan w:val="2"/>
            <w:tcBorders>
              <w:top w:val="nil"/>
              <w:left w:val="nil"/>
              <w:bottom w:val="single" w:color="auto" w:sz="4" w:space="0"/>
              <w:right w:val="nil"/>
            </w:tcBorders>
          </w:tcPr>
          <w:p w14:paraId="25492AE6">
            <w:pPr>
              <w:keepNext w:val="0"/>
              <w:keepLines w:val="0"/>
              <w:pageBreakBefore w:val="0"/>
              <w:widowControl/>
              <w:kinsoku/>
              <w:overflowPunct/>
              <w:topLinePunct w:val="0"/>
              <w:bidi w:val="0"/>
              <w:snapToGrid/>
              <w:spacing w:line="360" w:lineRule="auto"/>
              <w:ind w:firstLine="480" w:firstLineChars="200"/>
              <w:outlineLvl w:val="9"/>
              <w:rPr>
                <w:rFonts w:hint="eastAsia" w:ascii="宋体" w:hAnsi="宋体" w:eastAsia="宋体" w:cs="宋体"/>
                <w:b/>
                <w:bCs/>
                <w:color w:val="auto"/>
                <w:kern w:val="0"/>
                <w:sz w:val="24"/>
                <w:szCs w:val="24"/>
                <w:highlight w:val="none"/>
              </w:rPr>
            </w:pPr>
          </w:p>
        </w:tc>
      </w:tr>
      <w:tr w14:paraId="52E15121">
        <w:tblPrEx>
          <w:tblCellMar>
            <w:top w:w="0" w:type="dxa"/>
            <w:left w:w="108" w:type="dxa"/>
            <w:bottom w:w="0" w:type="dxa"/>
            <w:right w:w="108" w:type="dxa"/>
          </w:tblCellMar>
        </w:tblPrEx>
        <w:trPr>
          <w:gridAfter w:val="1"/>
          <w:wAfter w:w="343" w:type="dxa"/>
          <w:trHeight w:val="285" w:hRule="atLeast"/>
          <w:jc w:val="center"/>
        </w:trPr>
        <w:tc>
          <w:tcPr>
            <w:tcW w:w="624" w:type="dxa"/>
            <w:tcBorders>
              <w:top w:val="nil"/>
              <w:left w:val="single" w:color="auto" w:sz="4" w:space="0"/>
              <w:bottom w:val="single" w:color="auto" w:sz="4" w:space="0"/>
              <w:right w:val="single" w:color="auto" w:sz="4" w:space="0"/>
            </w:tcBorders>
            <w:vAlign w:val="center"/>
          </w:tcPr>
          <w:p w14:paraId="436C228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3768" w:type="dxa"/>
            <w:tcBorders>
              <w:top w:val="nil"/>
              <w:left w:val="single" w:color="auto" w:sz="4" w:space="0"/>
              <w:bottom w:val="single" w:color="auto" w:sz="4" w:space="0"/>
              <w:right w:val="single" w:color="auto" w:sz="4" w:space="0"/>
            </w:tcBorders>
            <w:vAlign w:val="center"/>
          </w:tcPr>
          <w:p w14:paraId="78FDCE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09" w:type="dxa"/>
            <w:tcBorders>
              <w:top w:val="nil"/>
              <w:left w:val="single" w:color="auto" w:sz="4" w:space="0"/>
              <w:bottom w:val="single" w:color="auto" w:sz="4" w:space="0"/>
              <w:right w:val="single" w:color="auto" w:sz="4" w:space="0"/>
            </w:tcBorders>
            <w:vAlign w:val="center"/>
          </w:tcPr>
          <w:p w14:paraId="3DBD59C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09" w:type="dxa"/>
            <w:tcBorders>
              <w:top w:val="nil"/>
              <w:left w:val="single" w:color="auto" w:sz="4" w:space="0"/>
              <w:bottom w:val="single" w:color="000000" w:sz="4" w:space="0"/>
              <w:right w:val="single" w:color="auto" w:sz="4" w:space="0"/>
            </w:tcBorders>
            <w:vAlign w:val="center"/>
          </w:tcPr>
          <w:p w14:paraId="259811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3580" w:type="dxa"/>
            <w:gridSpan w:val="6"/>
            <w:tcBorders>
              <w:top w:val="single" w:color="auto" w:sz="4" w:space="0"/>
              <w:left w:val="nil"/>
              <w:bottom w:val="single" w:color="auto" w:sz="4" w:space="0"/>
              <w:right w:val="single" w:color="auto" w:sz="4" w:space="0"/>
            </w:tcBorders>
            <w:vAlign w:val="center"/>
          </w:tcPr>
          <w:p w14:paraId="46FEAB3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27CC8174">
        <w:tblPrEx>
          <w:tblCellMar>
            <w:top w:w="0" w:type="dxa"/>
            <w:left w:w="108" w:type="dxa"/>
            <w:bottom w:w="0" w:type="dxa"/>
            <w:right w:w="108" w:type="dxa"/>
          </w:tblCellMar>
        </w:tblPrEx>
        <w:trPr>
          <w:gridAfter w:val="1"/>
          <w:wAfter w:w="343" w:type="dxa"/>
          <w:trHeight w:val="349" w:hRule="atLeast"/>
          <w:jc w:val="center"/>
        </w:trPr>
        <w:tc>
          <w:tcPr>
            <w:tcW w:w="624" w:type="dxa"/>
            <w:tcBorders>
              <w:top w:val="nil"/>
              <w:left w:val="single" w:color="auto" w:sz="4" w:space="0"/>
              <w:bottom w:val="single" w:color="auto" w:sz="4" w:space="0"/>
              <w:right w:val="single" w:color="auto" w:sz="4" w:space="0"/>
            </w:tcBorders>
            <w:vAlign w:val="center"/>
          </w:tcPr>
          <w:p w14:paraId="77C820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一</w:t>
            </w:r>
          </w:p>
        </w:tc>
        <w:tc>
          <w:tcPr>
            <w:tcW w:w="3768" w:type="dxa"/>
            <w:tcBorders>
              <w:top w:val="nil"/>
              <w:left w:val="nil"/>
              <w:bottom w:val="single" w:color="auto" w:sz="4" w:space="0"/>
              <w:right w:val="single" w:color="auto" w:sz="4" w:space="0"/>
            </w:tcBorders>
            <w:vAlign w:val="center"/>
          </w:tcPr>
          <w:p w14:paraId="7BC93C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09" w:type="dxa"/>
            <w:tcBorders>
              <w:top w:val="nil"/>
              <w:left w:val="nil"/>
              <w:bottom w:val="single" w:color="auto" w:sz="4" w:space="0"/>
              <w:right w:val="single" w:color="auto" w:sz="4" w:space="0"/>
            </w:tcBorders>
            <w:vAlign w:val="center"/>
          </w:tcPr>
          <w:p w14:paraId="40EA9A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42B6D7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E301B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75C13D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45DFB13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31536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57A7F8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64DB815F">
        <w:tblPrEx>
          <w:tblCellMar>
            <w:top w:w="0" w:type="dxa"/>
            <w:left w:w="108" w:type="dxa"/>
            <w:bottom w:w="0" w:type="dxa"/>
            <w:right w:w="108" w:type="dxa"/>
          </w:tblCellMar>
        </w:tblPrEx>
        <w:trPr>
          <w:gridAfter w:val="1"/>
          <w:wAfter w:w="343" w:type="dxa"/>
          <w:trHeight w:val="285" w:hRule="atLeast"/>
          <w:jc w:val="center"/>
        </w:trPr>
        <w:tc>
          <w:tcPr>
            <w:tcW w:w="624" w:type="dxa"/>
            <w:tcBorders>
              <w:top w:val="nil"/>
              <w:left w:val="single" w:color="auto" w:sz="4" w:space="0"/>
              <w:bottom w:val="single" w:color="auto" w:sz="4" w:space="0"/>
              <w:right w:val="single" w:color="auto" w:sz="4" w:space="0"/>
            </w:tcBorders>
            <w:vAlign w:val="center"/>
          </w:tcPr>
          <w:p w14:paraId="6580DD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383885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整体观赏效果一般，无明显脏、杂、乱现象，喷草绿地有管理痕迹，地被植物基本平齐。</w:t>
            </w:r>
          </w:p>
        </w:tc>
        <w:tc>
          <w:tcPr>
            <w:tcW w:w="709" w:type="dxa"/>
            <w:tcBorders>
              <w:top w:val="nil"/>
              <w:left w:val="nil"/>
              <w:bottom w:val="single" w:color="auto" w:sz="4" w:space="0"/>
              <w:right w:val="single" w:color="auto" w:sz="4" w:space="0"/>
            </w:tcBorders>
            <w:vAlign w:val="center"/>
          </w:tcPr>
          <w:p w14:paraId="3E9EAA5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09" w:type="dxa"/>
            <w:tcBorders>
              <w:top w:val="nil"/>
              <w:left w:val="nil"/>
              <w:bottom w:val="single" w:color="auto" w:sz="4" w:space="0"/>
              <w:right w:val="single" w:color="auto" w:sz="4" w:space="0"/>
            </w:tcBorders>
            <w:vAlign w:val="center"/>
          </w:tcPr>
          <w:p w14:paraId="0691F7E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86A5A2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1421EB4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EF15B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0AA7C0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5FDC65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180963D7">
        <w:tblPrEx>
          <w:tblCellMar>
            <w:top w:w="0" w:type="dxa"/>
            <w:left w:w="108" w:type="dxa"/>
            <w:bottom w:w="0" w:type="dxa"/>
            <w:right w:w="108" w:type="dxa"/>
          </w:tblCellMar>
        </w:tblPrEx>
        <w:trPr>
          <w:gridAfter w:val="1"/>
          <w:wAfter w:w="343" w:type="dxa"/>
          <w:trHeight w:val="285" w:hRule="atLeast"/>
          <w:jc w:val="center"/>
        </w:trPr>
        <w:tc>
          <w:tcPr>
            <w:tcW w:w="624" w:type="dxa"/>
            <w:tcBorders>
              <w:top w:val="nil"/>
              <w:left w:val="single" w:color="auto" w:sz="4" w:space="0"/>
              <w:bottom w:val="single" w:color="auto" w:sz="4" w:space="0"/>
              <w:right w:val="single" w:color="auto" w:sz="4" w:space="0"/>
            </w:tcBorders>
            <w:vAlign w:val="center"/>
          </w:tcPr>
          <w:p w14:paraId="40B373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二</w:t>
            </w:r>
          </w:p>
        </w:tc>
        <w:tc>
          <w:tcPr>
            <w:tcW w:w="3768" w:type="dxa"/>
            <w:tcBorders>
              <w:top w:val="nil"/>
              <w:left w:val="nil"/>
              <w:bottom w:val="single" w:color="auto" w:sz="4" w:space="0"/>
              <w:right w:val="single" w:color="auto" w:sz="4" w:space="0"/>
            </w:tcBorders>
            <w:vAlign w:val="center"/>
          </w:tcPr>
          <w:p w14:paraId="739214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09" w:type="dxa"/>
            <w:tcBorders>
              <w:top w:val="nil"/>
              <w:left w:val="nil"/>
              <w:bottom w:val="single" w:color="auto" w:sz="4" w:space="0"/>
              <w:right w:val="single" w:color="auto" w:sz="4" w:space="0"/>
            </w:tcBorders>
            <w:vAlign w:val="center"/>
          </w:tcPr>
          <w:p w14:paraId="4BB4B6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938FC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0B534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67EEDA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EB687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5452B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4C8AE6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11466F88">
        <w:tblPrEx>
          <w:tblCellMar>
            <w:top w:w="0" w:type="dxa"/>
            <w:left w:w="108" w:type="dxa"/>
            <w:bottom w:w="0" w:type="dxa"/>
            <w:right w:w="108" w:type="dxa"/>
          </w:tblCellMar>
        </w:tblPrEx>
        <w:trPr>
          <w:gridAfter w:val="1"/>
          <w:wAfter w:w="343" w:type="dxa"/>
          <w:trHeight w:val="372" w:hRule="atLeast"/>
          <w:jc w:val="center"/>
        </w:trPr>
        <w:tc>
          <w:tcPr>
            <w:tcW w:w="624" w:type="dxa"/>
            <w:tcBorders>
              <w:top w:val="nil"/>
              <w:left w:val="single" w:color="auto" w:sz="4" w:space="0"/>
              <w:bottom w:val="single" w:color="auto" w:sz="4" w:space="0"/>
              <w:right w:val="single" w:color="auto" w:sz="4" w:space="0"/>
            </w:tcBorders>
            <w:vAlign w:val="center"/>
          </w:tcPr>
          <w:p w14:paraId="2DD55F9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39E828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生长：植株生长基本符合物候状况，树体无倒伏。</w:t>
            </w:r>
          </w:p>
        </w:tc>
        <w:tc>
          <w:tcPr>
            <w:tcW w:w="709" w:type="dxa"/>
            <w:tcBorders>
              <w:top w:val="nil"/>
              <w:left w:val="nil"/>
              <w:bottom w:val="single" w:color="auto" w:sz="4" w:space="0"/>
              <w:right w:val="single" w:color="auto" w:sz="4" w:space="0"/>
            </w:tcBorders>
            <w:vAlign w:val="center"/>
          </w:tcPr>
          <w:p w14:paraId="38EC59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09" w:type="dxa"/>
            <w:tcBorders>
              <w:top w:val="nil"/>
              <w:left w:val="nil"/>
              <w:bottom w:val="single" w:color="auto" w:sz="4" w:space="0"/>
              <w:right w:val="single" w:color="auto" w:sz="4" w:space="0"/>
            </w:tcBorders>
            <w:vAlign w:val="center"/>
          </w:tcPr>
          <w:p w14:paraId="07F81DC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B095E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0C1AB9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3F788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66EA2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3F5C6F0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2C5EF015">
        <w:tblPrEx>
          <w:tblCellMar>
            <w:top w:w="0" w:type="dxa"/>
            <w:left w:w="108" w:type="dxa"/>
            <w:bottom w:w="0" w:type="dxa"/>
            <w:right w:w="108" w:type="dxa"/>
          </w:tblCellMar>
        </w:tblPrEx>
        <w:trPr>
          <w:gridAfter w:val="1"/>
          <w:wAfter w:w="343" w:type="dxa"/>
          <w:trHeight w:val="383" w:hRule="atLeast"/>
          <w:jc w:val="center"/>
        </w:trPr>
        <w:tc>
          <w:tcPr>
            <w:tcW w:w="624" w:type="dxa"/>
            <w:tcBorders>
              <w:top w:val="nil"/>
              <w:left w:val="single" w:color="auto" w:sz="4" w:space="0"/>
              <w:bottom w:val="single" w:color="auto" w:sz="4" w:space="0"/>
              <w:right w:val="single" w:color="auto" w:sz="4" w:space="0"/>
            </w:tcBorders>
            <w:vAlign w:val="center"/>
          </w:tcPr>
          <w:p w14:paraId="67878C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768" w:type="dxa"/>
            <w:tcBorders>
              <w:top w:val="nil"/>
              <w:left w:val="nil"/>
              <w:bottom w:val="single" w:color="auto" w:sz="4" w:space="0"/>
              <w:right w:val="single" w:color="auto" w:sz="4" w:space="0"/>
            </w:tcBorders>
            <w:vAlign w:val="center"/>
          </w:tcPr>
          <w:p w14:paraId="60FA49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乔木无死株、无明显断枝、干枯枝等。</w:t>
            </w:r>
          </w:p>
        </w:tc>
        <w:tc>
          <w:tcPr>
            <w:tcW w:w="709" w:type="dxa"/>
            <w:tcBorders>
              <w:top w:val="nil"/>
              <w:left w:val="nil"/>
              <w:bottom w:val="single" w:color="auto" w:sz="4" w:space="0"/>
              <w:right w:val="single" w:color="auto" w:sz="4" w:space="0"/>
            </w:tcBorders>
            <w:vAlign w:val="center"/>
          </w:tcPr>
          <w:p w14:paraId="5E1899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09" w:type="dxa"/>
            <w:tcBorders>
              <w:top w:val="nil"/>
              <w:left w:val="nil"/>
              <w:bottom w:val="single" w:color="auto" w:sz="4" w:space="0"/>
              <w:right w:val="single" w:color="auto" w:sz="4" w:space="0"/>
            </w:tcBorders>
            <w:vAlign w:val="center"/>
          </w:tcPr>
          <w:p w14:paraId="3FE4432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E90F5D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700142B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AC77DE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2C9A46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6A8419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29A570DA">
        <w:tblPrEx>
          <w:tblCellMar>
            <w:top w:w="0" w:type="dxa"/>
            <w:left w:w="108" w:type="dxa"/>
            <w:bottom w:w="0" w:type="dxa"/>
            <w:right w:w="108" w:type="dxa"/>
          </w:tblCellMar>
        </w:tblPrEx>
        <w:trPr>
          <w:gridAfter w:val="1"/>
          <w:wAfter w:w="343" w:type="dxa"/>
          <w:trHeight w:val="411" w:hRule="atLeast"/>
          <w:jc w:val="center"/>
        </w:trPr>
        <w:tc>
          <w:tcPr>
            <w:tcW w:w="624" w:type="dxa"/>
            <w:tcBorders>
              <w:top w:val="nil"/>
              <w:left w:val="single" w:color="auto" w:sz="4" w:space="0"/>
              <w:bottom w:val="single" w:color="auto" w:sz="4" w:space="0"/>
              <w:right w:val="single" w:color="auto" w:sz="4" w:space="0"/>
            </w:tcBorders>
            <w:vAlign w:val="center"/>
          </w:tcPr>
          <w:p w14:paraId="61F093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三</w:t>
            </w:r>
          </w:p>
        </w:tc>
        <w:tc>
          <w:tcPr>
            <w:tcW w:w="3768" w:type="dxa"/>
            <w:tcBorders>
              <w:top w:val="nil"/>
              <w:left w:val="nil"/>
              <w:bottom w:val="single" w:color="auto" w:sz="4" w:space="0"/>
              <w:right w:val="single" w:color="auto" w:sz="4" w:space="0"/>
            </w:tcBorders>
            <w:vAlign w:val="center"/>
          </w:tcPr>
          <w:p w14:paraId="686201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709" w:type="dxa"/>
            <w:tcBorders>
              <w:top w:val="nil"/>
              <w:left w:val="nil"/>
              <w:bottom w:val="single" w:color="auto" w:sz="4" w:space="0"/>
              <w:right w:val="single" w:color="auto" w:sz="4" w:space="0"/>
            </w:tcBorders>
            <w:vAlign w:val="center"/>
          </w:tcPr>
          <w:p w14:paraId="6D3C966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57B9B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A1FDDD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428390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06C2FF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95319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40B395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5A854DF9">
        <w:tblPrEx>
          <w:tblCellMar>
            <w:top w:w="0" w:type="dxa"/>
            <w:left w:w="108" w:type="dxa"/>
            <w:bottom w:w="0" w:type="dxa"/>
            <w:right w:w="108" w:type="dxa"/>
          </w:tblCellMar>
        </w:tblPrEx>
        <w:trPr>
          <w:gridAfter w:val="1"/>
          <w:wAfter w:w="343" w:type="dxa"/>
          <w:trHeight w:val="354" w:hRule="atLeast"/>
          <w:jc w:val="center"/>
        </w:trPr>
        <w:tc>
          <w:tcPr>
            <w:tcW w:w="624" w:type="dxa"/>
            <w:tcBorders>
              <w:top w:val="nil"/>
              <w:left w:val="single" w:color="auto" w:sz="4" w:space="0"/>
              <w:bottom w:val="single" w:color="auto" w:sz="4" w:space="0"/>
              <w:right w:val="single" w:color="auto" w:sz="4" w:space="0"/>
            </w:tcBorders>
            <w:vAlign w:val="center"/>
          </w:tcPr>
          <w:p w14:paraId="700F259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10E480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生长：植株生长基本符合物候状况，树体无倒伏情况。</w:t>
            </w:r>
          </w:p>
        </w:tc>
        <w:tc>
          <w:tcPr>
            <w:tcW w:w="709" w:type="dxa"/>
            <w:tcBorders>
              <w:top w:val="nil"/>
              <w:left w:val="nil"/>
              <w:bottom w:val="single" w:color="auto" w:sz="4" w:space="0"/>
              <w:right w:val="single" w:color="auto" w:sz="4" w:space="0"/>
            </w:tcBorders>
            <w:vAlign w:val="center"/>
          </w:tcPr>
          <w:p w14:paraId="274E5A6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70%</w:t>
            </w:r>
          </w:p>
        </w:tc>
        <w:tc>
          <w:tcPr>
            <w:tcW w:w="709" w:type="dxa"/>
            <w:tcBorders>
              <w:top w:val="nil"/>
              <w:left w:val="nil"/>
              <w:bottom w:val="single" w:color="auto" w:sz="4" w:space="0"/>
              <w:right w:val="single" w:color="auto" w:sz="4" w:space="0"/>
            </w:tcBorders>
            <w:vAlign w:val="center"/>
          </w:tcPr>
          <w:p w14:paraId="352AD03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438E0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2209B5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2FC14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9EBE0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5A2D36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79A62CD1">
        <w:tblPrEx>
          <w:tblCellMar>
            <w:top w:w="0" w:type="dxa"/>
            <w:left w:w="108" w:type="dxa"/>
            <w:bottom w:w="0" w:type="dxa"/>
            <w:right w:w="108" w:type="dxa"/>
          </w:tblCellMar>
        </w:tblPrEx>
        <w:trPr>
          <w:gridAfter w:val="1"/>
          <w:wAfter w:w="343" w:type="dxa"/>
          <w:trHeight w:val="404" w:hRule="atLeast"/>
          <w:jc w:val="center"/>
        </w:trPr>
        <w:tc>
          <w:tcPr>
            <w:tcW w:w="624" w:type="dxa"/>
            <w:tcBorders>
              <w:top w:val="nil"/>
              <w:left w:val="single" w:color="auto" w:sz="4" w:space="0"/>
              <w:bottom w:val="single" w:color="auto" w:sz="4" w:space="0"/>
              <w:right w:val="single" w:color="auto" w:sz="4" w:space="0"/>
            </w:tcBorders>
            <w:vAlign w:val="center"/>
          </w:tcPr>
          <w:p w14:paraId="5D193E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768" w:type="dxa"/>
            <w:tcBorders>
              <w:top w:val="nil"/>
              <w:left w:val="nil"/>
              <w:bottom w:val="single" w:color="auto" w:sz="4" w:space="0"/>
              <w:right w:val="single" w:color="auto" w:sz="4" w:space="0"/>
            </w:tcBorders>
            <w:vAlign w:val="center"/>
          </w:tcPr>
          <w:p w14:paraId="1B22720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修剪:树体维持一定形状。</w:t>
            </w:r>
          </w:p>
        </w:tc>
        <w:tc>
          <w:tcPr>
            <w:tcW w:w="709" w:type="dxa"/>
            <w:tcBorders>
              <w:top w:val="nil"/>
              <w:left w:val="nil"/>
              <w:bottom w:val="single" w:color="auto" w:sz="4" w:space="0"/>
              <w:right w:val="single" w:color="auto" w:sz="4" w:space="0"/>
            </w:tcBorders>
            <w:vAlign w:val="center"/>
          </w:tcPr>
          <w:p w14:paraId="71CE27C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09" w:type="dxa"/>
            <w:tcBorders>
              <w:top w:val="nil"/>
              <w:left w:val="nil"/>
              <w:bottom w:val="single" w:color="auto" w:sz="4" w:space="0"/>
              <w:right w:val="single" w:color="auto" w:sz="4" w:space="0"/>
            </w:tcBorders>
            <w:vAlign w:val="center"/>
          </w:tcPr>
          <w:p w14:paraId="22C5A8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C23AF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0914B8B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0A4C38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0BB3AD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6D722A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11756E69">
        <w:tblPrEx>
          <w:tblCellMar>
            <w:top w:w="0" w:type="dxa"/>
            <w:left w:w="108" w:type="dxa"/>
            <w:bottom w:w="0" w:type="dxa"/>
            <w:right w:w="108" w:type="dxa"/>
          </w:tblCellMar>
        </w:tblPrEx>
        <w:trPr>
          <w:gridAfter w:val="1"/>
          <w:wAfter w:w="343" w:type="dxa"/>
          <w:trHeight w:val="461" w:hRule="atLeast"/>
          <w:jc w:val="center"/>
        </w:trPr>
        <w:tc>
          <w:tcPr>
            <w:tcW w:w="624" w:type="dxa"/>
            <w:tcBorders>
              <w:top w:val="nil"/>
              <w:left w:val="single" w:color="auto" w:sz="4" w:space="0"/>
              <w:bottom w:val="single" w:color="auto" w:sz="4" w:space="0"/>
              <w:right w:val="single" w:color="auto" w:sz="4" w:space="0"/>
            </w:tcBorders>
            <w:vAlign w:val="center"/>
          </w:tcPr>
          <w:p w14:paraId="19D8913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3768" w:type="dxa"/>
            <w:tcBorders>
              <w:top w:val="nil"/>
              <w:left w:val="nil"/>
              <w:bottom w:val="single" w:color="auto" w:sz="4" w:space="0"/>
              <w:right w:val="single" w:color="auto" w:sz="4" w:space="0"/>
            </w:tcBorders>
            <w:vAlign w:val="center"/>
          </w:tcPr>
          <w:p w14:paraId="68F6A8B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片植灌木、草本地被、草坪</w:t>
            </w:r>
          </w:p>
        </w:tc>
        <w:tc>
          <w:tcPr>
            <w:tcW w:w="709" w:type="dxa"/>
            <w:tcBorders>
              <w:top w:val="nil"/>
              <w:left w:val="nil"/>
              <w:bottom w:val="single" w:color="auto" w:sz="4" w:space="0"/>
              <w:right w:val="single" w:color="auto" w:sz="4" w:space="0"/>
            </w:tcBorders>
            <w:vAlign w:val="center"/>
          </w:tcPr>
          <w:p w14:paraId="79945BB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8D89B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DBE85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26C844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9EEA1D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ACB7C8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23DEBA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291A0A5F">
        <w:tblPrEx>
          <w:tblCellMar>
            <w:top w:w="0" w:type="dxa"/>
            <w:left w:w="108" w:type="dxa"/>
            <w:bottom w:w="0" w:type="dxa"/>
            <w:right w:w="108" w:type="dxa"/>
          </w:tblCellMar>
        </w:tblPrEx>
        <w:trPr>
          <w:gridAfter w:val="1"/>
          <w:wAfter w:w="343" w:type="dxa"/>
          <w:trHeight w:val="538" w:hRule="atLeast"/>
          <w:jc w:val="center"/>
        </w:trPr>
        <w:tc>
          <w:tcPr>
            <w:tcW w:w="624" w:type="dxa"/>
            <w:tcBorders>
              <w:top w:val="nil"/>
              <w:left w:val="single" w:color="auto" w:sz="4" w:space="0"/>
              <w:bottom w:val="single" w:color="auto" w:sz="4" w:space="0"/>
              <w:right w:val="single" w:color="auto" w:sz="4" w:space="0"/>
            </w:tcBorders>
            <w:vAlign w:val="center"/>
          </w:tcPr>
          <w:p w14:paraId="0FC57C7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2C8C1DB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生长：植被基本正常，无大片缺株、枯黄、裸露、积水等现象。</w:t>
            </w:r>
          </w:p>
        </w:tc>
        <w:tc>
          <w:tcPr>
            <w:tcW w:w="709" w:type="dxa"/>
            <w:tcBorders>
              <w:top w:val="nil"/>
              <w:left w:val="nil"/>
              <w:bottom w:val="single" w:color="auto" w:sz="4" w:space="0"/>
              <w:right w:val="single" w:color="auto" w:sz="4" w:space="0"/>
            </w:tcBorders>
            <w:vAlign w:val="center"/>
          </w:tcPr>
          <w:p w14:paraId="204D857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09" w:type="dxa"/>
            <w:tcBorders>
              <w:top w:val="nil"/>
              <w:left w:val="nil"/>
              <w:bottom w:val="single" w:color="auto" w:sz="4" w:space="0"/>
              <w:right w:val="single" w:color="auto" w:sz="4" w:space="0"/>
            </w:tcBorders>
            <w:vAlign w:val="center"/>
          </w:tcPr>
          <w:p w14:paraId="797157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118211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1B0125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CCE87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D1DCD6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09D9F6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6ED2524D">
        <w:tblPrEx>
          <w:tblCellMar>
            <w:top w:w="0" w:type="dxa"/>
            <w:left w:w="108" w:type="dxa"/>
            <w:bottom w:w="0" w:type="dxa"/>
            <w:right w:w="108" w:type="dxa"/>
          </w:tblCellMar>
        </w:tblPrEx>
        <w:trPr>
          <w:gridAfter w:val="1"/>
          <w:wAfter w:w="343" w:type="dxa"/>
          <w:trHeight w:val="349" w:hRule="atLeast"/>
          <w:jc w:val="center"/>
        </w:trPr>
        <w:tc>
          <w:tcPr>
            <w:tcW w:w="624" w:type="dxa"/>
            <w:tcBorders>
              <w:top w:val="nil"/>
              <w:left w:val="single" w:color="auto" w:sz="4" w:space="0"/>
              <w:bottom w:val="single" w:color="auto" w:sz="4" w:space="0"/>
              <w:right w:val="single" w:color="auto" w:sz="4" w:space="0"/>
            </w:tcBorders>
            <w:vAlign w:val="center"/>
          </w:tcPr>
          <w:p w14:paraId="2AB62B5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3768" w:type="dxa"/>
            <w:tcBorders>
              <w:top w:val="nil"/>
              <w:left w:val="nil"/>
              <w:bottom w:val="single" w:color="auto" w:sz="4" w:space="0"/>
              <w:right w:val="single" w:color="auto" w:sz="4" w:space="0"/>
            </w:tcBorders>
            <w:vAlign w:val="center"/>
          </w:tcPr>
          <w:p w14:paraId="64F110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修剪：按要求维持一定形状。</w:t>
            </w:r>
          </w:p>
        </w:tc>
        <w:tc>
          <w:tcPr>
            <w:tcW w:w="709" w:type="dxa"/>
            <w:tcBorders>
              <w:top w:val="nil"/>
              <w:left w:val="nil"/>
              <w:bottom w:val="single" w:color="auto" w:sz="4" w:space="0"/>
              <w:right w:val="single" w:color="auto" w:sz="4" w:space="0"/>
            </w:tcBorders>
            <w:vAlign w:val="center"/>
          </w:tcPr>
          <w:p w14:paraId="499ED7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09" w:type="dxa"/>
            <w:tcBorders>
              <w:top w:val="nil"/>
              <w:left w:val="nil"/>
              <w:bottom w:val="single" w:color="auto" w:sz="4" w:space="0"/>
              <w:right w:val="single" w:color="auto" w:sz="4" w:space="0"/>
            </w:tcBorders>
            <w:vAlign w:val="center"/>
          </w:tcPr>
          <w:p w14:paraId="4DC2271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C67929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3E726D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B5F731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21AF66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3FDD25F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3F37227B">
        <w:tblPrEx>
          <w:tblCellMar>
            <w:top w:w="0" w:type="dxa"/>
            <w:left w:w="108" w:type="dxa"/>
            <w:bottom w:w="0" w:type="dxa"/>
            <w:right w:w="108" w:type="dxa"/>
          </w:tblCellMar>
        </w:tblPrEx>
        <w:trPr>
          <w:gridAfter w:val="1"/>
          <w:wAfter w:w="343" w:type="dxa"/>
          <w:trHeight w:val="409" w:hRule="atLeast"/>
          <w:jc w:val="center"/>
        </w:trPr>
        <w:tc>
          <w:tcPr>
            <w:tcW w:w="624" w:type="dxa"/>
            <w:tcBorders>
              <w:top w:val="nil"/>
              <w:left w:val="single" w:color="auto" w:sz="4" w:space="0"/>
              <w:bottom w:val="single" w:color="auto" w:sz="4" w:space="0"/>
              <w:right w:val="single" w:color="auto" w:sz="4" w:space="0"/>
            </w:tcBorders>
            <w:vAlign w:val="center"/>
          </w:tcPr>
          <w:p w14:paraId="7DEBEC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3768" w:type="dxa"/>
            <w:tcBorders>
              <w:top w:val="nil"/>
              <w:left w:val="nil"/>
              <w:bottom w:val="single" w:color="auto" w:sz="4" w:space="0"/>
              <w:right w:val="single" w:color="auto" w:sz="4" w:space="0"/>
            </w:tcBorders>
            <w:vAlign w:val="center"/>
          </w:tcPr>
          <w:p w14:paraId="0564DF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绿地卫生</w:t>
            </w:r>
          </w:p>
        </w:tc>
        <w:tc>
          <w:tcPr>
            <w:tcW w:w="709" w:type="dxa"/>
            <w:tcBorders>
              <w:top w:val="nil"/>
              <w:left w:val="nil"/>
              <w:bottom w:val="single" w:color="auto" w:sz="4" w:space="0"/>
              <w:right w:val="single" w:color="auto" w:sz="4" w:space="0"/>
            </w:tcBorders>
            <w:vAlign w:val="center"/>
          </w:tcPr>
          <w:p w14:paraId="04380D4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66980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93487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7F2C9B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2C631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8C26E0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4BED0C1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48559EBA">
        <w:tblPrEx>
          <w:tblCellMar>
            <w:top w:w="0" w:type="dxa"/>
            <w:left w:w="108" w:type="dxa"/>
            <w:bottom w:w="0" w:type="dxa"/>
            <w:right w:w="108" w:type="dxa"/>
          </w:tblCellMar>
        </w:tblPrEx>
        <w:trPr>
          <w:gridAfter w:val="1"/>
          <w:wAfter w:w="343" w:type="dxa"/>
          <w:trHeight w:val="415" w:hRule="atLeast"/>
          <w:jc w:val="center"/>
        </w:trPr>
        <w:tc>
          <w:tcPr>
            <w:tcW w:w="624" w:type="dxa"/>
            <w:tcBorders>
              <w:top w:val="nil"/>
              <w:left w:val="single" w:color="auto" w:sz="4" w:space="0"/>
              <w:bottom w:val="single" w:color="auto" w:sz="4" w:space="0"/>
              <w:right w:val="single" w:color="auto" w:sz="4" w:space="0"/>
            </w:tcBorders>
            <w:vAlign w:val="center"/>
          </w:tcPr>
          <w:p w14:paraId="0C80626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55F3E8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无明显垃圾、杂物堆积。</w:t>
            </w:r>
          </w:p>
        </w:tc>
        <w:tc>
          <w:tcPr>
            <w:tcW w:w="709" w:type="dxa"/>
            <w:tcBorders>
              <w:top w:val="nil"/>
              <w:left w:val="nil"/>
              <w:bottom w:val="single" w:color="auto" w:sz="4" w:space="0"/>
              <w:right w:val="single" w:color="auto" w:sz="4" w:space="0"/>
            </w:tcBorders>
            <w:vAlign w:val="center"/>
          </w:tcPr>
          <w:p w14:paraId="15B4D6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09" w:type="dxa"/>
            <w:tcBorders>
              <w:top w:val="nil"/>
              <w:left w:val="nil"/>
              <w:bottom w:val="single" w:color="auto" w:sz="4" w:space="0"/>
              <w:right w:val="single" w:color="auto" w:sz="4" w:space="0"/>
            </w:tcBorders>
            <w:vAlign w:val="center"/>
          </w:tcPr>
          <w:p w14:paraId="324D1F5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177A44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3D52DD0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CB0510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4FCFD4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7B1936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4DB44EC2">
        <w:tblPrEx>
          <w:tblCellMar>
            <w:top w:w="0" w:type="dxa"/>
            <w:left w:w="108" w:type="dxa"/>
            <w:bottom w:w="0" w:type="dxa"/>
            <w:right w:w="108" w:type="dxa"/>
          </w:tblCellMar>
        </w:tblPrEx>
        <w:trPr>
          <w:gridAfter w:val="1"/>
          <w:wAfter w:w="343" w:type="dxa"/>
          <w:trHeight w:val="421" w:hRule="atLeast"/>
          <w:jc w:val="center"/>
        </w:trPr>
        <w:tc>
          <w:tcPr>
            <w:tcW w:w="624" w:type="dxa"/>
            <w:tcBorders>
              <w:top w:val="nil"/>
              <w:left w:val="single" w:color="auto" w:sz="4" w:space="0"/>
              <w:bottom w:val="single" w:color="auto" w:sz="4" w:space="0"/>
              <w:right w:val="single" w:color="auto" w:sz="4" w:space="0"/>
            </w:tcBorders>
            <w:vAlign w:val="center"/>
          </w:tcPr>
          <w:p w14:paraId="3C0BD1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3768" w:type="dxa"/>
            <w:tcBorders>
              <w:top w:val="nil"/>
              <w:left w:val="nil"/>
              <w:bottom w:val="single" w:color="auto" w:sz="4" w:space="0"/>
              <w:right w:val="single" w:color="auto" w:sz="4" w:space="0"/>
            </w:tcBorders>
            <w:vAlign w:val="center"/>
          </w:tcPr>
          <w:p w14:paraId="52DB442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09" w:type="dxa"/>
            <w:tcBorders>
              <w:top w:val="nil"/>
              <w:left w:val="nil"/>
              <w:bottom w:val="single" w:color="auto" w:sz="4" w:space="0"/>
              <w:right w:val="single" w:color="auto" w:sz="4" w:space="0"/>
            </w:tcBorders>
            <w:vAlign w:val="center"/>
          </w:tcPr>
          <w:p w14:paraId="2E60772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bottom"/>
          </w:tcPr>
          <w:p w14:paraId="56790A9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bottom"/>
          </w:tcPr>
          <w:p w14:paraId="425BDF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13C55EF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04D2163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B227C8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4EE0B69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05A7E769">
        <w:tblPrEx>
          <w:tblCellMar>
            <w:top w:w="0" w:type="dxa"/>
            <w:left w:w="108" w:type="dxa"/>
            <w:bottom w:w="0" w:type="dxa"/>
            <w:right w:w="108" w:type="dxa"/>
          </w:tblCellMar>
        </w:tblPrEx>
        <w:trPr>
          <w:gridAfter w:val="1"/>
          <w:wAfter w:w="343" w:type="dxa"/>
          <w:trHeight w:val="381" w:hRule="atLeast"/>
          <w:jc w:val="center"/>
        </w:trPr>
        <w:tc>
          <w:tcPr>
            <w:tcW w:w="624" w:type="dxa"/>
            <w:tcBorders>
              <w:top w:val="nil"/>
              <w:left w:val="single" w:color="auto" w:sz="4" w:space="0"/>
              <w:bottom w:val="single" w:color="auto" w:sz="4" w:space="0"/>
              <w:right w:val="single" w:color="auto" w:sz="4" w:space="0"/>
            </w:tcBorders>
            <w:vAlign w:val="center"/>
          </w:tcPr>
          <w:p w14:paraId="68A9A71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tcPr>
          <w:p w14:paraId="6E4D274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无大面积病虫危害迹象。</w:t>
            </w:r>
          </w:p>
        </w:tc>
        <w:tc>
          <w:tcPr>
            <w:tcW w:w="709" w:type="dxa"/>
            <w:tcBorders>
              <w:top w:val="nil"/>
              <w:left w:val="nil"/>
              <w:bottom w:val="single" w:color="auto" w:sz="4" w:space="0"/>
              <w:right w:val="single" w:color="auto" w:sz="4" w:space="0"/>
            </w:tcBorders>
            <w:vAlign w:val="center"/>
          </w:tcPr>
          <w:p w14:paraId="5E4F8BD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09" w:type="dxa"/>
            <w:tcBorders>
              <w:top w:val="nil"/>
              <w:left w:val="nil"/>
              <w:bottom w:val="single" w:color="auto" w:sz="4" w:space="0"/>
              <w:right w:val="single" w:color="auto" w:sz="4" w:space="0"/>
            </w:tcBorders>
            <w:vAlign w:val="bottom"/>
          </w:tcPr>
          <w:p w14:paraId="19FCB5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4B73E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0047AB5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AF0C9F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A65B1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063AA20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168A1AA5">
        <w:tblPrEx>
          <w:tblCellMar>
            <w:top w:w="0" w:type="dxa"/>
            <w:left w:w="108" w:type="dxa"/>
            <w:bottom w:w="0" w:type="dxa"/>
            <w:right w:w="108" w:type="dxa"/>
          </w:tblCellMar>
        </w:tblPrEx>
        <w:trPr>
          <w:gridAfter w:val="1"/>
          <w:wAfter w:w="343" w:type="dxa"/>
          <w:trHeight w:val="485" w:hRule="atLeast"/>
          <w:jc w:val="center"/>
        </w:trPr>
        <w:tc>
          <w:tcPr>
            <w:tcW w:w="624" w:type="dxa"/>
            <w:tcBorders>
              <w:top w:val="nil"/>
              <w:left w:val="single" w:color="auto" w:sz="4" w:space="0"/>
              <w:bottom w:val="single" w:color="auto" w:sz="4" w:space="0"/>
              <w:right w:val="single" w:color="auto" w:sz="4" w:space="0"/>
            </w:tcBorders>
            <w:vAlign w:val="center"/>
          </w:tcPr>
          <w:p w14:paraId="512F16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3768" w:type="dxa"/>
            <w:tcBorders>
              <w:top w:val="nil"/>
              <w:left w:val="nil"/>
              <w:bottom w:val="single" w:color="auto" w:sz="4" w:space="0"/>
              <w:right w:val="single" w:color="auto" w:sz="4" w:space="0"/>
            </w:tcBorders>
            <w:vAlign w:val="center"/>
          </w:tcPr>
          <w:p w14:paraId="3A240879">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09" w:type="dxa"/>
            <w:tcBorders>
              <w:top w:val="nil"/>
              <w:left w:val="nil"/>
              <w:bottom w:val="single" w:color="auto" w:sz="4" w:space="0"/>
              <w:right w:val="single" w:color="auto" w:sz="4" w:space="0"/>
            </w:tcBorders>
            <w:vAlign w:val="center"/>
          </w:tcPr>
          <w:p w14:paraId="31855A6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bottom"/>
          </w:tcPr>
          <w:p w14:paraId="783304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2D8AE85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5651AF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45556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32D3DF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3F1085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11A65638">
        <w:tblPrEx>
          <w:tblCellMar>
            <w:top w:w="0" w:type="dxa"/>
            <w:left w:w="108" w:type="dxa"/>
            <w:bottom w:w="0" w:type="dxa"/>
            <w:right w:w="108" w:type="dxa"/>
          </w:tblCellMar>
        </w:tblPrEx>
        <w:trPr>
          <w:gridAfter w:val="1"/>
          <w:wAfter w:w="343" w:type="dxa"/>
          <w:trHeight w:val="446" w:hRule="atLeast"/>
          <w:jc w:val="center"/>
        </w:trPr>
        <w:tc>
          <w:tcPr>
            <w:tcW w:w="624" w:type="dxa"/>
            <w:tcBorders>
              <w:top w:val="nil"/>
              <w:left w:val="single" w:color="auto" w:sz="4" w:space="0"/>
              <w:bottom w:val="single" w:color="auto" w:sz="4" w:space="0"/>
              <w:right w:val="single" w:color="auto" w:sz="4" w:space="0"/>
            </w:tcBorders>
            <w:vAlign w:val="center"/>
          </w:tcPr>
          <w:p w14:paraId="1301912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3768" w:type="dxa"/>
            <w:tcBorders>
              <w:top w:val="nil"/>
              <w:left w:val="nil"/>
              <w:bottom w:val="single" w:color="auto" w:sz="4" w:space="0"/>
              <w:right w:val="single" w:color="auto" w:sz="4" w:space="0"/>
            </w:tcBorders>
            <w:vAlign w:val="center"/>
          </w:tcPr>
          <w:p w14:paraId="2AAF51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植物无大面积缺水、干枯现象。</w:t>
            </w:r>
          </w:p>
        </w:tc>
        <w:tc>
          <w:tcPr>
            <w:tcW w:w="709" w:type="dxa"/>
            <w:tcBorders>
              <w:top w:val="nil"/>
              <w:left w:val="nil"/>
              <w:bottom w:val="single" w:color="auto" w:sz="4" w:space="0"/>
              <w:right w:val="single" w:color="auto" w:sz="4" w:space="0"/>
            </w:tcBorders>
            <w:vAlign w:val="center"/>
          </w:tcPr>
          <w:p w14:paraId="7A51C2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09" w:type="dxa"/>
            <w:tcBorders>
              <w:top w:val="nil"/>
              <w:left w:val="nil"/>
              <w:bottom w:val="single" w:color="auto" w:sz="4" w:space="0"/>
              <w:right w:val="single" w:color="auto" w:sz="4" w:space="0"/>
            </w:tcBorders>
            <w:vAlign w:val="bottom"/>
          </w:tcPr>
          <w:p w14:paraId="0CD5357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4E93B8B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04371F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F634C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E0CF4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6EF9C1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6A951066">
        <w:tblPrEx>
          <w:tblCellMar>
            <w:top w:w="0" w:type="dxa"/>
            <w:left w:w="108" w:type="dxa"/>
            <w:bottom w:w="0" w:type="dxa"/>
            <w:right w:w="108" w:type="dxa"/>
          </w:tblCellMar>
        </w:tblPrEx>
        <w:trPr>
          <w:gridAfter w:val="1"/>
          <w:wAfter w:w="343" w:type="dxa"/>
          <w:trHeight w:val="552" w:hRule="atLeast"/>
          <w:jc w:val="center"/>
        </w:trPr>
        <w:tc>
          <w:tcPr>
            <w:tcW w:w="624" w:type="dxa"/>
            <w:tcBorders>
              <w:top w:val="nil"/>
              <w:left w:val="single" w:color="auto" w:sz="4" w:space="0"/>
              <w:bottom w:val="single" w:color="auto" w:sz="4" w:space="0"/>
              <w:right w:val="single" w:color="auto" w:sz="4" w:space="0"/>
            </w:tcBorders>
          </w:tcPr>
          <w:p w14:paraId="3566CF79">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768" w:type="dxa"/>
            <w:tcBorders>
              <w:top w:val="nil"/>
              <w:left w:val="nil"/>
              <w:bottom w:val="single" w:color="auto" w:sz="4" w:space="0"/>
              <w:right w:val="single" w:color="auto" w:sz="4" w:space="0"/>
            </w:tcBorders>
            <w:vAlign w:val="center"/>
          </w:tcPr>
          <w:p w14:paraId="18C5077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09" w:type="dxa"/>
            <w:tcBorders>
              <w:top w:val="nil"/>
              <w:left w:val="nil"/>
              <w:bottom w:val="single" w:color="auto" w:sz="4" w:space="0"/>
              <w:right w:val="single" w:color="auto" w:sz="4" w:space="0"/>
            </w:tcBorders>
            <w:vAlign w:val="bottom"/>
          </w:tcPr>
          <w:p w14:paraId="12BC08A8">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bottom"/>
          </w:tcPr>
          <w:p w14:paraId="16276E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51BB682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8" w:type="dxa"/>
            <w:tcBorders>
              <w:top w:val="nil"/>
              <w:left w:val="nil"/>
              <w:bottom w:val="single" w:color="auto" w:sz="4" w:space="0"/>
              <w:right w:val="single" w:color="auto" w:sz="4" w:space="0"/>
            </w:tcBorders>
            <w:vAlign w:val="center"/>
          </w:tcPr>
          <w:p w14:paraId="49A15C6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7BF0EE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09" w:type="dxa"/>
            <w:tcBorders>
              <w:top w:val="nil"/>
              <w:left w:val="nil"/>
              <w:bottom w:val="single" w:color="auto" w:sz="4" w:space="0"/>
              <w:right w:val="single" w:color="auto" w:sz="4" w:space="0"/>
            </w:tcBorders>
            <w:vAlign w:val="center"/>
          </w:tcPr>
          <w:p w14:paraId="6AD165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5" w:type="dxa"/>
            <w:gridSpan w:val="2"/>
            <w:tcBorders>
              <w:top w:val="nil"/>
              <w:left w:val="nil"/>
              <w:bottom w:val="single" w:color="auto" w:sz="4" w:space="0"/>
              <w:right w:val="single" w:color="auto" w:sz="4" w:space="0"/>
            </w:tcBorders>
          </w:tcPr>
          <w:p w14:paraId="799278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bl>
    <w:p w14:paraId="1388724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02F82E7">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68A8FEAC">
      <w:pPr>
        <w:keepNext w:val="0"/>
        <w:keepLines w:val="0"/>
        <w:pageBreakBefore w:val="0"/>
        <w:kinsoku/>
        <w:overflowPunct/>
        <w:topLinePunct w:val="0"/>
        <w:bidi w:val="0"/>
        <w:snapToGrid/>
        <w:spacing w:line="360" w:lineRule="auto"/>
        <w:jc w:val="left"/>
        <w:outlineLvl w:val="9"/>
        <w:rPr>
          <w:rFonts w:hint="eastAsia" w:ascii="宋体" w:hAnsi="宋体" w:eastAsia="宋体" w:cs="宋体"/>
          <w:bCs/>
          <w:color w:val="auto"/>
          <w:sz w:val="24"/>
          <w:szCs w:val="24"/>
          <w:highlight w:val="none"/>
        </w:rPr>
      </w:pPr>
    </w:p>
    <w:p w14:paraId="632A5A90">
      <w:pPr>
        <w:keepNext w:val="0"/>
        <w:keepLines w:val="0"/>
        <w:pageBreakBefore w:val="0"/>
        <w:kinsoku/>
        <w:overflowPunct/>
        <w:topLinePunct w:val="0"/>
        <w:bidi w:val="0"/>
        <w:snapToGrid/>
        <w:spacing w:line="360" w:lineRule="auto"/>
        <w:jc w:val="left"/>
        <w:outlineLvl w:val="9"/>
        <w:rPr>
          <w:rFonts w:ascii="宋体" w:hAnsi="宋体" w:cs="宋体"/>
          <w:bCs/>
          <w:color w:val="auto"/>
          <w:szCs w:val="21"/>
          <w:highlight w:val="none"/>
        </w:rPr>
      </w:pPr>
    </w:p>
    <w:p w14:paraId="2B3D8EDD">
      <w:pPr>
        <w:keepNext w:val="0"/>
        <w:keepLines w:val="0"/>
        <w:pageBreakBefore w:val="0"/>
        <w:kinsoku/>
        <w:overflowPunct/>
        <w:topLinePunct w:val="0"/>
        <w:bidi w:val="0"/>
        <w:snapToGrid/>
        <w:spacing w:line="360" w:lineRule="auto"/>
        <w:jc w:val="left"/>
        <w:outlineLvl w:val="9"/>
        <w:rPr>
          <w:rFonts w:ascii="宋体" w:hAnsi="宋体" w:cs="宋体"/>
          <w:bCs/>
          <w:color w:val="auto"/>
          <w:szCs w:val="21"/>
          <w:highlight w:val="none"/>
        </w:rPr>
      </w:pPr>
    </w:p>
    <w:p w14:paraId="12F6BC54">
      <w:pPr>
        <w:keepNext w:val="0"/>
        <w:keepLines w:val="0"/>
        <w:pageBreakBefore w:val="0"/>
        <w:kinsoku/>
        <w:overflowPunct/>
        <w:topLinePunct w:val="0"/>
        <w:bidi w:val="0"/>
        <w:snapToGrid/>
        <w:spacing w:line="360" w:lineRule="auto"/>
        <w:jc w:val="left"/>
        <w:outlineLvl w:val="9"/>
        <w:rPr>
          <w:rFonts w:ascii="宋体" w:hAnsi="宋体" w:cs="宋体"/>
          <w:b/>
          <w:color w:val="auto"/>
          <w:sz w:val="32"/>
          <w:szCs w:val="32"/>
          <w:highlight w:val="none"/>
        </w:rPr>
      </w:pPr>
      <w:r>
        <w:rPr>
          <w:rFonts w:hint="eastAsia" w:ascii="宋体" w:hAnsi="宋体" w:cs="宋体"/>
          <w:bCs/>
          <w:color w:val="auto"/>
          <w:szCs w:val="21"/>
          <w:highlight w:val="none"/>
        </w:rPr>
        <w:br w:type="page"/>
      </w:r>
      <w:r>
        <w:rPr>
          <w:rFonts w:hint="eastAsia" w:ascii="宋体" w:hAnsi="宋体" w:cs="宋体"/>
          <w:b/>
          <w:color w:val="auto"/>
          <w:sz w:val="32"/>
          <w:szCs w:val="32"/>
          <w:highlight w:val="none"/>
        </w:rPr>
        <w:t>二、各养护级别行道树绿带、分车带养护效果评分表</w:t>
      </w:r>
    </w:p>
    <w:p w14:paraId="4F6C599E">
      <w:pPr>
        <w:keepNext w:val="0"/>
        <w:keepLines w:val="0"/>
        <w:pageBreakBefore w:val="0"/>
        <w:kinsoku/>
        <w:overflowPunct/>
        <w:topLinePunct w:val="0"/>
        <w:bidi w:val="0"/>
        <w:snapToGrid/>
        <w:spacing w:line="360" w:lineRule="auto"/>
        <w:outlineLvl w:val="9"/>
        <w:rPr>
          <w:rFonts w:ascii="宋体" w:hAnsi="宋体" w:cs="宋体"/>
          <w:color w:val="auto"/>
          <w:sz w:val="24"/>
          <w:highlight w:val="none"/>
        </w:rPr>
      </w:pPr>
    </w:p>
    <w:tbl>
      <w:tblPr>
        <w:tblStyle w:val="20"/>
        <w:tblW w:w="9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278"/>
        <w:gridCol w:w="919"/>
        <w:gridCol w:w="563"/>
        <w:gridCol w:w="563"/>
        <w:gridCol w:w="563"/>
        <w:gridCol w:w="542"/>
        <w:gridCol w:w="543"/>
        <w:gridCol w:w="431"/>
      </w:tblGrid>
      <w:tr w14:paraId="5213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837" w:type="dxa"/>
            <w:gridSpan w:val="9"/>
            <w:tcBorders>
              <w:top w:val="nil"/>
              <w:left w:val="nil"/>
              <w:bottom w:val="single" w:color="auto" w:sz="4" w:space="0"/>
              <w:right w:val="nil"/>
            </w:tcBorders>
            <w:vAlign w:val="center"/>
          </w:tcPr>
          <w:p w14:paraId="632F48C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1．一级行道树绿带、分车带养护效果评分表</w:t>
            </w:r>
          </w:p>
          <w:p w14:paraId="187867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p>
          <w:p w14:paraId="523DD3A9">
            <w:pPr>
              <w:keepNext w:val="0"/>
              <w:keepLines w:val="0"/>
              <w:pageBreakBefore w:val="0"/>
              <w:widowControl/>
              <w:kinsoku/>
              <w:overflowPunct/>
              <w:topLinePunct w:val="0"/>
              <w:bidi w:val="0"/>
              <w:snapToGrid/>
              <w:spacing w:line="360" w:lineRule="auto"/>
              <w:ind w:firstLine="360" w:firstLineChars="15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2E42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61C5306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278" w:type="dxa"/>
            <w:tcBorders>
              <w:top w:val="single" w:color="auto" w:sz="4" w:space="0"/>
              <w:left w:val="single" w:color="auto" w:sz="4" w:space="0"/>
              <w:bottom w:val="single" w:color="auto" w:sz="4" w:space="0"/>
              <w:right w:val="single" w:color="auto" w:sz="4" w:space="0"/>
            </w:tcBorders>
            <w:vAlign w:val="center"/>
          </w:tcPr>
          <w:p w14:paraId="4654BC3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919" w:type="dxa"/>
            <w:tcBorders>
              <w:top w:val="single" w:color="auto" w:sz="4" w:space="0"/>
              <w:left w:val="single" w:color="auto" w:sz="4" w:space="0"/>
              <w:bottom w:val="single" w:color="auto" w:sz="4" w:space="0"/>
              <w:right w:val="single" w:color="auto" w:sz="4" w:space="0"/>
            </w:tcBorders>
            <w:vAlign w:val="center"/>
          </w:tcPr>
          <w:p w14:paraId="5435101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563" w:type="dxa"/>
            <w:tcBorders>
              <w:top w:val="single" w:color="auto" w:sz="4" w:space="0"/>
              <w:left w:val="single" w:color="auto" w:sz="4" w:space="0"/>
              <w:bottom w:val="single" w:color="auto" w:sz="4" w:space="0"/>
              <w:right w:val="single" w:color="auto" w:sz="4" w:space="0"/>
            </w:tcBorders>
            <w:vAlign w:val="center"/>
          </w:tcPr>
          <w:p w14:paraId="70AAA5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211" w:type="dxa"/>
            <w:gridSpan w:val="4"/>
            <w:tcBorders>
              <w:top w:val="single" w:color="auto" w:sz="4" w:space="0"/>
              <w:left w:val="single" w:color="auto" w:sz="4" w:space="0"/>
              <w:bottom w:val="single" w:color="auto" w:sz="4" w:space="0"/>
              <w:right w:val="single" w:color="auto" w:sz="4" w:space="0"/>
            </w:tcBorders>
            <w:vAlign w:val="center"/>
          </w:tcPr>
          <w:p w14:paraId="5C9A28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53BC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4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639A42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5278" w:type="dxa"/>
            <w:tcBorders>
              <w:top w:val="single" w:color="auto" w:sz="4" w:space="0"/>
              <w:left w:val="single" w:color="auto" w:sz="4" w:space="0"/>
              <w:bottom w:val="single" w:color="auto" w:sz="4" w:space="0"/>
              <w:right w:val="single" w:color="auto" w:sz="4" w:space="0"/>
            </w:tcBorders>
            <w:vAlign w:val="center"/>
          </w:tcPr>
          <w:p w14:paraId="5FFC95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919" w:type="dxa"/>
            <w:tcBorders>
              <w:top w:val="single" w:color="auto" w:sz="4" w:space="0"/>
              <w:left w:val="single" w:color="auto" w:sz="4" w:space="0"/>
              <w:bottom w:val="single" w:color="auto" w:sz="4" w:space="0"/>
              <w:right w:val="single" w:color="auto" w:sz="4" w:space="0"/>
            </w:tcBorders>
            <w:vAlign w:val="center"/>
          </w:tcPr>
          <w:p w14:paraId="4A35AE5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744CFB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B8FB8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1669AE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70996F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630CC8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ECB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4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4A926D3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278" w:type="dxa"/>
            <w:tcBorders>
              <w:top w:val="single" w:color="auto" w:sz="4" w:space="0"/>
              <w:left w:val="single" w:color="auto" w:sz="4" w:space="0"/>
              <w:bottom w:val="single" w:color="auto" w:sz="4" w:space="0"/>
              <w:right w:val="single" w:color="auto" w:sz="4" w:space="0"/>
            </w:tcBorders>
            <w:vAlign w:val="center"/>
          </w:tcPr>
          <w:p w14:paraId="03B206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植物养护合理，生长茂盛，整体景观效果优良，植物干净无明显积尘。</w:t>
            </w:r>
          </w:p>
        </w:tc>
        <w:tc>
          <w:tcPr>
            <w:tcW w:w="919" w:type="dxa"/>
            <w:tcBorders>
              <w:top w:val="single" w:color="auto" w:sz="4" w:space="0"/>
              <w:left w:val="single" w:color="auto" w:sz="4" w:space="0"/>
              <w:bottom w:val="single" w:color="auto" w:sz="4" w:space="0"/>
              <w:right w:val="single" w:color="auto" w:sz="4" w:space="0"/>
            </w:tcBorders>
            <w:vAlign w:val="center"/>
          </w:tcPr>
          <w:p w14:paraId="24EEFC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563" w:type="dxa"/>
            <w:tcBorders>
              <w:top w:val="single" w:color="auto" w:sz="4" w:space="0"/>
              <w:left w:val="single" w:color="auto" w:sz="4" w:space="0"/>
              <w:bottom w:val="single" w:color="auto" w:sz="4" w:space="0"/>
              <w:right w:val="single" w:color="auto" w:sz="4" w:space="0"/>
            </w:tcBorders>
            <w:vAlign w:val="center"/>
          </w:tcPr>
          <w:p w14:paraId="2339EE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A48F42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A3BFF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6A44535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7A91A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8D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5719712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5278" w:type="dxa"/>
            <w:tcBorders>
              <w:top w:val="single" w:color="auto" w:sz="4" w:space="0"/>
              <w:left w:val="single" w:color="auto" w:sz="4" w:space="0"/>
              <w:bottom w:val="single" w:color="auto" w:sz="4" w:space="0"/>
              <w:right w:val="single" w:color="auto" w:sz="4" w:space="0"/>
            </w:tcBorders>
            <w:vAlign w:val="center"/>
          </w:tcPr>
          <w:p w14:paraId="7B054F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919" w:type="dxa"/>
            <w:tcBorders>
              <w:top w:val="single" w:color="auto" w:sz="4" w:space="0"/>
              <w:left w:val="single" w:color="auto" w:sz="4" w:space="0"/>
              <w:bottom w:val="single" w:color="auto" w:sz="4" w:space="0"/>
              <w:right w:val="single" w:color="auto" w:sz="4" w:space="0"/>
            </w:tcBorders>
            <w:vAlign w:val="center"/>
          </w:tcPr>
          <w:p w14:paraId="04A779E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7EDED8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C1463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49055E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75CC910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01B5EB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FE4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7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53F324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2BDD54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生长：植株生长良好、茂盛，枝叶色泽正常。树体丰满匀称，分枝合理，正直不偏斜。乔木主干歪斜的树及危树应立支撑保护.</w:t>
            </w:r>
          </w:p>
        </w:tc>
        <w:tc>
          <w:tcPr>
            <w:tcW w:w="919" w:type="dxa"/>
            <w:tcBorders>
              <w:top w:val="single" w:color="auto" w:sz="4" w:space="0"/>
              <w:left w:val="single" w:color="auto" w:sz="4" w:space="0"/>
              <w:bottom w:val="single" w:color="auto" w:sz="4" w:space="0"/>
              <w:right w:val="single" w:color="auto" w:sz="4" w:space="0"/>
            </w:tcBorders>
            <w:vAlign w:val="center"/>
          </w:tcPr>
          <w:p w14:paraId="71D3A3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563" w:type="dxa"/>
            <w:tcBorders>
              <w:top w:val="single" w:color="auto" w:sz="4" w:space="0"/>
              <w:left w:val="single" w:color="auto" w:sz="4" w:space="0"/>
              <w:bottom w:val="single" w:color="auto" w:sz="4" w:space="0"/>
              <w:right w:val="single" w:color="auto" w:sz="4" w:space="0"/>
            </w:tcBorders>
            <w:vAlign w:val="bottom"/>
          </w:tcPr>
          <w:p w14:paraId="5BF0CA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2B20B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7D481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74886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7E4100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0B6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108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4A9DEF6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504DCDD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树木修剪合理,维持树种特征，骨架均匀；无明显的萌蘗枝、交叉枝、低垂枝、伤残枝、过密枝等。剪口平整,无损皮现象,枝干无明显伤残现象。第一排行道树冠底高基本一致，高度以不影响行人及车辆行驶为宜。与供电线路、交通指示灯，交通指示牌等保持合理距离。</w:t>
            </w:r>
          </w:p>
        </w:tc>
        <w:tc>
          <w:tcPr>
            <w:tcW w:w="919" w:type="dxa"/>
            <w:tcBorders>
              <w:top w:val="single" w:color="auto" w:sz="4" w:space="0"/>
              <w:left w:val="single" w:color="auto" w:sz="4" w:space="0"/>
              <w:bottom w:val="single" w:color="auto" w:sz="4" w:space="0"/>
              <w:right w:val="single" w:color="auto" w:sz="4" w:space="0"/>
            </w:tcBorders>
            <w:vAlign w:val="center"/>
          </w:tcPr>
          <w:p w14:paraId="3ADC252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563" w:type="dxa"/>
            <w:tcBorders>
              <w:top w:val="single" w:color="auto" w:sz="4" w:space="0"/>
              <w:left w:val="single" w:color="auto" w:sz="4" w:space="0"/>
              <w:bottom w:val="single" w:color="auto" w:sz="4" w:space="0"/>
              <w:right w:val="single" w:color="auto" w:sz="4" w:space="0"/>
            </w:tcBorders>
            <w:vAlign w:val="bottom"/>
          </w:tcPr>
          <w:p w14:paraId="40DB0B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3C4554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C3E01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3986B6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1971B3F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4BC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78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0CD252F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278" w:type="dxa"/>
            <w:tcBorders>
              <w:top w:val="single" w:color="auto" w:sz="4" w:space="0"/>
              <w:left w:val="single" w:color="auto" w:sz="4" w:space="0"/>
              <w:bottom w:val="single" w:color="auto" w:sz="4" w:space="0"/>
              <w:right w:val="single" w:color="auto" w:sz="4" w:space="0"/>
            </w:tcBorders>
            <w:vAlign w:val="center"/>
          </w:tcPr>
          <w:p w14:paraId="3A8779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钉挂物、干枯枝等：树木无明显干枯枝及枯黄枝叶，无钉挂物、铁丝等缠绕物。无死株及死树桩头。</w:t>
            </w:r>
          </w:p>
        </w:tc>
        <w:tc>
          <w:tcPr>
            <w:tcW w:w="919" w:type="dxa"/>
            <w:tcBorders>
              <w:top w:val="single" w:color="auto" w:sz="4" w:space="0"/>
              <w:left w:val="single" w:color="auto" w:sz="4" w:space="0"/>
              <w:bottom w:val="single" w:color="auto" w:sz="4" w:space="0"/>
              <w:right w:val="single" w:color="auto" w:sz="4" w:space="0"/>
            </w:tcBorders>
            <w:vAlign w:val="center"/>
          </w:tcPr>
          <w:p w14:paraId="1733E96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563" w:type="dxa"/>
            <w:tcBorders>
              <w:top w:val="single" w:color="auto" w:sz="4" w:space="0"/>
              <w:left w:val="single" w:color="auto" w:sz="4" w:space="0"/>
              <w:bottom w:val="single" w:color="auto" w:sz="4" w:space="0"/>
              <w:right w:val="single" w:color="auto" w:sz="4" w:space="0"/>
            </w:tcBorders>
            <w:vAlign w:val="bottom"/>
          </w:tcPr>
          <w:p w14:paraId="3E534D1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46966B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0C8DC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A8C76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717363D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504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031BBEF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5278" w:type="dxa"/>
            <w:tcBorders>
              <w:top w:val="single" w:color="auto" w:sz="4" w:space="0"/>
              <w:left w:val="single" w:color="auto" w:sz="4" w:space="0"/>
              <w:bottom w:val="single" w:color="auto" w:sz="4" w:space="0"/>
              <w:right w:val="single" w:color="auto" w:sz="4" w:space="0"/>
            </w:tcBorders>
            <w:vAlign w:val="center"/>
          </w:tcPr>
          <w:p w14:paraId="43548B3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919" w:type="dxa"/>
            <w:tcBorders>
              <w:top w:val="single" w:color="auto" w:sz="4" w:space="0"/>
              <w:left w:val="single" w:color="auto" w:sz="4" w:space="0"/>
              <w:bottom w:val="single" w:color="auto" w:sz="4" w:space="0"/>
              <w:right w:val="single" w:color="auto" w:sz="4" w:space="0"/>
            </w:tcBorders>
            <w:vAlign w:val="center"/>
          </w:tcPr>
          <w:p w14:paraId="1D9FDA6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7F0390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A34954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F4D58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4C760E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B74EB5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DF9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5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C19841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5FDFD0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生长：生长良好，符合物候状况，枝粗叶壮，树体正直不偏斜。叶色、叶形、大小正常，观花植物适时开花。</w:t>
            </w:r>
          </w:p>
        </w:tc>
        <w:tc>
          <w:tcPr>
            <w:tcW w:w="919" w:type="dxa"/>
            <w:tcBorders>
              <w:top w:val="single" w:color="auto" w:sz="4" w:space="0"/>
              <w:left w:val="single" w:color="auto" w:sz="4" w:space="0"/>
              <w:bottom w:val="single" w:color="auto" w:sz="4" w:space="0"/>
              <w:right w:val="single" w:color="auto" w:sz="4" w:space="0"/>
            </w:tcBorders>
            <w:vAlign w:val="center"/>
          </w:tcPr>
          <w:p w14:paraId="75B108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563" w:type="dxa"/>
            <w:tcBorders>
              <w:top w:val="single" w:color="auto" w:sz="4" w:space="0"/>
              <w:left w:val="single" w:color="auto" w:sz="4" w:space="0"/>
              <w:bottom w:val="single" w:color="auto" w:sz="4" w:space="0"/>
              <w:right w:val="single" w:color="auto" w:sz="4" w:space="0"/>
            </w:tcBorders>
            <w:vAlign w:val="bottom"/>
          </w:tcPr>
          <w:p w14:paraId="73C8705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447354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FE432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081CA1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35F098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BFC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8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6158D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0A5BB2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灌木修剪：树形整齐美观，按要求维持形状。严格按照规范要求进行修剪。</w:t>
            </w:r>
          </w:p>
        </w:tc>
        <w:tc>
          <w:tcPr>
            <w:tcW w:w="919" w:type="dxa"/>
            <w:tcBorders>
              <w:top w:val="single" w:color="auto" w:sz="4" w:space="0"/>
              <w:left w:val="single" w:color="auto" w:sz="4" w:space="0"/>
              <w:bottom w:val="single" w:color="auto" w:sz="4" w:space="0"/>
              <w:right w:val="single" w:color="auto" w:sz="4" w:space="0"/>
            </w:tcBorders>
            <w:vAlign w:val="center"/>
          </w:tcPr>
          <w:p w14:paraId="1D2386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563" w:type="dxa"/>
            <w:tcBorders>
              <w:top w:val="single" w:color="auto" w:sz="4" w:space="0"/>
              <w:left w:val="single" w:color="auto" w:sz="4" w:space="0"/>
              <w:bottom w:val="single" w:color="auto" w:sz="4" w:space="0"/>
              <w:right w:val="single" w:color="auto" w:sz="4" w:space="0"/>
            </w:tcBorders>
            <w:vAlign w:val="bottom"/>
          </w:tcPr>
          <w:p w14:paraId="1D23474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6FA221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12ABA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5A50BE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873C62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017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23E8D6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278" w:type="dxa"/>
            <w:tcBorders>
              <w:top w:val="single" w:color="auto" w:sz="4" w:space="0"/>
              <w:left w:val="single" w:color="auto" w:sz="4" w:space="0"/>
              <w:bottom w:val="single" w:color="auto" w:sz="4" w:space="0"/>
              <w:right w:val="single" w:color="auto" w:sz="4" w:space="0"/>
            </w:tcBorders>
            <w:vAlign w:val="center"/>
          </w:tcPr>
          <w:p w14:paraId="4B5165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干枯枝、杂物：无死株桩头。树体无明显干枯枝，缠绕物。</w:t>
            </w:r>
          </w:p>
        </w:tc>
        <w:tc>
          <w:tcPr>
            <w:tcW w:w="919" w:type="dxa"/>
            <w:tcBorders>
              <w:top w:val="single" w:color="auto" w:sz="4" w:space="0"/>
              <w:left w:val="single" w:color="auto" w:sz="4" w:space="0"/>
              <w:bottom w:val="single" w:color="auto" w:sz="4" w:space="0"/>
              <w:right w:val="single" w:color="auto" w:sz="4" w:space="0"/>
            </w:tcBorders>
            <w:vAlign w:val="center"/>
          </w:tcPr>
          <w:p w14:paraId="016FB92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563" w:type="dxa"/>
            <w:tcBorders>
              <w:top w:val="single" w:color="auto" w:sz="4" w:space="0"/>
              <w:left w:val="single" w:color="auto" w:sz="4" w:space="0"/>
              <w:bottom w:val="single" w:color="auto" w:sz="4" w:space="0"/>
              <w:right w:val="single" w:color="auto" w:sz="4" w:space="0"/>
            </w:tcBorders>
            <w:vAlign w:val="bottom"/>
          </w:tcPr>
          <w:p w14:paraId="2CB56F1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F4041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236ED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39DCBF0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7A80A54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ED5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4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67D5D81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5278" w:type="dxa"/>
            <w:tcBorders>
              <w:top w:val="single" w:color="auto" w:sz="4" w:space="0"/>
              <w:left w:val="single" w:color="auto" w:sz="4" w:space="0"/>
              <w:bottom w:val="single" w:color="auto" w:sz="4" w:space="0"/>
              <w:right w:val="single" w:color="auto" w:sz="4" w:space="0"/>
            </w:tcBorders>
            <w:vAlign w:val="center"/>
          </w:tcPr>
          <w:p w14:paraId="3699B2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片植灌木、草本地被</w:t>
            </w:r>
          </w:p>
        </w:tc>
        <w:tc>
          <w:tcPr>
            <w:tcW w:w="919" w:type="dxa"/>
            <w:tcBorders>
              <w:top w:val="single" w:color="auto" w:sz="4" w:space="0"/>
              <w:left w:val="single" w:color="auto" w:sz="4" w:space="0"/>
              <w:bottom w:val="single" w:color="auto" w:sz="4" w:space="0"/>
              <w:right w:val="single" w:color="auto" w:sz="4" w:space="0"/>
            </w:tcBorders>
            <w:vAlign w:val="center"/>
          </w:tcPr>
          <w:p w14:paraId="035FC8D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186850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E2CEC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370953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6C6400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7CEBB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83A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73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4E72C0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1B24A4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生长及外观：生长良好，枝繁叶茂，色泽正常，抽枝发叶符合物候。色块丰满无缺，能按要求及时进行修剪。无干枯枝、黄叶、伤残枝及杂草。</w:t>
            </w:r>
          </w:p>
        </w:tc>
        <w:tc>
          <w:tcPr>
            <w:tcW w:w="919" w:type="dxa"/>
            <w:tcBorders>
              <w:top w:val="single" w:color="auto" w:sz="4" w:space="0"/>
              <w:left w:val="single" w:color="auto" w:sz="4" w:space="0"/>
              <w:bottom w:val="single" w:color="auto" w:sz="4" w:space="0"/>
              <w:right w:val="single" w:color="auto" w:sz="4" w:space="0"/>
            </w:tcBorders>
            <w:vAlign w:val="center"/>
          </w:tcPr>
          <w:p w14:paraId="2E182FF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563" w:type="dxa"/>
            <w:tcBorders>
              <w:top w:val="single" w:color="auto" w:sz="4" w:space="0"/>
              <w:left w:val="single" w:color="auto" w:sz="4" w:space="0"/>
              <w:bottom w:val="single" w:color="auto" w:sz="4" w:space="0"/>
              <w:right w:val="single" w:color="auto" w:sz="4" w:space="0"/>
            </w:tcBorders>
            <w:vAlign w:val="bottom"/>
          </w:tcPr>
          <w:p w14:paraId="499758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9F981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876170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0A230F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314EDE7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0E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3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D774F3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3A5649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松土、勾边：土壤疏松通透、湿润，无积水;勾边顺滑整齐、规范.</w:t>
            </w:r>
          </w:p>
        </w:tc>
        <w:tc>
          <w:tcPr>
            <w:tcW w:w="919" w:type="dxa"/>
            <w:tcBorders>
              <w:top w:val="single" w:color="auto" w:sz="4" w:space="0"/>
              <w:left w:val="single" w:color="auto" w:sz="4" w:space="0"/>
              <w:bottom w:val="single" w:color="auto" w:sz="4" w:space="0"/>
              <w:right w:val="single" w:color="auto" w:sz="4" w:space="0"/>
            </w:tcBorders>
            <w:vAlign w:val="center"/>
          </w:tcPr>
          <w:p w14:paraId="5D9EE0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563" w:type="dxa"/>
            <w:tcBorders>
              <w:top w:val="single" w:color="auto" w:sz="4" w:space="0"/>
              <w:left w:val="single" w:color="auto" w:sz="4" w:space="0"/>
              <w:bottom w:val="single" w:color="auto" w:sz="4" w:space="0"/>
              <w:right w:val="single" w:color="auto" w:sz="4" w:space="0"/>
            </w:tcBorders>
            <w:vAlign w:val="bottom"/>
          </w:tcPr>
          <w:p w14:paraId="66517C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73B5A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C643A2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2CEDC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3253FB8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2E5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4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5F00B20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5278" w:type="dxa"/>
            <w:tcBorders>
              <w:top w:val="single" w:color="auto" w:sz="4" w:space="0"/>
              <w:left w:val="single" w:color="auto" w:sz="4" w:space="0"/>
              <w:bottom w:val="single" w:color="auto" w:sz="4" w:space="0"/>
              <w:right w:val="single" w:color="auto" w:sz="4" w:space="0"/>
            </w:tcBorders>
            <w:vAlign w:val="center"/>
          </w:tcPr>
          <w:p w14:paraId="7BA493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919" w:type="dxa"/>
            <w:tcBorders>
              <w:top w:val="single" w:color="auto" w:sz="4" w:space="0"/>
              <w:left w:val="single" w:color="auto" w:sz="4" w:space="0"/>
              <w:bottom w:val="single" w:color="auto" w:sz="4" w:space="0"/>
              <w:right w:val="single" w:color="auto" w:sz="4" w:space="0"/>
            </w:tcBorders>
            <w:vAlign w:val="center"/>
          </w:tcPr>
          <w:p w14:paraId="691F06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4D88461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A241A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24910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7EE608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C85767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49B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5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6E545DE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278" w:type="dxa"/>
            <w:tcBorders>
              <w:top w:val="single" w:color="auto" w:sz="4" w:space="0"/>
              <w:left w:val="single" w:color="auto" w:sz="4" w:space="0"/>
              <w:bottom w:val="single" w:color="auto" w:sz="4" w:space="0"/>
              <w:right w:val="single" w:color="auto" w:sz="4" w:space="0"/>
            </w:tcBorders>
            <w:vAlign w:val="center"/>
          </w:tcPr>
          <w:p w14:paraId="48C530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大小适合，边线清晰，土面高度适当，培土规范。树盘干净整洁，无杂草及积水。土壤疏松、通透湿润。</w:t>
            </w:r>
          </w:p>
        </w:tc>
        <w:tc>
          <w:tcPr>
            <w:tcW w:w="919" w:type="dxa"/>
            <w:tcBorders>
              <w:top w:val="single" w:color="auto" w:sz="4" w:space="0"/>
              <w:left w:val="single" w:color="auto" w:sz="4" w:space="0"/>
              <w:bottom w:val="single" w:color="auto" w:sz="4" w:space="0"/>
              <w:right w:val="single" w:color="auto" w:sz="4" w:space="0"/>
            </w:tcBorders>
            <w:vAlign w:val="center"/>
          </w:tcPr>
          <w:p w14:paraId="701F96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563" w:type="dxa"/>
            <w:tcBorders>
              <w:top w:val="single" w:color="auto" w:sz="4" w:space="0"/>
              <w:left w:val="single" w:color="auto" w:sz="4" w:space="0"/>
              <w:bottom w:val="single" w:color="auto" w:sz="4" w:space="0"/>
              <w:right w:val="single" w:color="auto" w:sz="4" w:space="0"/>
            </w:tcBorders>
            <w:vAlign w:val="bottom"/>
          </w:tcPr>
          <w:p w14:paraId="2944594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0D56C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C6E94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6EE45A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2580FB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9A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58E97D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5278" w:type="dxa"/>
            <w:tcBorders>
              <w:top w:val="single" w:color="auto" w:sz="4" w:space="0"/>
              <w:left w:val="single" w:color="auto" w:sz="4" w:space="0"/>
              <w:bottom w:val="single" w:color="auto" w:sz="4" w:space="0"/>
              <w:right w:val="single" w:color="auto" w:sz="4" w:space="0"/>
            </w:tcBorders>
            <w:vAlign w:val="center"/>
          </w:tcPr>
          <w:p w14:paraId="201E341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919" w:type="dxa"/>
            <w:tcBorders>
              <w:top w:val="single" w:color="auto" w:sz="4" w:space="0"/>
              <w:left w:val="single" w:color="auto" w:sz="4" w:space="0"/>
              <w:bottom w:val="single" w:color="auto" w:sz="4" w:space="0"/>
              <w:right w:val="single" w:color="auto" w:sz="4" w:space="0"/>
            </w:tcBorders>
            <w:vAlign w:val="center"/>
          </w:tcPr>
          <w:p w14:paraId="0C502BF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27E4F3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6F83741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3AA4756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731D774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585337D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C43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2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56DAC5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56B4984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生长及外观：草坪平整、青绿、色泽均匀、无枯黄。高度控制在8㎝以下。草坪边线顺滑整齐，不超出草坪范围。</w:t>
            </w:r>
          </w:p>
        </w:tc>
        <w:tc>
          <w:tcPr>
            <w:tcW w:w="919" w:type="dxa"/>
            <w:tcBorders>
              <w:top w:val="single" w:color="auto" w:sz="4" w:space="0"/>
              <w:left w:val="single" w:color="auto" w:sz="4" w:space="0"/>
              <w:bottom w:val="single" w:color="auto" w:sz="4" w:space="0"/>
              <w:right w:val="single" w:color="auto" w:sz="4" w:space="0"/>
            </w:tcBorders>
            <w:vAlign w:val="center"/>
          </w:tcPr>
          <w:p w14:paraId="0EC33F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563" w:type="dxa"/>
            <w:tcBorders>
              <w:top w:val="single" w:color="auto" w:sz="4" w:space="0"/>
              <w:left w:val="single" w:color="auto" w:sz="4" w:space="0"/>
              <w:bottom w:val="single" w:color="auto" w:sz="4" w:space="0"/>
              <w:right w:val="single" w:color="auto" w:sz="4" w:space="0"/>
            </w:tcBorders>
            <w:vAlign w:val="bottom"/>
          </w:tcPr>
          <w:p w14:paraId="62EABBB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07F39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9A333A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539B2B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3CEB7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47E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2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6148FF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34CCE0E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除杂：及时除杂，基本无杂草，目的草种纯度90%以上，草地无因除杂而形成的坑洼小洞。</w:t>
            </w:r>
          </w:p>
        </w:tc>
        <w:tc>
          <w:tcPr>
            <w:tcW w:w="919" w:type="dxa"/>
            <w:tcBorders>
              <w:top w:val="single" w:color="auto" w:sz="4" w:space="0"/>
              <w:left w:val="single" w:color="auto" w:sz="4" w:space="0"/>
              <w:bottom w:val="single" w:color="auto" w:sz="4" w:space="0"/>
              <w:right w:val="single" w:color="auto" w:sz="4" w:space="0"/>
            </w:tcBorders>
            <w:vAlign w:val="center"/>
          </w:tcPr>
          <w:p w14:paraId="78A2716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563" w:type="dxa"/>
            <w:tcBorders>
              <w:top w:val="single" w:color="auto" w:sz="4" w:space="0"/>
              <w:left w:val="single" w:color="auto" w:sz="4" w:space="0"/>
              <w:bottom w:val="single" w:color="auto" w:sz="4" w:space="0"/>
              <w:right w:val="single" w:color="auto" w:sz="4" w:space="0"/>
            </w:tcBorders>
            <w:vAlign w:val="bottom"/>
          </w:tcPr>
          <w:p w14:paraId="3F3B406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1AB59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1F5B7D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2025DA9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244AC71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A53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2BB2512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5278" w:type="dxa"/>
            <w:tcBorders>
              <w:top w:val="single" w:color="auto" w:sz="4" w:space="0"/>
              <w:left w:val="single" w:color="auto" w:sz="4" w:space="0"/>
              <w:bottom w:val="single" w:color="auto" w:sz="4" w:space="0"/>
              <w:right w:val="single" w:color="auto" w:sz="4" w:space="0"/>
            </w:tcBorders>
            <w:vAlign w:val="center"/>
          </w:tcPr>
          <w:p w14:paraId="0C4A255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w:t>
            </w:r>
          </w:p>
        </w:tc>
        <w:tc>
          <w:tcPr>
            <w:tcW w:w="919" w:type="dxa"/>
            <w:tcBorders>
              <w:top w:val="single" w:color="auto" w:sz="4" w:space="0"/>
              <w:left w:val="single" w:color="auto" w:sz="4" w:space="0"/>
              <w:bottom w:val="single" w:color="auto" w:sz="4" w:space="0"/>
              <w:right w:val="single" w:color="auto" w:sz="4" w:space="0"/>
            </w:tcBorders>
            <w:vAlign w:val="center"/>
          </w:tcPr>
          <w:p w14:paraId="6255940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7B12390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4FADEA5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C69420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0501E83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2C81AC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E34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4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7B6C718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4EC396B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分车带内泥土边缘略低于路缘石，平整规范或符合设计要求,无明显石头、砖块等杂物。</w:t>
            </w:r>
          </w:p>
        </w:tc>
        <w:tc>
          <w:tcPr>
            <w:tcW w:w="919" w:type="dxa"/>
            <w:tcBorders>
              <w:top w:val="single" w:color="auto" w:sz="4" w:space="0"/>
              <w:left w:val="single" w:color="auto" w:sz="4" w:space="0"/>
              <w:bottom w:val="single" w:color="auto" w:sz="4" w:space="0"/>
              <w:right w:val="single" w:color="auto" w:sz="4" w:space="0"/>
            </w:tcBorders>
            <w:vAlign w:val="center"/>
          </w:tcPr>
          <w:p w14:paraId="14C4696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563" w:type="dxa"/>
            <w:tcBorders>
              <w:top w:val="single" w:color="auto" w:sz="4" w:space="0"/>
              <w:left w:val="single" w:color="auto" w:sz="4" w:space="0"/>
              <w:bottom w:val="single" w:color="auto" w:sz="4" w:space="0"/>
              <w:right w:val="single" w:color="auto" w:sz="4" w:space="0"/>
            </w:tcBorders>
            <w:vAlign w:val="bottom"/>
          </w:tcPr>
          <w:p w14:paraId="0EA7481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A77B1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F4271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44DB7E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6E7057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849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A8795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59F4DB6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色块及草坪无散落枝叶、泥土。修剪工作产生的杂物能做到及时清理。</w:t>
            </w:r>
          </w:p>
        </w:tc>
        <w:tc>
          <w:tcPr>
            <w:tcW w:w="919" w:type="dxa"/>
            <w:tcBorders>
              <w:top w:val="single" w:color="auto" w:sz="4" w:space="0"/>
              <w:left w:val="single" w:color="auto" w:sz="4" w:space="0"/>
              <w:bottom w:val="single" w:color="auto" w:sz="4" w:space="0"/>
              <w:right w:val="single" w:color="auto" w:sz="4" w:space="0"/>
            </w:tcBorders>
            <w:vAlign w:val="center"/>
          </w:tcPr>
          <w:p w14:paraId="67E43DD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563" w:type="dxa"/>
            <w:tcBorders>
              <w:top w:val="single" w:color="auto" w:sz="4" w:space="0"/>
              <w:left w:val="single" w:color="auto" w:sz="4" w:space="0"/>
              <w:bottom w:val="single" w:color="auto" w:sz="4" w:space="0"/>
              <w:right w:val="single" w:color="auto" w:sz="4" w:space="0"/>
            </w:tcBorders>
            <w:vAlign w:val="bottom"/>
          </w:tcPr>
          <w:p w14:paraId="4114EF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B9740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B71E5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383BE6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5EF1F0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F4A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AF697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278" w:type="dxa"/>
            <w:tcBorders>
              <w:top w:val="single" w:color="auto" w:sz="4" w:space="0"/>
              <w:left w:val="single" w:color="auto" w:sz="4" w:space="0"/>
              <w:bottom w:val="single" w:color="auto" w:sz="4" w:space="0"/>
              <w:right w:val="single" w:color="auto" w:sz="4" w:space="0"/>
            </w:tcBorders>
            <w:vAlign w:val="center"/>
          </w:tcPr>
          <w:p w14:paraId="766F110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w:t>
            </w:r>
          </w:p>
        </w:tc>
        <w:tc>
          <w:tcPr>
            <w:tcW w:w="919" w:type="dxa"/>
            <w:tcBorders>
              <w:top w:val="single" w:color="auto" w:sz="4" w:space="0"/>
              <w:left w:val="single" w:color="auto" w:sz="4" w:space="0"/>
              <w:bottom w:val="single" w:color="auto" w:sz="4" w:space="0"/>
              <w:right w:val="single" w:color="auto" w:sz="4" w:space="0"/>
            </w:tcBorders>
            <w:vAlign w:val="center"/>
          </w:tcPr>
          <w:p w14:paraId="688755B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563" w:type="dxa"/>
            <w:tcBorders>
              <w:top w:val="single" w:color="auto" w:sz="4" w:space="0"/>
              <w:left w:val="single" w:color="auto" w:sz="4" w:space="0"/>
              <w:bottom w:val="single" w:color="auto" w:sz="4" w:space="0"/>
              <w:right w:val="single" w:color="auto" w:sz="4" w:space="0"/>
            </w:tcBorders>
            <w:vAlign w:val="bottom"/>
          </w:tcPr>
          <w:p w14:paraId="0E2E26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420EE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988E4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66C223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03F56A0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9E5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4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C26B1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5278" w:type="dxa"/>
            <w:tcBorders>
              <w:top w:val="single" w:color="auto" w:sz="4" w:space="0"/>
              <w:left w:val="single" w:color="auto" w:sz="4" w:space="0"/>
              <w:bottom w:val="single" w:color="auto" w:sz="4" w:space="0"/>
              <w:right w:val="single" w:color="auto" w:sz="4" w:space="0"/>
            </w:tcBorders>
            <w:vAlign w:val="center"/>
          </w:tcPr>
          <w:p w14:paraId="205ECC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919" w:type="dxa"/>
            <w:tcBorders>
              <w:top w:val="single" w:color="auto" w:sz="4" w:space="0"/>
              <w:left w:val="single" w:color="auto" w:sz="4" w:space="0"/>
              <w:bottom w:val="single" w:color="auto" w:sz="4" w:space="0"/>
              <w:right w:val="single" w:color="auto" w:sz="4" w:space="0"/>
            </w:tcBorders>
            <w:vAlign w:val="center"/>
          </w:tcPr>
          <w:p w14:paraId="721D22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42CEFB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22E22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FBBE4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133ED6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7F870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54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9C6557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vAlign w:val="center"/>
          </w:tcPr>
          <w:p w14:paraId="1D27035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人行道第一排行道树及分车带行道树无缺株,第二排行道树及灌木无明显缺株.</w:t>
            </w:r>
          </w:p>
        </w:tc>
        <w:tc>
          <w:tcPr>
            <w:tcW w:w="919" w:type="dxa"/>
            <w:tcBorders>
              <w:top w:val="single" w:color="auto" w:sz="4" w:space="0"/>
              <w:left w:val="single" w:color="auto" w:sz="4" w:space="0"/>
              <w:bottom w:val="single" w:color="auto" w:sz="4" w:space="0"/>
              <w:right w:val="single" w:color="auto" w:sz="4" w:space="0"/>
            </w:tcBorders>
            <w:vAlign w:val="center"/>
          </w:tcPr>
          <w:p w14:paraId="3B9D74E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563" w:type="dxa"/>
            <w:tcBorders>
              <w:top w:val="single" w:color="auto" w:sz="4" w:space="0"/>
              <w:left w:val="single" w:color="auto" w:sz="4" w:space="0"/>
              <w:bottom w:val="single" w:color="auto" w:sz="4" w:space="0"/>
              <w:right w:val="single" w:color="auto" w:sz="4" w:space="0"/>
            </w:tcBorders>
            <w:vAlign w:val="bottom"/>
          </w:tcPr>
          <w:p w14:paraId="3D471C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3B52519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265BF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55D5C7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A482AB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FB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75"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0F8A94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278" w:type="dxa"/>
            <w:tcBorders>
              <w:top w:val="single" w:color="auto" w:sz="4" w:space="0"/>
              <w:left w:val="single" w:color="auto" w:sz="4" w:space="0"/>
              <w:bottom w:val="single" w:color="auto" w:sz="4" w:space="0"/>
              <w:right w:val="single" w:color="auto" w:sz="4" w:space="0"/>
            </w:tcBorders>
            <w:vAlign w:val="center"/>
          </w:tcPr>
          <w:p w14:paraId="571C5E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绿带保存完好，无缺株、黄土裸露现象。</w:t>
            </w:r>
          </w:p>
        </w:tc>
        <w:tc>
          <w:tcPr>
            <w:tcW w:w="919" w:type="dxa"/>
            <w:tcBorders>
              <w:top w:val="single" w:color="auto" w:sz="4" w:space="0"/>
              <w:left w:val="single" w:color="auto" w:sz="4" w:space="0"/>
              <w:bottom w:val="single" w:color="auto" w:sz="4" w:space="0"/>
              <w:right w:val="single" w:color="auto" w:sz="4" w:space="0"/>
            </w:tcBorders>
            <w:vAlign w:val="center"/>
          </w:tcPr>
          <w:p w14:paraId="63BE75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563" w:type="dxa"/>
            <w:tcBorders>
              <w:top w:val="single" w:color="auto" w:sz="4" w:space="0"/>
              <w:left w:val="single" w:color="auto" w:sz="4" w:space="0"/>
              <w:bottom w:val="single" w:color="auto" w:sz="4" w:space="0"/>
              <w:right w:val="single" w:color="auto" w:sz="4" w:space="0"/>
            </w:tcBorders>
            <w:vAlign w:val="bottom"/>
          </w:tcPr>
          <w:p w14:paraId="63DB7F1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6909A4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14BE3C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5C5DAE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6A1C9B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7D4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36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43F4D9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九</w:t>
            </w:r>
          </w:p>
        </w:tc>
        <w:tc>
          <w:tcPr>
            <w:tcW w:w="5278" w:type="dxa"/>
            <w:tcBorders>
              <w:top w:val="single" w:color="auto" w:sz="4" w:space="0"/>
              <w:left w:val="single" w:color="auto" w:sz="4" w:space="0"/>
              <w:bottom w:val="single" w:color="auto" w:sz="4" w:space="0"/>
              <w:right w:val="single" w:color="auto" w:sz="4" w:space="0"/>
            </w:tcBorders>
          </w:tcPr>
          <w:p w14:paraId="6CDC19A7">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919" w:type="dxa"/>
            <w:tcBorders>
              <w:top w:val="single" w:color="auto" w:sz="4" w:space="0"/>
              <w:left w:val="single" w:color="auto" w:sz="4" w:space="0"/>
              <w:bottom w:val="single" w:color="auto" w:sz="4" w:space="0"/>
              <w:right w:val="single" w:color="auto" w:sz="4" w:space="0"/>
            </w:tcBorders>
            <w:vAlign w:val="center"/>
          </w:tcPr>
          <w:p w14:paraId="0D077C8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0F9F5EB2">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7F82C81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D11CE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2872542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6100C1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002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84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1D2AAE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278" w:type="dxa"/>
            <w:tcBorders>
              <w:top w:val="single" w:color="auto" w:sz="4" w:space="0"/>
              <w:left w:val="single" w:color="auto" w:sz="4" w:space="0"/>
              <w:bottom w:val="single" w:color="auto" w:sz="4" w:space="0"/>
              <w:right w:val="single" w:color="auto" w:sz="4" w:space="0"/>
            </w:tcBorders>
          </w:tcPr>
          <w:p w14:paraId="0F153D9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基本无病虫害危害，食叶害虫危害的叶片每处（株）不超过5%,刺吸式害虫危害的叶片每处（株）不超过10%，无蛀干性害虫的活虫、活卵。病害每处（株）不超过5%。</w:t>
            </w:r>
          </w:p>
        </w:tc>
        <w:tc>
          <w:tcPr>
            <w:tcW w:w="919" w:type="dxa"/>
            <w:tcBorders>
              <w:top w:val="single" w:color="auto" w:sz="4" w:space="0"/>
              <w:left w:val="single" w:color="auto" w:sz="4" w:space="0"/>
              <w:bottom w:val="single" w:color="auto" w:sz="4" w:space="0"/>
              <w:right w:val="single" w:color="auto" w:sz="4" w:space="0"/>
            </w:tcBorders>
            <w:vAlign w:val="center"/>
          </w:tcPr>
          <w:p w14:paraId="691D6A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563" w:type="dxa"/>
            <w:tcBorders>
              <w:top w:val="single" w:color="auto" w:sz="4" w:space="0"/>
              <w:left w:val="single" w:color="auto" w:sz="4" w:space="0"/>
              <w:bottom w:val="single" w:color="auto" w:sz="4" w:space="0"/>
              <w:right w:val="single" w:color="auto" w:sz="4" w:space="0"/>
            </w:tcBorders>
            <w:vAlign w:val="bottom"/>
          </w:tcPr>
          <w:p w14:paraId="45257E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699F610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6B82C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715D520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662398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7E7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405" w:hRule="atLeast"/>
          <w:jc w:val="center"/>
        </w:trPr>
        <w:tc>
          <w:tcPr>
            <w:tcW w:w="435" w:type="dxa"/>
            <w:tcBorders>
              <w:top w:val="single" w:color="auto" w:sz="4" w:space="0"/>
              <w:left w:val="single" w:color="auto" w:sz="4" w:space="0"/>
              <w:bottom w:val="single" w:color="auto" w:sz="4" w:space="0"/>
              <w:right w:val="single" w:color="auto" w:sz="4" w:space="0"/>
            </w:tcBorders>
            <w:vAlign w:val="bottom"/>
          </w:tcPr>
          <w:p w14:paraId="71F9E4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p>
        </w:tc>
        <w:tc>
          <w:tcPr>
            <w:tcW w:w="5278" w:type="dxa"/>
            <w:tcBorders>
              <w:top w:val="single" w:color="auto" w:sz="4" w:space="0"/>
              <w:left w:val="single" w:color="auto" w:sz="4" w:space="0"/>
              <w:bottom w:val="single" w:color="auto" w:sz="4" w:space="0"/>
              <w:right w:val="single" w:color="auto" w:sz="4" w:space="0"/>
            </w:tcBorders>
            <w:vAlign w:val="bottom"/>
          </w:tcPr>
          <w:p w14:paraId="1054ADAC">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919" w:type="dxa"/>
            <w:tcBorders>
              <w:top w:val="single" w:color="auto" w:sz="4" w:space="0"/>
              <w:left w:val="single" w:color="auto" w:sz="4" w:space="0"/>
              <w:bottom w:val="single" w:color="auto" w:sz="4" w:space="0"/>
              <w:right w:val="single" w:color="auto" w:sz="4" w:space="0"/>
            </w:tcBorders>
            <w:vAlign w:val="center"/>
          </w:tcPr>
          <w:p w14:paraId="29AD658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15E5EB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2504D1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5560D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2479FB7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4270C4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82E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54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3336D40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278" w:type="dxa"/>
            <w:tcBorders>
              <w:top w:val="single" w:color="auto" w:sz="4" w:space="0"/>
              <w:left w:val="single" w:color="auto" w:sz="4" w:space="0"/>
              <w:bottom w:val="single" w:color="auto" w:sz="4" w:space="0"/>
              <w:right w:val="single" w:color="auto" w:sz="4" w:space="0"/>
            </w:tcBorders>
          </w:tcPr>
          <w:p w14:paraId="71220A5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植株长势旺盛，叶子挺直，嫩稍不萎垂，土壤不干裂，无积水。无淋水造成的苗木倒伏、枝叶损伤、黄土污染路面现象</w:t>
            </w:r>
          </w:p>
        </w:tc>
        <w:tc>
          <w:tcPr>
            <w:tcW w:w="919" w:type="dxa"/>
            <w:tcBorders>
              <w:top w:val="single" w:color="auto" w:sz="4" w:space="0"/>
              <w:left w:val="single" w:color="auto" w:sz="4" w:space="0"/>
              <w:bottom w:val="single" w:color="auto" w:sz="4" w:space="0"/>
              <w:right w:val="single" w:color="auto" w:sz="4" w:space="0"/>
            </w:tcBorders>
            <w:vAlign w:val="center"/>
          </w:tcPr>
          <w:p w14:paraId="01F1325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563" w:type="dxa"/>
            <w:tcBorders>
              <w:top w:val="single" w:color="auto" w:sz="4" w:space="0"/>
              <w:left w:val="single" w:color="auto" w:sz="4" w:space="0"/>
              <w:bottom w:val="single" w:color="auto" w:sz="4" w:space="0"/>
              <w:right w:val="single" w:color="auto" w:sz="4" w:space="0"/>
            </w:tcBorders>
            <w:vAlign w:val="bottom"/>
          </w:tcPr>
          <w:p w14:paraId="55E322A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466019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01DA33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6167B0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2A42B19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28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1" w:type="dxa"/>
          <w:trHeight w:val="435" w:hRule="atLeast"/>
          <w:jc w:val="center"/>
        </w:trPr>
        <w:tc>
          <w:tcPr>
            <w:tcW w:w="435" w:type="dxa"/>
            <w:tcBorders>
              <w:top w:val="single" w:color="auto" w:sz="4" w:space="0"/>
              <w:left w:val="single" w:color="auto" w:sz="4" w:space="0"/>
              <w:bottom w:val="single" w:color="auto" w:sz="4" w:space="0"/>
              <w:right w:val="single" w:color="auto" w:sz="4" w:space="0"/>
            </w:tcBorders>
          </w:tcPr>
          <w:p w14:paraId="11839782">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78" w:type="dxa"/>
            <w:tcBorders>
              <w:top w:val="single" w:color="auto" w:sz="4" w:space="0"/>
              <w:left w:val="single" w:color="auto" w:sz="4" w:space="0"/>
              <w:bottom w:val="single" w:color="auto" w:sz="4" w:space="0"/>
              <w:right w:val="single" w:color="auto" w:sz="4" w:space="0"/>
            </w:tcBorders>
          </w:tcPr>
          <w:p w14:paraId="4BB42E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919" w:type="dxa"/>
            <w:tcBorders>
              <w:top w:val="single" w:color="auto" w:sz="4" w:space="0"/>
              <w:left w:val="single" w:color="auto" w:sz="4" w:space="0"/>
              <w:bottom w:val="single" w:color="auto" w:sz="4" w:space="0"/>
              <w:right w:val="single" w:color="auto" w:sz="4" w:space="0"/>
            </w:tcBorders>
            <w:vAlign w:val="bottom"/>
          </w:tcPr>
          <w:p w14:paraId="1ACE459E">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bottom"/>
          </w:tcPr>
          <w:p w14:paraId="5CA024A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7C76A1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3" w:type="dxa"/>
            <w:tcBorders>
              <w:top w:val="single" w:color="auto" w:sz="4" w:space="0"/>
              <w:left w:val="single" w:color="auto" w:sz="4" w:space="0"/>
              <w:bottom w:val="single" w:color="auto" w:sz="4" w:space="0"/>
              <w:right w:val="single" w:color="auto" w:sz="4" w:space="0"/>
            </w:tcBorders>
            <w:vAlign w:val="center"/>
          </w:tcPr>
          <w:p w14:paraId="5DFF28B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2" w:type="dxa"/>
            <w:tcBorders>
              <w:top w:val="single" w:color="auto" w:sz="4" w:space="0"/>
              <w:left w:val="single" w:color="auto" w:sz="4" w:space="0"/>
              <w:bottom w:val="single" w:color="auto" w:sz="4" w:space="0"/>
              <w:right w:val="single" w:color="auto" w:sz="4" w:space="0"/>
            </w:tcBorders>
            <w:vAlign w:val="center"/>
          </w:tcPr>
          <w:p w14:paraId="40C37B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43" w:type="dxa"/>
            <w:tcBorders>
              <w:top w:val="single" w:color="auto" w:sz="4" w:space="0"/>
              <w:left w:val="single" w:color="auto" w:sz="4" w:space="0"/>
              <w:bottom w:val="single" w:color="auto" w:sz="4" w:space="0"/>
              <w:right w:val="single" w:color="auto" w:sz="4" w:space="0"/>
            </w:tcBorders>
            <w:vAlign w:val="center"/>
          </w:tcPr>
          <w:p w14:paraId="0D49DF0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40DBC0E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p w14:paraId="4729B01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6CE8320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124992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5E3418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3494C53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490B6BC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C4F876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B5E43D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6A8702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4921C2C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4E82C63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0E3984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4A7C06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58B3F3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FB62C6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4601C7A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5DDCB2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bl>
      <w:tblPr>
        <w:tblStyle w:val="20"/>
        <w:tblW w:w="9837" w:type="dxa"/>
        <w:jc w:val="center"/>
        <w:tblLayout w:type="fixed"/>
        <w:tblCellMar>
          <w:top w:w="0" w:type="dxa"/>
          <w:left w:w="108" w:type="dxa"/>
          <w:bottom w:w="0" w:type="dxa"/>
          <w:right w:w="108" w:type="dxa"/>
        </w:tblCellMar>
      </w:tblPr>
      <w:tblGrid>
        <w:gridCol w:w="441"/>
        <w:gridCol w:w="4912"/>
        <w:gridCol w:w="651"/>
        <w:gridCol w:w="993"/>
        <w:gridCol w:w="592"/>
        <w:gridCol w:w="676"/>
        <w:gridCol w:w="613"/>
        <w:gridCol w:w="409"/>
        <w:gridCol w:w="550"/>
      </w:tblGrid>
      <w:tr w14:paraId="632C1AB5">
        <w:tblPrEx>
          <w:tblCellMar>
            <w:top w:w="0" w:type="dxa"/>
            <w:left w:w="108" w:type="dxa"/>
            <w:bottom w:w="0" w:type="dxa"/>
            <w:right w:w="108" w:type="dxa"/>
          </w:tblCellMar>
        </w:tblPrEx>
        <w:trPr>
          <w:trHeight w:val="780" w:hRule="atLeast"/>
          <w:jc w:val="center"/>
        </w:trPr>
        <w:tc>
          <w:tcPr>
            <w:tcW w:w="9837" w:type="dxa"/>
            <w:gridSpan w:val="9"/>
            <w:vAlign w:val="center"/>
          </w:tcPr>
          <w:p w14:paraId="069FB4D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2．二级行道树绿带、分车带养护效果评分表</w:t>
            </w:r>
          </w:p>
        </w:tc>
      </w:tr>
      <w:tr w14:paraId="5417437E">
        <w:tblPrEx>
          <w:tblCellMar>
            <w:top w:w="0" w:type="dxa"/>
            <w:left w:w="108" w:type="dxa"/>
            <w:bottom w:w="0" w:type="dxa"/>
            <w:right w:w="108" w:type="dxa"/>
          </w:tblCellMar>
        </w:tblPrEx>
        <w:trPr>
          <w:trHeight w:val="330" w:hRule="atLeast"/>
          <w:jc w:val="center"/>
        </w:trPr>
        <w:tc>
          <w:tcPr>
            <w:tcW w:w="9837" w:type="dxa"/>
            <w:gridSpan w:val="9"/>
            <w:tcBorders>
              <w:top w:val="nil"/>
              <w:left w:val="nil"/>
              <w:bottom w:val="single" w:color="auto" w:sz="4" w:space="0"/>
              <w:right w:val="nil"/>
            </w:tcBorders>
            <w:vAlign w:val="center"/>
          </w:tcPr>
          <w:p w14:paraId="18527133">
            <w:pPr>
              <w:keepNext w:val="0"/>
              <w:keepLines w:val="0"/>
              <w:pageBreakBefore w:val="0"/>
              <w:widowControl/>
              <w:kinsoku/>
              <w:overflowPunct/>
              <w:topLinePunct w:val="0"/>
              <w:bidi w:val="0"/>
              <w:snapToGrid/>
              <w:spacing w:line="360" w:lineRule="auto"/>
              <w:ind w:firstLine="360" w:firstLineChars="15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204AECF8">
        <w:tblPrEx>
          <w:tblCellMar>
            <w:top w:w="0" w:type="dxa"/>
            <w:left w:w="108" w:type="dxa"/>
            <w:bottom w:w="0" w:type="dxa"/>
            <w:right w:w="108" w:type="dxa"/>
          </w:tblCellMar>
        </w:tblPrEx>
        <w:trPr>
          <w:gridAfter w:val="1"/>
          <w:wAfter w:w="550" w:type="dxa"/>
          <w:trHeight w:val="240" w:hRule="atLeast"/>
          <w:jc w:val="center"/>
        </w:trPr>
        <w:tc>
          <w:tcPr>
            <w:tcW w:w="441" w:type="dxa"/>
            <w:tcBorders>
              <w:top w:val="nil"/>
              <w:left w:val="single" w:color="auto" w:sz="4" w:space="0"/>
              <w:bottom w:val="single" w:color="auto" w:sz="4" w:space="0"/>
              <w:right w:val="single" w:color="auto" w:sz="4" w:space="0"/>
            </w:tcBorders>
            <w:vAlign w:val="center"/>
          </w:tcPr>
          <w:p w14:paraId="79FFD49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4912" w:type="dxa"/>
            <w:tcBorders>
              <w:top w:val="nil"/>
              <w:left w:val="single" w:color="auto" w:sz="4" w:space="0"/>
              <w:bottom w:val="single" w:color="000000" w:sz="4" w:space="0"/>
              <w:right w:val="single" w:color="auto" w:sz="4" w:space="0"/>
            </w:tcBorders>
            <w:vAlign w:val="center"/>
          </w:tcPr>
          <w:p w14:paraId="3FBBC9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651" w:type="dxa"/>
            <w:tcBorders>
              <w:top w:val="nil"/>
              <w:left w:val="single" w:color="auto" w:sz="4" w:space="0"/>
              <w:bottom w:val="single" w:color="auto" w:sz="4" w:space="0"/>
              <w:right w:val="single" w:color="auto" w:sz="4" w:space="0"/>
            </w:tcBorders>
            <w:vAlign w:val="center"/>
          </w:tcPr>
          <w:p w14:paraId="387E70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993" w:type="dxa"/>
            <w:tcBorders>
              <w:top w:val="nil"/>
              <w:left w:val="single" w:color="auto" w:sz="4" w:space="0"/>
              <w:bottom w:val="single" w:color="000000" w:sz="4" w:space="0"/>
              <w:right w:val="single" w:color="auto" w:sz="4" w:space="0"/>
            </w:tcBorders>
            <w:vAlign w:val="center"/>
          </w:tcPr>
          <w:p w14:paraId="40396D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标准</w:t>
            </w:r>
            <w:r>
              <w:rPr>
                <w:rFonts w:hint="eastAsia" w:ascii="宋体" w:hAnsi="宋体" w:eastAsia="宋体" w:cs="宋体"/>
                <w:bCs/>
                <w:color w:val="auto"/>
                <w:kern w:val="0"/>
                <w:sz w:val="24"/>
                <w:szCs w:val="24"/>
                <w:highlight w:val="none"/>
              </w:rPr>
              <w:br w:type="textWrapping"/>
            </w:r>
            <w:r>
              <w:rPr>
                <w:rFonts w:hint="eastAsia" w:ascii="宋体" w:hAnsi="宋体" w:eastAsia="宋体" w:cs="宋体"/>
                <w:bCs/>
                <w:color w:val="auto"/>
                <w:kern w:val="0"/>
                <w:sz w:val="24"/>
                <w:szCs w:val="24"/>
                <w:highlight w:val="none"/>
              </w:rPr>
              <w:t>分</w:t>
            </w:r>
          </w:p>
        </w:tc>
        <w:tc>
          <w:tcPr>
            <w:tcW w:w="2290" w:type="dxa"/>
            <w:gridSpan w:val="4"/>
            <w:tcBorders>
              <w:top w:val="single" w:color="auto" w:sz="4" w:space="0"/>
              <w:left w:val="nil"/>
              <w:bottom w:val="single" w:color="auto" w:sz="4" w:space="0"/>
              <w:right w:val="single" w:color="auto" w:sz="4" w:space="0"/>
            </w:tcBorders>
            <w:vAlign w:val="center"/>
          </w:tcPr>
          <w:p w14:paraId="5313A28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66C5C674">
        <w:tblPrEx>
          <w:tblCellMar>
            <w:top w:w="0" w:type="dxa"/>
            <w:left w:w="108" w:type="dxa"/>
            <w:bottom w:w="0" w:type="dxa"/>
            <w:right w:w="108" w:type="dxa"/>
          </w:tblCellMar>
        </w:tblPrEx>
        <w:trPr>
          <w:gridAfter w:val="1"/>
          <w:wAfter w:w="550" w:type="dxa"/>
          <w:trHeight w:val="315" w:hRule="atLeast"/>
          <w:jc w:val="center"/>
        </w:trPr>
        <w:tc>
          <w:tcPr>
            <w:tcW w:w="441" w:type="dxa"/>
            <w:tcBorders>
              <w:top w:val="nil"/>
              <w:left w:val="single" w:color="auto" w:sz="4" w:space="0"/>
              <w:bottom w:val="single" w:color="auto" w:sz="4" w:space="0"/>
              <w:right w:val="single" w:color="auto" w:sz="4" w:space="0"/>
            </w:tcBorders>
            <w:vAlign w:val="center"/>
          </w:tcPr>
          <w:p w14:paraId="0779C52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w:t>
            </w:r>
          </w:p>
        </w:tc>
        <w:tc>
          <w:tcPr>
            <w:tcW w:w="4912" w:type="dxa"/>
            <w:tcBorders>
              <w:top w:val="nil"/>
              <w:left w:val="nil"/>
              <w:bottom w:val="single" w:color="auto" w:sz="4" w:space="0"/>
              <w:right w:val="single" w:color="auto" w:sz="4" w:space="0"/>
            </w:tcBorders>
            <w:vAlign w:val="center"/>
          </w:tcPr>
          <w:p w14:paraId="18D5DA4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651" w:type="dxa"/>
            <w:tcBorders>
              <w:top w:val="nil"/>
              <w:left w:val="nil"/>
              <w:bottom w:val="single" w:color="auto" w:sz="4" w:space="0"/>
              <w:right w:val="single" w:color="auto" w:sz="4" w:space="0"/>
            </w:tcBorders>
            <w:vAlign w:val="center"/>
          </w:tcPr>
          <w:p w14:paraId="426E9EF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center"/>
          </w:tcPr>
          <w:p w14:paraId="2E5BD9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3A401A2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14625EB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14094B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1D7D6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87665B">
        <w:tblPrEx>
          <w:tblCellMar>
            <w:top w:w="0" w:type="dxa"/>
            <w:left w:w="108" w:type="dxa"/>
            <w:bottom w:w="0" w:type="dxa"/>
            <w:right w:w="108" w:type="dxa"/>
          </w:tblCellMar>
        </w:tblPrEx>
        <w:trPr>
          <w:gridAfter w:val="1"/>
          <w:wAfter w:w="550" w:type="dxa"/>
          <w:trHeight w:val="315" w:hRule="atLeast"/>
          <w:jc w:val="center"/>
        </w:trPr>
        <w:tc>
          <w:tcPr>
            <w:tcW w:w="441" w:type="dxa"/>
            <w:tcBorders>
              <w:top w:val="nil"/>
              <w:left w:val="single" w:color="auto" w:sz="4" w:space="0"/>
              <w:bottom w:val="single" w:color="auto" w:sz="4" w:space="0"/>
              <w:right w:val="single" w:color="auto" w:sz="4" w:space="0"/>
            </w:tcBorders>
            <w:vAlign w:val="center"/>
          </w:tcPr>
          <w:p w14:paraId="22D8E12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2ACDBA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植物养护较合理，生长正常。整体景观效果良好，植物干净积尘较少。</w:t>
            </w:r>
          </w:p>
        </w:tc>
        <w:tc>
          <w:tcPr>
            <w:tcW w:w="651" w:type="dxa"/>
            <w:tcBorders>
              <w:top w:val="nil"/>
              <w:left w:val="nil"/>
              <w:bottom w:val="single" w:color="auto" w:sz="4" w:space="0"/>
              <w:right w:val="single" w:color="auto" w:sz="4" w:space="0"/>
            </w:tcBorders>
            <w:vAlign w:val="center"/>
          </w:tcPr>
          <w:p w14:paraId="652DECF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93" w:type="dxa"/>
            <w:tcBorders>
              <w:top w:val="nil"/>
              <w:left w:val="nil"/>
              <w:bottom w:val="single" w:color="auto" w:sz="4" w:space="0"/>
              <w:right w:val="single" w:color="auto" w:sz="4" w:space="0"/>
            </w:tcBorders>
            <w:vAlign w:val="center"/>
          </w:tcPr>
          <w:p w14:paraId="7FDEC19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6C495B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C9E57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78347B7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405C6F1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CDB86B8">
        <w:tblPrEx>
          <w:tblCellMar>
            <w:top w:w="0" w:type="dxa"/>
            <w:left w:w="108" w:type="dxa"/>
            <w:bottom w:w="0" w:type="dxa"/>
            <w:right w:w="108" w:type="dxa"/>
          </w:tblCellMar>
        </w:tblPrEx>
        <w:trPr>
          <w:gridAfter w:val="1"/>
          <w:wAfter w:w="550" w:type="dxa"/>
          <w:trHeight w:val="319" w:hRule="atLeast"/>
          <w:jc w:val="center"/>
        </w:trPr>
        <w:tc>
          <w:tcPr>
            <w:tcW w:w="441" w:type="dxa"/>
            <w:tcBorders>
              <w:top w:val="nil"/>
              <w:left w:val="single" w:color="auto" w:sz="4" w:space="0"/>
              <w:bottom w:val="single" w:color="auto" w:sz="4" w:space="0"/>
              <w:right w:val="single" w:color="auto" w:sz="4" w:space="0"/>
            </w:tcBorders>
            <w:vAlign w:val="center"/>
          </w:tcPr>
          <w:p w14:paraId="7C9DE82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w:t>
            </w:r>
          </w:p>
        </w:tc>
        <w:tc>
          <w:tcPr>
            <w:tcW w:w="4912" w:type="dxa"/>
            <w:tcBorders>
              <w:top w:val="nil"/>
              <w:left w:val="nil"/>
              <w:bottom w:val="single" w:color="auto" w:sz="4" w:space="0"/>
              <w:right w:val="single" w:color="auto" w:sz="4" w:space="0"/>
            </w:tcBorders>
            <w:vAlign w:val="center"/>
          </w:tcPr>
          <w:p w14:paraId="362192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651" w:type="dxa"/>
            <w:tcBorders>
              <w:top w:val="nil"/>
              <w:left w:val="nil"/>
              <w:bottom w:val="single" w:color="auto" w:sz="4" w:space="0"/>
              <w:right w:val="single" w:color="auto" w:sz="4" w:space="0"/>
            </w:tcBorders>
            <w:vAlign w:val="center"/>
          </w:tcPr>
          <w:p w14:paraId="742825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bottom"/>
          </w:tcPr>
          <w:p w14:paraId="04DB80A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43D699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6A8FED4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7C55B4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4A0496D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E21BA38">
        <w:tblPrEx>
          <w:tblCellMar>
            <w:top w:w="0" w:type="dxa"/>
            <w:left w:w="108" w:type="dxa"/>
            <w:bottom w:w="0" w:type="dxa"/>
            <w:right w:w="108" w:type="dxa"/>
          </w:tblCellMar>
        </w:tblPrEx>
        <w:trPr>
          <w:gridAfter w:val="1"/>
          <w:wAfter w:w="550" w:type="dxa"/>
          <w:trHeight w:val="859" w:hRule="atLeast"/>
          <w:jc w:val="center"/>
        </w:trPr>
        <w:tc>
          <w:tcPr>
            <w:tcW w:w="441" w:type="dxa"/>
            <w:tcBorders>
              <w:top w:val="nil"/>
              <w:left w:val="single" w:color="auto" w:sz="4" w:space="0"/>
              <w:bottom w:val="single" w:color="auto" w:sz="4" w:space="0"/>
              <w:right w:val="single" w:color="auto" w:sz="4" w:space="0"/>
            </w:tcBorders>
            <w:vAlign w:val="center"/>
          </w:tcPr>
          <w:p w14:paraId="3258D23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4144CF8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生长：植株生长较好、茂盛，树冠丰满匀称,分枝合理，正直不偏斜。乔木主干歪斜的树及危树应立支撑保护。</w:t>
            </w:r>
          </w:p>
        </w:tc>
        <w:tc>
          <w:tcPr>
            <w:tcW w:w="651" w:type="dxa"/>
            <w:tcBorders>
              <w:top w:val="nil"/>
              <w:left w:val="nil"/>
              <w:bottom w:val="single" w:color="auto" w:sz="4" w:space="0"/>
              <w:right w:val="single" w:color="auto" w:sz="4" w:space="0"/>
            </w:tcBorders>
            <w:vAlign w:val="center"/>
          </w:tcPr>
          <w:p w14:paraId="55F6DDA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993" w:type="dxa"/>
            <w:tcBorders>
              <w:top w:val="nil"/>
              <w:left w:val="nil"/>
              <w:bottom w:val="single" w:color="auto" w:sz="4" w:space="0"/>
              <w:right w:val="single" w:color="auto" w:sz="4" w:space="0"/>
            </w:tcBorders>
            <w:vAlign w:val="bottom"/>
          </w:tcPr>
          <w:p w14:paraId="745ED46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68452D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021C60D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65C264A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431A3D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AB4D54A">
        <w:tblPrEx>
          <w:tblCellMar>
            <w:top w:w="0" w:type="dxa"/>
            <w:left w:w="108" w:type="dxa"/>
            <w:bottom w:w="0" w:type="dxa"/>
            <w:right w:w="108" w:type="dxa"/>
          </w:tblCellMar>
        </w:tblPrEx>
        <w:trPr>
          <w:gridAfter w:val="1"/>
          <w:wAfter w:w="550" w:type="dxa"/>
          <w:trHeight w:val="1260" w:hRule="atLeast"/>
          <w:jc w:val="center"/>
        </w:trPr>
        <w:tc>
          <w:tcPr>
            <w:tcW w:w="441" w:type="dxa"/>
            <w:tcBorders>
              <w:top w:val="nil"/>
              <w:left w:val="single" w:color="auto" w:sz="4" w:space="0"/>
              <w:bottom w:val="single" w:color="auto" w:sz="4" w:space="0"/>
              <w:right w:val="single" w:color="auto" w:sz="4" w:space="0"/>
            </w:tcBorders>
            <w:vAlign w:val="center"/>
          </w:tcPr>
          <w:p w14:paraId="12011BC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41BCD8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树木修剪较合理,维持树种特征，骨架较均匀；无明显的萌蘗枝、交叉枝、低垂枝、伤残枝、过密枝等。剪口较平整,无损皮现象,枝干无明显伤残现象。第一排行道树冠底高基本一致，高度以不影响行人及车辆行驶为宜。与供电线路、交通指示灯、交通指示牌等保持较合理距离。</w:t>
            </w:r>
          </w:p>
        </w:tc>
        <w:tc>
          <w:tcPr>
            <w:tcW w:w="651" w:type="dxa"/>
            <w:tcBorders>
              <w:top w:val="nil"/>
              <w:left w:val="nil"/>
              <w:bottom w:val="single" w:color="auto" w:sz="4" w:space="0"/>
              <w:right w:val="single" w:color="auto" w:sz="4" w:space="0"/>
            </w:tcBorders>
            <w:vAlign w:val="center"/>
          </w:tcPr>
          <w:p w14:paraId="2596DD2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993" w:type="dxa"/>
            <w:tcBorders>
              <w:top w:val="nil"/>
              <w:left w:val="nil"/>
              <w:bottom w:val="single" w:color="auto" w:sz="4" w:space="0"/>
              <w:right w:val="single" w:color="auto" w:sz="4" w:space="0"/>
            </w:tcBorders>
            <w:vAlign w:val="bottom"/>
          </w:tcPr>
          <w:p w14:paraId="59C0F0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70C3BD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79F537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1C39E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315217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2A5323">
        <w:tblPrEx>
          <w:tblCellMar>
            <w:top w:w="0" w:type="dxa"/>
            <w:left w:w="108" w:type="dxa"/>
            <w:bottom w:w="0" w:type="dxa"/>
            <w:right w:w="108" w:type="dxa"/>
          </w:tblCellMar>
        </w:tblPrEx>
        <w:trPr>
          <w:gridAfter w:val="1"/>
          <w:wAfter w:w="550" w:type="dxa"/>
          <w:trHeight w:val="660" w:hRule="atLeast"/>
          <w:jc w:val="center"/>
        </w:trPr>
        <w:tc>
          <w:tcPr>
            <w:tcW w:w="441" w:type="dxa"/>
            <w:tcBorders>
              <w:top w:val="nil"/>
              <w:left w:val="single" w:color="auto" w:sz="4" w:space="0"/>
              <w:bottom w:val="single" w:color="auto" w:sz="4" w:space="0"/>
              <w:right w:val="single" w:color="auto" w:sz="4" w:space="0"/>
            </w:tcBorders>
            <w:vAlign w:val="center"/>
          </w:tcPr>
          <w:p w14:paraId="223EE12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912" w:type="dxa"/>
            <w:tcBorders>
              <w:top w:val="nil"/>
              <w:left w:val="nil"/>
              <w:bottom w:val="single" w:color="auto" w:sz="4" w:space="0"/>
              <w:right w:val="single" w:color="auto" w:sz="4" w:space="0"/>
            </w:tcBorders>
            <w:vAlign w:val="center"/>
          </w:tcPr>
          <w:p w14:paraId="67D759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钉挂物、干枯枝等：树体无明显干枯枝及黄叶，无钉挂物、铁丝等缠绕物。无死株及树桩头。</w:t>
            </w:r>
          </w:p>
        </w:tc>
        <w:tc>
          <w:tcPr>
            <w:tcW w:w="651" w:type="dxa"/>
            <w:tcBorders>
              <w:top w:val="nil"/>
              <w:left w:val="nil"/>
              <w:bottom w:val="single" w:color="auto" w:sz="4" w:space="0"/>
              <w:right w:val="single" w:color="auto" w:sz="4" w:space="0"/>
            </w:tcBorders>
            <w:vAlign w:val="center"/>
          </w:tcPr>
          <w:p w14:paraId="6FF1973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993" w:type="dxa"/>
            <w:tcBorders>
              <w:top w:val="nil"/>
              <w:left w:val="nil"/>
              <w:bottom w:val="single" w:color="auto" w:sz="4" w:space="0"/>
              <w:right w:val="single" w:color="auto" w:sz="4" w:space="0"/>
            </w:tcBorders>
            <w:vAlign w:val="bottom"/>
          </w:tcPr>
          <w:p w14:paraId="348C1A7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20EB52A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2E0B57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923704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BCEFF0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157A90">
        <w:tblPrEx>
          <w:tblCellMar>
            <w:top w:w="0" w:type="dxa"/>
            <w:left w:w="108" w:type="dxa"/>
            <w:bottom w:w="0" w:type="dxa"/>
            <w:right w:w="108" w:type="dxa"/>
          </w:tblCellMar>
        </w:tblPrEx>
        <w:trPr>
          <w:gridAfter w:val="1"/>
          <w:wAfter w:w="550" w:type="dxa"/>
          <w:trHeight w:val="300" w:hRule="atLeast"/>
          <w:jc w:val="center"/>
        </w:trPr>
        <w:tc>
          <w:tcPr>
            <w:tcW w:w="441" w:type="dxa"/>
            <w:tcBorders>
              <w:top w:val="nil"/>
              <w:left w:val="single" w:color="auto" w:sz="4" w:space="0"/>
              <w:bottom w:val="single" w:color="auto" w:sz="4" w:space="0"/>
              <w:right w:val="single" w:color="auto" w:sz="4" w:space="0"/>
            </w:tcBorders>
            <w:vAlign w:val="center"/>
          </w:tcPr>
          <w:p w14:paraId="2308FF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p>
        </w:tc>
        <w:tc>
          <w:tcPr>
            <w:tcW w:w="4912" w:type="dxa"/>
            <w:tcBorders>
              <w:top w:val="nil"/>
              <w:left w:val="nil"/>
              <w:bottom w:val="single" w:color="auto" w:sz="4" w:space="0"/>
              <w:right w:val="single" w:color="auto" w:sz="4" w:space="0"/>
            </w:tcBorders>
            <w:vAlign w:val="center"/>
          </w:tcPr>
          <w:p w14:paraId="3A4CB6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651" w:type="dxa"/>
            <w:tcBorders>
              <w:top w:val="nil"/>
              <w:left w:val="nil"/>
              <w:bottom w:val="single" w:color="auto" w:sz="4" w:space="0"/>
              <w:right w:val="single" w:color="auto" w:sz="4" w:space="0"/>
            </w:tcBorders>
            <w:vAlign w:val="center"/>
          </w:tcPr>
          <w:p w14:paraId="4E7A12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bottom"/>
          </w:tcPr>
          <w:p w14:paraId="64D613E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30D1D06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15384B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0D844E1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72A6D5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4FECDA3">
        <w:tblPrEx>
          <w:tblCellMar>
            <w:top w:w="0" w:type="dxa"/>
            <w:left w:w="108" w:type="dxa"/>
            <w:bottom w:w="0" w:type="dxa"/>
            <w:right w:w="108" w:type="dxa"/>
          </w:tblCellMar>
        </w:tblPrEx>
        <w:trPr>
          <w:gridAfter w:val="1"/>
          <w:wAfter w:w="550" w:type="dxa"/>
          <w:trHeight w:val="480" w:hRule="atLeast"/>
          <w:jc w:val="center"/>
        </w:trPr>
        <w:tc>
          <w:tcPr>
            <w:tcW w:w="441" w:type="dxa"/>
            <w:tcBorders>
              <w:top w:val="nil"/>
              <w:left w:val="single" w:color="auto" w:sz="4" w:space="0"/>
              <w:bottom w:val="single" w:color="auto" w:sz="4" w:space="0"/>
              <w:right w:val="single" w:color="auto" w:sz="4" w:space="0"/>
            </w:tcBorders>
            <w:vAlign w:val="center"/>
          </w:tcPr>
          <w:p w14:paraId="0B74F4A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79368B4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生长：植株生长较好，符合物候状况，枝粗叶壮，树体基本正直。叶色、叶形、大小正常。</w:t>
            </w:r>
          </w:p>
        </w:tc>
        <w:tc>
          <w:tcPr>
            <w:tcW w:w="651" w:type="dxa"/>
            <w:tcBorders>
              <w:top w:val="nil"/>
              <w:left w:val="nil"/>
              <w:bottom w:val="single" w:color="auto" w:sz="4" w:space="0"/>
              <w:right w:val="single" w:color="auto" w:sz="4" w:space="0"/>
            </w:tcBorders>
            <w:vAlign w:val="center"/>
          </w:tcPr>
          <w:p w14:paraId="3487DB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993" w:type="dxa"/>
            <w:tcBorders>
              <w:top w:val="nil"/>
              <w:left w:val="nil"/>
              <w:bottom w:val="single" w:color="auto" w:sz="4" w:space="0"/>
              <w:right w:val="single" w:color="auto" w:sz="4" w:space="0"/>
            </w:tcBorders>
            <w:vAlign w:val="bottom"/>
          </w:tcPr>
          <w:p w14:paraId="01DEAAD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1E560A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04103DC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1022A2F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3C5CEE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12349A1">
        <w:tblPrEx>
          <w:tblCellMar>
            <w:top w:w="0" w:type="dxa"/>
            <w:left w:w="108" w:type="dxa"/>
            <w:bottom w:w="0" w:type="dxa"/>
            <w:right w:w="108" w:type="dxa"/>
          </w:tblCellMar>
        </w:tblPrEx>
        <w:trPr>
          <w:gridAfter w:val="1"/>
          <w:wAfter w:w="550" w:type="dxa"/>
          <w:trHeight w:val="645" w:hRule="atLeast"/>
          <w:jc w:val="center"/>
        </w:trPr>
        <w:tc>
          <w:tcPr>
            <w:tcW w:w="441" w:type="dxa"/>
            <w:tcBorders>
              <w:top w:val="nil"/>
              <w:left w:val="single" w:color="auto" w:sz="4" w:space="0"/>
              <w:bottom w:val="single" w:color="auto" w:sz="4" w:space="0"/>
              <w:right w:val="single" w:color="auto" w:sz="4" w:space="0"/>
            </w:tcBorders>
            <w:vAlign w:val="center"/>
          </w:tcPr>
          <w:p w14:paraId="635F530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552BBD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灌木修剪：树形较整齐美观，按要求维持形状。能够按照规范要求进行修剪。</w:t>
            </w:r>
          </w:p>
        </w:tc>
        <w:tc>
          <w:tcPr>
            <w:tcW w:w="651" w:type="dxa"/>
            <w:tcBorders>
              <w:top w:val="nil"/>
              <w:left w:val="nil"/>
              <w:bottom w:val="single" w:color="auto" w:sz="4" w:space="0"/>
              <w:right w:val="single" w:color="auto" w:sz="4" w:space="0"/>
            </w:tcBorders>
            <w:vAlign w:val="center"/>
          </w:tcPr>
          <w:p w14:paraId="40E711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993" w:type="dxa"/>
            <w:tcBorders>
              <w:top w:val="nil"/>
              <w:left w:val="nil"/>
              <w:bottom w:val="single" w:color="auto" w:sz="4" w:space="0"/>
              <w:right w:val="single" w:color="auto" w:sz="4" w:space="0"/>
            </w:tcBorders>
            <w:vAlign w:val="bottom"/>
          </w:tcPr>
          <w:p w14:paraId="1A5754F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226443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73FE49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5B7E0A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337253F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8C13BD8">
        <w:tblPrEx>
          <w:tblCellMar>
            <w:top w:w="0" w:type="dxa"/>
            <w:left w:w="108" w:type="dxa"/>
            <w:bottom w:w="0" w:type="dxa"/>
            <w:right w:w="108" w:type="dxa"/>
          </w:tblCellMar>
        </w:tblPrEx>
        <w:trPr>
          <w:gridAfter w:val="1"/>
          <w:wAfter w:w="550" w:type="dxa"/>
          <w:trHeight w:val="300" w:hRule="atLeast"/>
          <w:jc w:val="center"/>
        </w:trPr>
        <w:tc>
          <w:tcPr>
            <w:tcW w:w="441" w:type="dxa"/>
            <w:tcBorders>
              <w:top w:val="nil"/>
              <w:left w:val="single" w:color="auto" w:sz="4" w:space="0"/>
              <w:bottom w:val="single" w:color="auto" w:sz="4" w:space="0"/>
              <w:right w:val="single" w:color="auto" w:sz="4" w:space="0"/>
            </w:tcBorders>
            <w:vAlign w:val="center"/>
          </w:tcPr>
          <w:p w14:paraId="53FDE24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912" w:type="dxa"/>
            <w:tcBorders>
              <w:top w:val="nil"/>
              <w:left w:val="nil"/>
              <w:bottom w:val="single" w:color="auto" w:sz="4" w:space="0"/>
              <w:right w:val="single" w:color="auto" w:sz="4" w:space="0"/>
            </w:tcBorders>
            <w:vAlign w:val="center"/>
          </w:tcPr>
          <w:p w14:paraId="246D66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干枯枝、杂物：无死株桩头。树体无明显干枯枝，缠绕物。</w:t>
            </w:r>
          </w:p>
        </w:tc>
        <w:tc>
          <w:tcPr>
            <w:tcW w:w="651" w:type="dxa"/>
            <w:tcBorders>
              <w:top w:val="nil"/>
              <w:left w:val="nil"/>
              <w:bottom w:val="single" w:color="auto" w:sz="4" w:space="0"/>
              <w:right w:val="single" w:color="auto" w:sz="4" w:space="0"/>
            </w:tcBorders>
            <w:vAlign w:val="center"/>
          </w:tcPr>
          <w:p w14:paraId="0F606A1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93" w:type="dxa"/>
            <w:tcBorders>
              <w:top w:val="nil"/>
              <w:left w:val="nil"/>
              <w:bottom w:val="single" w:color="auto" w:sz="4" w:space="0"/>
              <w:right w:val="single" w:color="auto" w:sz="4" w:space="0"/>
            </w:tcBorders>
            <w:vAlign w:val="bottom"/>
          </w:tcPr>
          <w:p w14:paraId="3895FC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0E51F5C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EF1756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615172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592631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E91BACF">
        <w:tblPrEx>
          <w:tblCellMar>
            <w:top w:w="0" w:type="dxa"/>
            <w:left w:w="108" w:type="dxa"/>
            <w:bottom w:w="0" w:type="dxa"/>
            <w:right w:w="108" w:type="dxa"/>
          </w:tblCellMar>
        </w:tblPrEx>
        <w:trPr>
          <w:gridAfter w:val="1"/>
          <w:wAfter w:w="550" w:type="dxa"/>
          <w:trHeight w:val="390" w:hRule="atLeast"/>
          <w:jc w:val="center"/>
        </w:trPr>
        <w:tc>
          <w:tcPr>
            <w:tcW w:w="441" w:type="dxa"/>
            <w:tcBorders>
              <w:top w:val="nil"/>
              <w:left w:val="single" w:color="auto" w:sz="4" w:space="0"/>
              <w:bottom w:val="single" w:color="auto" w:sz="4" w:space="0"/>
              <w:right w:val="single" w:color="auto" w:sz="4" w:space="0"/>
            </w:tcBorders>
            <w:vAlign w:val="center"/>
          </w:tcPr>
          <w:p w14:paraId="48E459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4912" w:type="dxa"/>
            <w:tcBorders>
              <w:top w:val="nil"/>
              <w:left w:val="nil"/>
              <w:bottom w:val="single" w:color="auto" w:sz="4" w:space="0"/>
              <w:right w:val="single" w:color="auto" w:sz="4" w:space="0"/>
            </w:tcBorders>
            <w:vAlign w:val="center"/>
          </w:tcPr>
          <w:p w14:paraId="6F0DF2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草本地被、片植灌木</w:t>
            </w:r>
          </w:p>
        </w:tc>
        <w:tc>
          <w:tcPr>
            <w:tcW w:w="651" w:type="dxa"/>
            <w:tcBorders>
              <w:top w:val="nil"/>
              <w:left w:val="nil"/>
              <w:bottom w:val="single" w:color="auto" w:sz="4" w:space="0"/>
              <w:right w:val="single" w:color="auto" w:sz="4" w:space="0"/>
            </w:tcBorders>
            <w:vAlign w:val="center"/>
          </w:tcPr>
          <w:p w14:paraId="48F1A1B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center"/>
          </w:tcPr>
          <w:p w14:paraId="6273138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2E614E1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548F41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500C5E1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FE5B1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4835AD7">
        <w:tblPrEx>
          <w:tblCellMar>
            <w:top w:w="0" w:type="dxa"/>
            <w:left w:w="108" w:type="dxa"/>
            <w:bottom w:w="0" w:type="dxa"/>
            <w:right w:w="108" w:type="dxa"/>
          </w:tblCellMar>
        </w:tblPrEx>
        <w:trPr>
          <w:gridAfter w:val="1"/>
          <w:wAfter w:w="550" w:type="dxa"/>
          <w:trHeight w:val="1200" w:hRule="atLeast"/>
          <w:jc w:val="center"/>
        </w:trPr>
        <w:tc>
          <w:tcPr>
            <w:tcW w:w="441" w:type="dxa"/>
            <w:tcBorders>
              <w:top w:val="nil"/>
              <w:left w:val="single" w:color="auto" w:sz="4" w:space="0"/>
              <w:bottom w:val="single" w:color="auto" w:sz="4" w:space="0"/>
              <w:right w:val="single" w:color="auto" w:sz="4" w:space="0"/>
            </w:tcBorders>
            <w:vAlign w:val="center"/>
          </w:tcPr>
          <w:p w14:paraId="70B04E2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0667DE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生长及外观：生长较好，枝叶色泽正常，抽枝发叶符合物候。色块较满基本无缺，能按要求进行修剪。无干枯枝、黄叶、伤残枝及杂草。</w:t>
            </w:r>
          </w:p>
        </w:tc>
        <w:tc>
          <w:tcPr>
            <w:tcW w:w="651" w:type="dxa"/>
            <w:tcBorders>
              <w:top w:val="nil"/>
              <w:left w:val="nil"/>
              <w:bottom w:val="single" w:color="auto" w:sz="4" w:space="0"/>
              <w:right w:val="single" w:color="auto" w:sz="4" w:space="0"/>
            </w:tcBorders>
            <w:vAlign w:val="center"/>
          </w:tcPr>
          <w:p w14:paraId="277DA1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993" w:type="dxa"/>
            <w:tcBorders>
              <w:top w:val="nil"/>
              <w:left w:val="nil"/>
              <w:bottom w:val="single" w:color="auto" w:sz="4" w:space="0"/>
              <w:right w:val="single" w:color="auto" w:sz="4" w:space="0"/>
            </w:tcBorders>
            <w:vAlign w:val="center"/>
          </w:tcPr>
          <w:p w14:paraId="173B6F1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4F88B9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618501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911237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5473D2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1131C5D">
        <w:tblPrEx>
          <w:tblCellMar>
            <w:top w:w="0" w:type="dxa"/>
            <w:left w:w="108" w:type="dxa"/>
            <w:bottom w:w="0" w:type="dxa"/>
            <w:right w:w="108" w:type="dxa"/>
          </w:tblCellMar>
        </w:tblPrEx>
        <w:trPr>
          <w:gridAfter w:val="1"/>
          <w:wAfter w:w="550" w:type="dxa"/>
          <w:trHeight w:val="540" w:hRule="atLeast"/>
          <w:jc w:val="center"/>
        </w:trPr>
        <w:tc>
          <w:tcPr>
            <w:tcW w:w="441" w:type="dxa"/>
            <w:tcBorders>
              <w:top w:val="nil"/>
              <w:left w:val="single" w:color="auto" w:sz="4" w:space="0"/>
              <w:bottom w:val="single" w:color="auto" w:sz="4" w:space="0"/>
              <w:right w:val="single" w:color="auto" w:sz="4" w:space="0"/>
            </w:tcBorders>
            <w:vAlign w:val="center"/>
          </w:tcPr>
          <w:p w14:paraId="3D7E34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1BCD5B8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松土、勾边：土壤较疏松通透、湿润，平整，无明显积水；勾边较整齐、规范。</w:t>
            </w:r>
          </w:p>
        </w:tc>
        <w:tc>
          <w:tcPr>
            <w:tcW w:w="651" w:type="dxa"/>
            <w:tcBorders>
              <w:top w:val="nil"/>
              <w:left w:val="nil"/>
              <w:bottom w:val="single" w:color="auto" w:sz="4" w:space="0"/>
              <w:right w:val="single" w:color="auto" w:sz="4" w:space="0"/>
            </w:tcBorders>
            <w:vAlign w:val="center"/>
          </w:tcPr>
          <w:p w14:paraId="35649B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93" w:type="dxa"/>
            <w:tcBorders>
              <w:top w:val="nil"/>
              <w:left w:val="nil"/>
              <w:bottom w:val="single" w:color="auto" w:sz="4" w:space="0"/>
              <w:right w:val="single" w:color="auto" w:sz="4" w:space="0"/>
            </w:tcBorders>
            <w:vAlign w:val="center"/>
          </w:tcPr>
          <w:p w14:paraId="51810CE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0A75F9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082BC71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1B8D13E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0C03C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5D41E6">
        <w:tblPrEx>
          <w:tblCellMar>
            <w:top w:w="0" w:type="dxa"/>
            <w:left w:w="108" w:type="dxa"/>
            <w:bottom w:w="0" w:type="dxa"/>
            <w:right w:w="108" w:type="dxa"/>
          </w:tblCellMar>
        </w:tblPrEx>
        <w:trPr>
          <w:gridAfter w:val="1"/>
          <w:wAfter w:w="550" w:type="dxa"/>
          <w:trHeight w:val="319" w:hRule="atLeast"/>
          <w:jc w:val="center"/>
        </w:trPr>
        <w:tc>
          <w:tcPr>
            <w:tcW w:w="441" w:type="dxa"/>
            <w:tcBorders>
              <w:top w:val="nil"/>
              <w:left w:val="single" w:color="auto" w:sz="4" w:space="0"/>
              <w:bottom w:val="single" w:color="auto" w:sz="4" w:space="0"/>
              <w:right w:val="single" w:color="auto" w:sz="4" w:space="0"/>
            </w:tcBorders>
            <w:vAlign w:val="center"/>
          </w:tcPr>
          <w:p w14:paraId="55B3171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4912" w:type="dxa"/>
            <w:tcBorders>
              <w:top w:val="nil"/>
              <w:left w:val="nil"/>
              <w:bottom w:val="single" w:color="auto" w:sz="4" w:space="0"/>
              <w:right w:val="single" w:color="auto" w:sz="4" w:space="0"/>
            </w:tcBorders>
            <w:vAlign w:val="center"/>
          </w:tcPr>
          <w:p w14:paraId="79A520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651" w:type="dxa"/>
            <w:tcBorders>
              <w:top w:val="nil"/>
              <w:left w:val="nil"/>
              <w:bottom w:val="single" w:color="auto" w:sz="4" w:space="0"/>
              <w:right w:val="single" w:color="auto" w:sz="4" w:space="0"/>
            </w:tcBorders>
            <w:vAlign w:val="center"/>
          </w:tcPr>
          <w:p w14:paraId="063BD74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center"/>
          </w:tcPr>
          <w:p w14:paraId="58BC3B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4C7A73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6FDE215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47D76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0A5383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99CD95">
        <w:tblPrEx>
          <w:tblCellMar>
            <w:top w:w="0" w:type="dxa"/>
            <w:left w:w="108" w:type="dxa"/>
            <w:bottom w:w="0" w:type="dxa"/>
            <w:right w:w="108" w:type="dxa"/>
          </w:tblCellMar>
        </w:tblPrEx>
        <w:trPr>
          <w:gridAfter w:val="1"/>
          <w:wAfter w:w="550" w:type="dxa"/>
          <w:trHeight w:val="744" w:hRule="atLeast"/>
          <w:jc w:val="center"/>
        </w:trPr>
        <w:tc>
          <w:tcPr>
            <w:tcW w:w="441" w:type="dxa"/>
            <w:tcBorders>
              <w:top w:val="nil"/>
              <w:left w:val="single" w:color="auto" w:sz="4" w:space="0"/>
              <w:bottom w:val="single" w:color="auto" w:sz="4" w:space="0"/>
              <w:right w:val="single" w:color="auto" w:sz="4" w:space="0"/>
            </w:tcBorders>
            <w:vAlign w:val="center"/>
          </w:tcPr>
          <w:p w14:paraId="1D86C3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912" w:type="dxa"/>
            <w:tcBorders>
              <w:top w:val="nil"/>
              <w:left w:val="nil"/>
              <w:bottom w:val="single" w:color="auto" w:sz="4" w:space="0"/>
              <w:right w:val="single" w:color="auto" w:sz="4" w:space="0"/>
            </w:tcBorders>
            <w:vAlign w:val="center"/>
          </w:tcPr>
          <w:p w14:paraId="43EBB1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树盘大小适合，边线清晰，土面高度适当，培土较规范。树盘较干净整洁，无明显杂草及积水。土壤较疏松、通透湿润。</w:t>
            </w:r>
          </w:p>
        </w:tc>
        <w:tc>
          <w:tcPr>
            <w:tcW w:w="651" w:type="dxa"/>
            <w:tcBorders>
              <w:top w:val="nil"/>
              <w:left w:val="nil"/>
              <w:bottom w:val="single" w:color="auto" w:sz="4" w:space="0"/>
              <w:right w:val="single" w:color="auto" w:sz="4" w:space="0"/>
            </w:tcBorders>
            <w:vAlign w:val="center"/>
          </w:tcPr>
          <w:p w14:paraId="5C93BDF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93" w:type="dxa"/>
            <w:tcBorders>
              <w:top w:val="nil"/>
              <w:left w:val="nil"/>
              <w:bottom w:val="single" w:color="auto" w:sz="4" w:space="0"/>
              <w:right w:val="single" w:color="auto" w:sz="4" w:space="0"/>
            </w:tcBorders>
            <w:vAlign w:val="bottom"/>
          </w:tcPr>
          <w:p w14:paraId="15D7A2E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75986D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8D2969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16A53B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7C64A3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CF7FC39">
        <w:tblPrEx>
          <w:tblCellMar>
            <w:top w:w="0" w:type="dxa"/>
            <w:left w:w="108" w:type="dxa"/>
            <w:bottom w:w="0" w:type="dxa"/>
            <w:right w:w="108" w:type="dxa"/>
          </w:tblCellMar>
        </w:tblPrEx>
        <w:trPr>
          <w:gridAfter w:val="1"/>
          <w:wAfter w:w="550" w:type="dxa"/>
          <w:trHeight w:val="360" w:hRule="atLeast"/>
          <w:jc w:val="center"/>
        </w:trPr>
        <w:tc>
          <w:tcPr>
            <w:tcW w:w="441" w:type="dxa"/>
            <w:tcBorders>
              <w:top w:val="nil"/>
              <w:left w:val="single" w:color="auto" w:sz="4" w:space="0"/>
              <w:bottom w:val="single" w:color="auto" w:sz="4" w:space="0"/>
              <w:right w:val="single" w:color="auto" w:sz="4" w:space="0"/>
            </w:tcBorders>
            <w:vAlign w:val="center"/>
          </w:tcPr>
          <w:p w14:paraId="22B1A3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4912" w:type="dxa"/>
            <w:tcBorders>
              <w:top w:val="nil"/>
              <w:left w:val="nil"/>
              <w:bottom w:val="single" w:color="auto" w:sz="4" w:space="0"/>
              <w:right w:val="single" w:color="auto" w:sz="4" w:space="0"/>
            </w:tcBorders>
            <w:vAlign w:val="center"/>
          </w:tcPr>
          <w:p w14:paraId="0BFFD8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651" w:type="dxa"/>
            <w:tcBorders>
              <w:top w:val="nil"/>
              <w:left w:val="nil"/>
              <w:bottom w:val="single" w:color="auto" w:sz="4" w:space="0"/>
              <w:right w:val="single" w:color="auto" w:sz="4" w:space="0"/>
            </w:tcBorders>
            <w:vAlign w:val="center"/>
          </w:tcPr>
          <w:p w14:paraId="2848FEF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center"/>
          </w:tcPr>
          <w:p w14:paraId="3132E6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060B2D6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81192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67A3BA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1B92B3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9D22957">
        <w:tblPrEx>
          <w:tblCellMar>
            <w:top w:w="0" w:type="dxa"/>
            <w:left w:w="108" w:type="dxa"/>
            <w:bottom w:w="0" w:type="dxa"/>
            <w:right w:w="108" w:type="dxa"/>
          </w:tblCellMar>
        </w:tblPrEx>
        <w:trPr>
          <w:gridAfter w:val="1"/>
          <w:wAfter w:w="550" w:type="dxa"/>
          <w:trHeight w:val="1041" w:hRule="atLeast"/>
          <w:jc w:val="center"/>
        </w:trPr>
        <w:tc>
          <w:tcPr>
            <w:tcW w:w="441" w:type="dxa"/>
            <w:tcBorders>
              <w:top w:val="nil"/>
              <w:left w:val="single" w:color="auto" w:sz="4" w:space="0"/>
              <w:bottom w:val="single" w:color="auto" w:sz="4" w:space="0"/>
              <w:right w:val="single" w:color="auto" w:sz="4" w:space="0"/>
            </w:tcBorders>
            <w:vAlign w:val="center"/>
          </w:tcPr>
          <w:p w14:paraId="41CF4E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162696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生长及外观：草坪平整、青绿、色泽均匀、无枯黄；草坪高度控制在8cm以下，草坪边缘（与路面、色块交界处）顺滑整齐。</w:t>
            </w:r>
          </w:p>
        </w:tc>
        <w:tc>
          <w:tcPr>
            <w:tcW w:w="651" w:type="dxa"/>
            <w:tcBorders>
              <w:top w:val="nil"/>
              <w:left w:val="nil"/>
              <w:bottom w:val="single" w:color="auto" w:sz="4" w:space="0"/>
              <w:right w:val="single" w:color="auto" w:sz="4" w:space="0"/>
            </w:tcBorders>
            <w:vAlign w:val="center"/>
          </w:tcPr>
          <w:p w14:paraId="667ADE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993" w:type="dxa"/>
            <w:tcBorders>
              <w:top w:val="nil"/>
              <w:left w:val="nil"/>
              <w:bottom w:val="single" w:color="auto" w:sz="4" w:space="0"/>
              <w:right w:val="single" w:color="auto" w:sz="4" w:space="0"/>
            </w:tcBorders>
            <w:vAlign w:val="center"/>
          </w:tcPr>
          <w:p w14:paraId="619949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13333E5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6617F52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6B0926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1B2C22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40A84AE">
        <w:tblPrEx>
          <w:tblCellMar>
            <w:top w:w="0" w:type="dxa"/>
            <w:left w:w="108" w:type="dxa"/>
            <w:bottom w:w="0" w:type="dxa"/>
            <w:right w:w="108" w:type="dxa"/>
          </w:tblCellMar>
        </w:tblPrEx>
        <w:trPr>
          <w:gridAfter w:val="1"/>
          <w:wAfter w:w="550" w:type="dxa"/>
          <w:trHeight w:val="319" w:hRule="atLeast"/>
          <w:jc w:val="center"/>
        </w:trPr>
        <w:tc>
          <w:tcPr>
            <w:tcW w:w="441" w:type="dxa"/>
            <w:tcBorders>
              <w:top w:val="nil"/>
              <w:left w:val="single" w:color="auto" w:sz="4" w:space="0"/>
              <w:bottom w:val="single" w:color="auto" w:sz="4" w:space="0"/>
              <w:right w:val="single" w:color="auto" w:sz="4" w:space="0"/>
            </w:tcBorders>
            <w:vAlign w:val="center"/>
          </w:tcPr>
          <w:p w14:paraId="39EA519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1BA777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除杂：及时除杂，基本无杂草。</w:t>
            </w:r>
          </w:p>
        </w:tc>
        <w:tc>
          <w:tcPr>
            <w:tcW w:w="651" w:type="dxa"/>
            <w:tcBorders>
              <w:top w:val="nil"/>
              <w:left w:val="nil"/>
              <w:bottom w:val="single" w:color="auto" w:sz="4" w:space="0"/>
              <w:right w:val="single" w:color="auto" w:sz="4" w:space="0"/>
            </w:tcBorders>
            <w:vAlign w:val="center"/>
          </w:tcPr>
          <w:p w14:paraId="4C1CDE4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993" w:type="dxa"/>
            <w:tcBorders>
              <w:top w:val="nil"/>
              <w:left w:val="nil"/>
              <w:bottom w:val="single" w:color="auto" w:sz="4" w:space="0"/>
              <w:right w:val="single" w:color="auto" w:sz="4" w:space="0"/>
            </w:tcBorders>
            <w:vAlign w:val="center"/>
          </w:tcPr>
          <w:p w14:paraId="604DEA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2AC5A2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5C9E8C0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3D7474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1FD8FF7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B03EE7">
        <w:tblPrEx>
          <w:tblCellMar>
            <w:top w:w="0" w:type="dxa"/>
            <w:left w:w="108" w:type="dxa"/>
            <w:bottom w:w="0" w:type="dxa"/>
            <w:right w:w="108" w:type="dxa"/>
          </w:tblCellMar>
        </w:tblPrEx>
        <w:trPr>
          <w:gridAfter w:val="1"/>
          <w:wAfter w:w="550" w:type="dxa"/>
          <w:trHeight w:val="360" w:hRule="atLeast"/>
          <w:jc w:val="center"/>
        </w:trPr>
        <w:tc>
          <w:tcPr>
            <w:tcW w:w="441" w:type="dxa"/>
            <w:tcBorders>
              <w:top w:val="nil"/>
              <w:left w:val="single" w:color="auto" w:sz="4" w:space="0"/>
              <w:bottom w:val="single" w:color="auto" w:sz="4" w:space="0"/>
              <w:right w:val="single" w:color="auto" w:sz="4" w:space="0"/>
            </w:tcBorders>
            <w:vAlign w:val="center"/>
          </w:tcPr>
          <w:p w14:paraId="230541D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4912" w:type="dxa"/>
            <w:tcBorders>
              <w:top w:val="nil"/>
              <w:left w:val="nil"/>
              <w:bottom w:val="single" w:color="auto" w:sz="4" w:space="0"/>
              <w:right w:val="single" w:color="auto" w:sz="4" w:space="0"/>
            </w:tcBorders>
            <w:vAlign w:val="center"/>
          </w:tcPr>
          <w:p w14:paraId="18618F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w:t>
            </w:r>
          </w:p>
        </w:tc>
        <w:tc>
          <w:tcPr>
            <w:tcW w:w="651" w:type="dxa"/>
            <w:tcBorders>
              <w:top w:val="nil"/>
              <w:left w:val="nil"/>
              <w:bottom w:val="single" w:color="auto" w:sz="4" w:space="0"/>
              <w:right w:val="single" w:color="auto" w:sz="4" w:space="0"/>
            </w:tcBorders>
            <w:vAlign w:val="center"/>
          </w:tcPr>
          <w:p w14:paraId="204A740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center"/>
          </w:tcPr>
          <w:p w14:paraId="22D8C0C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3839C7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27B207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335DFB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42986B7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ED2820">
        <w:tblPrEx>
          <w:tblCellMar>
            <w:top w:w="0" w:type="dxa"/>
            <w:left w:w="108" w:type="dxa"/>
            <w:bottom w:w="0" w:type="dxa"/>
            <w:right w:w="108" w:type="dxa"/>
          </w:tblCellMar>
        </w:tblPrEx>
        <w:trPr>
          <w:gridAfter w:val="1"/>
          <w:wAfter w:w="550" w:type="dxa"/>
          <w:trHeight w:val="660" w:hRule="atLeast"/>
          <w:jc w:val="center"/>
        </w:trPr>
        <w:tc>
          <w:tcPr>
            <w:tcW w:w="441" w:type="dxa"/>
            <w:tcBorders>
              <w:top w:val="nil"/>
              <w:left w:val="single" w:color="auto" w:sz="4" w:space="0"/>
              <w:bottom w:val="single" w:color="auto" w:sz="4" w:space="0"/>
              <w:right w:val="single" w:color="auto" w:sz="4" w:space="0"/>
            </w:tcBorders>
            <w:vAlign w:val="center"/>
          </w:tcPr>
          <w:p w14:paraId="15ADCA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2500ED5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分车带内泥土边缘略低于路沿石，平整规范或符合设计要求，无明显石头、砖块等杂物。</w:t>
            </w:r>
          </w:p>
        </w:tc>
        <w:tc>
          <w:tcPr>
            <w:tcW w:w="651" w:type="dxa"/>
            <w:tcBorders>
              <w:top w:val="nil"/>
              <w:left w:val="nil"/>
              <w:bottom w:val="single" w:color="auto" w:sz="4" w:space="0"/>
              <w:right w:val="single" w:color="auto" w:sz="4" w:space="0"/>
            </w:tcBorders>
            <w:vAlign w:val="center"/>
          </w:tcPr>
          <w:p w14:paraId="70BFBD1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93" w:type="dxa"/>
            <w:tcBorders>
              <w:top w:val="nil"/>
              <w:left w:val="nil"/>
              <w:bottom w:val="single" w:color="auto" w:sz="4" w:space="0"/>
              <w:right w:val="single" w:color="auto" w:sz="4" w:space="0"/>
            </w:tcBorders>
            <w:vAlign w:val="center"/>
          </w:tcPr>
          <w:p w14:paraId="0158192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171CDB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32F14BA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767D16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5753E0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A39AE9D">
        <w:tblPrEx>
          <w:tblCellMar>
            <w:top w:w="0" w:type="dxa"/>
            <w:left w:w="108" w:type="dxa"/>
            <w:bottom w:w="0" w:type="dxa"/>
            <w:right w:w="108" w:type="dxa"/>
          </w:tblCellMar>
        </w:tblPrEx>
        <w:trPr>
          <w:gridAfter w:val="1"/>
          <w:wAfter w:w="550" w:type="dxa"/>
          <w:trHeight w:val="619" w:hRule="atLeast"/>
          <w:jc w:val="center"/>
        </w:trPr>
        <w:tc>
          <w:tcPr>
            <w:tcW w:w="441" w:type="dxa"/>
            <w:tcBorders>
              <w:top w:val="nil"/>
              <w:left w:val="single" w:color="auto" w:sz="4" w:space="0"/>
              <w:bottom w:val="single" w:color="auto" w:sz="4" w:space="0"/>
              <w:right w:val="single" w:color="auto" w:sz="4" w:space="0"/>
            </w:tcBorders>
            <w:vAlign w:val="center"/>
          </w:tcPr>
          <w:p w14:paraId="0BC860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571542E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色块及草坪基本无散落枝叶、泥土。因修剪工作而产生的杂物，能做到及时清理。</w:t>
            </w:r>
          </w:p>
        </w:tc>
        <w:tc>
          <w:tcPr>
            <w:tcW w:w="651" w:type="dxa"/>
            <w:tcBorders>
              <w:top w:val="nil"/>
              <w:left w:val="nil"/>
              <w:bottom w:val="single" w:color="auto" w:sz="4" w:space="0"/>
              <w:right w:val="single" w:color="auto" w:sz="4" w:space="0"/>
            </w:tcBorders>
            <w:vAlign w:val="center"/>
          </w:tcPr>
          <w:p w14:paraId="3EC56E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993" w:type="dxa"/>
            <w:tcBorders>
              <w:top w:val="nil"/>
              <w:left w:val="nil"/>
              <w:bottom w:val="single" w:color="auto" w:sz="4" w:space="0"/>
              <w:right w:val="single" w:color="auto" w:sz="4" w:space="0"/>
            </w:tcBorders>
            <w:vAlign w:val="center"/>
          </w:tcPr>
          <w:p w14:paraId="25DAB86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4AEA74D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715AE91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760F80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617848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39D207B">
        <w:tblPrEx>
          <w:tblCellMar>
            <w:top w:w="0" w:type="dxa"/>
            <w:left w:w="108" w:type="dxa"/>
            <w:bottom w:w="0" w:type="dxa"/>
            <w:right w:w="108" w:type="dxa"/>
          </w:tblCellMar>
        </w:tblPrEx>
        <w:trPr>
          <w:gridAfter w:val="1"/>
          <w:wAfter w:w="550" w:type="dxa"/>
          <w:trHeight w:val="435" w:hRule="atLeast"/>
          <w:jc w:val="center"/>
        </w:trPr>
        <w:tc>
          <w:tcPr>
            <w:tcW w:w="441" w:type="dxa"/>
            <w:tcBorders>
              <w:top w:val="nil"/>
              <w:left w:val="single" w:color="auto" w:sz="4" w:space="0"/>
              <w:bottom w:val="single" w:color="auto" w:sz="4" w:space="0"/>
              <w:right w:val="single" w:color="auto" w:sz="4" w:space="0"/>
            </w:tcBorders>
            <w:vAlign w:val="center"/>
          </w:tcPr>
          <w:p w14:paraId="664B154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4912" w:type="dxa"/>
            <w:tcBorders>
              <w:top w:val="nil"/>
              <w:left w:val="nil"/>
              <w:bottom w:val="single" w:color="auto" w:sz="4" w:space="0"/>
              <w:right w:val="single" w:color="auto" w:sz="4" w:space="0"/>
            </w:tcBorders>
            <w:vAlign w:val="center"/>
          </w:tcPr>
          <w:p w14:paraId="25EAAAB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w:t>
            </w:r>
          </w:p>
        </w:tc>
        <w:tc>
          <w:tcPr>
            <w:tcW w:w="651" w:type="dxa"/>
            <w:tcBorders>
              <w:top w:val="nil"/>
              <w:left w:val="nil"/>
              <w:bottom w:val="single" w:color="auto" w:sz="4" w:space="0"/>
              <w:right w:val="single" w:color="auto" w:sz="4" w:space="0"/>
            </w:tcBorders>
            <w:vAlign w:val="center"/>
          </w:tcPr>
          <w:p w14:paraId="70B8F11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993" w:type="dxa"/>
            <w:tcBorders>
              <w:top w:val="nil"/>
              <w:left w:val="nil"/>
              <w:bottom w:val="single" w:color="auto" w:sz="4" w:space="0"/>
              <w:right w:val="single" w:color="auto" w:sz="4" w:space="0"/>
            </w:tcBorders>
            <w:vAlign w:val="center"/>
          </w:tcPr>
          <w:p w14:paraId="14F6CD1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center"/>
          </w:tcPr>
          <w:p w14:paraId="55723D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036614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44352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14BC43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F9CBB7">
        <w:tblPrEx>
          <w:tblCellMar>
            <w:top w:w="0" w:type="dxa"/>
            <w:left w:w="108" w:type="dxa"/>
            <w:bottom w:w="0" w:type="dxa"/>
            <w:right w:w="108" w:type="dxa"/>
          </w:tblCellMar>
        </w:tblPrEx>
        <w:trPr>
          <w:gridAfter w:val="1"/>
          <w:wAfter w:w="550" w:type="dxa"/>
          <w:trHeight w:val="300" w:hRule="atLeast"/>
          <w:jc w:val="center"/>
        </w:trPr>
        <w:tc>
          <w:tcPr>
            <w:tcW w:w="441" w:type="dxa"/>
            <w:tcBorders>
              <w:top w:val="nil"/>
              <w:left w:val="single" w:color="auto" w:sz="4" w:space="0"/>
              <w:bottom w:val="single" w:color="auto" w:sz="4" w:space="0"/>
              <w:right w:val="single" w:color="auto" w:sz="4" w:space="0"/>
            </w:tcBorders>
            <w:vAlign w:val="center"/>
          </w:tcPr>
          <w:p w14:paraId="410A74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4912" w:type="dxa"/>
            <w:tcBorders>
              <w:top w:val="nil"/>
              <w:left w:val="nil"/>
              <w:bottom w:val="single" w:color="auto" w:sz="4" w:space="0"/>
              <w:right w:val="single" w:color="auto" w:sz="4" w:space="0"/>
            </w:tcBorders>
            <w:vAlign w:val="center"/>
          </w:tcPr>
          <w:p w14:paraId="424A2AC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覆盖率和保存率</w:t>
            </w:r>
          </w:p>
        </w:tc>
        <w:tc>
          <w:tcPr>
            <w:tcW w:w="651" w:type="dxa"/>
            <w:tcBorders>
              <w:top w:val="nil"/>
              <w:left w:val="nil"/>
              <w:bottom w:val="single" w:color="auto" w:sz="4" w:space="0"/>
              <w:right w:val="single" w:color="auto" w:sz="4" w:space="0"/>
            </w:tcBorders>
            <w:vAlign w:val="center"/>
          </w:tcPr>
          <w:p w14:paraId="76F512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bottom"/>
          </w:tcPr>
          <w:p w14:paraId="454ED1D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54E82E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2187ED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8AEB9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608FDB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05B307F">
        <w:tblPrEx>
          <w:tblCellMar>
            <w:top w:w="0" w:type="dxa"/>
            <w:left w:w="108" w:type="dxa"/>
            <w:bottom w:w="0" w:type="dxa"/>
            <w:right w:w="108" w:type="dxa"/>
          </w:tblCellMar>
        </w:tblPrEx>
        <w:trPr>
          <w:gridAfter w:val="1"/>
          <w:wAfter w:w="550" w:type="dxa"/>
          <w:trHeight w:val="660" w:hRule="atLeast"/>
          <w:jc w:val="center"/>
        </w:trPr>
        <w:tc>
          <w:tcPr>
            <w:tcW w:w="441" w:type="dxa"/>
            <w:tcBorders>
              <w:top w:val="nil"/>
              <w:left w:val="single" w:color="auto" w:sz="4" w:space="0"/>
              <w:bottom w:val="single" w:color="auto" w:sz="4" w:space="0"/>
              <w:right w:val="single" w:color="auto" w:sz="4" w:space="0"/>
            </w:tcBorders>
            <w:vAlign w:val="center"/>
          </w:tcPr>
          <w:p w14:paraId="49528C8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nil"/>
              <w:left w:val="nil"/>
              <w:bottom w:val="single" w:color="auto" w:sz="4" w:space="0"/>
              <w:right w:val="single" w:color="auto" w:sz="4" w:space="0"/>
            </w:tcBorders>
            <w:vAlign w:val="center"/>
          </w:tcPr>
          <w:p w14:paraId="413039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人行道第一排行道树及分车带行道树无缺株，第二排行道树及灌木无明显缺株。</w:t>
            </w:r>
          </w:p>
        </w:tc>
        <w:tc>
          <w:tcPr>
            <w:tcW w:w="651" w:type="dxa"/>
            <w:tcBorders>
              <w:top w:val="nil"/>
              <w:left w:val="nil"/>
              <w:bottom w:val="single" w:color="auto" w:sz="4" w:space="0"/>
              <w:right w:val="single" w:color="auto" w:sz="4" w:space="0"/>
            </w:tcBorders>
            <w:vAlign w:val="center"/>
          </w:tcPr>
          <w:p w14:paraId="28313FB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993" w:type="dxa"/>
            <w:tcBorders>
              <w:top w:val="nil"/>
              <w:left w:val="nil"/>
              <w:bottom w:val="single" w:color="auto" w:sz="4" w:space="0"/>
              <w:right w:val="single" w:color="auto" w:sz="4" w:space="0"/>
            </w:tcBorders>
            <w:vAlign w:val="bottom"/>
          </w:tcPr>
          <w:p w14:paraId="1A96C5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594F6F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7D2E7C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29615F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0843C3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16D60F7">
        <w:tblPrEx>
          <w:tblCellMar>
            <w:top w:w="0" w:type="dxa"/>
            <w:left w:w="108" w:type="dxa"/>
            <w:bottom w:w="0" w:type="dxa"/>
            <w:right w:w="108" w:type="dxa"/>
          </w:tblCellMar>
        </w:tblPrEx>
        <w:trPr>
          <w:gridAfter w:val="1"/>
          <w:wAfter w:w="550" w:type="dxa"/>
          <w:trHeight w:val="319" w:hRule="atLeast"/>
          <w:jc w:val="center"/>
        </w:trPr>
        <w:tc>
          <w:tcPr>
            <w:tcW w:w="441" w:type="dxa"/>
            <w:tcBorders>
              <w:top w:val="nil"/>
              <w:left w:val="single" w:color="auto" w:sz="4" w:space="0"/>
              <w:bottom w:val="single" w:color="auto" w:sz="4" w:space="0"/>
              <w:right w:val="single" w:color="auto" w:sz="4" w:space="0"/>
            </w:tcBorders>
            <w:vAlign w:val="center"/>
          </w:tcPr>
          <w:p w14:paraId="7343B31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4912" w:type="dxa"/>
            <w:tcBorders>
              <w:top w:val="nil"/>
              <w:left w:val="nil"/>
              <w:bottom w:val="single" w:color="auto" w:sz="4" w:space="0"/>
              <w:right w:val="single" w:color="auto" w:sz="4" w:space="0"/>
            </w:tcBorders>
            <w:vAlign w:val="center"/>
          </w:tcPr>
          <w:p w14:paraId="1877218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绿带保存较好，无明显缺株、黄土裸露现象。</w:t>
            </w:r>
          </w:p>
        </w:tc>
        <w:tc>
          <w:tcPr>
            <w:tcW w:w="651" w:type="dxa"/>
            <w:tcBorders>
              <w:top w:val="nil"/>
              <w:left w:val="nil"/>
              <w:bottom w:val="single" w:color="auto" w:sz="4" w:space="0"/>
              <w:right w:val="single" w:color="auto" w:sz="4" w:space="0"/>
            </w:tcBorders>
            <w:vAlign w:val="center"/>
          </w:tcPr>
          <w:p w14:paraId="2656FFB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993" w:type="dxa"/>
            <w:tcBorders>
              <w:top w:val="nil"/>
              <w:left w:val="nil"/>
              <w:bottom w:val="single" w:color="auto" w:sz="4" w:space="0"/>
              <w:right w:val="single" w:color="auto" w:sz="4" w:space="0"/>
            </w:tcBorders>
            <w:vAlign w:val="bottom"/>
          </w:tcPr>
          <w:p w14:paraId="5BED5BF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181109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4D1E3A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413EBE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6AB465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8073C50">
        <w:tblPrEx>
          <w:tblCellMar>
            <w:top w:w="0" w:type="dxa"/>
            <w:left w:w="108" w:type="dxa"/>
            <w:bottom w:w="0" w:type="dxa"/>
            <w:right w:w="108" w:type="dxa"/>
          </w:tblCellMar>
        </w:tblPrEx>
        <w:trPr>
          <w:gridAfter w:val="1"/>
          <w:wAfter w:w="550" w:type="dxa"/>
          <w:trHeight w:val="319" w:hRule="atLeast"/>
          <w:jc w:val="center"/>
        </w:trPr>
        <w:tc>
          <w:tcPr>
            <w:tcW w:w="441" w:type="dxa"/>
            <w:tcBorders>
              <w:top w:val="single" w:color="auto" w:sz="4" w:space="0"/>
              <w:left w:val="single" w:color="auto" w:sz="4" w:space="0"/>
              <w:bottom w:val="single" w:color="auto" w:sz="4" w:space="0"/>
              <w:right w:val="nil"/>
            </w:tcBorders>
            <w:vAlign w:val="bottom"/>
          </w:tcPr>
          <w:p w14:paraId="21EFA0A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4912" w:type="dxa"/>
            <w:tcBorders>
              <w:top w:val="nil"/>
              <w:left w:val="single" w:color="auto" w:sz="4" w:space="0"/>
              <w:bottom w:val="single" w:color="auto" w:sz="4" w:space="0"/>
              <w:right w:val="single" w:color="auto" w:sz="4" w:space="0"/>
            </w:tcBorders>
            <w:vAlign w:val="center"/>
          </w:tcPr>
          <w:p w14:paraId="48A409DD">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651" w:type="dxa"/>
            <w:tcBorders>
              <w:top w:val="nil"/>
              <w:left w:val="nil"/>
              <w:bottom w:val="single" w:color="auto" w:sz="4" w:space="0"/>
              <w:right w:val="single" w:color="auto" w:sz="4" w:space="0"/>
            </w:tcBorders>
            <w:vAlign w:val="center"/>
          </w:tcPr>
          <w:p w14:paraId="22775A5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tcPr>
          <w:p w14:paraId="51EADC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tcPr>
          <w:p w14:paraId="633BE9D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02EB594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362B47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10B1C5E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3CCB578">
        <w:tblPrEx>
          <w:tblCellMar>
            <w:top w:w="0" w:type="dxa"/>
            <w:left w:w="108" w:type="dxa"/>
            <w:bottom w:w="0" w:type="dxa"/>
            <w:right w:w="108" w:type="dxa"/>
          </w:tblCellMar>
        </w:tblPrEx>
        <w:trPr>
          <w:gridAfter w:val="1"/>
          <w:wAfter w:w="550" w:type="dxa"/>
          <w:trHeight w:val="900" w:hRule="atLeast"/>
          <w:jc w:val="center"/>
        </w:trPr>
        <w:tc>
          <w:tcPr>
            <w:tcW w:w="441" w:type="dxa"/>
            <w:tcBorders>
              <w:top w:val="single" w:color="auto" w:sz="4" w:space="0"/>
              <w:left w:val="single" w:color="auto" w:sz="4" w:space="0"/>
              <w:bottom w:val="single" w:color="auto" w:sz="4" w:space="0"/>
              <w:right w:val="single" w:color="auto" w:sz="4" w:space="0"/>
            </w:tcBorders>
            <w:vAlign w:val="center"/>
          </w:tcPr>
          <w:p w14:paraId="712DFE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4912" w:type="dxa"/>
            <w:tcBorders>
              <w:top w:val="single" w:color="auto" w:sz="4" w:space="0"/>
              <w:left w:val="nil"/>
              <w:bottom w:val="single" w:color="auto" w:sz="4" w:space="0"/>
              <w:right w:val="single" w:color="auto" w:sz="4" w:space="0"/>
            </w:tcBorders>
          </w:tcPr>
          <w:p w14:paraId="095217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病虫害危害未达到明显程度。食叶害虫危害的叶片每处（株）不超过10%，刺吸式害虫危害的叶片每处（株）不超过15%，蛀干性害虫危害每处（株）在2%以下。病害每处（株）不超过10%。</w:t>
            </w:r>
          </w:p>
        </w:tc>
        <w:tc>
          <w:tcPr>
            <w:tcW w:w="651" w:type="dxa"/>
            <w:tcBorders>
              <w:top w:val="single" w:color="auto" w:sz="4" w:space="0"/>
              <w:left w:val="nil"/>
              <w:bottom w:val="single" w:color="auto" w:sz="4" w:space="0"/>
              <w:right w:val="single" w:color="auto" w:sz="4" w:space="0"/>
            </w:tcBorders>
            <w:vAlign w:val="center"/>
          </w:tcPr>
          <w:p w14:paraId="4AA18AD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93" w:type="dxa"/>
            <w:tcBorders>
              <w:top w:val="single" w:color="auto" w:sz="4" w:space="0"/>
              <w:left w:val="nil"/>
              <w:bottom w:val="single" w:color="auto" w:sz="4" w:space="0"/>
              <w:right w:val="single" w:color="auto" w:sz="4" w:space="0"/>
            </w:tcBorders>
          </w:tcPr>
          <w:p w14:paraId="135D9A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single" w:color="auto" w:sz="4" w:space="0"/>
              <w:left w:val="nil"/>
              <w:bottom w:val="single" w:color="auto" w:sz="4" w:space="0"/>
              <w:right w:val="single" w:color="auto" w:sz="4" w:space="0"/>
            </w:tcBorders>
          </w:tcPr>
          <w:p w14:paraId="582277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single" w:color="auto" w:sz="4" w:space="0"/>
              <w:left w:val="nil"/>
              <w:bottom w:val="single" w:color="auto" w:sz="4" w:space="0"/>
              <w:right w:val="single" w:color="auto" w:sz="4" w:space="0"/>
            </w:tcBorders>
            <w:vAlign w:val="center"/>
          </w:tcPr>
          <w:p w14:paraId="0286DA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single" w:color="auto" w:sz="4" w:space="0"/>
              <w:left w:val="nil"/>
              <w:bottom w:val="single" w:color="auto" w:sz="4" w:space="0"/>
              <w:right w:val="single" w:color="auto" w:sz="4" w:space="0"/>
            </w:tcBorders>
            <w:vAlign w:val="center"/>
          </w:tcPr>
          <w:p w14:paraId="28996B9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single" w:color="auto" w:sz="4" w:space="0"/>
              <w:left w:val="nil"/>
              <w:bottom w:val="single" w:color="auto" w:sz="4" w:space="0"/>
              <w:right w:val="single" w:color="auto" w:sz="4" w:space="0"/>
            </w:tcBorders>
            <w:vAlign w:val="center"/>
          </w:tcPr>
          <w:p w14:paraId="4924BF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86497A">
        <w:tblPrEx>
          <w:tblCellMar>
            <w:top w:w="0" w:type="dxa"/>
            <w:left w:w="108" w:type="dxa"/>
            <w:bottom w:w="0" w:type="dxa"/>
            <w:right w:w="108" w:type="dxa"/>
          </w:tblCellMar>
        </w:tblPrEx>
        <w:trPr>
          <w:gridAfter w:val="1"/>
          <w:wAfter w:w="550" w:type="dxa"/>
          <w:trHeight w:val="255" w:hRule="atLeast"/>
          <w:jc w:val="center"/>
        </w:trPr>
        <w:tc>
          <w:tcPr>
            <w:tcW w:w="441" w:type="dxa"/>
            <w:tcBorders>
              <w:top w:val="single" w:color="auto" w:sz="4" w:space="0"/>
              <w:left w:val="single" w:color="auto" w:sz="4" w:space="0"/>
              <w:bottom w:val="single" w:color="auto" w:sz="4" w:space="0"/>
              <w:right w:val="single" w:color="auto" w:sz="4" w:space="0"/>
            </w:tcBorders>
            <w:vAlign w:val="center"/>
          </w:tcPr>
          <w:p w14:paraId="7C96F9D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w:t>
            </w:r>
          </w:p>
        </w:tc>
        <w:tc>
          <w:tcPr>
            <w:tcW w:w="4912" w:type="dxa"/>
            <w:tcBorders>
              <w:top w:val="single" w:color="auto" w:sz="4" w:space="0"/>
              <w:left w:val="nil"/>
              <w:bottom w:val="single" w:color="auto" w:sz="4" w:space="0"/>
              <w:right w:val="single" w:color="auto" w:sz="4" w:space="0"/>
            </w:tcBorders>
            <w:vAlign w:val="center"/>
          </w:tcPr>
          <w:p w14:paraId="7B9AADB1">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651" w:type="dxa"/>
            <w:tcBorders>
              <w:top w:val="single" w:color="auto" w:sz="4" w:space="0"/>
              <w:left w:val="nil"/>
              <w:bottom w:val="single" w:color="auto" w:sz="4" w:space="0"/>
              <w:right w:val="single" w:color="auto" w:sz="4" w:space="0"/>
            </w:tcBorders>
            <w:vAlign w:val="center"/>
          </w:tcPr>
          <w:p w14:paraId="5716F78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single" w:color="auto" w:sz="4" w:space="0"/>
              <w:left w:val="nil"/>
              <w:bottom w:val="single" w:color="auto" w:sz="4" w:space="0"/>
              <w:right w:val="single" w:color="auto" w:sz="4" w:space="0"/>
            </w:tcBorders>
          </w:tcPr>
          <w:p w14:paraId="40D6E4E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single" w:color="auto" w:sz="4" w:space="0"/>
              <w:left w:val="nil"/>
              <w:bottom w:val="single" w:color="auto" w:sz="4" w:space="0"/>
              <w:right w:val="single" w:color="auto" w:sz="4" w:space="0"/>
            </w:tcBorders>
          </w:tcPr>
          <w:p w14:paraId="2DA700A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single" w:color="auto" w:sz="4" w:space="0"/>
              <w:left w:val="nil"/>
              <w:bottom w:val="single" w:color="auto" w:sz="4" w:space="0"/>
              <w:right w:val="single" w:color="auto" w:sz="4" w:space="0"/>
            </w:tcBorders>
            <w:vAlign w:val="center"/>
          </w:tcPr>
          <w:p w14:paraId="7D52DE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single" w:color="auto" w:sz="4" w:space="0"/>
              <w:left w:val="nil"/>
              <w:bottom w:val="single" w:color="auto" w:sz="4" w:space="0"/>
              <w:right w:val="single" w:color="auto" w:sz="4" w:space="0"/>
            </w:tcBorders>
            <w:vAlign w:val="center"/>
          </w:tcPr>
          <w:p w14:paraId="428E2A7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single" w:color="auto" w:sz="4" w:space="0"/>
              <w:left w:val="nil"/>
              <w:bottom w:val="single" w:color="auto" w:sz="4" w:space="0"/>
              <w:right w:val="single" w:color="auto" w:sz="4" w:space="0"/>
            </w:tcBorders>
            <w:vAlign w:val="center"/>
          </w:tcPr>
          <w:p w14:paraId="302F44C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A2A05EE">
        <w:tblPrEx>
          <w:tblCellMar>
            <w:top w:w="0" w:type="dxa"/>
            <w:left w:w="108" w:type="dxa"/>
            <w:bottom w:w="0" w:type="dxa"/>
            <w:right w:w="108" w:type="dxa"/>
          </w:tblCellMar>
        </w:tblPrEx>
        <w:trPr>
          <w:gridAfter w:val="1"/>
          <w:wAfter w:w="550" w:type="dxa"/>
          <w:trHeight w:val="480" w:hRule="atLeast"/>
          <w:jc w:val="center"/>
        </w:trPr>
        <w:tc>
          <w:tcPr>
            <w:tcW w:w="441" w:type="dxa"/>
            <w:tcBorders>
              <w:top w:val="nil"/>
              <w:left w:val="single" w:color="auto" w:sz="4" w:space="0"/>
              <w:bottom w:val="single" w:color="auto" w:sz="4" w:space="0"/>
              <w:right w:val="single" w:color="auto" w:sz="4" w:space="0"/>
            </w:tcBorders>
            <w:vAlign w:val="center"/>
          </w:tcPr>
          <w:p w14:paraId="2460F7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4912" w:type="dxa"/>
            <w:tcBorders>
              <w:top w:val="nil"/>
              <w:left w:val="nil"/>
              <w:bottom w:val="single" w:color="auto" w:sz="4" w:space="0"/>
              <w:right w:val="single" w:color="auto" w:sz="4" w:space="0"/>
            </w:tcBorders>
            <w:vAlign w:val="center"/>
          </w:tcPr>
          <w:p w14:paraId="435958D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植株长势较为旺盛，叶子挺直，嫩稍不萎垂，土壤不干裂，无积水。无淋水造成的苗木倒伏、枝叶损伤、黄土污染路面现象。</w:t>
            </w:r>
          </w:p>
        </w:tc>
        <w:tc>
          <w:tcPr>
            <w:tcW w:w="651" w:type="dxa"/>
            <w:tcBorders>
              <w:top w:val="nil"/>
              <w:left w:val="nil"/>
              <w:bottom w:val="single" w:color="auto" w:sz="4" w:space="0"/>
              <w:right w:val="single" w:color="auto" w:sz="4" w:space="0"/>
            </w:tcBorders>
            <w:vAlign w:val="center"/>
          </w:tcPr>
          <w:p w14:paraId="5BB43ED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993" w:type="dxa"/>
            <w:tcBorders>
              <w:top w:val="nil"/>
              <w:left w:val="nil"/>
              <w:bottom w:val="single" w:color="auto" w:sz="4" w:space="0"/>
              <w:right w:val="single" w:color="auto" w:sz="4" w:space="0"/>
            </w:tcBorders>
            <w:vAlign w:val="bottom"/>
          </w:tcPr>
          <w:p w14:paraId="50ADDD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6220E3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64D643A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78B56C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34AFD33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B5BB5C8">
        <w:tblPrEx>
          <w:tblCellMar>
            <w:top w:w="0" w:type="dxa"/>
            <w:left w:w="108" w:type="dxa"/>
            <w:bottom w:w="0" w:type="dxa"/>
            <w:right w:w="108" w:type="dxa"/>
          </w:tblCellMar>
        </w:tblPrEx>
        <w:trPr>
          <w:gridAfter w:val="1"/>
          <w:wAfter w:w="550" w:type="dxa"/>
          <w:trHeight w:val="255" w:hRule="atLeast"/>
          <w:jc w:val="center"/>
        </w:trPr>
        <w:tc>
          <w:tcPr>
            <w:tcW w:w="441" w:type="dxa"/>
            <w:tcBorders>
              <w:top w:val="nil"/>
              <w:left w:val="single" w:color="auto" w:sz="4" w:space="0"/>
              <w:bottom w:val="single" w:color="auto" w:sz="4" w:space="0"/>
              <w:right w:val="single" w:color="auto" w:sz="4" w:space="0"/>
            </w:tcBorders>
            <w:vAlign w:val="center"/>
          </w:tcPr>
          <w:p w14:paraId="63251C3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4912" w:type="dxa"/>
            <w:tcBorders>
              <w:top w:val="nil"/>
              <w:left w:val="nil"/>
              <w:bottom w:val="single" w:color="auto" w:sz="4" w:space="0"/>
              <w:right w:val="single" w:color="auto" w:sz="4" w:space="0"/>
            </w:tcBorders>
            <w:vAlign w:val="center"/>
          </w:tcPr>
          <w:p w14:paraId="6AF87B6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51" w:type="dxa"/>
            <w:tcBorders>
              <w:top w:val="nil"/>
              <w:left w:val="nil"/>
              <w:bottom w:val="single" w:color="auto" w:sz="4" w:space="0"/>
              <w:right w:val="single" w:color="auto" w:sz="4" w:space="0"/>
            </w:tcBorders>
            <w:vAlign w:val="bottom"/>
          </w:tcPr>
          <w:p w14:paraId="587CBD49">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993" w:type="dxa"/>
            <w:tcBorders>
              <w:top w:val="nil"/>
              <w:left w:val="nil"/>
              <w:bottom w:val="single" w:color="auto" w:sz="4" w:space="0"/>
              <w:right w:val="single" w:color="auto" w:sz="4" w:space="0"/>
            </w:tcBorders>
            <w:vAlign w:val="bottom"/>
          </w:tcPr>
          <w:p w14:paraId="67C675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92" w:type="dxa"/>
            <w:tcBorders>
              <w:top w:val="nil"/>
              <w:left w:val="nil"/>
              <w:bottom w:val="single" w:color="auto" w:sz="4" w:space="0"/>
              <w:right w:val="single" w:color="auto" w:sz="4" w:space="0"/>
            </w:tcBorders>
            <w:vAlign w:val="bottom"/>
          </w:tcPr>
          <w:p w14:paraId="1082C33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6" w:type="dxa"/>
            <w:tcBorders>
              <w:top w:val="nil"/>
              <w:left w:val="nil"/>
              <w:bottom w:val="single" w:color="auto" w:sz="4" w:space="0"/>
              <w:right w:val="single" w:color="auto" w:sz="4" w:space="0"/>
            </w:tcBorders>
            <w:vAlign w:val="center"/>
          </w:tcPr>
          <w:p w14:paraId="767CC68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13" w:type="dxa"/>
            <w:tcBorders>
              <w:top w:val="nil"/>
              <w:left w:val="nil"/>
              <w:bottom w:val="single" w:color="auto" w:sz="4" w:space="0"/>
              <w:right w:val="single" w:color="auto" w:sz="4" w:space="0"/>
            </w:tcBorders>
            <w:vAlign w:val="center"/>
          </w:tcPr>
          <w:p w14:paraId="2B8E52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09" w:type="dxa"/>
            <w:tcBorders>
              <w:top w:val="nil"/>
              <w:left w:val="nil"/>
              <w:bottom w:val="single" w:color="auto" w:sz="4" w:space="0"/>
              <w:right w:val="single" w:color="auto" w:sz="4" w:space="0"/>
            </w:tcBorders>
            <w:vAlign w:val="center"/>
          </w:tcPr>
          <w:p w14:paraId="225C7FA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378E865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p w14:paraId="5D00848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0F50272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16ED25A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2243144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BDCA2E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73FF9A7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3D1BBF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D2B878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076B2F2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5BB41CC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088DEBE7">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sectPr>
          <w:footerReference r:id="rId7" w:type="default"/>
          <w:pgSz w:w="11906" w:h="16838"/>
          <w:pgMar w:top="1474" w:right="1418" w:bottom="1474" w:left="1418" w:header="851" w:footer="992" w:gutter="0"/>
          <w:cols w:space="720" w:num="1"/>
          <w:docGrid w:type="linesAndChars" w:linePitch="312" w:charSpace="0"/>
        </w:sectPr>
      </w:pPr>
    </w:p>
    <w:tbl>
      <w:tblPr>
        <w:tblStyle w:val="20"/>
        <w:tblW w:w="9189" w:type="dxa"/>
        <w:jc w:val="center"/>
        <w:tblLayout w:type="fixed"/>
        <w:tblCellMar>
          <w:top w:w="0" w:type="dxa"/>
          <w:left w:w="108" w:type="dxa"/>
          <w:bottom w:w="0" w:type="dxa"/>
          <w:right w:w="108" w:type="dxa"/>
        </w:tblCellMar>
      </w:tblPr>
      <w:tblGrid>
        <w:gridCol w:w="336"/>
        <w:gridCol w:w="5392"/>
        <w:gridCol w:w="725"/>
        <w:gridCol w:w="741"/>
        <w:gridCol w:w="436"/>
        <w:gridCol w:w="397"/>
        <w:gridCol w:w="581"/>
        <w:gridCol w:w="509"/>
        <w:gridCol w:w="72"/>
      </w:tblGrid>
      <w:tr w14:paraId="0B00A996">
        <w:tblPrEx>
          <w:tblCellMar>
            <w:top w:w="0" w:type="dxa"/>
            <w:left w:w="108" w:type="dxa"/>
            <w:bottom w:w="0" w:type="dxa"/>
            <w:right w:w="108" w:type="dxa"/>
          </w:tblCellMar>
        </w:tblPrEx>
        <w:trPr>
          <w:gridAfter w:val="1"/>
          <w:wAfter w:w="72" w:type="dxa"/>
          <w:trHeight w:val="517" w:hRule="atLeast"/>
          <w:jc w:val="center"/>
        </w:trPr>
        <w:tc>
          <w:tcPr>
            <w:tcW w:w="9117" w:type="dxa"/>
            <w:gridSpan w:val="8"/>
            <w:vAlign w:val="center"/>
          </w:tcPr>
          <w:p w14:paraId="150D9BB3">
            <w:pPr>
              <w:keepNext w:val="0"/>
              <w:keepLines w:val="0"/>
              <w:pageBreakBefore w:val="0"/>
              <w:widowControl/>
              <w:kinsoku/>
              <w:overflowPunct/>
              <w:topLinePunct w:val="0"/>
              <w:bidi w:val="0"/>
              <w:snapToGrid/>
              <w:spacing w:line="360" w:lineRule="auto"/>
              <w:jc w:val="both"/>
              <w:outlineLvl w:val="9"/>
              <w:rPr>
                <w:rFonts w:hint="eastAsia" w:ascii="宋体" w:hAnsi="宋体" w:eastAsia="宋体" w:cs="宋体"/>
                <w:b/>
                <w:bCs/>
                <w:color w:val="auto"/>
                <w:kern w:val="0"/>
                <w:sz w:val="24"/>
                <w:szCs w:val="24"/>
                <w:highlight w:val="none"/>
              </w:rPr>
            </w:pPr>
          </w:p>
          <w:p w14:paraId="59F91BE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3.三级行道树绿带、分车带养护效果评分表</w:t>
            </w:r>
          </w:p>
        </w:tc>
      </w:tr>
      <w:tr w14:paraId="5B521EC5">
        <w:tblPrEx>
          <w:tblCellMar>
            <w:top w:w="0" w:type="dxa"/>
            <w:left w:w="108" w:type="dxa"/>
            <w:bottom w:w="0" w:type="dxa"/>
            <w:right w:w="108" w:type="dxa"/>
          </w:tblCellMar>
        </w:tblPrEx>
        <w:trPr>
          <w:gridAfter w:val="1"/>
          <w:wAfter w:w="72" w:type="dxa"/>
          <w:trHeight w:val="330" w:hRule="atLeast"/>
          <w:jc w:val="center"/>
        </w:trPr>
        <w:tc>
          <w:tcPr>
            <w:tcW w:w="9117" w:type="dxa"/>
            <w:gridSpan w:val="8"/>
            <w:tcBorders>
              <w:top w:val="nil"/>
              <w:left w:val="nil"/>
              <w:bottom w:val="single" w:color="auto" w:sz="4" w:space="0"/>
              <w:right w:val="nil"/>
            </w:tcBorders>
            <w:vAlign w:val="center"/>
          </w:tcPr>
          <w:p w14:paraId="1D8AA274">
            <w:pPr>
              <w:keepNext w:val="0"/>
              <w:keepLines w:val="0"/>
              <w:pageBreakBefore w:val="0"/>
              <w:widowControl/>
              <w:kinsoku/>
              <w:overflowPunct/>
              <w:topLinePunct w:val="0"/>
              <w:bidi w:val="0"/>
              <w:snapToGrid/>
              <w:spacing w:line="360" w:lineRule="auto"/>
              <w:ind w:firstLine="240" w:firstLineChars="100"/>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4379FAB9">
        <w:tblPrEx>
          <w:tblCellMar>
            <w:top w:w="0" w:type="dxa"/>
            <w:left w:w="108" w:type="dxa"/>
            <w:bottom w:w="0" w:type="dxa"/>
            <w:right w:w="108" w:type="dxa"/>
          </w:tblCellMar>
        </w:tblPrEx>
        <w:trPr>
          <w:trHeight w:val="561" w:hRule="atLeast"/>
          <w:jc w:val="center"/>
        </w:trPr>
        <w:tc>
          <w:tcPr>
            <w:tcW w:w="336" w:type="dxa"/>
            <w:tcBorders>
              <w:top w:val="nil"/>
              <w:left w:val="single" w:color="auto" w:sz="4" w:space="0"/>
              <w:bottom w:val="single" w:color="000000" w:sz="4" w:space="0"/>
              <w:right w:val="single" w:color="auto" w:sz="4" w:space="0"/>
            </w:tcBorders>
            <w:vAlign w:val="center"/>
          </w:tcPr>
          <w:p w14:paraId="427AAB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392" w:type="dxa"/>
            <w:tcBorders>
              <w:top w:val="nil"/>
              <w:left w:val="single" w:color="auto" w:sz="4" w:space="0"/>
              <w:bottom w:val="single" w:color="000000" w:sz="4" w:space="0"/>
              <w:right w:val="single" w:color="auto" w:sz="4" w:space="0"/>
            </w:tcBorders>
            <w:vAlign w:val="center"/>
          </w:tcPr>
          <w:p w14:paraId="3AF8B9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25" w:type="dxa"/>
            <w:tcBorders>
              <w:top w:val="nil"/>
              <w:left w:val="single" w:color="auto" w:sz="4" w:space="0"/>
              <w:bottom w:val="single" w:color="000000" w:sz="4" w:space="0"/>
              <w:right w:val="single" w:color="auto" w:sz="4" w:space="0"/>
            </w:tcBorders>
            <w:vAlign w:val="center"/>
          </w:tcPr>
          <w:p w14:paraId="4DE18E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741" w:type="dxa"/>
            <w:tcBorders>
              <w:top w:val="nil"/>
              <w:left w:val="single" w:color="auto" w:sz="4" w:space="0"/>
              <w:bottom w:val="single" w:color="000000" w:sz="4" w:space="0"/>
              <w:right w:val="single" w:color="auto" w:sz="4" w:space="0"/>
            </w:tcBorders>
            <w:vAlign w:val="center"/>
          </w:tcPr>
          <w:p w14:paraId="126D0D7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1995" w:type="dxa"/>
            <w:gridSpan w:val="5"/>
            <w:tcBorders>
              <w:top w:val="single" w:color="auto" w:sz="4" w:space="0"/>
              <w:left w:val="nil"/>
              <w:bottom w:val="single" w:color="auto" w:sz="4" w:space="0"/>
              <w:right w:val="single" w:color="auto" w:sz="4" w:space="0"/>
            </w:tcBorders>
            <w:vAlign w:val="center"/>
          </w:tcPr>
          <w:p w14:paraId="140C85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176A536F">
        <w:tblPrEx>
          <w:tblCellMar>
            <w:top w:w="0" w:type="dxa"/>
            <w:left w:w="108" w:type="dxa"/>
            <w:bottom w:w="0" w:type="dxa"/>
            <w:right w:w="108" w:type="dxa"/>
          </w:tblCellMar>
        </w:tblPrEx>
        <w:trPr>
          <w:trHeight w:val="360" w:hRule="atLeast"/>
          <w:jc w:val="center"/>
        </w:trPr>
        <w:tc>
          <w:tcPr>
            <w:tcW w:w="336" w:type="dxa"/>
            <w:tcBorders>
              <w:top w:val="nil"/>
              <w:left w:val="single" w:color="auto" w:sz="4" w:space="0"/>
              <w:bottom w:val="single" w:color="auto" w:sz="4" w:space="0"/>
              <w:right w:val="single" w:color="auto" w:sz="4" w:space="0"/>
            </w:tcBorders>
            <w:vAlign w:val="center"/>
          </w:tcPr>
          <w:p w14:paraId="54FD27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p>
        </w:tc>
        <w:tc>
          <w:tcPr>
            <w:tcW w:w="5392" w:type="dxa"/>
            <w:tcBorders>
              <w:top w:val="nil"/>
              <w:left w:val="nil"/>
              <w:bottom w:val="single" w:color="auto" w:sz="4" w:space="0"/>
              <w:right w:val="single" w:color="auto" w:sz="4" w:space="0"/>
            </w:tcBorders>
            <w:vAlign w:val="center"/>
          </w:tcPr>
          <w:p w14:paraId="090EE21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25" w:type="dxa"/>
            <w:tcBorders>
              <w:top w:val="nil"/>
              <w:left w:val="nil"/>
              <w:bottom w:val="single" w:color="auto" w:sz="4" w:space="0"/>
              <w:right w:val="single" w:color="auto" w:sz="4" w:space="0"/>
            </w:tcBorders>
            <w:vAlign w:val="center"/>
          </w:tcPr>
          <w:p w14:paraId="7E2CA5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center"/>
          </w:tcPr>
          <w:p w14:paraId="0260150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center"/>
          </w:tcPr>
          <w:p w14:paraId="195072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194134D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BF873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328824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7834596">
        <w:tblPrEx>
          <w:tblCellMar>
            <w:top w:w="0" w:type="dxa"/>
            <w:left w:w="108" w:type="dxa"/>
            <w:bottom w:w="0" w:type="dxa"/>
            <w:right w:w="108" w:type="dxa"/>
          </w:tblCellMar>
        </w:tblPrEx>
        <w:trPr>
          <w:trHeight w:val="284" w:hRule="atLeast"/>
          <w:jc w:val="center"/>
        </w:trPr>
        <w:tc>
          <w:tcPr>
            <w:tcW w:w="336" w:type="dxa"/>
            <w:tcBorders>
              <w:top w:val="nil"/>
              <w:left w:val="single" w:color="auto" w:sz="4" w:space="0"/>
              <w:bottom w:val="single" w:color="auto" w:sz="4" w:space="0"/>
              <w:right w:val="single" w:color="auto" w:sz="4" w:space="0"/>
            </w:tcBorders>
            <w:vAlign w:val="center"/>
          </w:tcPr>
          <w:p w14:paraId="27C7FAF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392" w:type="dxa"/>
            <w:tcBorders>
              <w:top w:val="nil"/>
              <w:left w:val="nil"/>
              <w:bottom w:val="single" w:color="auto" w:sz="4" w:space="0"/>
              <w:right w:val="single" w:color="auto" w:sz="4" w:space="0"/>
            </w:tcBorders>
            <w:vAlign w:val="center"/>
          </w:tcPr>
          <w:p w14:paraId="5D794E3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植物养护较合理，生长基本正常。整体景观效果较好，植物干净积尘少。</w:t>
            </w:r>
          </w:p>
        </w:tc>
        <w:tc>
          <w:tcPr>
            <w:tcW w:w="725" w:type="dxa"/>
            <w:tcBorders>
              <w:top w:val="nil"/>
              <w:left w:val="nil"/>
              <w:bottom w:val="single" w:color="auto" w:sz="4" w:space="0"/>
              <w:right w:val="single" w:color="auto" w:sz="4" w:space="0"/>
            </w:tcBorders>
            <w:vAlign w:val="center"/>
          </w:tcPr>
          <w:p w14:paraId="77645A1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1" w:type="dxa"/>
            <w:tcBorders>
              <w:top w:val="nil"/>
              <w:left w:val="nil"/>
              <w:bottom w:val="single" w:color="auto" w:sz="4" w:space="0"/>
              <w:right w:val="single" w:color="auto" w:sz="4" w:space="0"/>
            </w:tcBorders>
            <w:vAlign w:val="center"/>
          </w:tcPr>
          <w:p w14:paraId="137CCE3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center"/>
          </w:tcPr>
          <w:p w14:paraId="250B6AE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68174BF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4061894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207641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F2A1ABB">
        <w:tblPrEx>
          <w:tblCellMar>
            <w:top w:w="0" w:type="dxa"/>
            <w:left w:w="108" w:type="dxa"/>
            <w:bottom w:w="0" w:type="dxa"/>
            <w:right w:w="108" w:type="dxa"/>
          </w:tblCellMar>
        </w:tblPrEx>
        <w:trPr>
          <w:trHeight w:val="187" w:hRule="atLeast"/>
          <w:jc w:val="center"/>
        </w:trPr>
        <w:tc>
          <w:tcPr>
            <w:tcW w:w="336" w:type="dxa"/>
            <w:tcBorders>
              <w:top w:val="nil"/>
              <w:left w:val="single" w:color="auto" w:sz="4" w:space="0"/>
              <w:bottom w:val="single" w:color="auto" w:sz="4" w:space="0"/>
              <w:right w:val="single" w:color="auto" w:sz="4" w:space="0"/>
            </w:tcBorders>
            <w:vAlign w:val="center"/>
          </w:tcPr>
          <w:p w14:paraId="3A083CB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w:t>
            </w:r>
          </w:p>
        </w:tc>
        <w:tc>
          <w:tcPr>
            <w:tcW w:w="5392" w:type="dxa"/>
            <w:tcBorders>
              <w:top w:val="nil"/>
              <w:left w:val="nil"/>
              <w:bottom w:val="single" w:color="auto" w:sz="4" w:space="0"/>
              <w:right w:val="single" w:color="auto" w:sz="4" w:space="0"/>
            </w:tcBorders>
            <w:vAlign w:val="center"/>
          </w:tcPr>
          <w:p w14:paraId="3037E3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25" w:type="dxa"/>
            <w:tcBorders>
              <w:top w:val="nil"/>
              <w:left w:val="nil"/>
              <w:bottom w:val="single" w:color="auto" w:sz="4" w:space="0"/>
              <w:right w:val="single" w:color="auto" w:sz="4" w:space="0"/>
            </w:tcBorders>
            <w:vAlign w:val="center"/>
          </w:tcPr>
          <w:p w14:paraId="10CEDA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0EA87A8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01ADAE2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4E14FC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C42A2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1A3577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C7DCE3F">
        <w:tblPrEx>
          <w:tblCellMar>
            <w:top w:w="0" w:type="dxa"/>
            <w:left w:w="108" w:type="dxa"/>
            <w:bottom w:w="0" w:type="dxa"/>
            <w:right w:w="108" w:type="dxa"/>
          </w:tblCellMar>
        </w:tblPrEx>
        <w:trPr>
          <w:trHeight w:val="583" w:hRule="atLeast"/>
          <w:jc w:val="center"/>
        </w:trPr>
        <w:tc>
          <w:tcPr>
            <w:tcW w:w="336" w:type="dxa"/>
            <w:tcBorders>
              <w:top w:val="nil"/>
              <w:left w:val="single" w:color="auto" w:sz="4" w:space="0"/>
              <w:bottom w:val="single" w:color="auto" w:sz="4" w:space="0"/>
              <w:right w:val="single" w:color="auto" w:sz="4" w:space="0"/>
            </w:tcBorders>
            <w:vAlign w:val="center"/>
          </w:tcPr>
          <w:p w14:paraId="47E38CC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392" w:type="dxa"/>
            <w:tcBorders>
              <w:top w:val="nil"/>
              <w:left w:val="nil"/>
              <w:bottom w:val="single" w:color="auto" w:sz="4" w:space="0"/>
              <w:right w:val="single" w:color="auto" w:sz="4" w:space="0"/>
            </w:tcBorders>
            <w:vAlign w:val="center"/>
          </w:tcPr>
          <w:p w14:paraId="0CF456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生长：植株生长较好，树冠较匀称,分枝较合理，树体正直不偏斜。乔木主干歪斜的树及危树应立支撑保护。</w:t>
            </w:r>
          </w:p>
        </w:tc>
        <w:tc>
          <w:tcPr>
            <w:tcW w:w="725" w:type="dxa"/>
            <w:tcBorders>
              <w:top w:val="nil"/>
              <w:left w:val="nil"/>
              <w:bottom w:val="single" w:color="auto" w:sz="4" w:space="0"/>
              <w:right w:val="single" w:color="auto" w:sz="4" w:space="0"/>
            </w:tcBorders>
            <w:vAlign w:val="center"/>
          </w:tcPr>
          <w:p w14:paraId="4C47E2B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41" w:type="dxa"/>
            <w:tcBorders>
              <w:top w:val="nil"/>
              <w:left w:val="nil"/>
              <w:bottom w:val="single" w:color="auto" w:sz="4" w:space="0"/>
              <w:right w:val="single" w:color="auto" w:sz="4" w:space="0"/>
            </w:tcBorders>
            <w:vAlign w:val="bottom"/>
          </w:tcPr>
          <w:p w14:paraId="4FC90B8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7EC2FE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4FD4284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7DDB74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4A68282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DC61A1B">
        <w:tblPrEx>
          <w:tblCellMar>
            <w:top w:w="0" w:type="dxa"/>
            <w:left w:w="108" w:type="dxa"/>
            <w:bottom w:w="0" w:type="dxa"/>
            <w:right w:w="108" w:type="dxa"/>
          </w:tblCellMar>
        </w:tblPrEx>
        <w:trPr>
          <w:trHeight w:val="1401" w:hRule="atLeast"/>
          <w:jc w:val="center"/>
        </w:trPr>
        <w:tc>
          <w:tcPr>
            <w:tcW w:w="336" w:type="dxa"/>
            <w:tcBorders>
              <w:top w:val="nil"/>
              <w:left w:val="single" w:color="auto" w:sz="4" w:space="0"/>
              <w:bottom w:val="single" w:color="auto" w:sz="4" w:space="0"/>
              <w:right w:val="single" w:color="auto" w:sz="4" w:space="0"/>
            </w:tcBorders>
            <w:vAlign w:val="center"/>
          </w:tcPr>
          <w:p w14:paraId="6F64D8B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392" w:type="dxa"/>
            <w:tcBorders>
              <w:top w:val="nil"/>
              <w:left w:val="nil"/>
              <w:bottom w:val="single" w:color="auto" w:sz="4" w:space="0"/>
              <w:right w:val="single" w:color="auto" w:sz="4" w:space="0"/>
            </w:tcBorders>
            <w:vAlign w:val="center"/>
          </w:tcPr>
          <w:p w14:paraId="532DED7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修整：树木修剪基本合理,维持树种基本特征，骨架分布合理；无明显的萌蘗枝、交叉枝、低垂枝、伤残枝、过密枝等。剪口基本平整,无损皮现象,枝干无明显伤残现象。第一排行道树冠底高基本一致，高度以不影响行人及车辆行驶为宜。与供电线路、交通指示灯，交通指示牌等保持较合理距离。</w:t>
            </w:r>
          </w:p>
        </w:tc>
        <w:tc>
          <w:tcPr>
            <w:tcW w:w="725" w:type="dxa"/>
            <w:tcBorders>
              <w:top w:val="nil"/>
              <w:left w:val="nil"/>
              <w:bottom w:val="single" w:color="auto" w:sz="4" w:space="0"/>
              <w:right w:val="single" w:color="auto" w:sz="4" w:space="0"/>
            </w:tcBorders>
            <w:vAlign w:val="center"/>
          </w:tcPr>
          <w:p w14:paraId="0577461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741" w:type="dxa"/>
            <w:tcBorders>
              <w:top w:val="nil"/>
              <w:left w:val="nil"/>
              <w:bottom w:val="single" w:color="auto" w:sz="4" w:space="0"/>
              <w:right w:val="single" w:color="auto" w:sz="4" w:space="0"/>
            </w:tcBorders>
            <w:vAlign w:val="bottom"/>
          </w:tcPr>
          <w:p w14:paraId="4674CF3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68B094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72C8A8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6BD1D0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0E6091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C5EC218">
        <w:tblPrEx>
          <w:tblCellMar>
            <w:top w:w="0" w:type="dxa"/>
            <w:left w:w="108" w:type="dxa"/>
            <w:bottom w:w="0" w:type="dxa"/>
            <w:right w:w="108" w:type="dxa"/>
          </w:tblCellMar>
        </w:tblPrEx>
        <w:trPr>
          <w:trHeight w:val="615" w:hRule="atLeast"/>
          <w:jc w:val="center"/>
        </w:trPr>
        <w:tc>
          <w:tcPr>
            <w:tcW w:w="336" w:type="dxa"/>
            <w:tcBorders>
              <w:top w:val="nil"/>
              <w:left w:val="single" w:color="auto" w:sz="4" w:space="0"/>
              <w:bottom w:val="single" w:color="auto" w:sz="4" w:space="0"/>
              <w:right w:val="single" w:color="auto" w:sz="4" w:space="0"/>
            </w:tcBorders>
            <w:vAlign w:val="center"/>
          </w:tcPr>
          <w:p w14:paraId="44585D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392" w:type="dxa"/>
            <w:tcBorders>
              <w:top w:val="nil"/>
              <w:left w:val="nil"/>
              <w:bottom w:val="single" w:color="auto" w:sz="4" w:space="0"/>
              <w:right w:val="single" w:color="auto" w:sz="4" w:space="0"/>
            </w:tcBorders>
            <w:vAlign w:val="center"/>
          </w:tcPr>
          <w:p w14:paraId="32BB49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钉挂物、干枯枝等：树体无明显干枯枝及黄叶，无钉挂物、铁丝等缠绕物。</w:t>
            </w:r>
          </w:p>
        </w:tc>
        <w:tc>
          <w:tcPr>
            <w:tcW w:w="725" w:type="dxa"/>
            <w:tcBorders>
              <w:top w:val="nil"/>
              <w:left w:val="nil"/>
              <w:bottom w:val="single" w:color="auto" w:sz="4" w:space="0"/>
              <w:right w:val="single" w:color="auto" w:sz="4" w:space="0"/>
            </w:tcBorders>
            <w:vAlign w:val="center"/>
          </w:tcPr>
          <w:p w14:paraId="1C5E4CD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741" w:type="dxa"/>
            <w:tcBorders>
              <w:top w:val="nil"/>
              <w:left w:val="nil"/>
              <w:bottom w:val="single" w:color="auto" w:sz="4" w:space="0"/>
              <w:right w:val="single" w:color="auto" w:sz="4" w:space="0"/>
            </w:tcBorders>
            <w:vAlign w:val="bottom"/>
          </w:tcPr>
          <w:p w14:paraId="14B6295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30FDC26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41ACA1F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465A89A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0DEABA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71235C">
        <w:tblPrEx>
          <w:tblCellMar>
            <w:top w:w="0" w:type="dxa"/>
            <w:left w:w="108" w:type="dxa"/>
            <w:bottom w:w="0" w:type="dxa"/>
            <w:right w:w="108" w:type="dxa"/>
          </w:tblCellMar>
        </w:tblPrEx>
        <w:trPr>
          <w:trHeight w:val="161" w:hRule="atLeast"/>
          <w:jc w:val="center"/>
        </w:trPr>
        <w:tc>
          <w:tcPr>
            <w:tcW w:w="336" w:type="dxa"/>
            <w:tcBorders>
              <w:top w:val="nil"/>
              <w:left w:val="single" w:color="auto" w:sz="4" w:space="0"/>
              <w:bottom w:val="single" w:color="auto" w:sz="4" w:space="0"/>
              <w:right w:val="single" w:color="auto" w:sz="4" w:space="0"/>
            </w:tcBorders>
            <w:vAlign w:val="center"/>
          </w:tcPr>
          <w:p w14:paraId="62E5BD4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5392" w:type="dxa"/>
            <w:tcBorders>
              <w:top w:val="nil"/>
              <w:left w:val="nil"/>
              <w:bottom w:val="single" w:color="auto" w:sz="4" w:space="0"/>
              <w:right w:val="single" w:color="auto" w:sz="4" w:space="0"/>
            </w:tcBorders>
          </w:tcPr>
          <w:p w14:paraId="59B2FB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无死株及树桩。</w:t>
            </w:r>
          </w:p>
        </w:tc>
        <w:tc>
          <w:tcPr>
            <w:tcW w:w="725" w:type="dxa"/>
            <w:tcBorders>
              <w:top w:val="nil"/>
              <w:left w:val="nil"/>
              <w:bottom w:val="single" w:color="auto" w:sz="4" w:space="0"/>
              <w:right w:val="single" w:color="auto" w:sz="4" w:space="0"/>
            </w:tcBorders>
            <w:vAlign w:val="center"/>
          </w:tcPr>
          <w:p w14:paraId="56BC711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741" w:type="dxa"/>
            <w:tcBorders>
              <w:top w:val="nil"/>
              <w:left w:val="nil"/>
              <w:bottom w:val="single" w:color="auto" w:sz="4" w:space="0"/>
              <w:right w:val="single" w:color="auto" w:sz="4" w:space="0"/>
            </w:tcBorders>
            <w:vAlign w:val="bottom"/>
          </w:tcPr>
          <w:p w14:paraId="422F289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64A4C7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2594AB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1459531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46B13E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DD54137">
        <w:tblPrEx>
          <w:tblCellMar>
            <w:top w:w="0" w:type="dxa"/>
            <w:left w:w="108" w:type="dxa"/>
            <w:bottom w:w="0" w:type="dxa"/>
            <w:right w:w="108" w:type="dxa"/>
          </w:tblCellMar>
        </w:tblPrEx>
        <w:trPr>
          <w:trHeight w:val="300" w:hRule="atLeast"/>
          <w:jc w:val="center"/>
        </w:trPr>
        <w:tc>
          <w:tcPr>
            <w:tcW w:w="336" w:type="dxa"/>
            <w:tcBorders>
              <w:top w:val="nil"/>
              <w:left w:val="single" w:color="auto" w:sz="4" w:space="0"/>
              <w:bottom w:val="single" w:color="auto" w:sz="4" w:space="0"/>
              <w:right w:val="single" w:color="auto" w:sz="4" w:space="0"/>
            </w:tcBorders>
            <w:vAlign w:val="center"/>
          </w:tcPr>
          <w:p w14:paraId="780E40F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w:t>
            </w:r>
          </w:p>
        </w:tc>
        <w:tc>
          <w:tcPr>
            <w:tcW w:w="5392" w:type="dxa"/>
            <w:tcBorders>
              <w:top w:val="nil"/>
              <w:left w:val="nil"/>
              <w:bottom w:val="single" w:color="auto" w:sz="4" w:space="0"/>
              <w:right w:val="single" w:color="auto" w:sz="4" w:space="0"/>
            </w:tcBorders>
            <w:vAlign w:val="center"/>
          </w:tcPr>
          <w:p w14:paraId="0AEAE9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孤植灌木</w:t>
            </w:r>
          </w:p>
        </w:tc>
        <w:tc>
          <w:tcPr>
            <w:tcW w:w="725" w:type="dxa"/>
            <w:tcBorders>
              <w:top w:val="nil"/>
              <w:left w:val="nil"/>
              <w:bottom w:val="single" w:color="auto" w:sz="4" w:space="0"/>
              <w:right w:val="single" w:color="auto" w:sz="4" w:space="0"/>
            </w:tcBorders>
            <w:vAlign w:val="center"/>
          </w:tcPr>
          <w:p w14:paraId="4C289B5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0719DA3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42D35F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7D99F13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64363D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756462A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722D632">
        <w:tblPrEx>
          <w:tblCellMar>
            <w:top w:w="0" w:type="dxa"/>
            <w:left w:w="108" w:type="dxa"/>
            <w:bottom w:w="0" w:type="dxa"/>
            <w:right w:w="108" w:type="dxa"/>
          </w:tblCellMar>
        </w:tblPrEx>
        <w:trPr>
          <w:trHeight w:val="496" w:hRule="atLeast"/>
          <w:jc w:val="center"/>
        </w:trPr>
        <w:tc>
          <w:tcPr>
            <w:tcW w:w="336" w:type="dxa"/>
            <w:tcBorders>
              <w:top w:val="nil"/>
              <w:left w:val="single" w:color="auto" w:sz="4" w:space="0"/>
              <w:bottom w:val="single" w:color="auto" w:sz="4" w:space="0"/>
              <w:right w:val="single" w:color="auto" w:sz="4" w:space="0"/>
            </w:tcBorders>
            <w:vAlign w:val="center"/>
          </w:tcPr>
          <w:p w14:paraId="444E07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392" w:type="dxa"/>
            <w:tcBorders>
              <w:top w:val="nil"/>
              <w:left w:val="nil"/>
              <w:bottom w:val="single" w:color="auto" w:sz="4" w:space="0"/>
              <w:right w:val="single" w:color="auto" w:sz="4" w:space="0"/>
            </w:tcBorders>
            <w:vAlign w:val="center"/>
          </w:tcPr>
          <w:p w14:paraId="4AA8EEF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生长：植株生长较好，符合物候状况，枝粗叶壮，树体基本正直。叶色、叶形、大小正常。</w:t>
            </w:r>
          </w:p>
        </w:tc>
        <w:tc>
          <w:tcPr>
            <w:tcW w:w="725" w:type="dxa"/>
            <w:tcBorders>
              <w:top w:val="nil"/>
              <w:left w:val="nil"/>
              <w:bottom w:val="single" w:color="auto" w:sz="4" w:space="0"/>
              <w:right w:val="single" w:color="auto" w:sz="4" w:space="0"/>
            </w:tcBorders>
            <w:vAlign w:val="center"/>
          </w:tcPr>
          <w:p w14:paraId="22E68DE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741" w:type="dxa"/>
            <w:tcBorders>
              <w:top w:val="nil"/>
              <w:left w:val="nil"/>
              <w:bottom w:val="single" w:color="auto" w:sz="4" w:space="0"/>
              <w:right w:val="single" w:color="auto" w:sz="4" w:space="0"/>
            </w:tcBorders>
            <w:vAlign w:val="bottom"/>
          </w:tcPr>
          <w:p w14:paraId="76A08A0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1930DAC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04BC0E3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F34701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55DAAD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36DA0D7">
        <w:tblPrEx>
          <w:tblCellMar>
            <w:top w:w="0" w:type="dxa"/>
            <w:left w:w="108" w:type="dxa"/>
            <w:bottom w:w="0" w:type="dxa"/>
            <w:right w:w="108" w:type="dxa"/>
          </w:tblCellMar>
        </w:tblPrEx>
        <w:trPr>
          <w:trHeight w:val="645" w:hRule="atLeast"/>
          <w:jc w:val="center"/>
        </w:trPr>
        <w:tc>
          <w:tcPr>
            <w:tcW w:w="336" w:type="dxa"/>
            <w:tcBorders>
              <w:top w:val="nil"/>
              <w:left w:val="single" w:color="auto" w:sz="4" w:space="0"/>
              <w:bottom w:val="single" w:color="auto" w:sz="4" w:space="0"/>
              <w:right w:val="single" w:color="auto" w:sz="4" w:space="0"/>
            </w:tcBorders>
            <w:vAlign w:val="center"/>
          </w:tcPr>
          <w:p w14:paraId="5D4CAD8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392" w:type="dxa"/>
            <w:tcBorders>
              <w:top w:val="nil"/>
              <w:left w:val="nil"/>
              <w:bottom w:val="single" w:color="auto" w:sz="4" w:space="0"/>
              <w:right w:val="single" w:color="auto" w:sz="4" w:space="0"/>
            </w:tcBorders>
            <w:vAlign w:val="center"/>
          </w:tcPr>
          <w:p w14:paraId="23DEFA8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灌木修剪：树形较整齐，基本能按要求维持形状。能够按照规范要求进行修剪。</w:t>
            </w:r>
          </w:p>
        </w:tc>
        <w:tc>
          <w:tcPr>
            <w:tcW w:w="725" w:type="dxa"/>
            <w:tcBorders>
              <w:top w:val="nil"/>
              <w:left w:val="nil"/>
              <w:bottom w:val="single" w:color="auto" w:sz="4" w:space="0"/>
              <w:right w:val="single" w:color="auto" w:sz="4" w:space="0"/>
            </w:tcBorders>
            <w:vAlign w:val="center"/>
          </w:tcPr>
          <w:p w14:paraId="02A4AA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741" w:type="dxa"/>
            <w:tcBorders>
              <w:top w:val="nil"/>
              <w:left w:val="nil"/>
              <w:bottom w:val="single" w:color="auto" w:sz="4" w:space="0"/>
              <w:right w:val="single" w:color="auto" w:sz="4" w:space="0"/>
            </w:tcBorders>
            <w:vAlign w:val="bottom"/>
          </w:tcPr>
          <w:p w14:paraId="48A41E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583F57A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6DBB3E3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3AD7430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1E76EC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F301FF">
        <w:tblPrEx>
          <w:tblCellMar>
            <w:top w:w="0" w:type="dxa"/>
            <w:left w:w="108" w:type="dxa"/>
            <w:bottom w:w="0" w:type="dxa"/>
            <w:right w:w="108" w:type="dxa"/>
          </w:tblCellMar>
        </w:tblPrEx>
        <w:trPr>
          <w:trHeight w:val="300" w:hRule="atLeast"/>
          <w:jc w:val="center"/>
        </w:trPr>
        <w:tc>
          <w:tcPr>
            <w:tcW w:w="336" w:type="dxa"/>
            <w:tcBorders>
              <w:top w:val="nil"/>
              <w:left w:val="single" w:color="auto" w:sz="4" w:space="0"/>
              <w:bottom w:val="single" w:color="auto" w:sz="4" w:space="0"/>
              <w:right w:val="single" w:color="auto" w:sz="4" w:space="0"/>
            </w:tcBorders>
            <w:vAlign w:val="center"/>
          </w:tcPr>
          <w:p w14:paraId="3631317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392" w:type="dxa"/>
            <w:tcBorders>
              <w:top w:val="nil"/>
              <w:left w:val="nil"/>
              <w:bottom w:val="single" w:color="auto" w:sz="4" w:space="0"/>
              <w:right w:val="single" w:color="auto" w:sz="4" w:space="0"/>
            </w:tcBorders>
            <w:vAlign w:val="center"/>
          </w:tcPr>
          <w:p w14:paraId="322458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干枯枝、杂物：无死株桩头。树体无干枯枝，缠绕物。</w:t>
            </w:r>
          </w:p>
        </w:tc>
        <w:tc>
          <w:tcPr>
            <w:tcW w:w="725" w:type="dxa"/>
            <w:tcBorders>
              <w:top w:val="nil"/>
              <w:left w:val="nil"/>
              <w:bottom w:val="single" w:color="auto" w:sz="4" w:space="0"/>
              <w:right w:val="single" w:color="auto" w:sz="4" w:space="0"/>
            </w:tcBorders>
            <w:vAlign w:val="center"/>
          </w:tcPr>
          <w:p w14:paraId="45ED62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1" w:type="dxa"/>
            <w:tcBorders>
              <w:top w:val="nil"/>
              <w:left w:val="nil"/>
              <w:bottom w:val="single" w:color="auto" w:sz="4" w:space="0"/>
              <w:right w:val="single" w:color="auto" w:sz="4" w:space="0"/>
            </w:tcBorders>
            <w:vAlign w:val="bottom"/>
          </w:tcPr>
          <w:p w14:paraId="770BFD5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14EB39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29406C9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1E9B44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34D8C95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7B14671">
        <w:tblPrEx>
          <w:tblCellMar>
            <w:top w:w="0" w:type="dxa"/>
            <w:left w:w="108" w:type="dxa"/>
            <w:bottom w:w="0" w:type="dxa"/>
            <w:right w:w="108" w:type="dxa"/>
          </w:tblCellMar>
        </w:tblPrEx>
        <w:trPr>
          <w:trHeight w:val="319" w:hRule="atLeast"/>
          <w:jc w:val="center"/>
        </w:trPr>
        <w:tc>
          <w:tcPr>
            <w:tcW w:w="336" w:type="dxa"/>
            <w:tcBorders>
              <w:top w:val="nil"/>
              <w:left w:val="single" w:color="auto" w:sz="4" w:space="0"/>
              <w:bottom w:val="single" w:color="auto" w:sz="4" w:space="0"/>
              <w:right w:val="single" w:color="auto" w:sz="4" w:space="0"/>
            </w:tcBorders>
            <w:vAlign w:val="center"/>
          </w:tcPr>
          <w:p w14:paraId="27CC5A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w:t>
            </w:r>
          </w:p>
        </w:tc>
        <w:tc>
          <w:tcPr>
            <w:tcW w:w="5392" w:type="dxa"/>
            <w:tcBorders>
              <w:top w:val="nil"/>
              <w:left w:val="nil"/>
              <w:bottom w:val="single" w:color="auto" w:sz="4" w:space="0"/>
              <w:right w:val="single" w:color="auto" w:sz="4" w:space="0"/>
            </w:tcBorders>
            <w:vAlign w:val="center"/>
          </w:tcPr>
          <w:p w14:paraId="50CABB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树盘</w:t>
            </w:r>
          </w:p>
        </w:tc>
        <w:tc>
          <w:tcPr>
            <w:tcW w:w="725" w:type="dxa"/>
            <w:tcBorders>
              <w:top w:val="nil"/>
              <w:left w:val="nil"/>
              <w:bottom w:val="single" w:color="auto" w:sz="4" w:space="0"/>
              <w:right w:val="single" w:color="auto" w:sz="4" w:space="0"/>
            </w:tcBorders>
            <w:vAlign w:val="center"/>
          </w:tcPr>
          <w:p w14:paraId="175602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1" w:type="dxa"/>
            <w:tcBorders>
              <w:top w:val="nil"/>
              <w:left w:val="nil"/>
              <w:bottom w:val="single" w:color="auto" w:sz="4" w:space="0"/>
              <w:right w:val="single" w:color="auto" w:sz="4" w:space="0"/>
            </w:tcBorders>
            <w:vAlign w:val="bottom"/>
          </w:tcPr>
          <w:p w14:paraId="2271C6A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1DFEA2E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0CAE6B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5816D3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0516B6F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5CE9326">
        <w:tblPrEx>
          <w:tblCellMar>
            <w:top w:w="0" w:type="dxa"/>
            <w:left w:w="108" w:type="dxa"/>
            <w:bottom w:w="0" w:type="dxa"/>
            <w:right w:w="108" w:type="dxa"/>
          </w:tblCellMar>
        </w:tblPrEx>
        <w:trPr>
          <w:trHeight w:val="490" w:hRule="atLeast"/>
          <w:jc w:val="center"/>
        </w:trPr>
        <w:tc>
          <w:tcPr>
            <w:tcW w:w="336" w:type="dxa"/>
            <w:tcBorders>
              <w:top w:val="nil"/>
              <w:left w:val="single" w:color="auto" w:sz="4" w:space="0"/>
              <w:bottom w:val="single" w:color="auto" w:sz="4" w:space="0"/>
              <w:right w:val="single" w:color="auto" w:sz="4" w:space="0"/>
            </w:tcBorders>
            <w:vAlign w:val="center"/>
          </w:tcPr>
          <w:p w14:paraId="3332F69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392" w:type="dxa"/>
            <w:tcBorders>
              <w:top w:val="nil"/>
              <w:left w:val="nil"/>
              <w:bottom w:val="single" w:color="auto" w:sz="4" w:space="0"/>
              <w:right w:val="single" w:color="auto" w:sz="4" w:space="0"/>
            </w:tcBorders>
            <w:vAlign w:val="center"/>
          </w:tcPr>
          <w:p w14:paraId="2E1A36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大小适合，边线清晰，土面高度适当，培土规范。树盘较干净整洁，无明显杂草及积水。土壤较疏松、通透湿润。</w:t>
            </w:r>
          </w:p>
        </w:tc>
        <w:tc>
          <w:tcPr>
            <w:tcW w:w="725" w:type="dxa"/>
            <w:tcBorders>
              <w:top w:val="nil"/>
              <w:left w:val="nil"/>
              <w:bottom w:val="single" w:color="auto" w:sz="4" w:space="0"/>
              <w:right w:val="single" w:color="auto" w:sz="4" w:space="0"/>
            </w:tcBorders>
            <w:vAlign w:val="center"/>
          </w:tcPr>
          <w:p w14:paraId="4D0091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637D211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1DD8BF2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1C8A61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3ABD89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3266392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4F9FD57">
        <w:tblPrEx>
          <w:tblCellMar>
            <w:top w:w="0" w:type="dxa"/>
            <w:left w:w="108" w:type="dxa"/>
            <w:bottom w:w="0" w:type="dxa"/>
            <w:right w:w="108" w:type="dxa"/>
          </w:tblCellMar>
        </w:tblPrEx>
        <w:trPr>
          <w:trHeight w:val="300" w:hRule="atLeast"/>
          <w:jc w:val="center"/>
        </w:trPr>
        <w:tc>
          <w:tcPr>
            <w:tcW w:w="336" w:type="dxa"/>
            <w:tcBorders>
              <w:top w:val="nil"/>
              <w:left w:val="single" w:color="auto" w:sz="4" w:space="0"/>
              <w:bottom w:val="single" w:color="auto" w:sz="4" w:space="0"/>
              <w:right w:val="single" w:color="auto" w:sz="4" w:space="0"/>
            </w:tcBorders>
            <w:vAlign w:val="center"/>
          </w:tcPr>
          <w:p w14:paraId="16FFB7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w:t>
            </w:r>
          </w:p>
        </w:tc>
        <w:tc>
          <w:tcPr>
            <w:tcW w:w="5392" w:type="dxa"/>
            <w:tcBorders>
              <w:top w:val="nil"/>
              <w:left w:val="nil"/>
              <w:bottom w:val="single" w:color="auto" w:sz="4" w:space="0"/>
              <w:right w:val="single" w:color="auto" w:sz="4" w:space="0"/>
            </w:tcBorders>
            <w:vAlign w:val="center"/>
          </w:tcPr>
          <w:p w14:paraId="41C423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w:t>
            </w:r>
          </w:p>
        </w:tc>
        <w:tc>
          <w:tcPr>
            <w:tcW w:w="725" w:type="dxa"/>
            <w:tcBorders>
              <w:top w:val="nil"/>
              <w:left w:val="nil"/>
              <w:bottom w:val="single" w:color="auto" w:sz="4" w:space="0"/>
              <w:right w:val="single" w:color="auto" w:sz="4" w:space="0"/>
            </w:tcBorders>
            <w:vAlign w:val="center"/>
          </w:tcPr>
          <w:p w14:paraId="6BF0412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2DF5408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0C101AF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5948F6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703B04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457B88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C9E7447">
        <w:tblPrEx>
          <w:tblCellMar>
            <w:top w:w="0" w:type="dxa"/>
            <w:left w:w="108" w:type="dxa"/>
            <w:bottom w:w="0" w:type="dxa"/>
            <w:right w:w="108" w:type="dxa"/>
          </w:tblCellMar>
        </w:tblPrEx>
        <w:trPr>
          <w:trHeight w:val="499" w:hRule="atLeast"/>
          <w:jc w:val="center"/>
        </w:trPr>
        <w:tc>
          <w:tcPr>
            <w:tcW w:w="336" w:type="dxa"/>
            <w:tcBorders>
              <w:top w:val="nil"/>
              <w:left w:val="single" w:color="auto" w:sz="4" w:space="0"/>
              <w:bottom w:val="single" w:color="auto" w:sz="4" w:space="0"/>
              <w:right w:val="single" w:color="auto" w:sz="4" w:space="0"/>
            </w:tcBorders>
            <w:vAlign w:val="center"/>
          </w:tcPr>
          <w:p w14:paraId="04E1C9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392" w:type="dxa"/>
            <w:tcBorders>
              <w:top w:val="nil"/>
              <w:left w:val="nil"/>
              <w:bottom w:val="single" w:color="auto" w:sz="4" w:space="0"/>
              <w:right w:val="single" w:color="auto" w:sz="4" w:space="0"/>
            </w:tcBorders>
            <w:vAlign w:val="center"/>
          </w:tcPr>
          <w:p w14:paraId="5D8098E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人行道树盘土边缘略低于路面，平整规范或符合设计要求,无明显石头、砖块等杂物。</w:t>
            </w:r>
          </w:p>
        </w:tc>
        <w:tc>
          <w:tcPr>
            <w:tcW w:w="725" w:type="dxa"/>
            <w:tcBorders>
              <w:top w:val="nil"/>
              <w:left w:val="nil"/>
              <w:bottom w:val="single" w:color="auto" w:sz="4" w:space="0"/>
              <w:right w:val="single" w:color="auto" w:sz="4" w:space="0"/>
            </w:tcBorders>
            <w:vAlign w:val="center"/>
          </w:tcPr>
          <w:p w14:paraId="3E7B54E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1" w:type="dxa"/>
            <w:tcBorders>
              <w:top w:val="nil"/>
              <w:left w:val="nil"/>
              <w:bottom w:val="single" w:color="auto" w:sz="4" w:space="0"/>
              <w:right w:val="single" w:color="auto" w:sz="4" w:space="0"/>
            </w:tcBorders>
            <w:vAlign w:val="bottom"/>
          </w:tcPr>
          <w:p w14:paraId="7F3373F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041131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341D058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AE6AD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525939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2D0FD17">
        <w:tblPrEx>
          <w:tblCellMar>
            <w:top w:w="0" w:type="dxa"/>
            <w:left w:w="108" w:type="dxa"/>
            <w:bottom w:w="0" w:type="dxa"/>
            <w:right w:w="108" w:type="dxa"/>
          </w:tblCellMar>
        </w:tblPrEx>
        <w:trPr>
          <w:trHeight w:val="600" w:hRule="atLeast"/>
          <w:jc w:val="center"/>
        </w:trPr>
        <w:tc>
          <w:tcPr>
            <w:tcW w:w="336" w:type="dxa"/>
            <w:tcBorders>
              <w:top w:val="nil"/>
              <w:left w:val="single" w:color="auto" w:sz="4" w:space="0"/>
              <w:bottom w:val="single" w:color="auto" w:sz="4" w:space="0"/>
              <w:right w:val="single" w:color="auto" w:sz="4" w:space="0"/>
            </w:tcBorders>
            <w:vAlign w:val="center"/>
          </w:tcPr>
          <w:p w14:paraId="1254982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392" w:type="dxa"/>
            <w:tcBorders>
              <w:top w:val="nil"/>
              <w:left w:val="nil"/>
              <w:bottom w:val="single" w:color="auto" w:sz="4" w:space="0"/>
              <w:right w:val="single" w:color="auto" w:sz="4" w:space="0"/>
            </w:tcBorders>
            <w:vAlign w:val="center"/>
          </w:tcPr>
          <w:p w14:paraId="70D34B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色块及草坪基本无散落枝叶、泥土。因修剪工作而产生的杂物，能做到及时清理。</w:t>
            </w:r>
          </w:p>
        </w:tc>
        <w:tc>
          <w:tcPr>
            <w:tcW w:w="725" w:type="dxa"/>
            <w:tcBorders>
              <w:top w:val="nil"/>
              <w:left w:val="nil"/>
              <w:bottom w:val="single" w:color="auto" w:sz="4" w:space="0"/>
              <w:right w:val="single" w:color="auto" w:sz="4" w:space="0"/>
            </w:tcBorders>
            <w:vAlign w:val="center"/>
          </w:tcPr>
          <w:p w14:paraId="51F64EE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741" w:type="dxa"/>
            <w:tcBorders>
              <w:top w:val="nil"/>
              <w:left w:val="nil"/>
              <w:bottom w:val="single" w:color="auto" w:sz="4" w:space="0"/>
              <w:right w:val="single" w:color="auto" w:sz="4" w:space="0"/>
            </w:tcBorders>
            <w:vAlign w:val="bottom"/>
          </w:tcPr>
          <w:p w14:paraId="258BD2F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43807D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5A3F279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0FF969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658FB02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B80ACA0">
        <w:tblPrEx>
          <w:tblCellMar>
            <w:top w:w="0" w:type="dxa"/>
            <w:left w:w="108" w:type="dxa"/>
            <w:bottom w:w="0" w:type="dxa"/>
            <w:right w:w="108" w:type="dxa"/>
          </w:tblCellMar>
        </w:tblPrEx>
        <w:trPr>
          <w:trHeight w:val="301" w:hRule="atLeast"/>
          <w:jc w:val="center"/>
        </w:trPr>
        <w:tc>
          <w:tcPr>
            <w:tcW w:w="336" w:type="dxa"/>
            <w:tcBorders>
              <w:top w:val="nil"/>
              <w:left w:val="single" w:color="auto" w:sz="4" w:space="0"/>
              <w:bottom w:val="single" w:color="auto" w:sz="4" w:space="0"/>
              <w:right w:val="single" w:color="auto" w:sz="4" w:space="0"/>
            </w:tcBorders>
            <w:vAlign w:val="center"/>
          </w:tcPr>
          <w:p w14:paraId="71C3224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392" w:type="dxa"/>
            <w:tcBorders>
              <w:top w:val="nil"/>
              <w:left w:val="nil"/>
              <w:bottom w:val="single" w:color="auto" w:sz="4" w:space="0"/>
              <w:right w:val="single" w:color="auto" w:sz="4" w:space="0"/>
            </w:tcBorders>
            <w:vAlign w:val="center"/>
          </w:tcPr>
          <w:p w14:paraId="40E79C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无明显鼠迹。</w:t>
            </w:r>
          </w:p>
        </w:tc>
        <w:tc>
          <w:tcPr>
            <w:tcW w:w="725" w:type="dxa"/>
            <w:tcBorders>
              <w:top w:val="nil"/>
              <w:left w:val="nil"/>
              <w:bottom w:val="single" w:color="auto" w:sz="4" w:space="0"/>
              <w:right w:val="single" w:color="auto" w:sz="4" w:space="0"/>
            </w:tcBorders>
            <w:vAlign w:val="center"/>
          </w:tcPr>
          <w:p w14:paraId="4E749C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741" w:type="dxa"/>
            <w:tcBorders>
              <w:top w:val="nil"/>
              <w:left w:val="nil"/>
              <w:bottom w:val="single" w:color="auto" w:sz="4" w:space="0"/>
              <w:right w:val="single" w:color="auto" w:sz="4" w:space="0"/>
            </w:tcBorders>
            <w:vAlign w:val="bottom"/>
          </w:tcPr>
          <w:p w14:paraId="494D28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007550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7980985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14A1B7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7B854FB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C5F49D6">
        <w:tblPrEx>
          <w:tblCellMar>
            <w:top w:w="0" w:type="dxa"/>
            <w:left w:w="108" w:type="dxa"/>
            <w:bottom w:w="0" w:type="dxa"/>
            <w:right w:w="108" w:type="dxa"/>
          </w:tblCellMar>
        </w:tblPrEx>
        <w:trPr>
          <w:trHeight w:val="300" w:hRule="atLeast"/>
          <w:jc w:val="center"/>
        </w:trPr>
        <w:tc>
          <w:tcPr>
            <w:tcW w:w="336" w:type="dxa"/>
            <w:tcBorders>
              <w:top w:val="nil"/>
              <w:left w:val="single" w:color="auto" w:sz="4" w:space="0"/>
              <w:bottom w:val="single" w:color="auto" w:sz="4" w:space="0"/>
              <w:right w:val="single" w:color="auto" w:sz="4" w:space="0"/>
            </w:tcBorders>
            <w:vAlign w:val="center"/>
          </w:tcPr>
          <w:p w14:paraId="581C99D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w:t>
            </w:r>
          </w:p>
        </w:tc>
        <w:tc>
          <w:tcPr>
            <w:tcW w:w="5392" w:type="dxa"/>
            <w:tcBorders>
              <w:top w:val="nil"/>
              <w:left w:val="nil"/>
              <w:bottom w:val="single" w:color="auto" w:sz="4" w:space="0"/>
              <w:right w:val="single" w:color="auto" w:sz="4" w:space="0"/>
            </w:tcBorders>
            <w:vAlign w:val="center"/>
          </w:tcPr>
          <w:p w14:paraId="3E3555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保存率</w:t>
            </w:r>
          </w:p>
        </w:tc>
        <w:tc>
          <w:tcPr>
            <w:tcW w:w="725" w:type="dxa"/>
            <w:tcBorders>
              <w:top w:val="nil"/>
              <w:left w:val="nil"/>
              <w:bottom w:val="single" w:color="auto" w:sz="4" w:space="0"/>
              <w:right w:val="single" w:color="auto" w:sz="4" w:space="0"/>
            </w:tcBorders>
            <w:vAlign w:val="center"/>
          </w:tcPr>
          <w:p w14:paraId="74B1DE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5A50E13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3DCCBB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4B1070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D93CC9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5653DB5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B87662">
        <w:tblPrEx>
          <w:tblCellMar>
            <w:top w:w="0" w:type="dxa"/>
            <w:left w:w="108" w:type="dxa"/>
            <w:bottom w:w="0" w:type="dxa"/>
            <w:right w:w="108" w:type="dxa"/>
          </w:tblCellMar>
        </w:tblPrEx>
        <w:trPr>
          <w:trHeight w:val="225" w:hRule="atLeast"/>
          <w:jc w:val="center"/>
        </w:trPr>
        <w:tc>
          <w:tcPr>
            <w:tcW w:w="336" w:type="dxa"/>
            <w:tcBorders>
              <w:top w:val="nil"/>
              <w:left w:val="single" w:color="auto" w:sz="4" w:space="0"/>
              <w:bottom w:val="single" w:color="auto" w:sz="4" w:space="0"/>
              <w:right w:val="single" w:color="auto" w:sz="4" w:space="0"/>
            </w:tcBorders>
            <w:vAlign w:val="center"/>
          </w:tcPr>
          <w:p w14:paraId="0A85C8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392" w:type="dxa"/>
            <w:tcBorders>
              <w:top w:val="nil"/>
              <w:left w:val="nil"/>
              <w:bottom w:val="single" w:color="auto" w:sz="4" w:space="0"/>
              <w:right w:val="single" w:color="auto" w:sz="4" w:space="0"/>
            </w:tcBorders>
            <w:vAlign w:val="center"/>
          </w:tcPr>
          <w:p w14:paraId="37B5C3B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人行道行道树及灌木无明显缺株。</w:t>
            </w:r>
          </w:p>
        </w:tc>
        <w:tc>
          <w:tcPr>
            <w:tcW w:w="725" w:type="dxa"/>
            <w:tcBorders>
              <w:top w:val="nil"/>
              <w:left w:val="nil"/>
              <w:bottom w:val="single" w:color="auto" w:sz="4" w:space="0"/>
              <w:right w:val="single" w:color="auto" w:sz="4" w:space="0"/>
            </w:tcBorders>
            <w:vAlign w:val="center"/>
          </w:tcPr>
          <w:p w14:paraId="0F0A81C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1" w:type="dxa"/>
            <w:tcBorders>
              <w:top w:val="nil"/>
              <w:left w:val="nil"/>
              <w:bottom w:val="single" w:color="auto" w:sz="4" w:space="0"/>
              <w:right w:val="single" w:color="auto" w:sz="4" w:space="0"/>
            </w:tcBorders>
            <w:vAlign w:val="bottom"/>
          </w:tcPr>
          <w:p w14:paraId="5D491A2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4C1519F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7B75A7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807BE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089BBB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F8F91A0">
        <w:tblPrEx>
          <w:tblCellMar>
            <w:top w:w="0" w:type="dxa"/>
            <w:left w:w="108" w:type="dxa"/>
            <w:bottom w:w="0" w:type="dxa"/>
            <w:right w:w="108" w:type="dxa"/>
          </w:tblCellMar>
        </w:tblPrEx>
        <w:trPr>
          <w:trHeight w:val="201" w:hRule="atLeast"/>
          <w:jc w:val="center"/>
        </w:trPr>
        <w:tc>
          <w:tcPr>
            <w:tcW w:w="336" w:type="dxa"/>
            <w:tcBorders>
              <w:top w:val="nil"/>
              <w:left w:val="single" w:color="auto" w:sz="4" w:space="0"/>
              <w:bottom w:val="single" w:color="auto" w:sz="4" w:space="0"/>
              <w:right w:val="single" w:color="auto" w:sz="4" w:space="0"/>
            </w:tcBorders>
            <w:vAlign w:val="center"/>
          </w:tcPr>
          <w:p w14:paraId="75F5643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w:t>
            </w:r>
          </w:p>
        </w:tc>
        <w:tc>
          <w:tcPr>
            <w:tcW w:w="5392" w:type="dxa"/>
            <w:tcBorders>
              <w:top w:val="nil"/>
              <w:left w:val="nil"/>
              <w:bottom w:val="single" w:color="auto" w:sz="4" w:space="0"/>
              <w:right w:val="single" w:color="auto" w:sz="4" w:space="0"/>
            </w:tcBorders>
          </w:tcPr>
          <w:p w14:paraId="702280F2">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25" w:type="dxa"/>
            <w:tcBorders>
              <w:top w:val="nil"/>
              <w:left w:val="nil"/>
              <w:bottom w:val="single" w:color="auto" w:sz="4" w:space="0"/>
              <w:right w:val="single" w:color="auto" w:sz="4" w:space="0"/>
            </w:tcBorders>
            <w:vAlign w:val="center"/>
          </w:tcPr>
          <w:p w14:paraId="1CEA398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tcPr>
          <w:p w14:paraId="415B7CD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tcPr>
          <w:p w14:paraId="570A340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4DA011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42D82F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058D235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9DED3C4">
        <w:tblPrEx>
          <w:tblCellMar>
            <w:top w:w="0" w:type="dxa"/>
            <w:left w:w="108" w:type="dxa"/>
            <w:bottom w:w="0" w:type="dxa"/>
            <w:right w:w="108" w:type="dxa"/>
          </w:tblCellMar>
        </w:tblPrEx>
        <w:trPr>
          <w:trHeight w:val="857" w:hRule="atLeast"/>
          <w:jc w:val="center"/>
        </w:trPr>
        <w:tc>
          <w:tcPr>
            <w:tcW w:w="336" w:type="dxa"/>
            <w:tcBorders>
              <w:top w:val="nil"/>
              <w:left w:val="single" w:color="auto" w:sz="4" w:space="0"/>
              <w:bottom w:val="single" w:color="auto" w:sz="4" w:space="0"/>
              <w:right w:val="single" w:color="auto" w:sz="4" w:space="0"/>
            </w:tcBorders>
            <w:vAlign w:val="center"/>
          </w:tcPr>
          <w:p w14:paraId="58BC1BF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392" w:type="dxa"/>
            <w:tcBorders>
              <w:top w:val="nil"/>
              <w:left w:val="nil"/>
              <w:bottom w:val="single" w:color="auto" w:sz="4" w:space="0"/>
              <w:right w:val="single" w:color="auto" w:sz="4" w:space="0"/>
            </w:tcBorders>
          </w:tcPr>
          <w:p w14:paraId="1919603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有病虫害控制措施。食叶害虫危害的叶片每处（株）不超过15%，刺吸式害虫危害的叶片每处（株）不超过20%，蛀干性害虫危害每处（株）在5%以下。病害每处（株）不超过15%。</w:t>
            </w:r>
          </w:p>
        </w:tc>
        <w:tc>
          <w:tcPr>
            <w:tcW w:w="725" w:type="dxa"/>
            <w:tcBorders>
              <w:top w:val="nil"/>
              <w:left w:val="nil"/>
              <w:bottom w:val="single" w:color="auto" w:sz="4" w:space="0"/>
              <w:right w:val="single" w:color="auto" w:sz="4" w:space="0"/>
            </w:tcBorders>
            <w:vAlign w:val="center"/>
          </w:tcPr>
          <w:p w14:paraId="1B950BE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1" w:type="dxa"/>
            <w:tcBorders>
              <w:top w:val="nil"/>
              <w:left w:val="nil"/>
              <w:bottom w:val="single" w:color="auto" w:sz="4" w:space="0"/>
              <w:right w:val="single" w:color="auto" w:sz="4" w:space="0"/>
            </w:tcBorders>
          </w:tcPr>
          <w:p w14:paraId="1DA6301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tcPr>
          <w:p w14:paraId="732D87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3717FEC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0ED912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7037571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452115B">
        <w:tblPrEx>
          <w:tblCellMar>
            <w:top w:w="0" w:type="dxa"/>
            <w:left w:w="108" w:type="dxa"/>
            <w:bottom w:w="0" w:type="dxa"/>
            <w:right w:w="108" w:type="dxa"/>
          </w:tblCellMar>
        </w:tblPrEx>
        <w:trPr>
          <w:trHeight w:val="191" w:hRule="atLeast"/>
          <w:jc w:val="center"/>
        </w:trPr>
        <w:tc>
          <w:tcPr>
            <w:tcW w:w="336" w:type="dxa"/>
            <w:tcBorders>
              <w:top w:val="nil"/>
              <w:left w:val="single" w:color="auto" w:sz="4" w:space="0"/>
              <w:bottom w:val="single" w:color="auto" w:sz="4" w:space="0"/>
              <w:right w:val="single" w:color="auto" w:sz="4" w:space="0"/>
            </w:tcBorders>
            <w:vAlign w:val="center"/>
          </w:tcPr>
          <w:p w14:paraId="3FCA738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八</w:t>
            </w:r>
          </w:p>
        </w:tc>
        <w:tc>
          <w:tcPr>
            <w:tcW w:w="5392" w:type="dxa"/>
            <w:tcBorders>
              <w:top w:val="nil"/>
              <w:left w:val="nil"/>
              <w:bottom w:val="single" w:color="auto" w:sz="4" w:space="0"/>
              <w:right w:val="single" w:color="auto" w:sz="4" w:space="0"/>
            </w:tcBorders>
            <w:vAlign w:val="center"/>
          </w:tcPr>
          <w:p w14:paraId="5EEA84FC">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25" w:type="dxa"/>
            <w:tcBorders>
              <w:top w:val="nil"/>
              <w:left w:val="nil"/>
              <w:bottom w:val="single" w:color="auto" w:sz="4" w:space="0"/>
              <w:right w:val="single" w:color="auto" w:sz="4" w:space="0"/>
            </w:tcBorders>
            <w:vAlign w:val="center"/>
          </w:tcPr>
          <w:p w14:paraId="438D71B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tcPr>
          <w:p w14:paraId="095CF0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tcPr>
          <w:p w14:paraId="66E020E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157BC9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180028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400BA4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9BAB328">
        <w:tblPrEx>
          <w:tblCellMar>
            <w:top w:w="0" w:type="dxa"/>
            <w:left w:w="108" w:type="dxa"/>
            <w:bottom w:w="0" w:type="dxa"/>
            <w:right w:w="108" w:type="dxa"/>
          </w:tblCellMar>
        </w:tblPrEx>
        <w:trPr>
          <w:trHeight w:val="266" w:hRule="atLeast"/>
          <w:jc w:val="center"/>
        </w:trPr>
        <w:tc>
          <w:tcPr>
            <w:tcW w:w="336" w:type="dxa"/>
            <w:tcBorders>
              <w:top w:val="nil"/>
              <w:left w:val="single" w:color="auto" w:sz="4" w:space="0"/>
              <w:bottom w:val="single" w:color="auto" w:sz="4" w:space="0"/>
              <w:right w:val="single" w:color="auto" w:sz="4" w:space="0"/>
            </w:tcBorders>
            <w:vAlign w:val="center"/>
          </w:tcPr>
          <w:p w14:paraId="4F30920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392" w:type="dxa"/>
            <w:tcBorders>
              <w:top w:val="nil"/>
              <w:left w:val="nil"/>
              <w:bottom w:val="single" w:color="auto" w:sz="4" w:space="0"/>
              <w:right w:val="single" w:color="auto" w:sz="4" w:space="0"/>
            </w:tcBorders>
          </w:tcPr>
          <w:p w14:paraId="2C25B5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植株长势较为旺盛，叶子挺直，嫩稍不萎垂，土壤不干裂，无积水。无淋水造成的苗木倒伏、枝叶损伤、黄土污染路面现象。</w:t>
            </w:r>
          </w:p>
        </w:tc>
        <w:tc>
          <w:tcPr>
            <w:tcW w:w="725" w:type="dxa"/>
            <w:tcBorders>
              <w:top w:val="nil"/>
              <w:left w:val="nil"/>
              <w:bottom w:val="single" w:color="auto" w:sz="4" w:space="0"/>
              <w:right w:val="single" w:color="auto" w:sz="4" w:space="0"/>
            </w:tcBorders>
            <w:vAlign w:val="center"/>
          </w:tcPr>
          <w:p w14:paraId="041A09B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741" w:type="dxa"/>
            <w:tcBorders>
              <w:top w:val="nil"/>
              <w:left w:val="nil"/>
              <w:bottom w:val="single" w:color="auto" w:sz="4" w:space="0"/>
              <w:right w:val="single" w:color="auto" w:sz="4" w:space="0"/>
            </w:tcBorders>
            <w:vAlign w:val="bottom"/>
          </w:tcPr>
          <w:p w14:paraId="481FECC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7274E6A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51D83E2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789ACB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79CEF4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EB3DB7">
        <w:tblPrEx>
          <w:tblCellMar>
            <w:top w:w="0" w:type="dxa"/>
            <w:left w:w="108" w:type="dxa"/>
            <w:bottom w:w="0" w:type="dxa"/>
            <w:right w:w="108" w:type="dxa"/>
          </w:tblCellMar>
        </w:tblPrEx>
        <w:trPr>
          <w:trHeight w:val="128" w:hRule="atLeast"/>
          <w:jc w:val="center"/>
        </w:trPr>
        <w:tc>
          <w:tcPr>
            <w:tcW w:w="336" w:type="dxa"/>
            <w:tcBorders>
              <w:top w:val="nil"/>
              <w:left w:val="single" w:color="auto" w:sz="4" w:space="0"/>
              <w:bottom w:val="single" w:color="auto" w:sz="4" w:space="0"/>
              <w:right w:val="single" w:color="auto" w:sz="4" w:space="0"/>
            </w:tcBorders>
          </w:tcPr>
          <w:p w14:paraId="20A304BA">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392" w:type="dxa"/>
            <w:tcBorders>
              <w:top w:val="nil"/>
              <w:left w:val="nil"/>
              <w:bottom w:val="single" w:color="auto" w:sz="4" w:space="0"/>
              <w:right w:val="single" w:color="auto" w:sz="4" w:space="0"/>
            </w:tcBorders>
          </w:tcPr>
          <w:p w14:paraId="62A0BBF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25" w:type="dxa"/>
            <w:tcBorders>
              <w:top w:val="nil"/>
              <w:left w:val="nil"/>
              <w:bottom w:val="single" w:color="auto" w:sz="4" w:space="0"/>
              <w:right w:val="single" w:color="auto" w:sz="4" w:space="0"/>
            </w:tcBorders>
            <w:vAlign w:val="bottom"/>
          </w:tcPr>
          <w:p w14:paraId="2D5DC3CA">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41" w:type="dxa"/>
            <w:tcBorders>
              <w:top w:val="nil"/>
              <w:left w:val="nil"/>
              <w:bottom w:val="single" w:color="auto" w:sz="4" w:space="0"/>
              <w:right w:val="single" w:color="auto" w:sz="4" w:space="0"/>
            </w:tcBorders>
            <w:vAlign w:val="bottom"/>
          </w:tcPr>
          <w:p w14:paraId="1101CB7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36" w:type="dxa"/>
            <w:tcBorders>
              <w:top w:val="nil"/>
              <w:left w:val="nil"/>
              <w:bottom w:val="single" w:color="auto" w:sz="4" w:space="0"/>
              <w:right w:val="single" w:color="auto" w:sz="4" w:space="0"/>
            </w:tcBorders>
            <w:vAlign w:val="bottom"/>
          </w:tcPr>
          <w:p w14:paraId="4F8EB3A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7" w:type="dxa"/>
            <w:tcBorders>
              <w:top w:val="nil"/>
              <w:left w:val="nil"/>
              <w:bottom w:val="single" w:color="auto" w:sz="4" w:space="0"/>
              <w:right w:val="single" w:color="auto" w:sz="4" w:space="0"/>
            </w:tcBorders>
            <w:vAlign w:val="center"/>
          </w:tcPr>
          <w:p w14:paraId="28631B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tcBorders>
              <w:top w:val="nil"/>
              <w:left w:val="nil"/>
              <w:bottom w:val="single" w:color="auto" w:sz="4" w:space="0"/>
              <w:right w:val="single" w:color="auto" w:sz="4" w:space="0"/>
            </w:tcBorders>
            <w:vAlign w:val="center"/>
          </w:tcPr>
          <w:p w14:paraId="541066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1" w:type="dxa"/>
            <w:gridSpan w:val="2"/>
            <w:tcBorders>
              <w:top w:val="nil"/>
              <w:left w:val="nil"/>
              <w:bottom w:val="single" w:color="auto" w:sz="4" w:space="0"/>
              <w:right w:val="single" w:color="auto" w:sz="4" w:space="0"/>
            </w:tcBorders>
            <w:vAlign w:val="center"/>
          </w:tcPr>
          <w:p w14:paraId="5858C7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1A5479DA">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41CB7953">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7C2B664C">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5C62ED6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7C983C99">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79368933">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p w14:paraId="19FD63FD">
      <w:pPr>
        <w:keepNext w:val="0"/>
        <w:keepLines w:val="0"/>
        <w:pageBreakBefore w:val="0"/>
        <w:kinsoku/>
        <w:overflowPunct/>
        <w:topLinePunct w:val="0"/>
        <w:bidi w:val="0"/>
        <w:snapToGrid/>
        <w:spacing w:line="360" w:lineRule="auto"/>
        <w:jc w:val="both"/>
        <w:outlineLvl w:val="9"/>
        <w:rPr>
          <w:rFonts w:hint="eastAsia" w:ascii="宋体" w:hAnsi="宋体" w:eastAsia="宋体" w:cs="宋体"/>
          <w:b/>
          <w:bCs/>
          <w:color w:val="auto"/>
          <w:sz w:val="24"/>
          <w:szCs w:val="24"/>
          <w:highlight w:val="none"/>
        </w:rPr>
      </w:pPr>
    </w:p>
    <w:p w14:paraId="6C6900C9">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sectPr>
          <w:pgSz w:w="11906" w:h="16838"/>
          <w:pgMar w:top="1474" w:right="1418" w:bottom="1474" w:left="1418" w:header="851" w:footer="992" w:gutter="0"/>
          <w:cols w:space="720" w:num="1"/>
          <w:docGrid w:type="linesAndChars" w:linePitch="312" w:charSpace="0"/>
        </w:sectPr>
      </w:pPr>
    </w:p>
    <w:p w14:paraId="5758F9A8">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4.四级行道树绿带、分车带养护效果评分表</w:t>
      </w:r>
    </w:p>
    <w:tbl>
      <w:tblPr>
        <w:tblStyle w:val="20"/>
        <w:tblW w:w="9840" w:type="dxa"/>
        <w:jc w:val="center"/>
        <w:tblLayout w:type="fixed"/>
        <w:tblCellMar>
          <w:top w:w="0" w:type="dxa"/>
          <w:left w:w="108" w:type="dxa"/>
          <w:bottom w:w="0" w:type="dxa"/>
          <w:right w:w="108" w:type="dxa"/>
        </w:tblCellMar>
      </w:tblPr>
      <w:tblGrid>
        <w:gridCol w:w="525"/>
        <w:gridCol w:w="5500"/>
        <w:gridCol w:w="616"/>
        <w:gridCol w:w="640"/>
        <w:gridCol w:w="520"/>
        <w:gridCol w:w="760"/>
        <w:gridCol w:w="580"/>
        <w:gridCol w:w="699"/>
      </w:tblGrid>
      <w:tr w14:paraId="786DE762">
        <w:tblPrEx>
          <w:tblCellMar>
            <w:top w:w="0" w:type="dxa"/>
            <w:left w:w="108" w:type="dxa"/>
            <w:bottom w:w="0" w:type="dxa"/>
            <w:right w:w="108" w:type="dxa"/>
          </w:tblCellMar>
        </w:tblPrEx>
        <w:trPr>
          <w:trHeight w:val="660" w:hRule="atLeast"/>
          <w:jc w:val="center"/>
        </w:trPr>
        <w:tc>
          <w:tcPr>
            <w:tcW w:w="525" w:type="dxa"/>
            <w:vAlign w:val="center"/>
          </w:tcPr>
          <w:p w14:paraId="2E36534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9315" w:type="dxa"/>
            <w:gridSpan w:val="7"/>
            <w:tcBorders>
              <w:top w:val="nil"/>
              <w:left w:val="nil"/>
              <w:bottom w:val="single" w:color="auto" w:sz="4" w:space="0"/>
              <w:right w:val="nil"/>
            </w:tcBorders>
            <w:vAlign w:val="center"/>
          </w:tcPr>
          <w:p w14:paraId="0BCEA0BF">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评分人:</w:t>
            </w:r>
          </w:p>
        </w:tc>
      </w:tr>
      <w:tr w14:paraId="1183ED6B">
        <w:tblPrEx>
          <w:tblCellMar>
            <w:top w:w="0" w:type="dxa"/>
            <w:left w:w="108" w:type="dxa"/>
            <w:bottom w:w="0" w:type="dxa"/>
            <w:right w:w="108" w:type="dxa"/>
          </w:tblCellMar>
        </w:tblPrEx>
        <w:trPr>
          <w:trHeight w:val="494"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244FCCD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500" w:type="dxa"/>
            <w:tcBorders>
              <w:top w:val="single" w:color="auto" w:sz="4" w:space="0"/>
              <w:left w:val="nil"/>
              <w:bottom w:val="single" w:color="auto" w:sz="4" w:space="0"/>
              <w:right w:val="single" w:color="auto" w:sz="4" w:space="0"/>
            </w:tcBorders>
            <w:vAlign w:val="center"/>
          </w:tcPr>
          <w:p w14:paraId="5C62687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c>
          <w:tcPr>
            <w:tcW w:w="616" w:type="dxa"/>
            <w:tcBorders>
              <w:top w:val="single" w:color="auto" w:sz="4" w:space="0"/>
              <w:left w:val="nil"/>
              <w:bottom w:val="single" w:color="auto" w:sz="4" w:space="0"/>
              <w:right w:val="single" w:color="auto" w:sz="4" w:space="0"/>
            </w:tcBorders>
            <w:vAlign w:val="center"/>
          </w:tcPr>
          <w:p w14:paraId="7D21F9A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标准比例</w:t>
            </w:r>
          </w:p>
        </w:tc>
        <w:tc>
          <w:tcPr>
            <w:tcW w:w="640" w:type="dxa"/>
            <w:tcBorders>
              <w:top w:val="single" w:color="auto" w:sz="4" w:space="0"/>
              <w:left w:val="nil"/>
              <w:bottom w:val="single" w:color="auto" w:sz="4" w:space="0"/>
              <w:right w:val="single" w:color="auto" w:sz="4" w:space="0"/>
            </w:tcBorders>
            <w:vAlign w:val="center"/>
          </w:tcPr>
          <w:p w14:paraId="48A6A82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分</w:t>
            </w:r>
          </w:p>
        </w:tc>
        <w:tc>
          <w:tcPr>
            <w:tcW w:w="2559" w:type="dxa"/>
            <w:gridSpan w:val="4"/>
            <w:tcBorders>
              <w:top w:val="single" w:color="auto" w:sz="4" w:space="0"/>
              <w:left w:val="nil"/>
              <w:bottom w:val="single" w:color="auto" w:sz="4" w:space="0"/>
              <w:right w:val="single" w:color="auto" w:sz="4" w:space="0"/>
            </w:tcBorders>
            <w:vAlign w:val="center"/>
          </w:tcPr>
          <w:p w14:paraId="7F6D213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检查点</w:t>
            </w:r>
          </w:p>
        </w:tc>
      </w:tr>
      <w:tr w14:paraId="4CE3C200">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7C67625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5500" w:type="dxa"/>
            <w:tcBorders>
              <w:top w:val="nil"/>
              <w:left w:val="nil"/>
              <w:bottom w:val="single" w:color="auto" w:sz="4" w:space="0"/>
              <w:right w:val="single" w:color="auto" w:sz="4" w:space="0"/>
            </w:tcBorders>
            <w:vAlign w:val="center"/>
          </w:tcPr>
          <w:p w14:paraId="47FCC1E6">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整体效果</w:t>
            </w:r>
          </w:p>
        </w:tc>
        <w:tc>
          <w:tcPr>
            <w:tcW w:w="616" w:type="dxa"/>
            <w:tcBorders>
              <w:top w:val="nil"/>
              <w:left w:val="nil"/>
              <w:bottom w:val="single" w:color="auto" w:sz="4" w:space="0"/>
              <w:right w:val="single" w:color="auto" w:sz="4" w:space="0"/>
            </w:tcBorders>
            <w:vAlign w:val="center"/>
          </w:tcPr>
          <w:p w14:paraId="1048BB9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nil"/>
              <w:left w:val="nil"/>
              <w:bottom w:val="single" w:color="auto" w:sz="4" w:space="0"/>
              <w:right w:val="single" w:color="auto" w:sz="4" w:space="0"/>
            </w:tcBorders>
            <w:vAlign w:val="center"/>
          </w:tcPr>
          <w:p w14:paraId="2422F4F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7689A471">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7EFD67C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2643A84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731BCFF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F493D6F">
        <w:tblPrEx>
          <w:tblCellMar>
            <w:top w:w="0" w:type="dxa"/>
            <w:left w:w="108" w:type="dxa"/>
            <w:bottom w:w="0" w:type="dxa"/>
            <w:right w:w="108" w:type="dxa"/>
          </w:tblCellMar>
        </w:tblPrEx>
        <w:trPr>
          <w:trHeight w:val="579" w:hRule="atLeast"/>
          <w:jc w:val="center"/>
        </w:trPr>
        <w:tc>
          <w:tcPr>
            <w:tcW w:w="525" w:type="dxa"/>
            <w:tcBorders>
              <w:top w:val="nil"/>
              <w:left w:val="single" w:color="auto" w:sz="4" w:space="0"/>
              <w:bottom w:val="single" w:color="auto" w:sz="4" w:space="0"/>
              <w:right w:val="single" w:color="auto" w:sz="4" w:space="0"/>
            </w:tcBorders>
            <w:vAlign w:val="center"/>
          </w:tcPr>
          <w:p w14:paraId="308FB30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500" w:type="dxa"/>
            <w:tcBorders>
              <w:top w:val="nil"/>
              <w:left w:val="nil"/>
              <w:bottom w:val="single" w:color="auto" w:sz="4" w:space="0"/>
              <w:right w:val="single" w:color="auto" w:sz="4" w:space="0"/>
            </w:tcBorders>
            <w:vAlign w:val="center"/>
          </w:tcPr>
          <w:p w14:paraId="2ED2D86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植物生长基本正常。</w:t>
            </w:r>
          </w:p>
        </w:tc>
        <w:tc>
          <w:tcPr>
            <w:tcW w:w="616" w:type="dxa"/>
            <w:tcBorders>
              <w:top w:val="nil"/>
              <w:left w:val="nil"/>
              <w:bottom w:val="single" w:color="auto" w:sz="4" w:space="0"/>
              <w:right w:val="single" w:color="auto" w:sz="4" w:space="0"/>
            </w:tcBorders>
            <w:vAlign w:val="center"/>
          </w:tcPr>
          <w:p w14:paraId="4C632F1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nil"/>
              <w:left w:val="nil"/>
              <w:bottom w:val="single" w:color="auto" w:sz="4" w:space="0"/>
              <w:right w:val="single" w:color="auto" w:sz="4" w:space="0"/>
            </w:tcBorders>
            <w:vAlign w:val="center"/>
          </w:tcPr>
          <w:p w14:paraId="2214F73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08E8C88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1C8EA48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432559E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07E7E3A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1033A6C">
        <w:tblPrEx>
          <w:tblCellMar>
            <w:top w:w="0" w:type="dxa"/>
            <w:left w:w="108" w:type="dxa"/>
            <w:bottom w:w="0" w:type="dxa"/>
            <w:right w:w="108" w:type="dxa"/>
          </w:tblCellMar>
        </w:tblPrEx>
        <w:trPr>
          <w:trHeight w:val="400" w:hRule="atLeast"/>
          <w:jc w:val="center"/>
        </w:trPr>
        <w:tc>
          <w:tcPr>
            <w:tcW w:w="525" w:type="dxa"/>
            <w:tcBorders>
              <w:top w:val="nil"/>
              <w:left w:val="single" w:color="auto" w:sz="4" w:space="0"/>
              <w:bottom w:val="single" w:color="auto" w:sz="4" w:space="0"/>
              <w:right w:val="single" w:color="auto" w:sz="4" w:space="0"/>
            </w:tcBorders>
            <w:vAlign w:val="center"/>
          </w:tcPr>
          <w:p w14:paraId="3606353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5500" w:type="dxa"/>
            <w:tcBorders>
              <w:top w:val="nil"/>
              <w:left w:val="nil"/>
              <w:bottom w:val="single" w:color="auto" w:sz="4" w:space="0"/>
              <w:right w:val="single" w:color="auto" w:sz="4" w:space="0"/>
            </w:tcBorders>
            <w:vAlign w:val="center"/>
          </w:tcPr>
          <w:p w14:paraId="3BB3A08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乔木</w:t>
            </w:r>
          </w:p>
        </w:tc>
        <w:tc>
          <w:tcPr>
            <w:tcW w:w="616" w:type="dxa"/>
            <w:tcBorders>
              <w:top w:val="nil"/>
              <w:left w:val="nil"/>
              <w:bottom w:val="single" w:color="auto" w:sz="4" w:space="0"/>
              <w:right w:val="single" w:color="auto" w:sz="4" w:space="0"/>
            </w:tcBorders>
            <w:vAlign w:val="center"/>
          </w:tcPr>
          <w:p w14:paraId="016A2AD3">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nil"/>
              <w:left w:val="nil"/>
              <w:bottom w:val="single" w:color="auto" w:sz="4" w:space="0"/>
              <w:right w:val="single" w:color="auto" w:sz="4" w:space="0"/>
            </w:tcBorders>
            <w:vAlign w:val="center"/>
          </w:tcPr>
          <w:p w14:paraId="68E4E34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640316C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19FD68C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402D787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7ECD48E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30974EF">
        <w:tblPrEx>
          <w:tblCellMar>
            <w:top w:w="0" w:type="dxa"/>
            <w:left w:w="108" w:type="dxa"/>
            <w:bottom w:w="0" w:type="dxa"/>
            <w:right w:w="108" w:type="dxa"/>
          </w:tblCellMar>
        </w:tblPrEx>
        <w:trPr>
          <w:trHeight w:val="536" w:hRule="atLeast"/>
          <w:jc w:val="center"/>
        </w:trPr>
        <w:tc>
          <w:tcPr>
            <w:tcW w:w="525" w:type="dxa"/>
            <w:tcBorders>
              <w:top w:val="nil"/>
              <w:left w:val="single" w:color="auto" w:sz="4" w:space="0"/>
              <w:bottom w:val="single" w:color="auto" w:sz="4" w:space="0"/>
              <w:right w:val="single" w:color="auto" w:sz="4" w:space="0"/>
            </w:tcBorders>
            <w:vAlign w:val="center"/>
          </w:tcPr>
          <w:p w14:paraId="1AAFC8E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nil"/>
              <w:left w:val="nil"/>
              <w:bottom w:val="single" w:color="auto" w:sz="4" w:space="0"/>
              <w:right w:val="single" w:color="auto" w:sz="4" w:space="0"/>
            </w:tcBorders>
            <w:vAlign w:val="center"/>
          </w:tcPr>
          <w:p w14:paraId="05500FF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生长正常，树体基本正直。</w:t>
            </w:r>
          </w:p>
        </w:tc>
        <w:tc>
          <w:tcPr>
            <w:tcW w:w="616" w:type="dxa"/>
            <w:tcBorders>
              <w:top w:val="nil"/>
              <w:left w:val="nil"/>
              <w:bottom w:val="single" w:color="auto" w:sz="4" w:space="0"/>
              <w:right w:val="single" w:color="auto" w:sz="4" w:space="0"/>
            </w:tcBorders>
            <w:vAlign w:val="center"/>
          </w:tcPr>
          <w:p w14:paraId="2816C0B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c>
          <w:tcPr>
            <w:tcW w:w="640" w:type="dxa"/>
            <w:tcBorders>
              <w:top w:val="nil"/>
              <w:left w:val="nil"/>
              <w:bottom w:val="single" w:color="auto" w:sz="4" w:space="0"/>
              <w:right w:val="single" w:color="auto" w:sz="4" w:space="0"/>
            </w:tcBorders>
            <w:vAlign w:val="center"/>
          </w:tcPr>
          <w:p w14:paraId="6462D2C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319549A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7B8005A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4D67543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5442D7F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988FB70">
        <w:tblPrEx>
          <w:tblCellMar>
            <w:top w:w="0" w:type="dxa"/>
            <w:left w:w="108" w:type="dxa"/>
            <w:bottom w:w="0" w:type="dxa"/>
            <w:right w:w="108" w:type="dxa"/>
          </w:tblCellMar>
        </w:tblPrEx>
        <w:trPr>
          <w:trHeight w:val="461" w:hRule="atLeast"/>
          <w:jc w:val="center"/>
        </w:trPr>
        <w:tc>
          <w:tcPr>
            <w:tcW w:w="525" w:type="dxa"/>
            <w:tcBorders>
              <w:top w:val="nil"/>
              <w:left w:val="single" w:color="auto" w:sz="4" w:space="0"/>
              <w:bottom w:val="single" w:color="auto" w:sz="4" w:space="0"/>
              <w:right w:val="single" w:color="auto" w:sz="4" w:space="0"/>
            </w:tcBorders>
            <w:vAlign w:val="center"/>
          </w:tcPr>
          <w:p w14:paraId="6C79C8E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500" w:type="dxa"/>
            <w:tcBorders>
              <w:top w:val="nil"/>
              <w:left w:val="nil"/>
              <w:bottom w:val="single" w:color="auto" w:sz="4" w:space="0"/>
              <w:right w:val="single" w:color="auto" w:sz="4" w:space="0"/>
            </w:tcBorders>
            <w:vAlign w:val="center"/>
          </w:tcPr>
          <w:p w14:paraId="2A9CEAA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修剪：能按要求及时修剪。</w:t>
            </w:r>
          </w:p>
        </w:tc>
        <w:tc>
          <w:tcPr>
            <w:tcW w:w="616" w:type="dxa"/>
            <w:tcBorders>
              <w:top w:val="nil"/>
              <w:left w:val="nil"/>
              <w:bottom w:val="single" w:color="auto" w:sz="4" w:space="0"/>
              <w:right w:val="single" w:color="auto" w:sz="4" w:space="0"/>
            </w:tcBorders>
            <w:vAlign w:val="center"/>
          </w:tcPr>
          <w:p w14:paraId="5CD31A7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c>
          <w:tcPr>
            <w:tcW w:w="640" w:type="dxa"/>
            <w:tcBorders>
              <w:top w:val="nil"/>
              <w:left w:val="nil"/>
              <w:bottom w:val="single" w:color="auto" w:sz="4" w:space="0"/>
              <w:right w:val="single" w:color="auto" w:sz="4" w:space="0"/>
            </w:tcBorders>
            <w:vAlign w:val="center"/>
          </w:tcPr>
          <w:p w14:paraId="41B4E13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31BBB4D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3669415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4A6B3BC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6CDB6D9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3C46923">
        <w:tblPrEx>
          <w:tblCellMar>
            <w:top w:w="0" w:type="dxa"/>
            <w:left w:w="108" w:type="dxa"/>
            <w:bottom w:w="0" w:type="dxa"/>
            <w:right w:w="108" w:type="dxa"/>
          </w:tblCellMar>
        </w:tblPrEx>
        <w:trPr>
          <w:trHeight w:val="410" w:hRule="atLeast"/>
          <w:jc w:val="center"/>
        </w:trPr>
        <w:tc>
          <w:tcPr>
            <w:tcW w:w="525" w:type="dxa"/>
            <w:tcBorders>
              <w:top w:val="nil"/>
              <w:left w:val="single" w:color="auto" w:sz="4" w:space="0"/>
              <w:bottom w:val="single" w:color="auto" w:sz="4" w:space="0"/>
              <w:right w:val="single" w:color="auto" w:sz="4" w:space="0"/>
            </w:tcBorders>
            <w:vAlign w:val="center"/>
          </w:tcPr>
          <w:p w14:paraId="588BA33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500" w:type="dxa"/>
            <w:tcBorders>
              <w:top w:val="nil"/>
              <w:left w:val="nil"/>
              <w:bottom w:val="single" w:color="auto" w:sz="4" w:space="0"/>
              <w:right w:val="single" w:color="auto" w:sz="4" w:space="0"/>
            </w:tcBorders>
            <w:vAlign w:val="center"/>
          </w:tcPr>
          <w:p w14:paraId="6E99409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树体无明显钉挂物、铁丝等缠绕物，无明显断枝、干枯枝等。</w:t>
            </w:r>
          </w:p>
        </w:tc>
        <w:tc>
          <w:tcPr>
            <w:tcW w:w="616" w:type="dxa"/>
            <w:tcBorders>
              <w:top w:val="nil"/>
              <w:left w:val="nil"/>
              <w:bottom w:val="single" w:color="auto" w:sz="4" w:space="0"/>
              <w:right w:val="single" w:color="auto" w:sz="4" w:space="0"/>
            </w:tcBorders>
            <w:vAlign w:val="center"/>
          </w:tcPr>
          <w:p w14:paraId="4A4FB72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640" w:type="dxa"/>
            <w:tcBorders>
              <w:top w:val="nil"/>
              <w:left w:val="nil"/>
              <w:bottom w:val="single" w:color="auto" w:sz="4" w:space="0"/>
              <w:right w:val="single" w:color="auto" w:sz="4" w:space="0"/>
            </w:tcBorders>
            <w:vAlign w:val="center"/>
          </w:tcPr>
          <w:p w14:paraId="2ABC5B5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14A428F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43B3300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69704F2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54E2E6C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FB55736">
        <w:tblPrEx>
          <w:tblCellMar>
            <w:top w:w="0" w:type="dxa"/>
            <w:left w:w="108" w:type="dxa"/>
            <w:bottom w:w="0" w:type="dxa"/>
            <w:right w:w="108" w:type="dxa"/>
          </w:tblCellMar>
        </w:tblPrEx>
        <w:trPr>
          <w:trHeight w:val="386" w:hRule="atLeast"/>
          <w:jc w:val="center"/>
        </w:trPr>
        <w:tc>
          <w:tcPr>
            <w:tcW w:w="525" w:type="dxa"/>
            <w:tcBorders>
              <w:top w:val="nil"/>
              <w:left w:val="single" w:color="auto" w:sz="4" w:space="0"/>
              <w:bottom w:val="single" w:color="auto" w:sz="4" w:space="0"/>
              <w:right w:val="single" w:color="auto" w:sz="4" w:space="0"/>
            </w:tcBorders>
            <w:vAlign w:val="center"/>
          </w:tcPr>
          <w:p w14:paraId="0E935A5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5500" w:type="dxa"/>
            <w:tcBorders>
              <w:top w:val="nil"/>
              <w:left w:val="nil"/>
              <w:bottom w:val="single" w:color="auto" w:sz="4" w:space="0"/>
              <w:right w:val="single" w:color="auto" w:sz="4" w:space="0"/>
            </w:tcBorders>
            <w:vAlign w:val="center"/>
          </w:tcPr>
          <w:p w14:paraId="5C5F9FA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无死株及树桩。</w:t>
            </w:r>
          </w:p>
        </w:tc>
        <w:tc>
          <w:tcPr>
            <w:tcW w:w="616" w:type="dxa"/>
            <w:tcBorders>
              <w:top w:val="nil"/>
              <w:left w:val="nil"/>
              <w:bottom w:val="single" w:color="auto" w:sz="4" w:space="0"/>
              <w:right w:val="single" w:color="auto" w:sz="4" w:space="0"/>
            </w:tcBorders>
            <w:vAlign w:val="center"/>
          </w:tcPr>
          <w:p w14:paraId="25EE894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640" w:type="dxa"/>
            <w:tcBorders>
              <w:top w:val="nil"/>
              <w:left w:val="nil"/>
              <w:bottom w:val="single" w:color="auto" w:sz="4" w:space="0"/>
              <w:right w:val="single" w:color="auto" w:sz="4" w:space="0"/>
            </w:tcBorders>
            <w:vAlign w:val="center"/>
          </w:tcPr>
          <w:p w14:paraId="0140DF7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6CE8541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64184A9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3E171CB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706013F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C99E63D">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5F7F710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5500" w:type="dxa"/>
            <w:tcBorders>
              <w:top w:val="nil"/>
              <w:left w:val="nil"/>
              <w:bottom w:val="single" w:color="auto" w:sz="4" w:space="0"/>
              <w:right w:val="single" w:color="auto" w:sz="4" w:space="0"/>
            </w:tcBorders>
            <w:vAlign w:val="center"/>
          </w:tcPr>
          <w:p w14:paraId="3752448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孤植灌木</w:t>
            </w:r>
          </w:p>
        </w:tc>
        <w:tc>
          <w:tcPr>
            <w:tcW w:w="616" w:type="dxa"/>
            <w:tcBorders>
              <w:top w:val="nil"/>
              <w:left w:val="nil"/>
              <w:bottom w:val="single" w:color="auto" w:sz="4" w:space="0"/>
              <w:right w:val="single" w:color="auto" w:sz="4" w:space="0"/>
            </w:tcBorders>
            <w:vAlign w:val="center"/>
          </w:tcPr>
          <w:p w14:paraId="0101520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nil"/>
              <w:left w:val="nil"/>
              <w:bottom w:val="single" w:color="auto" w:sz="4" w:space="0"/>
              <w:right w:val="single" w:color="auto" w:sz="4" w:space="0"/>
            </w:tcBorders>
            <w:vAlign w:val="center"/>
          </w:tcPr>
          <w:p w14:paraId="697C7801">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6548C12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0B27B3A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6A88841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57E1B08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137D5A1">
        <w:tblPrEx>
          <w:tblCellMar>
            <w:top w:w="0" w:type="dxa"/>
            <w:left w:w="108" w:type="dxa"/>
            <w:bottom w:w="0" w:type="dxa"/>
            <w:right w:w="108" w:type="dxa"/>
          </w:tblCellMar>
        </w:tblPrEx>
        <w:trPr>
          <w:trHeight w:val="405" w:hRule="atLeast"/>
          <w:jc w:val="center"/>
        </w:trPr>
        <w:tc>
          <w:tcPr>
            <w:tcW w:w="525" w:type="dxa"/>
            <w:tcBorders>
              <w:top w:val="nil"/>
              <w:left w:val="single" w:color="auto" w:sz="4" w:space="0"/>
              <w:bottom w:val="single" w:color="auto" w:sz="4" w:space="0"/>
              <w:right w:val="single" w:color="auto" w:sz="4" w:space="0"/>
            </w:tcBorders>
            <w:vAlign w:val="center"/>
          </w:tcPr>
          <w:p w14:paraId="4487A6A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nil"/>
              <w:left w:val="nil"/>
              <w:bottom w:val="single" w:color="auto" w:sz="4" w:space="0"/>
              <w:right w:val="single" w:color="auto" w:sz="4" w:space="0"/>
            </w:tcBorders>
            <w:vAlign w:val="center"/>
          </w:tcPr>
          <w:p w14:paraId="72FCD62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生长：植株生长正常。</w:t>
            </w:r>
          </w:p>
        </w:tc>
        <w:tc>
          <w:tcPr>
            <w:tcW w:w="616" w:type="dxa"/>
            <w:tcBorders>
              <w:top w:val="nil"/>
              <w:left w:val="nil"/>
              <w:bottom w:val="single" w:color="auto" w:sz="4" w:space="0"/>
              <w:right w:val="single" w:color="auto" w:sz="4" w:space="0"/>
            </w:tcBorders>
            <w:vAlign w:val="center"/>
          </w:tcPr>
          <w:p w14:paraId="1E2AE6C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c>
          <w:tcPr>
            <w:tcW w:w="640" w:type="dxa"/>
            <w:tcBorders>
              <w:top w:val="nil"/>
              <w:left w:val="nil"/>
              <w:bottom w:val="single" w:color="auto" w:sz="4" w:space="0"/>
              <w:right w:val="single" w:color="auto" w:sz="4" w:space="0"/>
            </w:tcBorders>
            <w:vAlign w:val="center"/>
          </w:tcPr>
          <w:p w14:paraId="202A4E7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5E90194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20BE589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12255BA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24E7F30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148835F">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424AFBB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500" w:type="dxa"/>
            <w:tcBorders>
              <w:top w:val="nil"/>
              <w:left w:val="nil"/>
              <w:bottom w:val="single" w:color="auto" w:sz="4" w:space="0"/>
              <w:right w:val="single" w:color="auto" w:sz="4" w:space="0"/>
            </w:tcBorders>
            <w:vAlign w:val="center"/>
          </w:tcPr>
          <w:p w14:paraId="464AD3F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修剪：按要求维持一定形状。</w:t>
            </w:r>
          </w:p>
        </w:tc>
        <w:tc>
          <w:tcPr>
            <w:tcW w:w="616" w:type="dxa"/>
            <w:tcBorders>
              <w:top w:val="nil"/>
              <w:left w:val="nil"/>
              <w:bottom w:val="single" w:color="auto" w:sz="4" w:space="0"/>
              <w:right w:val="single" w:color="auto" w:sz="4" w:space="0"/>
            </w:tcBorders>
            <w:vAlign w:val="center"/>
          </w:tcPr>
          <w:p w14:paraId="6504F7E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c>
          <w:tcPr>
            <w:tcW w:w="640" w:type="dxa"/>
            <w:tcBorders>
              <w:top w:val="nil"/>
              <w:left w:val="nil"/>
              <w:bottom w:val="single" w:color="auto" w:sz="4" w:space="0"/>
              <w:right w:val="single" w:color="auto" w:sz="4" w:space="0"/>
            </w:tcBorders>
            <w:vAlign w:val="center"/>
          </w:tcPr>
          <w:p w14:paraId="5690DC6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4E27176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5AE6B1B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38119D2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4D5FEF1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DB503A7">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3A73B87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5500" w:type="dxa"/>
            <w:tcBorders>
              <w:top w:val="nil"/>
              <w:left w:val="nil"/>
              <w:bottom w:val="single" w:color="auto" w:sz="4" w:space="0"/>
              <w:right w:val="single" w:color="auto" w:sz="4" w:space="0"/>
            </w:tcBorders>
            <w:vAlign w:val="center"/>
          </w:tcPr>
          <w:p w14:paraId="598370B7">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片植灌木、草本地被</w:t>
            </w:r>
          </w:p>
        </w:tc>
        <w:tc>
          <w:tcPr>
            <w:tcW w:w="616" w:type="dxa"/>
            <w:tcBorders>
              <w:top w:val="nil"/>
              <w:left w:val="nil"/>
              <w:bottom w:val="single" w:color="auto" w:sz="4" w:space="0"/>
              <w:right w:val="single" w:color="auto" w:sz="4" w:space="0"/>
            </w:tcBorders>
            <w:vAlign w:val="center"/>
          </w:tcPr>
          <w:p w14:paraId="1DE5289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nil"/>
              <w:left w:val="nil"/>
              <w:bottom w:val="single" w:color="auto" w:sz="4" w:space="0"/>
              <w:right w:val="single" w:color="auto" w:sz="4" w:space="0"/>
            </w:tcBorders>
            <w:vAlign w:val="center"/>
          </w:tcPr>
          <w:p w14:paraId="0DACB21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nil"/>
              <w:left w:val="nil"/>
              <w:bottom w:val="single" w:color="auto" w:sz="4" w:space="0"/>
              <w:right w:val="single" w:color="auto" w:sz="4" w:space="0"/>
            </w:tcBorders>
            <w:vAlign w:val="center"/>
          </w:tcPr>
          <w:p w14:paraId="3A41F75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nil"/>
              <w:left w:val="nil"/>
              <w:bottom w:val="single" w:color="auto" w:sz="4" w:space="0"/>
              <w:right w:val="single" w:color="auto" w:sz="4" w:space="0"/>
            </w:tcBorders>
            <w:vAlign w:val="center"/>
          </w:tcPr>
          <w:p w14:paraId="16F32FE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nil"/>
              <w:left w:val="nil"/>
              <w:bottom w:val="single" w:color="auto" w:sz="4" w:space="0"/>
              <w:right w:val="single" w:color="auto" w:sz="4" w:space="0"/>
            </w:tcBorders>
            <w:vAlign w:val="center"/>
          </w:tcPr>
          <w:p w14:paraId="370D96F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nil"/>
              <w:left w:val="nil"/>
              <w:bottom w:val="single" w:color="auto" w:sz="4" w:space="0"/>
              <w:right w:val="single" w:color="auto" w:sz="4" w:space="0"/>
            </w:tcBorders>
            <w:vAlign w:val="center"/>
          </w:tcPr>
          <w:p w14:paraId="59D1CA4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5BC4C1D1">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4B06730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nil"/>
              <w:left w:val="nil"/>
              <w:bottom w:val="single" w:color="auto" w:sz="4" w:space="0"/>
              <w:right w:val="single" w:color="auto" w:sz="4" w:space="0"/>
            </w:tcBorders>
            <w:vAlign w:val="center"/>
          </w:tcPr>
          <w:p w14:paraId="638CBAB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生长正常，基本能按要求及时修剪。</w:t>
            </w:r>
          </w:p>
        </w:tc>
        <w:tc>
          <w:tcPr>
            <w:tcW w:w="616" w:type="dxa"/>
            <w:tcBorders>
              <w:top w:val="nil"/>
              <w:left w:val="nil"/>
              <w:bottom w:val="single" w:color="auto" w:sz="4" w:space="0"/>
              <w:right w:val="single" w:color="auto" w:sz="4" w:space="0"/>
            </w:tcBorders>
            <w:vAlign w:val="center"/>
          </w:tcPr>
          <w:p w14:paraId="2E1BFEB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nil"/>
              <w:left w:val="nil"/>
              <w:bottom w:val="single" w:color="auto" w:sz="4" w:space="0"/>
              <w:right w:val="single" w:color="auto" w:sz="4" w:space="0"/>
            </w:tcBorders>
            <w:vAlign w:val="center"/>
          </w:tcPr>
          <w:p w14:paraId="35BE487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nil"/>
              <w:left w:val="nil"/>
              <w:bottom w:val="single" w:color="auto" w:sz="4" w:space="0"/>
              <w:right w:val="single" w:color="auto" w:sz="4" w:space="0"/>
            </w:tcBorders>
            <w:vAlign w:val="center"/>
          </w:tcPr>
          <w:p w14:paraId="031F3D4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nil"/>
              <w:left w:val="nil"/>
              <w:bottom w:val="single" w:color="auto" w:sz="4" w:space="0"/>
              <w:right w:val="single" w:color="auto" w:sz="4" w:space="0"/>
            </w:tcBorders>
            <w:vAlign w:val="center"/>
          </w:tcPr>
          <w:p w14:paraId="0854A87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nil"/>
              <w:left w:val="nil"/>
              <w:bottom w:val="single" w:color="auto" w:sz="4" w:space="0"/>
              <w:right w:val="single" w:color="auto" w:sz="4" w:space="0"/>
            </w:tcBorders>
            <w:vAlign w:val="center"/>
          </w:tcPr>
          <w:p w14:paraId="6AEF817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nil"/>
              <w:left w:val="nil"/>
              <w:bottom w:val="single" w:color="auto" w:sz="4" w:space="0"/>
              <w:right w:val="single" w:color="auto" w:sz="4" w:space="0"/>
            </w:tcBorders>
            <w:vAlign w:val="center"/>
          </w:tcPr>
          <w:p w14:paraId="28530A8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4B3476D0">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29ECEB1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5500" w:type="dxa"/>
            <w:tcBorders>
              <w:top w:val="nil"/>
              <w:left w:val="nil"/>
              <w:bottom w:val="single" w:color="auto" w:sz="4" w:space="0"/>
              <w:right w:val="single" w:color="auto" w:sz="4" w:space="0"/>
            </w:tcBorders>
            <w:vAlign w:val="center"/>
          </w:tcPr>
          <w:p w14:paraId="2F1020DE">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树盘</w:t>
            </w:r>
          </w:p>
        </w:tc>
        <w:tc>
          <w:tcPr>
            <w:tcW w:w="616" w:type="dxa"/>
            <w:tcBorders>
              <w:top w:val="nil"/>
              <w:left w:val="nil"/>
              <w:bottom w:val="single" w:color="auto" w:sz="4" w:space="0"/>
              <w:right w:val="single" w:color="auto" w:sz="4" w:space="0"/>
            </w:tcBorders>
            <w:vAlign w:val="center"/>
          </w:tcPr>
          <w:p w14:paraId="6C2A0EF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640" w:type="dxa"/>
            <w:tcBorders>
              <w:top w:val="nil"/>
              <w:left w:val="nil"/>
              <w:bottom w:val="single" w:color="auto" w:sz="4" w:space="0"/>
              <w:right w:val="single" w:color="auto" w:sz="4" w:space="0"/>
            </w:tcBorders>
            <w:vAlign w:val="center"/>
          </w:tcPr>
          <w:p w14:paraId="76B8C418">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010DA89B">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63E34DD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6473AEA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73EB301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968558D">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0B8F2CB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500" w:type="dxa"/>
            <w:tcBorders>
              <w:top w:val="nil"/>
              <w:left w:val="nil"/>
              <w:bottom w:val="single" w:color="auto" w:sz="4" w:space="0"/>
              <w:right w:val="single" w:color="auto" w:sz="4" w:space="0"/>
            </w:tcBorders>
            <w:vAlign w:val="center"/>
          </w:tcPr>
          <w:p w14:paraId="4ED977D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大小、高度适当，无明显杂物。</w:t>
            </w:r>
          </w:p>
        </w:tc>
        <w:tc>
          <w:tcPr>
            <w:tcW w:w="616" w:type="dxa"/>
            <w:tcBorders>
              <w:top w:val="nil"/>
              <w:left w:val="nil"/>
              <w:bottom w:val="single" w:color="auto" w:sz="4" w:space="0"/>
              <w:right w:val="single" w:color="auto" w:sz="4" w:space="0"/>
            </w:tcBorders>
            <w:vAlign w:val="center"/>
          </w:tcPr>
          <w:p w14:paraId="0FA1B2D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　</w:t>
            </w:r>
          </w:p>
        </w:tc>
        <w:tc>
          <w:tcPr>
            <w:tcW w:w="640" w:type="dxa"/>
            <w:tcBorders>
              <w:top w:val="nil"/>
              <w:left w:val="nil"/>
              <w:bottom w:val="single" w:color="auto" w:sz="4" w:space="0"/>
              <w:right w:val="single" w:color="auto" w:sz="4" w:space="0"/>
            </w:tcBorders>
            <w:vAlign w:val="center"/>
          </w:tcPr>
          <w:p w14:paraId="3FEC644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center"/>
          </w:tcPr>
          <w:p w14:paraId="5DEA142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73FA98A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4EAE76E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64FDDA2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92855DD">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1061C53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5500" w:type="dxa"/>
            <w:tcBorders>
              <w:top w:val="nil"/>
              <w:left w:val="nil"/>
              <w:bottom w:val="single" w:color="auto" w:sz="4" w:space="0"/>
              <w:right w:val="single" w:color="auto" w:sz="4" w:space="0"/>
            </w:tcBorders>
            <w:vAlign w:val="center"/>
          </w:tcPr>
          <w:p w14:paraId="009FDA0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卫生</w:t>
            </w:r>
          </w:p>
        </w:tc>
        <w:tc>
          <w:tcPr>
            <w:tcW w:w="616" w:type="dxa"/>
            <w:tcBorders>
              <w:top w:val="nil"/>
              <w:left w:val="nil"/>
              <w:bottom w:val="single" w:color="auto" w:sz="4" w:space="0"/>
              <w:right w:val="single" w:color="auto" w:sz="4" w:space="0"/>
            </w:tcBorders>
            <w:vAlign w:val="center"/>
          </w:tcPr>
          <w:p w14:paraId="384AAA1B">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nil"/>
              <w:left w:val="nil"/>
              <w:bottom w:val="single" w:color="auto" w:sz="4" w:space="0"/>
              <w:right w:val="single" w:color="auto" w:sz="4" w:space="0"/>
            </w:tcBorders>
            <w:vAlign w:val="bottom"/>
          </w:tcPr>
          <w:p w14:paraId="645669CD">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20" w:type="dxa"/>
            <w:tcBorders>
              <w:top w:val="nil"/>
              <w:left w:val="nil"/>
              <w:bottom w:val="single" w:color="auto" w:sz="4" w:space="0"/>
              <w:right w:val="single" w:color="auto" w:sz="4" w:space="0"/>
            </w:tcBorders>
            <w:vAlign w:val="bottom"/>
          </w:tcPr>
          <w:p w14:paraId="5D4EF076">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2FB8EC1A">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6D28F4B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2673DF48">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r>
      <w:tr w14:paraId="0CF153A2">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172B60E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nil"/>
              <w:left w:val="nil"/>
              <w:bottom w:val="single" w:color="auto" w:sz="4" w:space="0"/>
              <w:right w:val="single" w:color="auto" w:sz="4" w:space="0"/>
            </w:tcBorders>
            <w:vAlign w:val="center"/>
          </w:tcPr>
          <w:p w14:paraId="178B1A0D">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无明显垃圾、杂物堆积。</w:t>
            </w:r>
          </w:p>
        </w:tc>
        <w:tc>
          <w:tcPr>
            <w:tcW w:w="616" w:type="dxa"/>
            <w:tcBorders>
              <w:top w:val="nil"/>
              <w:left w:val="nil"/>
              <w:bottom w:val="single" w:color="auto" w:sz="4" w:space="0"/>
              <w:right w:val="single" w:color="auto" w:sz="4" w:space="0"/>
            </w:tcBorders>
            <w:vAlign w:val="center"/>
          </w:tcPr>
          <w:p w14:paraId="4E9B15E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nil"/>
              <w:left w:val="nil"/>
              <w:bottom w:val="single" w:color="auto" w:sz="4" w:space="0"/>
              <w:right w:val="single" w:color="auto" w:sz="4" w:space="0"/>
            </w:tcBorders>
            <w:vAlign w:val="bottom"/>
          </w:tcPr>
          <w:p w14:paraId="562F2FD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nil"/>
              <w:left w:val="nil"/>
              <w:bottom w:val="single" w:color="auto" w:sz="4" w:space="0"/>
              <w:right w:val="single" w:color="auto" w:sz="4" w:space="0"/>
            </w:tcBorders>
            <w:vAlign w:val="bottom"/>
          </w:tcPr>
          <w:p w14:paraId="4696A65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nil"/>
              <w:left w:val="nil"/>
              <w:bottom w:val="single" w:color="auto" w:sz="4" w:space="0"/>
              <w:right w:val="single" w:color="auto" w:sz="4" w:space="0"/>
            </w:tcBorders>
            <w:vAlign w:val="center"/>
          </w:tcPr>
          <w:p w14:paraId="77AD824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nil"/>
              <w:left w:val="nil"/>
              <w:bottom w:val="single" w:color="auto" w:sz="4" w:space="0"/>
              <w:right w:val="single" w:color="auto" w:sz="4" w:space="0"/>
            </w:tcBorders>
            <w:vAlign w:val="center"/>
          </w:tcPr>
          <w:p w14:paraId="0458BF8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nil"/>
              <w:left w:val="nil"/>
              <w:bottom w:val="single" w:color="auto" w:sz="4" w:space="0"/>
              <w:right w:val="single" w:color="auto" w:sz="4" w:space="0"/>
            </w:tcBorders>
            <w:vAlign w:val="center"/>
          </w:tcPr>
          <w:p w14:paraId="19ED768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DB202C5">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196E123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p>
        </w:tc>
        <w:tc>
          <w:tcPr>
            <w:tcW w:w="5500" w:type="dxa"/>
            <w:tcBorders>
              <w:top w:val="single" w:color="auto" w:sz="4" w:space="0"/>
              <w:left w:val="single" w:color="auto" w:sz="4" w:space="0"/>
              <w:bottom w:val="single" w:color="auto" w:sz="4" w:space="0"/>
              <w:right w:val="single" w:color="auto" w:sz="4" w:space="0"/>
            </w:tcBorders>
            <w:vAlign w:val="center"/>
          </w:tcPr>
          <w:p w14:paraId="0C2F1148">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覆盖率与保存率</w:t>
            </w:r>
          </w:p>
        </w:tc>
        <w:tc>
          <w:tcPr>
            <w:tcW w:w="616" w:type="dxa"/>
            <w:tcBorders>
              <w:top w:val="single" w:color="auto" w:sz="4" w:space="0"/>
              <w:left w:val="single" w:color="auto" w:sz="4" w:space="0"/>
              <w:bottom w:val="single" w:color="auto" w:sz="4" w:space="0"/>
              <w:right w:val="single" w:color="auto" w:sz="4" w:space="0"/>
            </w:tcBorders>
            <w:vAlign w:val="center"/>
          </w:tcPr>
          <w:p w14:paraId="433FFBE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7401127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03ADF2D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68AC862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703591B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39AE158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DF0CC25">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7A2E9E3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single" w:color="auto" w:sz="4" w:space="0"/>
              <w:left w:val="single" w:color="auto" w:sz="4" w:space="0"/>
              <w:bottom w:val="single" w:color="auto" w:sz="4" w:space="0"/>
              <w:right w:val="single" w:color="auto" w:sz="4" w:space="0"/>
            </w:tcBorders>
            <w:vAlign w:val="center"/>
          </w:tcPr>
          <w:p w14:paraId="1090518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无大片黄土裸露现象。</w:t>
            </w:r>
          </w:p>
        </w:tc>
        <w:tc>
          <w:tcPr>
            <w:tcW w:w="616" w:type="dxa"/>
            <w:tcBorders>
              <w:top w:val="single" w:color="auto" w:sz="4" w:space="0"/>
              <w:left w:val="single" w:color="auto" w:sz="4" w:space="0"/>
              <w:bottom w:val="single" w:color="auto" w:sz="4" w:space="0"/>
              <w:right w:val="single" w:color="auto" w:sz="4" w:space="0"/>
            </w:tcBorders>
            <w:vAlign w:val="center"/>
          </w:tcPr>
          <w:p w14:paraId="30B54023">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6B4ACE7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065745E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1D9EDF8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3511BFE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2D1D72F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76CC1874">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23D6AD5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p>
        </w:tc>
        <w:tc>
          <w:tcPr>
            <w:tcW w:w="5500" w:type="dxa"/>
            <w:tcBorders>
              <w:top w:val="single" w:color="auto" w:sz="4" w:space="0"/>
              <w:left w:val="single" w:color="auto" w:sz="4" w:space="0"/>
              <w:bottom w:val="single" w:color="auto" w:sz="4" w:space="0"/>
              <w:right w:val="single" w:color="auto" w:sz="4" w:space="0"/>
            </w:tcBorders>
          </w:tcPr>
          <w:p w14:paraId="5AECFAEB">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植物保护</w:t>
            </w:r>
          </w:p>
        </w:tc>
        <w:tc>
          <w:tcPr>
            <w:tcW w:w="616" w:type="dxa"/>
            <w:tcBorders>
              <w:top w:val="single" w:color="auto" w:sz="4" w:space="0"/>
              <w:left w:val="single" w:color="auto" w:sz="4" w:space="0"/>
              <w:bottom w:val="single" w:color="auto" w:sz="4" w:space="0"/>
              <w:right w:val="single" w:color="auto" w:sz="4" w:space="0"/>
            </w:tcBorders>
            <w:vAlign w:val="center"/>
          </w:tcPr>
          <w:p w14:paraId="2AB7653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03E9E68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6331980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78C12EF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71C5333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047CD6C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6C1A580E">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4EE7C85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500" w:type="dxa"/>
            <w:tcBorders>
              <w:top w:val="single" w:color="auto" w:sz="4" w:space="0"/>
              <w:left w:val="single" w:color="auto" w:sz="4" w:space="0"/>
              <w:bottom w:val="single" w:color="auto" w:sz="4" w:space="0"/>
              <w:right w:val="single" w:color="auto" w:sz="4" w:space="0"/>
            </w:tcBorders>
          </w:tcPr>
          <w:p w14:paraId="019A39D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无大面积病虫为害迹象。</w:t>
            </w:r>
          </w:p>
        </w:tc>
        <w:tc>
          <w:tcPr>
            <w:tcW w:w="616" w:type="dxa"/>
            <w:tcBorders>
              <w:top w:val="single" w:color="auto" w:sz="4" w:space="0"/>
              <w:left w:val="single" w:color="auto" w:sz="4" w:space="0"/>
              <w:bottom w:val="single" w:color="auto" w:sz="4" w:space="0"/>
              <w:right w:val="single" w:color="auto" w:sz="4" w:space="0"/>
            </w:tcBorders>
            <w:vAlign w:val="center"/>
          </w:tcPr>
          <w:p w14:paraId="5AAF7AE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04374EF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6611148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59A1559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305828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12F63B8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352EB7A8">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477F735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p>
        </w:tc>
        <w:tc>
          <w:tcPr>
            <w:tcW w:w="5500" w:type="dxa"/>
            <w:tcBorders>
              <w:top w:val="single" w:color="auto" w:sz="4" w:space="0"/>
              <w:left w:val="single" w:color="auto" w:sz="4" w:space="0"/>
              <w:bottom w:val="single" w:color="auto" w:sz="4" w:space="0"/>
              <w:right w:val="single" w:color="auto" w:sz="4" w:space="0"/>
            </w:tcBorders>
            <w:vAlign w:val="center"/>
          </w:tcPr>
          <w:p w14:paraId="7BC2FE0E">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淋水</w:t>
            </w:r>
          </w:p>
        </w:tc>
        <w:tc>
          <w:tcPr>
            <w:tcW w:w="616" w:type="dxa"/>
            <w:tcBorders>
              <w:top w:val="single" w:color="auto" w:sz="4" w:space="0"/>
              <w:left w:val="single" w:color="auto" w:sz="4" w:space="0"/>
              <w:bottom w:val="single" w:color="auto" w:sz="4" w:space="0"/>
              <w:right w:val="single" w:color="auto" w:sz="4" w:space="0"/>
            </w:tcBorders>
            <w:vAlign w:val="center"/>
          </w:tcPr>
          <w:p w14:paraId="78F0709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4AD0AD5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1FBAC50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21FF4D5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1465FD1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5540E82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4F53205A">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07A816A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500" w:type="dxa"/>
            <w:tcBorders>
              <w:top w:val="single" w:color="auto" w:sz="4" w:space="0"/>
              <w:left w:val="single" w:color="auto" w:sz="4" w:space="0"/>
              <w:bottom w:val="single" w:color="auto" w:sz="4" w:space="0"/>
              <w:right w:val="single" w:color="auto" w:sz="4" w:space="0"/>
            </w:tcBorders>
          </w:tcPr>
          <w:p w14:paraId="12FB629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植物无大面积缺水、干枯现象。</w:t>
            </w:r>
          </w:p>
        </w:tc>
        <w:tc>
          <w:tcPr>
            <w:tcW w:w="616" w:type="dxa"/>
            <w:tcBorders>
              <w:top w:val="single" w:color="auto" w:sz="4" w:space="0"/>
              <w:left w:val="single" w:color="auto" w:sz="4" w:space="0"/>
              <w:bottom w:val="single" w:color="auto" w:sz="4" w:space="0"/>
              <w:right w:val="single" w:color="auto" w:sz="4" w:space="0"/>
            </w:tcBorders>
            <w:vAlign w:val="center"/>
          </w:tcPr>
          <w:p w14:paraId="3282BC8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5D6AEE6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4784A13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6F15AA6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6E9AD60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26F8FEC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58282F03">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tcPr>
          <w:p w14:paraId="760A156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00" w:type="dxa"/>
            <w:tcBorders>
              <w:top w:val="single" w:color="auto" w:sz="4" w:space="0"/>
              <w:left w:val="single" w:color="auto" w:sz="4" w:space="0"/>
              <w:bottom w:val="single" w:color="auto" w:sz="4" w:space="0"/>
              <w:right w:val="single" w:color="auto" w:sz="4" w:space="0"/>
            </w:tcBorders>
          </w:tcPr>
          <w:p w14:paraId="5E1DFC08">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616" w:type="dxa"/>
            <w:tcBorders>
              <w:top w:val="single" w:color="auto" w:sz="4" w:space="0"/>
              <w:left w:val="single" w:color="auto" w:sz="4" w:space="0"/>
              <w:bottom w:val="single" w:color="auto" w:sz="4" w:space="0"/>
              <w:right w:val="single" w:color="auto" w:sz="4" w:space="0"/>
            </w:tcBorders>
            <w:vAlign w:val="bottom"/>
          </w:tcPr>
          <w:p w14:paraId="294A468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5219BA8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bottom"/>
          </w:tcPr>
          <w:p w14:paraId="2337528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71DC1C8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9D0BF1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777F55B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bl>
    <w:p w14:paraId="5F0DC27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10D3492B">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pPr>
    </w:p>
    <w:p w14:paraId="6AFB8A83">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pPr>
    </w:p>
    <w:p w14:paraId="26053420">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pPr>
    </w:p>
    <w:p w14:paraId="5B188A67">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pPr>
    </w:p>
    <w:p w14:paraId="6F640C99">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sectPr>
          <w:pgSz w:w="11906" w:h="16838"/>
          <w:pgMar w:top="1474" w:right="1418" w:bottom="1474" w:left="1418" w:header="851" w:footer="992" w:gutter="0"/>
          <w:cols w:space="720" w:num="1"/>
          <w:docGrid w:type="linesAndChars" w:linePitch="312" w:charSpace="0"/>
        </w:sectPr>
      </w:pPr>
    </w:p>
    <w:p w14:paraId="5E6CC72E">
      <w:pPr>
        <w:keepNext w:val="0"/>
        <w:keepLines w:val="0"/>
        <w:pageBreakBefore w:val="0"/>
        <w:kinsoku/>
        <w:overflowPunct/>
        <w:topLinePunct w:val="0"/>
        <w:bidi w:val="0"/>
        <w:snapToGrid/>
        <w:spacing w:line="360" w:lineRule="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三、护坡养护效果评分表</w:t>
      </w:r>
    </w:p>
    <w:tbl>
      <w:tblPr>
        <w:tblStyle w:val="20"/>
        <w:tblW w:w="9491" w:type="dxa"/>
        <w:tblInd w:w="-34" w:type="dxa"/>
        <w:tblLayout w:type="fixed"/>
        <w:tblCellMar>
          <w:top w:w="0" w:type="dxa"/>
          <w:left w:w="108" w:type="dxa"/>
          <w:bottom w:w="0" w:type="dxa"/>
          <w:right w:w="108" w:type="dxa"/>
        </w:tblCellMar>
      </w:tblPr>
      <w:tblGrid>
        <w:gridCol w:w="9491"/>
      </w:tblGrid>
      <w:tr w14:paraId="2A5AFE7D">
        <w:tblPrEx>
          <w:tblCellMar>
            <w:top w:w="0" w:type="dxa"/>
            <w:left w:w="108" w:type="dxa"/>
            <w:bottom w:w="0" w:type="dxa"/>
            <w:right w:w="108" w:type="dxa"/>
          </w:tblCellMar>
        </w:tblPrEx>
        <w:trPr>
          <w:trHeight w:val="435" w:hRule="atLeast"/>
        </w:trPr>
        <w:tc>
          <w:tcPr>
            <w:tcW w:w="9491" w:type="dxa"/>
            <w:tcBorders>
              <w:top w:val="nil"/>
              <w:left w:val="nil"/>
              <w:bottom w:val="nil"/>
              <w:right w:val="nil"/>
            </w:tcBorders>
            <w:vAlign w:val="center"/>
          </w:tcPr>
          <w:p w14:paraId="3D8A37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1.一级护坡养护效果评分表</w:t>
            </w:r>
          </w:p>
        </w:tc>
      </w:tr>
    </w:tbl>
    <w:tbl>
      <w:tblPr>
        <w:tblStyle w:val="20"/>
        <w:tblpPr w:leftFromText="180" w:rightFromText="180" w:vertAnchor="text" w:horzAnchor="margin" w:tblpY="184"/>
        <w:tblW w:w="9976" w:type="dxa"/>
        <w:tblInd w:w="0" w:type="dxa"/>
        <w:tblLayout w:type="fixed"/>
        <w:tblCellMar>
          <w:top w:w="0" w:type="dxa"/>
          <w:left w:w="108" w:type="dxa"/>
          <w:bottom w:w="0" w:type="dxa"/>
          <w:right w:w="108" w:type="dxa"/>
        </w:tblCellMar>
      </w:tblPr>
      <w:tblGrid>
        <w:gridCol w:w="440"/>
        <w:gridCol w:w="5656"/>
        <w:gridCol w:w="709"/>
        <w:gridCol w:w="674"/>
        <w:gridCol w:w="460"/>
        <w:gridCol w:w="425"/>
        <w:gridCol w:w="256"/>
        <w:gridCol w:w="311"/>
        <w:gridCol w:w="249"/>
        <w:gridCol w:w="142"/>
        <w:gridCol w:w="94"/>
        <w:gridCol w:w="560"/>
      </w:tblGrid>
      <w:tr w14:paraId="54C3A8A2">
        <w:tblPrEx>
          <w:tblCellMar>
            <w:top w:w="0" w:type="dxa"/>
            <w:left w:w="108" w:type="dxa"/>
            <w:bottom w:w="0" w:type="dxa"/>
            <w:right w:w="108" w:type="dxa"/>
          </w:tblCellMar>
        </w:tblPrEx>
        <w:trPr>
          <w:trHeight w:val="285" w:hRule="atLeast"/>
        </w:trPr>
        <w:tc>
          <w:tcPr>
            <w:tcW w:w="440" w:type="dxa"/>
            <w:tcBorders>
              <w:top w:val="nil"/>
              <w:left w:val="nil"/>
              <w:bottom w:val="nil"/>
              <w:right w:val="nil"/>
            </w:tcBorders>
            <w:vAlign w:val="center"/>
          </w:tcPr>
          <w:p w14:paraId="32D87E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p>
        </w:tc>
        <w:tc>
          <w:tcPr>
            <w:tcW w:w="5656" w:type="dxa"/>
            <w:tcBorders>
              <w:top w:val="nil"/>
              <w:left w:val="nil"/>
              <w:bottom w:val="nil"/>
              <w:right w:val="nil"/>
            </w:tcBorders>
            <w:vAlign w:val="center"/>
          </w:tcPr>
          <w:p w14:paraId="285758FB">
            <w:pPr>
              <w:keepNext w:val="0"/>
              <w:keepLines w:val="0"/>
              <w:pageBreakBefore w:val="0"/>
              <w:widowControl/>
              <w:kinsoku/>
              <w:overflowPunct/>
              <w:topLinePunct w:val="0"/>
              <w:bidi w:val="0"/>
              <w:snapToGrid/>
              <w:spacing w:line="360" w:lineRule="auto"/>
              <w:ind w:right="400"/>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评分人：</w:t>
            </w:r>
          </w:p>
        </w:tc>
        <w:tc>
          <w:tcPr>
            <w:tcW w:w="709" w:type="dxa"/>
            <w:tcBorders>
              <w:top w:val="nil"/>
              <w:left w:val="nil"/>
              <w:bottom w:val="nil"/>
              <w:right w:val="nil"/>
            </w:tcBorders>
            <w:vAlign w:val="center"/>
          </w:tcPr>
          <w:p w14:paraId="5A0373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674" w:type="dxa"/>
            <w:tcBorders>
              <w:top w:val="nil"/>
              <w:left w:val="nil"/>
              <w:bottom w:val="nil"/>
              <w:right w:val="nil"/>
            </w:tcBorders>
            <w:vAlign w:val="center"/>
          </w:tcPr>
          <w:p w14:paraId="2D2906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1141" w:type="dxa"/>
            <w:gridSpan w:val="3"/>
            <w:tcBorders>
              <w:top w:val="nil"/>
              <w:left w:val="nil"/>
              <w:bottom w:val="nil"/>
              <w:right w:val="nil"/>
            </w:tcBorders>
            <w:vAlign w:val="center"/>
          </w:tcPr>
          <w:p w14:paraId="7E21ADF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60" w:type="dxa"/>
            <w:gridSpan w:val="2"/>
            <w:tcBorders>
              <w:top w:val="nil"/>
              <w:left w:val="nil"/>
              <w:bottom w:val="nil"/>
              <w:right w:val="nil"/>
            </w:tcBorders>
            <w:vAlign w:val="center"/>
          </w:tcPr>
          <w:p w14:paraId="6EF2839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236" w:type="dxa"/>
            <w:gridSpan w:val="2"/>
            <w:tcBorders>
              <w:top w:val="nil"/>
              <w:left w:val="nil"/>
              <w:bottom w:val="nil"/>
              <w:right w:val="nil"/>
            </w:tcBorders>
            <w:vAlign w:val="center"/>
          </w:tcPr>
          <w:p w14:paraId="78FCE21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60" w:type="dxa"/>
            <w:tcBorders>
              <w:top w:val="nil"/>
              <w:left w:val="nil"/>
              <w:bottom w:val="nil"/>
              <w:right w:val="nil"/>
            </w:tcBorders>
            <w:vAlign w:val="center"/>
          </w:tcPr>
          <w:p w14:paraId="67ED8B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0EC9A3A5">
        <w:tblPrEx>
          <w:tblCellMar>
            <w:top w:w="0" w:type="dxa"/>
            <w:left w:w="108" w:type="dxa"/>
            <w:bottom w:w="0" w:type="dxa"/>
            <w:right w:w="108" w:type="dxa"/>
          </w:tblCellMar>
        </w:tblPrEx>
        <w:trPr>
          <w:gridAfter w:val="2"/>
          <w:wAfter w:w="654" w:type="dxa"/>
          <w:trHeight w:val="522" w:hRule="atLeast"/>
        </w:trPr>
        <w:tc>
          <w:tcPr>
            <w:tcW w:w="440" w:type="dxa"/>
            <w:tcBorders>
              <w:top w:val="single" w:color="auto" w:sz="4" w:space="0"/>
              <w:left w:val="single" w:color="auto" w:sz="4" w:space="0"/>
              <w:bottom w:val="single" w:color="auto" w:sz="4" w:space="0"/>
              <w:right w:val="single" w:color="auto" w:sz="4" w:space="0"/>
            </w:tcBorders>
            <w:vAlign w:val="center"/>
          </w:tcPr>
          <w:p w14:paraId="52E32D9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656" w:type="dxa"/>
            <w:tcBorders>
              <w:top w:val="single" w:color="auto" w:sz="4" w:space="0"/>
              <w:left w:val="single" w:color="auto" w:sz="4" w:space="0"/>
              <w:bottom w:val="single" w:color="auto" w:sz="4" w:space="0"/>
              <w:right w:val="single" w:color="auto" w:sz="4" w:space="0"/>
            </w:tcBorders>
            <w:vAlign w:val="center"/>
          </w:tcPr>
          <w:p w14:paraId="6D263E1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09" w:type="dxa"/>
            <w:tcBorders>
              <w:top w:val="single" w:color="auto" w:sz="4" w:space="0"/>
              <w:left w:val="single" w:color="auto" w:sz="4" w:space="0"/>
              <w:bottom w:val="single" w:color="auto" w:sz="4" w:space="0"/>
              <w:right w:val="single" w:color="auto" w:sz="4" w:space="0"/>
            </w:tcBorders>
            <w:vAlign w:val="center"/>
          </w:tcPr>
          <w:p w14:paraId="4A85261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674" w:type="dxa"/>
            <w:tcBorders>
              <w:top w:val="single" w:color="auto" w:sz="4" w:space="0"/>
              <w:left w:val="nil"/>
              <w:bottom w:val="single" w:color="auto" w:sz="4" w:space="0"/>
              <w:right w:val="single" w:color="auto" w:sz="4" w:space="0"/>
            </w:tcBorders>
            <w:vAlign w:val="center"/>
          </w:tcPr>
          <w:p w14:paraId="73BBD54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标准分</w:t>
            </w:r>
          </w:p>
        </w:tc>
        <w:tc>
          <w:tcPr>
            <w:tcW w:w="1843" w:type="dxa"/>
            <w:gridSpan w:val="6"/>
            <w:tcBorders>
              <w:top w:val="single" w:color="auto" w:sz="4" w:space="0"/>
              <w:left w:val="nil"/>
              <w:bottom w:val="single" w:color="auto" w:sz="4" w:space="0"/>
              <w:right w:val="single" w:color="auto" w:sz="4" w:space="0"/>
            </w:tcBorders>
            <w:vAlign w:val="center"/>
          </w:tcPr>
          <w:p w14:paraId="3C3D7C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7D2BAFAE">
        <w:tblPrEx>
          <w:tblCellMar>
            <w:top w:w="0" w:type="dxa"/>
            <w:left w:w="108" w:type="dxa"/>
            <w:bottom w:w="0" w:type="dxa"/>
            <w:right w:w="108" w:type="dxa"/>
          </w:tblCellMar>
        </w:tblPrEx>
        <w:trPr>
          <w:gridAfter w:val="2"/>
          <w:wAfter w:w="654"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4E2689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p>
        </w:tc>
        <w:tc>
          <w:tcPr>
            <w:tcW w:w="5656" w:type="dxa"/>
            <w:tcBorders>
              <w:top w:val="single" w:color="auto" w:sz="4" w:space="0"/>
              <w:left w:val="nil"/>
              <w:bottom w:val="single" w:color="auto" w:sz="4" w:space="0"/>
              <w:right w:val="single" w:color="auto" w:sz="4" w:space="0"/>
            </w:tcBorders>
            <w:vAlign w:val="center"/>
          </w:tcPr>
          <w:p w14:paraId="7FB5DE5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09" w:type="dxa"/>
            <w:tcBorders>
              <w:top w:val="single" w:color="auto" w:sz="4" w:space="0"/>
              <w:left w:val="nil"/>
              <w:bottom w:val="single" w:color="auto" w:sz="4" w:space="0"/>
              <w:right w:val="single" w:color="auto" w:sz="4" w:space="0"/>
            </w:tcBorders>
            <w:vAlign w:val="center"/>
          </w:tcPr>
          <w:p w14:paraId="0BCABD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49DC9D1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21CAB6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6A43D81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11590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3D58E0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C5EF254">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311F5F4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656" w:type="dxa"/>
            <w:tcBorders>
              <w:top w:val="nil"/>
              <w:left w:val="nil"/>
              <w:bottom w:val="single" w:color="auto" w:sz="4" w:space="0"/>
              <w:right w:val="single" w:color="auto" w:sz="4" w:space="0"/>
            </w:tcBorders>
            <w:vAlign w:val="center"/>
          </w:tcPr>
          <w:p w14:paraId="0D58BE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整体观赏效果优良。护绿护坡设施稳固、整齐、无明显塌方现象，植物干净无明显积尘。</w:t>
            </w:r>
          </w:p>
        </w:tc>
        <w:tc>
          <w:tcPr>
            <w:tcW w:w="709" w:type="dxa"/>
            <w:tcBorders>
              <w:top w:val="nil"/>
              <w:left w:val="nil"/>
              <w:bottom w:val="single" w:color="auto" w:sz="4" w:space="0"/>
              <w:right w:val="single" w:color="auto" w:sz="4" w:space="0"/>
            </w:tcBorders>
            <w:vAlign w:val="center"/>
          </w:tcPr>
          <w:p w14:paraId="015BE5B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tcBorders>
              <w:top w:val="nil"/>
              <w:left w:val="nil"/>
              <w:bottom w:val="single" w:color="auto" w:sz="4" w:space="0"/>
              <w:right w:val="single" w:color="auto" w:sz="4" w:space="0"/>
            </w:tcBorders>
            <w:vAlign w:val="center"/>
          </w:tcPr>
          <w:p w14:paraId="68A82C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69EC82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3C51342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0FFF0B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942408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DA5DD6B">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5CF8595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w:t>
            </w:r>
          </w:p>
        </w:tc>
        <w:tc>
          <w:tcPr>
            <w:tcW w:w="5656" w:type="dxa"/>
            <w:tcBorders>
              <w:top w:val="nil"/>
              <w:left w:val="nil"/>
              <w:bottom w:val="single" w:color="auto" w:sz="4" w:space="0"/>
              <w:right w:val="single" w:color="auto" w:sz="4" w:space="0"/>
            </w:tcBorders>
          </w:tcPr>
          <w:p w14:paraId="786A2384">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09" w:type="dxa"/>
            <w:tcBorders>
              <w:top w:val="nil"/>
              <w:left w:val="nil"/>
              <w:bottom w:val="single" w:color="auto" w:sz="4" w:space="0"/>
              <w:right w:val="single" w:color="auto" w:sz="4" w:space="0"/>
            </w:tcBorders>
            <w:vAlign w:val="center"/>
          </w:tcPr>
          <w:p w14:paraId="4C7A2F7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0BED500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022E4F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7C950C1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2F94AE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26AA0E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785DC3A">
        <w:tblPrEx>
          <w:tblCellMar>
            <w:top w:w="0" w:type="dxa"/>
            <w:left w:w="108" w:type="dxa"/>
            <w:bottom w:w="0" w:type="dxa"/>
            <w:right w:w="108" w:type="dxa"/>
          </w:tblCellMar>
        </w:tblPrEx>
        <w:trPr>
          <w:gridAfter w:val="2"/>
          <w:wAfter w:w="654" w:type="dxa"/>
          <w:trHeight w:val="720" w:hRule="atLeast"/>
        </w:trPr>
        <w:tc>
          <w:tcPr>
            <w:tcW w:w="440" w:type="dxa"/>
            <w:tcBorders>
              <w:top w:val="nil"/>
              <w:left w:val="single" w:color="auto" w:sz="4" w:space="0"/>
              <w:bottom w:val="single" w:color="auto" w:sz="4" w:space="0"/>
              <w:right w:val="single" w:color="auto" w:sz="4" w:space="0"/>
            </w:tcBorders>
            <w:vAlign w:val="center"/>
          </w:tcPr>
          <w:p w14:paraId="0DED53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nil"/>
              <w:left w:val="nil"/>
              <w:bottom w:val="single" w:color="auto" w:sz="4" w:space="0"/>
              <w:right w:val="single" w:color="auto" w:sz="4" w:space="0"/>
            </w:tcBorders>
          </w:tcPr>
          <w:p w14:paraId="17E1D3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乔木整形修剪维持树种特征，树冠匀称，分枝合理，基本无病虫枝，过密枝，交叉枝，低垂枝，伤残枝，定干高度和枝下高度不影响车辆行驶及行人安全。</w:t>
            </w:r>
          </w:p>
        </w:tc>
        <w:tc>
          <w:tcPr>
            <w:tcW w:w="709" w:type="dxa"/>
            <w:tcBorders>
              <w:top w:val="nil"/>
              <w:left w:val="nil"/>
              <w:bottom w:val="single" w:color="auto" w:sz="4" w:space="0"/>
              <w:right w:val="single" w:color="auto" w:sz="4" w:space="0"/>
            </w:tcBorders>
            <w:vAlign w:val="center"/>
          </w:tcPr>
          <w:p w14:paraId="0959A7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tcBorders>
              <w:top w:val="nil"/>
              <w:left w:val="nil"/>
              <w:bottom w:val="single" w:color="auto" w:sz="4" w:space="0"/>
              <w:right w:val="single" w:color="auto" w:sz="4" w:space="0"/>
            </w:tcBorders>
            <w:vAlign w:val="center"/>
          </w:tcPr>
          <w:p w14:paraId="19E0A1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00E4250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015F13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00967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1047FA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2F89FFE">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50F30F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Borders>
              <w:top w:val="nil"/>
              <w:left w:val="nil"/>
              <w:bottom w:val="single" w:color="auto" w:sz="4" w:space="0"/>
              <w:right w:val="single" w:color="auto" w:sz="4" w:space="0"/>
            </w:tcBorders>
          </w:tcPr>
          <w:p w14:paraId="64CB48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无钉挂物、杂物、铁丝等缠绕物，无干枯枝及黄叶。</w:t>
            </w:r>
          </w:p>
        </w:tc>
        <w:tc>
          <w:tcPr>
            <w:tcW w:w="709" w:type="dxa"/>
            <w:tcBorders>
              <w:top w:val="nil"/>
              <w:left w:val="nil"/>
              <w:bottom w:val="single" w:color="auto" w:sz="4" w:space="0"/>
              <w:right w:val="single" w:color="auto" w:sz="4" w:space="0"/>
            </w:tcBorders>
            <w:vAlign w:val="center"/>
          </w:tcPr>
          <w:p w14:paraId="320435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74" w:type="dxa"/>
            <w:tcBorders>
              <w:top w:val="nil"/>
              <w:left w:val="nil"/>
              <w:bottom w:val="single" w:color="auto" w:sz="4" w:space="0"/>
              <w:right w:val="single" w:color="auto" w:sz="4" w:space="0"/>
            </w:tcBorders>
            <w:vAlign w:val="center"/>
          </w:tcPr>
          <w:p w14:paraId="6C3884B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153DF8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5BFD9D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704262C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639C47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D4708B7">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553673B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656" w:type="dxa"/>
            <w:tcBorders>
              <w:top w:val="nil"/>
              <w:left w:val="nil"/>
              <w:bottom w:val="single" w:color="auto" w:sz="4" w:space="0"/>
              <w:right w:val="single" w:color="auto" w:sz="4" w:space="0"/>
            </w:tcBorders>
          </w:tcPr>
          <w:p w14:paraId="75CFA7A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无死株及树桩。</w:t>
            </w:r>
          </w:p>
        </w:tc>
        <w:tc>
          <w:tcPr>
            <w:tcW w:w="709" w:type="dxa"/>
            <w:tcBorders>
              <w:top w:val="nil"/>
              <w:left w:val="nil"/>
              <w:bottom w:val="single" w:color="auto" w:sz="4" w:space="0"/>
              <w:right w:val="single" w:color="auto" w:sz="4" w:space="0"/>
            </w:tcBorders>
            <w:vAlign w:val="center"/>
          </w:tcPr>
          <w:p w14:paraId="38540A7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74" w:type="dxa"/>
            <w:tcBorders>
              <w:top w:val="nil"/>
              <w:left w:val="nil"/>
              <w:bottom w:val="single" w:color="auto" w:sz="4" w:space="0"/>
              <w:right w:val="single" w:color="auto" w:sz="4" w:space="0"/>
            </w:tcBorders>
            <w:vAlign w:val="center"/>
          </w:tcPr>
          <w:p w14:paraId="099226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6F5375F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7C4D7B1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65E3CC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48357B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AB3178F">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1C9F78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p>
        </w:tc>
        <w:tc>
          <w:tcPr>
            <w:tcW w:w="5656" w:type="dxa"/>
            <w:tcBorders>
              <w:top w:val="nil"/>
              <w:left w:val="nil"/>
              <w:bottom w:val="single" w:color="auto" w:sz="4" w:space="0"/>
              <w:right w:val="single" w:color="auto" w:sz="4" w:space="0"/>
            </w:tcBorders>
            <w:vAlign w:val="center"/>
          </w:tcPr>
          <w:p w14:paraId="24D90BB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小乔木、孤植灌木</w:t>
            </w:r>
          </w:p>
        </w:tc>
        <w:tc>
          <w:tcPr>
            <w:tcW w:w="709" w:type="dxa"/>
            <w:tcBorders>
              <w:top w:val="nil"/>
              <w:left w:val="nil"/>
              <w:bottom w:val="single" w:color="auto" w:sz="4" w:space="0"/>
              <w:right w:val="single" w:color="auto" w:sz="4" w:space="0"/>
            </w:tcBorders>
            <w:vAlign w:val="center"/>
          </w:tcPr>
          <w:p w14:paraId="1D1BC2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754F8D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1555273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38FA4D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722D01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16546E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44F3241">
        <w:tblPrEx>
          <w:tblCellMar>
            <w:top w:w="0" w:type="dxa"/>
            <w:left w:w="108" w:type="dxa"/>
            <w:bottom w:w="0" w:type="dxa"/>
            <w:right w:w="108" w:type="dxa"/>
          </w:tblCellMar>
        </w:tblPrEx>
        <w:trPr>
          <w:gridAfter w:val="2"/>
          <w:wAfter w:w="654" w:type="dxa"/>
          <w:trHeight w:val="480" w:hRule="atLeast"/>
        </w:trPr>
        <w:tc>
          <w:tcPr>
            <w:tcW w:w="440" w:type="dxa"/>
            <w:tcBorders>
              <w:top w:val="nil"/>
              <w:left w:val="single" w:color="auto" w:sz="4" w:space="0"/>
              <w:bottom w:val="single" w:color="auto" w:sz="4" w:space="0"/>
              <w:right w:val="single" w:color="auto" w:sz="4" w:space="0"/>
            </w:tcBorders>
            <w:vAlign w:val="center"/>
          </w:tcPr>
          <w:p w14:paraId="47E04C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nil"/>
              <w:left w:val="nil"/>
              <w:bottom w:val="single" w:color="auto" w:sz="4" w:space="0"/>
              <w:right w:val="single" w:color="auto" w:sz="4" w:space="0"/>
            </w:tcBorders>
            <w:vAlign w:val="center"/>
          </w:tcPr>
          <w:p w14:paraId="785541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生长较好，符合物候状况。树体基本正直，枝粗叶壮，无干枯枝。观花植物适时开花。</w:t>
            </w:r>
          </w:p>
        </w:tc>
        <w:tc>
          <w:tcPr>
            <w:tcW w:w="709" w:type="dxa"/>
            <w:tcBorders>
              <w:top w:val="nil"/>
              <w:left w:val="nil"/>
              <w:bottom w:val="single" w:color="auto" w:sz="4" w:space="0"/>
              <w:right w:val="single" w:color="auto" w:sz="4" w:space="0"/>
            </w:tcBorders>
            <w:vAlign w:val="center"/>
          </w:tcPr>
          <w:p w14:paraId="6932A1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674" w:type="dxa"/>
            <w:tcBorders>
              <w:top w:val="nil"/>
              <w:left w:val="nil"/>
              <w:bottom w:val="single" w:color="auto" w:sz="4" w:space="0"/>
              <w:right w:val="single" w:color="auto" w:sz="4" w:space="0"/>
            </w:tcBorders>
            <w:vAlign w:val="center"/>
          </w:tcPr>
          <w:p w14:paraId="59A6B2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70C808F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4F9589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4DCD7E3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6F33E5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A84B985">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22EC450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Borders>
              <w:top w:val="nil"/>
              <w:left w:val="nil"/>
              <w:bottom w:val="single" w:color="auto" w:sz="4" w:space="0"/>
              <w:right w:val="single" w:color="auto" w:sz="4" w:space="0"/>
            </w:tcBorders>
            <w:vAlign w:val="center"/>
          </w:tcPr>
          <w:p w14:paraId="0D9E2B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修剪合理，整形灌木能维持一定形状。</w:t>
            </w:r>
          </w:p>
        </w:tc>
        <w:tc>
          <w:tcPr>
            <w:tcW w:w="709" w:type="dxa"/>
            <w:tcBorders>
              <w:top w:val="nil"/>
              <w:left w:val="nil"/>
              <w:bottom w:val="single" w:color="auto" w:sz="4" w:space="0"/>
              <w:right w:val="single" w:color="auto" w:sz="4" w:space="0"/>
            </w:tcBorders>
            <w:vAlign w:val="center"/>
          </w:tcPr>
          <w:p w14:paraId="7DB462A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tcBorders>
              <w:top w:val="nil"/>
              <w:left w:val="nil"/>
              <w:bottom w:val="single" w:color="auto" w:sz="4" w:space="0"/>
              <w:right w:val="single" w:color="auto" w:sz="4" w:space="0"/>
            </w:tcBorders>
            <w:vAlign w:val="center"/>
          </w:tcPr>
          <w:p w14:paraId="569866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28A1C61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202452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6A4689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820C07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7DE7AA2">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1D94DEA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5656" w:type="dxa"/>
            <w:tcBorders>
              <w:top w:val="nil"/>
              <w:left w:val="nil"/>
              <w:bottom w:val="single" w:color="auto" w:sz="4" w:space="0"/>
              <w:right w:val="single" w:color="auto" w:sz="4" w:space="0"/>
            </w:tcBorders>
            <w:vAlign w:val="center"/>
          </w:tcPr>
          <w:p w14:paraId="2E78C15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灌木色块、草本地被</w:t>
            </w:r>
          </w:p>
        </w:tc>
        <w:tc>
          <w:tcPr>
            <w:tcW w:w="709" w:type="dxa"/>
            <w:tcBorders>
              <w:top w:val="nil"/>
              <w:left w:val="nil"/>
              <w:bottom w:val="single" w:color="auto" w:sz="4" w:space="0"/>
              <w:right w:val="single" w:color="auto" w:sz="4" w:space="0"/>
            </w:tcBorders>
            <w:vAlign w:val="center"/>
          </w:tcPr>
          <w:p w14:paraId="668E05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68EAE42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366119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49AB74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223FCDD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6CE9608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823EC15">
        <w:tblPrEx>
          <w:tblCellMar>
            <w:top w:w="0" w:type="dxa"/>
            <w:left w:w="108" w:type="dxa"/>
            <w:bottom w:w="0" w:type="dxa"/>
            <w:right w:w="108" w:type="dxa"/>
          </w:tblCellMar>
        </w:tblPrEx>
        <w:trPr>
          <w:gridAfter w:val="2"/>
          <w:wAfter w:w="654" w:type="dxa"/>
          <w:trHeight w:val="960" w:hRule="atLeast"/>
        </w:trPr>
        <w:tc>
          <w:tcPr>
            <w:tcW w:w="440" w:type="dxa"/>
            <w:tcBorders>
              <w:top w:val="single" w:color="auto" w:sz="4" w:space="0"/>
              <w:left w:val="single" w:color="auto" w:sz="4" w:space="0"/>
              <w:bottom w:val="single" w:color="auto" w:sz="4" w:space="0"/>
              <w:right w:val="single" w:color="auto" w:sz="4" w:space="0"/>
            </w:tcBorders>
            <w:vAlign w:val="center"/>
          </w:tcPr>
          <w:p w14:paraId="4483F25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single" w:color="auto" w:sz="4" w:space="0"/>
              <w:left w:val="nil"/>
              <w:bottom w:val="single" w:color="auto" w:sz="4" w:space="0"/>
              <w:right w:val="single" w:color="auto" w:sz="4" w:space="0"/>
            </w:tcBorders>
            <w:vAlign w:val="center"/>
          </w:tcPr>
          <w:p w14:paraId="76E68F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较好，符合物候状况，枝繁叶茂，色泽正常。色块较满，基本无缺，修剪平面平整，立面平垂或按要求变化，图形较清晰，边线较明显。草本地被基本平整。整体干净清洁，无干枯枝、伤残枝，无杂草、黄叶。</w:t>
            </w:r>
          </w:p>
        </w:tc>
        <w:tc>
          <w:tcPr>
            <w:tcW w:w="709" w:type="dxa"/>
            <w:tcBorders>
              <w:top w:val="single" w:color="auto" w:sz="4" w:space="0"/>
              <w:left w:val="nil"/>
              <w:bottom w:val="single" w:color="auto" w:sz="4" w:space="0"/>
              <w:right w:val="single" w:color="auto" w:sz="4" w:space="0"/>
            </w:tcBorders>
            <w:vAlign w:val="center"/>
          </w:tcPr>
          <w:p w14:paraId="61E985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674" w:type="dxa"/>
            <w:tcBorders>
              <w:top w:val="single" w:color="auto" w:sz="4" w:space="0"/>
              <w:left w:val="nil"/>
              <w:bottom w:val="single" w:color="auto" w:sz="4" w:space="0"/>
              <w:right w:val="single" w:color="auto" w:sz="4" w:space="0"/>
            </w:tcBorders>
            <w:vAlign w:val="center"/>
          </w:tcPr>
          <w:p w14:paraId="4E8DAA6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single" w:color="auto" w:sz="4" w:space="0"/>
              <w:left w:val="nil"/>
              <w:bottom w:val="single" w:color="auto" w:sz="4" w:space="0"/>
              <w:right w:val="single" w:color="auto" w:sz="4" w:space="0"/>
            </w:tcBorders>
            <w:vAlign w:val="center"/>
          </w:tcPr>
          <w:p w14:paraId="1948B0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single" w:color="auto" w:sz="4" w:space="0"/>
              <w:left w:val="nil"/>
              <w:bottom w:val="single" w:color="auto" w:sz="4" w:space="0"/>
              <w:right w:val="single" w:color="auto" w:sz="4" w:space="0"/>
            </w:tcBorders>
            <w:vAlign w:val="center"/>
          </w:tcPr>
          <w:p w14:paraId="385186E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single" w:color="auto" w:sz="4" w:space="0"/>
              <w:left w:val="nil"/>
              <w:bottom w:val="single" w:color="auto" w:sz="4" w:space="0"/>
              <w:right w:val="single" w:color="auto" w:sz="4" w:space="0"/>
            </w:tcBorders>
            <w:vAlign w:val="center"/>
          </w:tcPr>
          <w:p w14:paraId="3452386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single" w:color="auto" w:sz="4" w:space="0"/>
              <w:left w:val="nil"/>
              <w:bottom w:val="single" w:color="auto" w:sz="4" w:space="0"/>
              <w:right w:val="single" w:color="auto" w:sz="4" w:space="0"/>
            </w:tcBorders>
            <w:vAlign w:val="center"/>
          </w:tcPr>
          <w:p w14:paraId="0BEFA3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C79593E">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279ABD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Borders>
              <w:top w:val="nil"/>
              <w:left w:val="nil"/>
              <w:bottom w:val="single" w:color="auto" w:sz="4" w:space="0"/>
              <w:right w:val="single" w:color="auto" w:sz="4" w:space="0"/>
            </w:tcBorders>
            <w:vAlign w:val="center"/>
          </w:tcPr>
          <w:p w14:paraId="75F20D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松土、勾边：土壤疏松通透，无积水；勾边顺滑整齐、规范。</w:t>
            </w:r>
          </w:p>
        </w:tc>
        <w:tc>
          <w:tcPr>
            <w:tcW w:w="709" w:type="dxa"/>
            <w:tcBorders>
              <w:top w:val="nil"/>
              <w:left w:val="nil"/>
              <w:bottom w:val="single" w:color="auto" w:sz="4" w:space="0"/>
              <w:right w:val="single" w:color="auto" w:sz="4" w:space="0"/>
            </w:tcBorders>
            <w:vAlign w:val="center"/>
          </w:tcPr>
          <w:p w14:paraId="3787A64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674" w:type="dxa"/>
            <w:tcBorders>
              <w:top w:val="nil"/>
              <w:left w:val="nil"/>
              <w:bottom w:val="single" w:color="auto" w:sz="4" w:space="0"/>
              <w:right w:val="single" w:color="auto" w:sz="4" w:space="0"/>
            </w:tcBorders>
            <w:vAlign w:val="center"/>
          </w:tcPr>
          <w:p w14:paraId="77D761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1227E7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68A7A5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1176DC2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EC3267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8CB46A1">
        <w:tblPrEx>
          <w:tblCellMar>
            <w:top w:w="0" w:type="dxa"/>
            <w:left w:w="108" w:type="dxa"/>
            <w:bottom w:w="0" w:type="dxa"/>
            <w:right w:w="108" w:type="dxa"/>
          </w:tblCellMar>
        </w:tblPrEx>
        <w:trPr>
          <w:gridAfter w:val="2"/>
          <w:wAfter w:w="654"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5138DF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5656" w:type="dxa"/>
            <w:tcBorders>
              <w:top w:val="single" w:color="auto" w:sz="4" w:space="0"/>
              <w:left w:val="single" w:color="auto" w:sz="4" w:space="0"/>
              <w:bottom w:val="single" w:color="auto" w:sz="4" w:space="0"/>
              <w:right w:val="single" w:color="auto" w:sz="4" w:space="0"/>
            </w:tcBorders>
            <w:vAlign w:val="center"/>
          </w:tcPr>
          <w:p w14:paraId="23D2A72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709" w:type="dxa"/>
            <w:tcBorders>
              <w:top w:val="single" w:color="auto" w:sz="4" w:space="0"/>
              <w:left w:val="single" w:color="auto" w:sz="4" w:space="0"/>
              <w:bottom w:val="single" w:color="auto" w:sz="4" w:space="0"/>
              <w:right w:val="single" w:color="auto" w:sz="4" w:space="0"/>
            </w:tcBorders>
            <w:vAlign w:val="center"/>
          </w:tcPr>
          <w:p w14:paraId="1830C2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single" w:color="auto" w:sz="4" w:space="0"/>
              <w:left w:val="single" w:color="auto" w:sz="4" w:space="0"/>
              <w:bottom w:val="single" w:color="auto" w:sz="4" w:space="0"/>
              <w:right w:val="single" w:color="auto" w:sz="4" w:space="0"/>
            </w:tcBorders>
            <w:vAlign w:val="center"/>
          </w:tcPr>
          <w:p w14:paraId="769356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single" w:color="auto" w:sz="4" w:space="0"/>
              <w:left w:val="single" w:color="auto" w:sz="4" w:space="0"/>
              <w:bottom w:val="single" w:color="auto" w:sz="4" w:space="0"/>
              <w:right w:val="single" w:color="auto" w:sz="4" w:space="0"/>
            </w:tcBorders>
            <w:vAlign w:val="center"/>
          </w:tcPr>
          <w:p w14:paraId="093D67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75A1392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218DD21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single" w:color="auto" w:sz="4" w:space="0"/>
              <w:left w:val="single" w:color="auto" w:sz="4" w:space="0"/>
              <w:bottom w:val="single" w:color="auto" w:sz="4" w:space="0"/>
              <w:right w:val="single" w:color="auto" w:sz="4" w:space="0"/>
            </w:tcBorders>
            <w:vAlign w:val="center"/>
          </w:tcPr>
          <w:p w14:paraId="4E0799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D3F48CD">
        <w:tblPrEx>
          <w:tblCellMar>
            <w:top w:w="0" w:type="dxa"/>
            <w:left w:w="108" w:type="dxa"/>
            <w:bottom w:w="0" w:type="dxa"/>
            <w:right w:w="108" w:type="dxa"/>
          </w:tblCellMar>
        </w:tblPrEx>
        <w:trPr>
          <w:gridAfter w:val="2"/>
          <w:wAfter w:w="654" w:type="dxa"/>
          <w:trHeight w:val="480" w:hRule="atLeast"/>
        </w:trPr>
        <w:tc>
          <w:tcPr>
            <w:tcW w:w="440" w:type="dxa"/>
            <w:tcBorders>
              <w:top w:val="single" w:color="auto" w:sz="4" w:space="0"/>
              <w:left w:val="single" w:color="auto" w:sz="4" w:space="0"/>
              <w:bottom w:val="single" w:color="auto" w:sz="4" w:space="0"/>
              <w:right w:val="single" w:color="auto" w:sz="4" w:space="0"/>
            </w:tcBorders>
            <w:vAlign w:val="center"/>
          </w:tcPr>
          <w:p w14:paraId="770BB31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single" w:color="auto" w:sz="4" w:space="0"/>
              <w:left w:val="single" w:color="auto" w:sz="4" w:space="0"/>
              <w:bottom w:val="single" w:color="auto" w:sz="4" w:space="0"/>
              <w:right w:val="single" w:color="auto" w:sz="4" w:space="0"/>
            </w:tcBorders>
            <w:vAlign w:val="center"/>
          </w:tcPr>
          <w:p w14:paraId="766FE04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生长及外观：草坪基本平整、青绿、色泽均匀美观、无明显枯黄。高度控制在20cm以下。勾边：边线较整齐，不超出草坪范围。</w:t>
            </w:r>
          </w:p>
        </w:tc>
        <w:tc>
          <w:tcPr>
            <w:tcW w:w="709" w:type="dxa"/>
            <w:tcBorders>
              <w:top w:val="single" w:color="auto" w:sz="4" w:space="0"/>
              <w:left w:val="single" w:color="auto" w:sz="4" w:space="0"/>
              <w:bottom w:val="single" w:color="auto" w:sz="4" w:space="0"/>
              <w:right w:val="single" w:color="auto" w:sz="4" w:space="0"/>
            </w:tcBorders>
            <w:vAlign w:val="center"/>
          </w:tcPr>
          <w:p w14:paraId="6272BB7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674" w:type="dxa"/>
            <w:tcBorders>
              <w:top w:val="single" w:color="auto" w:sz="4" w:space="0"/>
              <w:left w:val="single" w:color="auto" w:sz="4" w:space="0"/>
              <w:bottom w:val="single" w:color="auto" w:sz="4" w:space="0"/>
              <w:right w:val="single" w:color="auto" w:sz="4" w:space="0"/>
            </w:tcBorders>
            <w:vAlign w:val="center"/>
          </w:tcPr>
          <w:p w14:paraId="2D1CC6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single" w:color="auto" w:sz="4" w:space="0"/>
              <w:left w:val="single" w:color="auto" w:sz="4" w:space="0"/>
              <w:bottom w:val="single" w:color="auto" w:sz="4" w:space="0"/>
              <w:right w:val="single" w:color="auto" w:sz="4" w:space="0"/>
            </w:tcBorders>
            <w:vAlign w:val="center"/>
          </w:tcPr>
          <w:p w14:paraId="1C1A217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3DE4E8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single" w:color="auto" w:sz="4" w:space="0"/>
              <w:left w:val="single" w:color="auto" w:sz="4" w:space="0"/>
              <w:bottom w:val="single" w:color="auto" w:sz="4" w:space="0"/>
              <w:right w:val="single" w:color="auto" w:sz="4" w:space="0"/>
            </w:tcBorders>
            <w:vAlign w:val="center"/>
          </w:tcPr>
          <w:p w14:paraId="6D53F8D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single" w:color="auto" w:sz="4" w:space="0"/>
              <w:left w:val="single" w:color="auto" w:sz="4" w:space="0"/>
              <w:bottom w:val="single" w:color="auto" w:sz="4" w:space="0"/>
              <w:right w:val="single" w:color="auto" w:sz="4" w:space="0"/>
            </w:tcBorders>
            <w:vAlign w:val="center"/>
          </w:tcPr>
          <w:p w14:paraId="73A612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B210491">
        <w:tblPrEx>
          <w:tblCellMar>
            <w:top w:w="0" w:type="dxa"/>
            <w:left w:w="108" w:type="dxa"/>
            <w:bottom w:w="0" w:type="dxa"/>
            <w:right w:w="108" w:type="dxa"/>
          </w:tblCellMar>
        </w:tblPrEx>
        <w:trPr>
          <w:gridAfter w:val="2"/>
          <w:wAfter w:w="654" w:type="dxa"/>
          <w:trHeight w:val="357" w:hRule="atLeast"/>
        </w:trPr>
        <w:tc>
          <w:tcPr>
            <w:tcW w:w="440" w:type="dxa"/>
            <w:tcBorders>
              <w:top w:val="single" w:color="auto" w:sz="4" w:space="0"/>
              <w:left w:val="single" w:color="auto" w:sz="4" w:space="0"/>
              <w:bottom w:val="single" w:color="auto" w:sz="4" w:space="0"/>
              <w:right w:val="single" w:color="auto" w:sz="4" w:space="0"/>
            </w:tcBorders>
            <w:vAlign w:val="center"/>
          </w:tcPr>
          <w:p w14:paraId="1DE17FC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Borders>
              <w:top w:val="single" w:color="auto" w:sz="4" w:space="0"/>
              <w:left w:val="nil"/>
              <w:bottom w:val="single" w:color="auto" w:sz="4" w:space="0"/>
              <w:right w:val="single" w:color="auto" w:sz="4" w:space="0"/>
            </w:tcBorders>
            <w:vAlign w:val="center"/>
          </w:tcPr>
          <w:p w14:paraId="7505875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除杂：及时除杂，无大型杂草、杂物。</w:t>
            </w:r>
          </w:p>
        </w:tc>
        <w:tc>
          <w:tcPr>
            <w:tcW w:w="709" w:type="dxa"/>
            <w:tcBorders>
              <w:top w:val="single" w:color="auto" w:sz="4" w:space="0"/>
              <w:left w:val="nil"/>
              <w:bottom w:val="single" w:color="auto" w:sz="4" w:space="0"/>
              <w:right w:val="single" w:color="auto" w:sz="4" w:space="0"/>
            </w:tcBorders>
            <w:vAlign w:val="center"/>
          </w:tcPr>
          <w:p w14:paraId="6F139DE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tcBorders>
              <w:top w:val="single" w:color="auto" w:sz="4" w:space="0"/>
              <w:left w:val="nil"/>
              <w:bottom w:val="single" w:color="auto" w:sz="4" w:space="0"/>
              <w:right w:val="single" w:color="auto" w:sz="4" w:space="0"/>
            </w:tcBorders>
            <w:vAlign w:val="center"/>
          </w:tcPr>
          <w:p w14:paraId="3CA3DC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single" w:color="auto" w:sz="4" w:space="0"/>
              <w:left w:val="nil"/>
              <w:bottom w:val="single" w:color="auto" w:sz="4" w:space="0"/>
              <w:right w:val="single" w:color="auto" w:sz="4" w:space="0"/>
            </w:tcBorders>
            <w:vAlign w:val="center"/>
          </w:tcPr>
          <w:p w14:paraId="4FDE439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single" w:color="auto" w:sz="4" w:space="0"/>
              <w:left w:val="nil"/>
              <w:bottom w:val="single" w:color="auto" w:sz="4" w:space="0"/>
              <w:right w:val="single" w:color="auto" w:sz="4" w:space="0"/>
            </w:tcBorders>
            <w:vAlign w:val="center"/>
          </w:tcPr>
          <w:p w14:paraId="475AAB1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single" w:color="auto" w:sz="4" w:space="0"/>
              <w:left w:val="nil"/>
              <w:bottom w:val="single" w:color="auto" w:sz="4" w:space="0"/>
              <w:right w:val="single" w:color="auto" w:sz="4" w:space="0"/>
            </w:tcBorders>
            <w:vAlign w:val="center"/>
          </w:tcPr>
          <w:p w14:paraId="7A7E04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single" w:color="auto" w:sz="4" w:space="0"/>
              <w:left w:val="nil"/>
              <w:bottom w:val="single" w:color="auto" w:sz="4" w:space="0"/>
              <w:right w:val="single" w:color="auto" w:sz="4" w:space="0"/>
            </w:tcBorders>
            <w:vAlign w:val="center"/>
          </w:tcPr>
          <w:p w14:paraId="14924FD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122EA46">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221FA28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5656" w:type="dxa"/>
            <w:tcBorders>
              <w:top w:val="nil"/>
              <w:left w:val="nil"/>
              <w:bottom w:val="single" w:color="auto" w:sz="4" w:space="0"/>
              <w:right w:val="single" w:color="auto" w:sz="4" w:space="0"/>
            </w:tcBorders>
            <w:vAlign w:val="center"/>
          </w:tcPr>
          <w:p w14:paraId="0F5008F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w:t>
            </w:r>
          </w:p>
        </w:tc>
        <w:tc>
          <w:tcPr>
            <w:tcW w:w="709" w:type="dxa"/>
            <w:tcBorders>
              <w:top w:val="nil"/>
              <w:left w:val="nil"/>
              <w:bottom w:val="single" w:color="auto" w:sz="4" w:space="0"/>
              <w:right w:val="single" w:color="auto" w:sz="4" w:space="0"/>
            </w:tcBorders>
            <w:vAlign w:val="center"/>
          </w:tcPr>
          <w:p w14:paraId="0FCC905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623C50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222B185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4155CD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76C4D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78E6738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989BBB9">
        <w:tblPrEx>
          <w:tblCellMar>
            <w:top w:w="0" w:type="dxa"/>
            <w:left w:w="108" w:type="dxa"/>
            <w:bottom w:w="0" w:type="dxa"/>
            <w:right w:w="108" w:type="dxa"/>
          </w:tblCellMar>
        </w:tblPrEx>
        <w:trPr>
          <w:gridAfter w:val="2"/>
          <w:wAfter w:w="654" w:type="dxa"/>
          <w:trHeight w:val="480" w:hRule="atLeast"/>
        </w:trPr>
        <w:tc>
          <w:tcPr>
            <w:tcW w:w="440" w:type="dxa"/>
            <w:tcBorders>
              <w:top w:val="nil"/>
              <w:left w:val="single" w:color="auto" w:sz="4" w:space="0"/>
              <w:bottom w:val="single" w:color="auto" w:sz="4" w:space="0"/>
              <w:right w:val="single" w:color="auto" w:sz="4" w:space="0"/>
            </w:tcBorders>
            <w:vAlign w:val="center"/>
          </w:tcPr>
          <w:p w14:paraId="1364C0D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nil"/>
              <w:left w:val="nil"/>
              <w:bottom w:val="single" w:color="auto" w:sz="4" w:space="0"/>
              <w:right w:val="single" w:color="auto" w:sz="4" w:space="0"/>
            </w:tcBorders>
            <w:vAlign w:val="center"/>
          </w:tcPr>
          <w:p w14:paraId="061597F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护坡干净整洁，修剪后枝叶、碎草当天清理；无垃圾、枝叶、草堆积，无淤泥、杂物堆积。</w:t>
            </w:r>
          </w:p>
        </w:tc>
        <w:tc>
          <w:tcPr>
            <w:tcW w:w="709" w:type="dxa"/>
            <w:tcBorders>
              <w:top w:val="nil"/>
              <w:left w:val="nil"/>
              <w:bottom w:val="single" w:color="auto" w:sz="4" w:space="0"/>
              <w:right w:val="single" w:color="auto" w:sz="4" w:space="0"/>
            </w:tcBorders>
            <w:vAlign w:val="center"/>
          </w:tcPr>
          <w:p w14:paraId="56EE196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tcBorders>
              <w:top w:val="nil"/>
              <w:left w:val="nil"/>
              <w:bottom w:val="single" w:color="auto" w:sz="4" w:space="0"/>
              <w:right w:val="single" w:color="auto" w:sz="4" w:space="0"/>
            </w:tcBorders>
            <w:vAlign w:val="center"/>
          </w:tcPr>
          <w:p w14:paraId="52C75C1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3D9AC3A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57436E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2A298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4E7CA9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9C1D579">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6BFC3E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5656" w:type="dxa"/>
            <w:tcBorders>
              <w:top w:val="nil"/>
              <w:left w:val="nil"/>
              <w:bottom w:val="single" w:color="auto" w:sz="4" w:space="0"/>
              <w:right w:val="single" w:color="auto" w:sz="4" w:space="0"/>
            </w:tcBorders>
            <w:vAlign w:val="center"/>
          </w:tcPr>
          <w:p w14:paraId="6ABEC9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709" w:type="dxa"/>
            <w:tcBorders>
              <w:top w:val="nil"/>
              <w:left w:val="nil"/>
              <w:bottom w:val="single" w:color="auto" w:sz="4" w:space="0"/>
              <w:right w:val="single" w:color="auto" w:sz="4" w:space="0"/>
            </w:tcBorders>
            <w:vAlign w:val="center"/>
          </w:tcPr>
          <w:p w14:paraId="3A9AD2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7F5898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3DED3A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5DD63E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7BA928A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6B0F148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B5571C4">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5F38D4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nil"/>
              <w:left w:val="nil"/>
              <w:bottom w:val="single" w:color="auto" w:sz="4" w:space="0"/>
              <w:right w:val="single" w:color="auto" w:sz="4" w:space="0"/>
            </w:tcBorders>
            <w:vAlign w:val="center"/>
          </w:tcPr>
          <w:p w14:paraId="28C70BB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护坡保存较好，基本无黄土裸露现象。</w:t>
            </w:r>
          </w:p>
        </w:tc>
        <w:tc>
          <w:tcPr>
            <w:tcW w:w="709" w:type="dxa"/>
            <w:tcBorders>
              <w:top w:val="nil"/>
              <w:left w:val="nil"/>
              <w:bottom w:val="single" w:color="auto" w:sz="4" w:space="0"/>
              <w:right w:val="single" w:color="auto" w:sz="4" w:space="0"/>
            </w:tcBorders>
            <w:vAlign w:val="center"/>
          </w:tcPr>
          <w:p w14:paraId="045BB5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70%</w:t>
            </w:r>
          </w:p>
        </w:tc>
        <w:tc>
          <w:tcPr>
            <w:tcW w:w="674" w:type="dxa"/>
            <w:tcBorders>
              <w:top w:val="nil"/>
              <w:left w:val="nil"/>
              <w:bottom w:val="single" w:color="auto" w:sz="4" w:space="0"/>
              <w:right w:val="single" w:color="auto" w:sz="4" w:space="0"/>
            </w:tcBorders>
            <w:vAlign w:val="center"/>
          </w:tcPr>
          <w:p w14:paraId="7E7725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0711B87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0CC6B1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05B3FE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41C3C5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D726E89">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00109A0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Borders>
              <w:top w:val="nil"/>
              <w:left w:val="nil"/>
              <w:bottom w:val="single" w:color="auto" w:sz="4" w:space="0"/>
              <w:right w:val="single" w:color="auto" w:sz="4" w:space="0"/>
            </w:tcBorders>
            <w:vAlign w:val="center"/>
          </w:tcPr>
          <w:p w14:paraId="318EB0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乔木与孤植灌木无缺株。</w:t>
            </w:r>
          </w:p>
        </w:tc>
        <w:tc>
          <w:tcPr>
            <w:tcW w:w="709" w:type="dxa"/>
            <w:tcBorders>
              <w:top w:val="nil"/>
              <w:left w:val="nil"/>
              <w:bottom w:val="single" w:color="auto" w:sz="4" w:space="0"/>
              <w:right w:val="single" w:color="auto" w:sz="4" w:space="0"/>
            </w:tcBorders>
            <w:vAlign w:val="center"/>
          </w:tcPr>
          <w:p w14:paraId="5B41266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74" w:type="dxa"/>
            <w:tcBorders>
              <w:top w:val="nil"/>
              <w:left w:val="nil"/>
              <w:bottom w:val="single" w:color="auto" w:sz="4" w:space="0"/>
              <w:right w:val="single" w:color="auto" w:sz="4" w:space="0"/>
            </w:tcBorders>
            <w:vAlign w:val="center"/>
          </w:tcPr>
          <w:p w14:paraId="6ABF6C4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0D422F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1A2057D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44BFD2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308D935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BEA75F">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5F598B8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5656" w:type="dxa"/>
            <w:tcBorders>
              <w:top w:val="nil"/>
              <w:left w:val="nil"/>
              <w:bottom w:val="single" w:color="auto" w:sz="4" w:space="0"/>
              <w:right w:val="single" w:color="auto" w:sz="4" w:space="0"/>
            </w:tcBorders>
            <w:vAlign w:val="center"/>
          </w:tcPr>
          <w:p w14:paraId="11AA8E50">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09" w:type="dxa"/>
            <w:tcBorders>
              <w:top w:val="nil"/>
              <w:left w:val="nil"/>
              <w:bottom w:val="single" w:color="auto" w:sz="4" w:space="0"/>
              <w:right w:val="single" w:color="auto" w:sz="4" w:space="0"/>
            </w:tcBorders>
            <w:vAlign w:val="center"/>
          </w:tcPr>
          <w:p w14:paraId="2EAB6EC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center"/>
          </w:tcPr>
          <w:p w14:paraId="473390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0331ED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4162DE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2203AD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4F543F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3DCBA5B">
        <w:tblPrEx>
          <w:tblCellMar>
            <w:top w:w="0" w:type="dxa"/>
            <w:left w:w="108" w:type="dxa"/>
            <w:bottom w:w="0" w:type="dxa"/>
            <w:right w:w="108" w:type="dxa"/>
          </w:tblCellMar>
        </w:tblPrEx>
        <w:trPr>
          <w:gridAfter w:val="2"/>
          <w:wAfter w:w="654" w:type="dxa"/>
          <w:trHeight w:val="326" w:hRule="atLeast"/>
        </w:trPr>
        <w:tc>
          <w:tcPr>
            <w:tcW w:w="440" w:type="dxa"/>
            <w:tcBorders>
              <w:top w:val="nil"/>
              <w:left w:val="single" w:color="auto" w:sz="4" w:space="0"/>
              <w:bottom w:val="single" w:color="auto" w:sz="4" w:space="0"/>
              <w:right w:val="single" w:color="auto" w:sz="4" w:space="0"/>
            </w:tcBorders>
            <w:vAlign w:val="center"/>
          </w:tcPr>
          <w:p w14:paraId="3B318A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Borders>
              <w:top w:val="nil"/>
              <w:left w:val="nil"/>
              <w:bottom w:val="single" w:color="auto" w:sz="4" w:space="0"/>
              <w:right w:val="single" w:color="auto" w:sz="4" w:space="0"/>
            </w:tcBorders>
            <w:vAlign w:val="center"/>
          </w:tcPr>
          <w:p w14:paraId="4D2187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无严重的危害迹象，病虫总危害率＜20%。</w:t>
            </w:r>
          </w:p>
        </w:tc>
        <w:tc>
          <w:tcPr>
            <w:tcW w:w="709" w:type="dxa"/>
            <w:tcBorders>
              <w:top w:val="nil"/>
              <w:left w:val="nil"/>
              <w:bottom w:val="single" w:color="auto" w:sz="4" w:space="0"/>
              <w:right w:val="single" w:color="auto" w:sz="4" w:space="0"/>
            </w:tcBorders>
            <w:vAlign w:val="center"/>
          </w:tcPr>
          <w:p w14:paraId="513F67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tcBorders>
              <w:top w:val="nil"/>
              <w:left w:val="nil"/>
              <w:bottom w:val="single" w:color="auto" w:sz="4" w:space="0"/>
              <w:right w:val="single" w:color="auto" w:sz="4" w:space="0"/>
            </w:tcBorders>
            <w:vAlign w:val="center"/>
          </w:tcPr>
          <w:p w14:paraId="1AA898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tcBorders>
              <w:top w:val="nil"/>
              <w:left w:val="nil"/>
              <w:bottom w:val="single" w:color="auto" w:sz="4" w:space="0"/>
              <w:right w:val="single" w:color="auto" w:sz="4" w:space="0"/>
            </w:tcBorders>
            <w:vAlign w:val="center"/>
          </w:tcPr>
          <w:p w14:paraId="2CBB1C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063408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591F3BE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43053E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22B8CD9">
        <w:tblPrEx>
          <w:tblCellMar>
            <w:top w:w="0" w:type="dxa"/>
            <w:left w:w="108" w:type="dxa"/>
            <w:bottom w:w="0" w:type="dxa"/>
            <w:right w:w="108" w:type="dxa"/>
          </w:tblCellMar>
        </w:tblPrEx>
        <w:trPr>
          <w:gridAfter w:val="2"/>
          <w:wAfter w:w="654" w:type="dxa"/>
          <w:trHeight w:val="270" w:hRule="atLeast"/>
        </w:trPr>
        <w:tc>
          <w:tcPr>
            <w:tcW w:w="440" w:type="dxa"/>
            <w:tcBorders>
              <w:top w:val="nil"/>
              <w:left w:val="single" w:color="auto" w:sz="4" w:space="0"/>
              <w:bottom w:val="single" w:color="auto" w:sz="4" w:space="0"/>
              <w:right w:val="single" w:color="auto" w:sz="4" w:space="0"/>
            </w:tcBorders>
            <w:vAlign w:val="center"/>
          </w:tcPr>
          <w:p w14:paraId="0C68409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5656" w:type="dxa"/>
            <w:tcBorders>
              <w:top w:val="nil"/>
              <w:left w:val="nil"/>
              <w:bottom w:val="single" w:color="auto" w:sz="4" w:space="0"/>
              <w:right w:val="single" w:color="auto" w:sz="4" w:space="0"/>
            </w:tcBorders>
            <w:vAlign w:val="center"/>
          </w:tcPr>
          <w:p w14:paraId="07D37950">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09" w:type="dxa"/>
            <w:tcBorders>
              <w:top w:val="nil"/>
              <w:left w:val="nil"/>
              <w:bottom w:val="single" w:color="auto" w:sz="4" w:space="0"/>
              <w:right w:val="single" w:color="auto" w:sz="4" w:space="0"/>
            </w:tcBorders>
            <w:vAlign w:val="center"/>
          </w:tcPr>
          <w:p w14:paraId="0C9EDDF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bottom"/>
          </w:tcPr>
          <w:p w14:paraId="0865EA4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bottom"/>
          </w:tcPr>
          <w:p w14:paraId="1ED75FD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146776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17F715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055951E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F34B850">
        <w:tblPrEx>
          <w:tblCellMar>
            <w:top w:w="0" w:type="dxa"/>
            <w:left w:w="108" w:type="dxa"/>
            <w:bottom w:w="0" w:type="dxa"/>
            <w:right w:w="108" w:type="dxa"/>
          </w:tblCellMar>
        </w:tblPrEx>
        <w:trPr>
          <w:gridAfter w:val="2"/>
          <w:wAfter w:w="654" w:type="dxa"/>
          <w:trHeight w:val="480" w:hRule="atLeast"/>
        </w:trPr>
        <w:tc>
          <w:tcPr>
            <w:tcW w:w="440" w:type="dxa"/>
            <w:tcBorders>
              <w:top w:val="nil"/>
              <w:left w:val="single" w:color="auto" w:sz="4" w:space="0"/>
              <w:bottom w:val="single" w:color="auto" w:sz="4" w:space="0"/>
              <w:right w:val="single" w:color="auto" w:sz="4" w:space="0"/>
            </w:tcBorders>
            <w:vAlign w:val="center"/>
          </w:tcPr>
          <w:p w14:paraId="223F55F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656" w:type="dxa"/>
            <w:tcBorders>
              <w:top w:val="nil"/>
              <w:left w:val="nil"/>
              <w:bottom w:val="single" w:color="auto" w:sz="4" w:space="0"/>
              <w:right w:val="single" w:color="auto" w:sz="4" w:space="0"/>
            </w:tcBorders>
            <w:vAlign w:val="center"/>
          </w:tcPr>
          <w:p w14:paraId="6EC0F26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植株长势较为旺盛，土壤不干裂，无积水。无淋水造成的苗木倒伏、枝叶损伤、黄土污染路面现象。</w:t>
            </w:r>
          </w:p>
        </w:tc>
        <w:tc>
          <w:tcPr>
            <w:tcW w:w="709" w:type="dxa"/>
            <w:tcBorders>
              <w:top w:val="nil"/>
              <w:left w:val="nil"/>
              <w:bottom w:val="single" w:color="auto" w:sz="4" w:space="0"/>
              <w:right w:val="single" w:color="auto" w:sz="4" w:space="0"/>
            </w:tcBorders>
            <w:vAlign w:val="center"/>
          </w:tcPr>
          <w:p w14:paraId="42CF9C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tcBorders>
              <w:top w:val="nil"/>
              <w:left w:val="nil"/>
              <w:bottom w:val="single" w:color="auto" w:sz="4" w:space="0"/>
              <w:right w:val="single" w:color="auto" w:sz="4" w:space="0"/>
            </w:tcBorders>
            <w:vAlign w:val="bottom"/>
          </w:tcPr>
          <w:p w14:paraId="45F398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bottom"/>
          </w:tcPr>
          <w:p w14:paraId="65C0B6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3B6A6C4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43AAB7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388BD2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1D4CF09">
        <w:tblPrEx>
          <w:tblCellMar>
            <w:top w:w="0" w:type="dxa"/>
            <w:left w:w="108" w:type="dxa"/>
            <w:bottom w:w="0" w:type="dxa"/>
            <w:right w:w="108" w:type="dxa"/>
          </w:tblCellMar>
        </w:tblPrEx>
        <w:trPr>
          <w:gridAfter w:val="2"/>
          <w:wAfter w:w="654" w:type="dxa"/>
          <w:trHeight w:val="376" w:hRule="atLeast"/>
        </w:trPr>
        <w:tc>
          <w:tcPr>
            <w:tcW w:w="440" w:type="dxa"/>
            <w:tcBorders>
              <w:top w:val="nil"/>
              <w:left w:val="single" w:color="auto" w:sz="4" w:space="0"/>
              <w:bottom w:val="single" w:color="auto" w:sz="4" w:space="0"/>
              <w:right w:val="single" w:color="auto" w:sz="4" w:space="0"/>
            </w:tcBorders>
            <w:vAlign w:val="center"/>
          </w:tcPr>
          <w:p w14:paraId="240742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56" w:type="dxa"/>
            <w:tcBorders>
              <w:top w:val="nil"/>
              <w:left w:val="nil"/>
              <w:bottom w:val="single" w:color="auto" w:sz="4" w:space="0"/>
              <w:right w:val="single" w:color="auto" w:sz="4" w:space="0"/>
            </w:tcBorders>
            <w:vAlign w:val="center"/>
          </w:tcPr>
          <w:p w14:paraId="3742BA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09" w:type="dxa"/>
            <w:tcBorders>
              <w:top w:val="nil"/>
              <w:left w:val="nil"/>
              <w:bottom w:val="single" w:color="auto" w:sz="4" w:space="0"/>
              <w:right w:val="single" w:color="auto" w:sz="4" w:space="0"/>
            </w:tcBorders>
            <w:vAlign w:val="bottom"/>
          </w:tcPr>
          <w:p w14:paraId="055D0163">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tcBorders>
              <w:top w:val="nil"/>
              <w:left w:val="nil"/>
              <w:bottom w:val="single" w:color="auto" w:sz="4" w:space="0"/>
              <w:right w:val="single" w:color="auto" w:sz="4" w:space="0"/>
            </w:tcBorders>
            <w:vAlign w:val="bottom"/>
          </w:tcPr>
          <w:p w14:paraId="49B4BF2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tcBorders>
              <w:top w:val="nil"/>
              <w:left w:val="nil"/>
              <w:bottom w:val="single" w:color="auto" w:sz="4" w:space="0"/>
              <w:right w:val="single" w:color="auto" w:sz="4" w:space="0"/>
            </w:tcBorders>
            <w:vAlign w:val="bottom"/>
          </w:tcPr>
          <w:p w14:paraId="030D7DB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tcBorders>
              <w:top w:val="nil"/>
              <w:left w:val="nil"/>
              <w:bottom w:val="single" w:color="auto" w:sz="4" w:space="0"/>
              <w:right w:val="single" w:color="auto" w:sz="4" w:space="0"/>
            </w:tcBorders>
            <w:vAlign w:val="center"/>
          </w:tcPr>
          <w:p w14:paraId="1AF3D1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50EF0A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gridSpan w:val="2"/>
            <w:tcBorders>
              <w:top w:val="nil"/>
              <w:left w:val="nil"/>
              <w:bottom w:val="single" w:color="auto" w:sz="4" w:space="0"/>
              <w:right w:val="single" w:color="auto" w:sz="4" w:space="0"/>
            </w:tcBorders>
            <w:vAlign w:val="center"/>
          </w:tcPr>
          <w:p w14:paraId="1C84C0D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6510DC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sectPr>
          <w:pgSz w:w="11906" w:h="16838"/>
          <w:pgMar w:top="1474" w:right="1418" w:bottom="1474" w:left="1418" w:header="851" w:footer="992" w:gutter="0"/>
          <w:cols w:space="720" w:num="1"/>
          <w:docGrid w:type="linesAndChars" w:linePitch="312" w:charSpace="0"/>
        </w:sectPr>
      </w:pPr>
    </w:p>
    <w:p w14:paraId="4D20ED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2.二级护坡养护效果评分表</w:t>
      </w:r>
    </w:p>
    <w:p w14:paraId="27FA5B3D">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评分人：</w:t>
      </w:r>
    </w:p>
    <w:tbl>
      <w:tblPr>
        <w:tblStyle w:val="20"/>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5656"/>
        <w:gridCol w:w="709"/>
        <w:gridCol w:w="674"/>
        <w:gridCol w:w="460"/>
        <w:gridCol w:w="425"/>
        <w:gridCol w:w="567"/>
        <w:gridCol w:w="391"/>
      </w:tblGrid>
      <w:tr w14:paraId="0B2F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45991DF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656" w:type="dxa"/>
            <w:vAlign w:val="center"/>
          </w:tcPr>
          <w:p w14:paraId="1F0A81C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709" w:type="dxa"/>
            <w:vAlign w:val="center"/>
          </w:tcPr>
          <w:p w14:paraId="28601E9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674" w:type="dxa"/>
            <w:vAlign w:val="center"/>
          </w:tcPr>
          <w:p w14:paraId="0249B27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标准分</w:t>
            </w:r>
          </w:p>
        </w:tc>
        <w:tc>
          <w:tcPr>
            <w:tcW w:w="1843" w:type="dxa"/>
            <w:gridSpan w:val="4"/>
            <w:vAlign w:val="center"/>
          </w:tcPr>
          <w:p w14:paraId="30F55EA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12AA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1BAB87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一</w:t>
            </w:r>
          </w:p>
        </w:tc>
        <w:tc>
          <w:tcPr>
            <w:tcW w:w="5656" w:type="dxa"/>
            <w:vAlign w:val="center"/>
          </w:tcPr>
          <w:p w14:paraId="42D67FE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709" w:type="dxa"/>
            <w:vAlign w:val="center"/>
          </w:tcPr>
          <w:p w14:paraId="082396C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4307F61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66B0DAE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2B188C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5D8507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514E905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A4A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52FF2C2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656" w:type="dxa"/>
            <w:vAlign w:val="center"/>
          </w:tcPr>
          <w:p w14:paraId="4A617EE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整体观赏效果良好。护绿护坡设施稳固、整齐、无明显塌方现象，植物干净无明显积尘。</w:t>
            </w:r>
          </w:p>
        </w:tc>
        <w:tc>
          <w:tcPr>
            <w:tcW w:w="709" w:type="dxa"/>
            <w:vAlign w:val="center"/>
          </w:tcPr>
          <w:p w14:paraId="131C262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vAlign w:val="center"/>
          </w:tcPr>
          <w:p w14:paraId="0F331D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4BDB16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40EB9C5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E9358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121C22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BC4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02DFF9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w:t>
            </w:r>
          </w:p>
        </w:tc>
        <w:tc>
          <w:tcPr>
            <w:tcW w:w="5656" w:type="dxa"/>
          </w:tcPr>
          <w:p w14:paraId="6DEBA64A">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乔木</w:t>
            </w:r>
          </w:p>
        </w:tc>
        <w:tc>
          <w:tcPr>
            <w:tcW w:w="709" w:type="dxa"/>
            <w:vAlign w:val="center"/>
          </w:tcPr>
          <w:p w14:paraId="0074AF5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327B6E4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537C44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2002FD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117D92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0AC83C6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360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40" w:type="dxa"/>
            <w:vAlign w:val="center"/>
          </w:tcPr>
          <w:p w14:paraId="7035F81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Pr>
          <w:p w14:paraId="79B7414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乔木整形修剪维持树种特征，树冠匀称，分枝合理，基本无病虫枝，过密枝，交叉枝，低垂枝，伤残枝，定干高度和枝下高度不影响车辆行驶及行人安全。</w:t>
            </w:r>
          </w:p>
        </w:tc>
        <w:tc>
          <w:tcPr>
            <w:tcW w:w="709" w:type="dxa"/>
            <w:vAlign w:val="center"/>
          </w:tcPr>
          <w:p w14:paraId="162206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vAlign w:val="center"/>
          </w:tcPr>
          <w:p w14:paraId="0A3AF23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7BEC06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2D5421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6A6F2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549FE58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1B2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1A57F0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tcPr>
          <w:p w14:paraId="273421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无明显钉挂物、杂物、铁丝等缠绕物，无明显干枯枝及黄叶。</w:t>
            </w:r>
          </w:p>
        </w:tc>
        <w:tc>
          <w:tcPr>
            <w:tcW w:w="709" w:type="dxa"/>
            <w:vAlign w:val="center"/>
          </w:tcPr>
          <w:p w14:paraId="7738659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74" w:type="dxa"/>
            <w:vAlign w:val="center"/>
          </w:tcPr>
          <w:p w14:paraId="6C862F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79DD06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21B5C97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3ADBD05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3A755C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8DF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62716D1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656" w:type="dxa"/>
          </w:tcPr>
          <w:p w14:paraId="2928CE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无死株及树桩。</w:t>
            </w:r>
          </w:p>
        </w:tc>
        <w:tc>
          <w:tcPr>
            <w:tcW w:w="709" w:type="dxa"/>
            <w:vAlign w:val="center"/>
          </w:tcPr>
          <w:p w14:paraId="656653A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74" w:type="dxa"/>
            <w:vAlign w:val="center"/>
          </w:tcPr>
          <w:p w14:paraId="17A7437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07E036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654ADC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C16F82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4285F5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62A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283367C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p>
        </w:tc>
        <w:tc>
          <w:tcPr>
            <w:tcW w:w="5656" w:type="dxa"/>
            <w:vAlign w:val="center"/>
          </w:tcPr>
          <w:p w14:paraId="0D19B3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小乔木、孤植灌木</w:t>
            </w:r>
          </w:p>
        </w:tc>
        <w:tc>
          <w:tcPr>
            <w:tcW w:w="709" w:type="dxa"/>
            <w:vAlign w:val="center"/>
          </w:tcPr>
          <w:p w14:paraId="3B10749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5F55F4C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3ABF0F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74C1DF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64A916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5268CAC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375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0" w:type="dxa"/>
            <w:vAlign w:val="center"/>
          </w:tcPr>
          <w:p w14:paraId="70CB610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vAlign w:val="center"/>
          </w:tcPr>
          <w:p w14:paraId="5C8521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生长较好，符合物候状况。树体基本正直，枝粗叶壮，无明显干枯枝。观花植物适时开花。</w:t>
            </w:r>
          </w:p>
        </w:tc>
        <w:tc>
          <w:tcPr>
            <w:tcW w:w="709" w:type="dxa"/>
            <w:vAlign w:val="center"/>
          </w:tcPr>
          <w:p w14:paraId="69244DF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674" w:type="dxa"/>
            <w:vAlign w:val="center"/>
          </w:tcPr>
          <w:p w14:paraId="7C5E37C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5B2A59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0F0B558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DBF30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091142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B06F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4761600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vAlign w:val="center"/>
          </w:tcPr>
          <w:p w14:paraId="3247D1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修剪合理，整形灌木能维持一定形状。</w:t>
            </w:r>
          </w:p>
        </w:tc>
        <w:tc>
          <w:tcPr>
            <w:tcW w:w="709" w:type="dxa"/>
            <w:vAlign w:val="center"/>
          </w:tcPr>
          <w:p w14:paraId="65E84D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vAlign w:val="center"/>
          </w:tcPr>
          <w:p w14:paraId="18DD2E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4D5C07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4E418C3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5352978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08C3B5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2C3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735DAF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四</w:t>
            </w:r>
          </w:p>
        </w:tc>
        <w:tc>
          <w:tcPr>
            <w:tcW w:w="5656" w:type="dxa"/>
            <w:vAlign w:val="center"/>
          </w:tcPr>
          <w:p w14:paraId="6B368B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灌木色块、草本地被</w:t>
            </w:r>
          </w:p>
        </w:tc>
        <w:tc>
          <w:tcPr>
            <w:tcW w:w="709" w:type="dxa"/>
            <w:vAlign w:val="center"/>
          </w:tcPr>
          <w:p w14:paraId="531FD61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232A12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575F1B1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5B50336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6085F5A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7A78418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43C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40" w:type="dxa"/>
            <w:vAlign w:val="center"/>
          </w:tcPr>
          <w:p w14:paraId="0D7DE6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vAlign w:val="center"/>
          </w:tcPr>
          <w:p w14:paraId="5596B1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生长较好，符合物候状况，枝繁叶茂，色泽正常。色块较满，基本无缺，修剪平面平整，立面平垂或按要求变化，图形较清晰，边线较明显。草本地被基本平整。整体干净清洁，无明显干枯枝、伤残枝，无明显杂草、黄叶。</w:t>
            </w:r>
          </w:p>
        </w:tc>
        <w:tc>
          <w:tcPr>
            <w:tcW w:w="709" w:type="dxa"/>
            <w:vAlign w:val="center"/>
          </w:tcPr>
          <w:p w14:paraId="034693B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80%</w:t>
            </w:r>
          </w:p>
        </w:tc>
        <w:tc>
          <w:tcPr>
            <w:tcW w:w="674" w:type="dxa"/>
            <w:vAlign w:val="center"/>
          </w:tcPr>
          <w:p w14:paraId="04E0F11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7D5FEE8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17D155E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0148F8E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040B51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795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6526BB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vAlign w:val="center"/>
          </w:tcPr>
          <w:p w14:paraId="4CC416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松土：土壤疏松通透，无积水。</w:t>
            </w:r>
          </w:p>
        </w:tc>
        <w:tc>
          <w:tcPr>
            <w:tcW w:w="709" w:type="dxa"/>
            <w:vAlign w:val="center"/>
          </w:tcPr>
          <w:p w14:paraId="26B143C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674" w:type="dxa"/>
            <w:vAlign w:val="center"/>
          </w:tcPr>
          <w:p w14:paraId="32B47C0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351B695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1670841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29CCF9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41458E4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DD5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36BE6EE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5656" w:type="dxa"/>
            <w:vAlign w:val="center"/>
          </w:tcPr>
          <w:p w14:paraId="43C0ED0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草坪</w:t>
            </w:r>
          </w:p>
        </w:tc>
        <w:tc>
          <w:tcPr>
            <w:tcW w:w="709" w:type="dxa"/>
            <w:vAlign w:val="center"/>
          </w:tcPr>
          <w:p w14:paraId="002BD78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21C07D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5563F8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5CAEEAB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3AECA69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186EACB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13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0" w:type="dxa"/>
            <w:vAlign w:val="center"/>
          </w:tcPr>
          <w:p w14:paraId="3770BAA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vAlign w:val="center"/>
          </w:tcPr>
          <w:p w14:paraId="4AB117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生长及外观：草坪基本平整、青绿、色泽均匀美观、无明显枯黄。</w:t>
            </w:r>
          </w:p>
        </w:tc>
        <w:tc>
          <w:tcPr>
            <w:tcW w:w="709" w:type="dxa"/>
            <w:vAlign w:val="center"/>
          </w:tcPr>
          <w:p w14:paraId="08AECFA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60%</w:t>
            </w:r>
          </w:p>
        </w:tc>
        <w:tc>
          <w:tcPr>
            <w:tcW w:w="674" w:type="dxa"/>
            <w:vAlign w:val="center"/>
          </w:tcPr>
          <w:p w14:paraId="17D3EE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3AF71B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133DA6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7B30C5A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1F1E2B0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B43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0" w:type="dxa"/>
            <w:vAlign w:val="center"/>
          </w:tcPr>
          <w:p w14:paraId="744E886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656" w:type="dxa"/>
            <w:vAlign w:val="center"/>
          </w:tcPr>
          <w:p w14:paraId="4E0AB0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除杂：及时除杂，无大型杂草、杂物。</w:t>
            </w:r>
          </w:p>
        </w:tc>
        <w:tc>
          <w:tcPr>
            <w:tcW w:w="709" w:type="dxa"/>
            <w:vAlign w:val="center"/>
          </w:tcPr>
          <w:p w14:paraId="07ABE1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74" w:type="dxa"/>
            <w:vAlign w:val="center"/>
          </w:tcPr>
          <w:p w14:paraId="0E115C4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2D41719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00E345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3AD9778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13C659D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278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6B49B2A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5656" w:type="dxa"/>
            <w:vAlign w:val="center"/>
          </w:tcPr>
          <w:p w14:paraId="35C28A6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卫生</w:t>
            </w:r>
          </w:p>
        </w:tc>
        <w:tc>
          <w:tcPr>
            <w:tcW w:w="709" w:type="dxa"/>
            <w:vAlign w:val="center"/>
          </w:tcPr>
          <w:p w14:paraId="0F78FAD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1243190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1E167B0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156D2D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3214BD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710675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0F6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0" w:type="dxa"/>
            <w:vAlign w:val="center"/>
          </w:tcPr>
          <w:p w14:paraId="1C33594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vAlign w:val="center"/>
          </w:tcPr>
          <w:p w14:paraId="7264B7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护坡干净整洁，修剪后枝叶、碎草当天清理；无明显垃圾、枝叶、草堆积，无明显淤泥、杂物堆积。</w:t>
            </w:r>
          </w:p>
        </w:tc>
        <w:tc>
          <w:tcPr>
            <w:tcW w:w="709" w:type="dxa"/>
            <w:vAlign w:val="center"/>
          </w:tcPr>
          <w:p w14:paraId="5E50A12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vAlign w:val="center"/>
          </w:tcPr>
          <w:p w14:paraId="56ECCF6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6B5377C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6A0FAED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967C6C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2B30B9F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CE7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1856C29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七</w:t>
            </w:r>
          </w:p>
        </w:tc>
        <w:tc>
          <w:tcPr>
            <w:tcW w:w="5656" w:type="dxa"/>
            <w:vAlign w:val="center"/>
          </w:tcPr>
          <w:p w14:paraId="78A65A2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覆盖率与保存率</w:t>
            </w:r>
          </w:p>
        </w:tc>
        <w:tc>
          <w:tcPr>
            <w:tcW w:w="709" w:type="dxa"/>
            <w:vAlign w:val="center"/>
          </w:tcPr>
          <w:p w14:paraId="6785FF1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1063996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7479607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5029449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7BE5552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1AA1E32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CEC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57174F8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vAlign w:val="center"/>
          </w:tcPr>
          <w:p w14:paraId="668679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护坡保存较好，无大片面积黄土裸露现象。</w:t>
            </w:r>
          </w:p>
        </w:tc>
        <w:tc>
          <w:tcPr>
            <w:tcW w:w="709" w:type="dxa"/>
            <w:vAlign w:val="center"/>
          </w:tcPr>
          <w:p w14:paraId="2553738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vAlign w:val="center"/>
          </w:tcPr>
          <w:p w14:paraId="45B522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7AF7CAD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490915D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35C5170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057395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719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703261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w:t>
            </w:r>
          </w:p>
        </w:tc>
        <w:tc>
          <w:tcPr>
            <w:tcW w:w="5656" w:type="dxa"/>
            <w:vAlign w:val="center"/>
          </w:tcPr>
          <w:p w14:paraId="59A3BA8D">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709" w:type="dxa"/>
            <w:vAlign w:val="center"/>
          </w:tcPr>
          <w:p w14:paraId="5AA9E60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center"/>
          </w:tcPr>
          <w:p w14:paraId="7396EE5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center"/>
          </w:tcPr>
          <w:p w14:paraId="4AF4A40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5DB9F1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56D77F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30F9F2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DDB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40" w:type="dxa"/>
            <w:vAlign w:val="center"/>
          </w:tcPr>
          <w:p w14:paraId="0787B3B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656" w:type="dxa"/>
          </w:tcPr>
          <w:p w14:paraId="67EB47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无严重的危害迹象，病虫总危害率＜25%。</w:t>
            </w:r>
          </w:p>
        </w:tc>
        <w:tc>
          <w:tcPr>
            <w:tcW w:w="709" w:type="dxa"/>
            <w:vAlign w:val="center"/>
          </w:tcPr>
          <w:p w14:paraId="4B4CD57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vAlign w:val="center"/>
          </w:tcPr>
          <w:p w14:paraId="1340065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60" w:type="dxa"/>
            <w:vAlign w:val="center"/>
          </w:tcPr>
          <w:p w14:paraId="01D2391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425" w:type="dxa"/>
            <w:vAlign w:val="center"/>
          </w:tcPr>
          <w:p w14:paraId="1728797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5DEA11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312AE1B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C7D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40" w:type="dxa"/>
            <w:vAlign w:val="center"/>
          </w:tcPr>
          <w:p w14:paraId="47D08AA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p>
        </w:tc>
        <w:tc>
          <w:tcPr>
            <w:tcW w:w="5656" w:type="dxa"/>
            <w:vAlign w:val="center"/>
          </w:tcPr>
          <w:p w14:paraId="70AE9AB6">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709" w:type="dxa"/>
            <w:vAlign w:val="center"/>
          </w:tcPr>
          <w:p w14:paraId="3B2A65E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bottom"/>
          </w:tcPr>
          <w:p w14:paraId="6FD7D67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bottom"/>
          </w:tcPr>
          <w:p w14:paraId="5FD5D5A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7999D0D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46B64C9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7B3806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73B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40" w:type="dxa"/>
            <w:vAlign w:val="center"/>
          </w:tcPr>
          <w:p w14:paraId="08D7BC3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656" w:type="dxa"/>
            <w:vAlign w:val="center"/>
          </w:tcPr>
          <w:p w14:paraId="3BA0D0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植株长势良好，无积水。</w:t>
            </w:r>
          </w:p>
        </w:tc>
        <w:tc>
          <w:tcPr>
            <w:tcW w:w="709" w:type="dxa"/>
            <w:vAlign w:val="center"/>
          </w:tcPr>
          <w:p w14:paraId="3C41D9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74" w:type="dxa"/>
            <w:vAlign w:val="bottom"/>
          </w:tcPr>
          <w:p w14:paraId="36F0385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bottom"/>
          </w:tcPr>
          <w:p w14:paraId="4373A5E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20CC2E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22ED022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6D5AF6E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7A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0" w:type="dxa"/>
            <w:vAlign w:val="center"/>
          </w:tcPr>
          <w:p w14:paraId="3D6DC7E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656" w:type="dxa"/>
            <w:vAlign w:val="center"/>
          </w:tcPr>
          <w:p w14:paraId="5D121BC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709" w:type="dxa"/>
            <w:vAlign w:val="bottom"/>
          </w:tcPr>
          <w:p w14:paraId="7CCEC083">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74" w:type="dxa"/>
            <w:vAlign w:val="bottom"/>
          </w:tcPr>
          <w:p w14:paraId="0753676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60" w:type="dxa"/>
            <w:vAlign w:val="bottom"/>
          </w:tcPr>
          <w:p w14:paraId="611B408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25" w:type="dxa"/>
            <w:vAlign w:val="center"/>
          </w:tcPr>
          <w:p w14:paraId="7A8285D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67" w:type="dxa"/>
            <w:vAlign w:val="center"/>
          </w:tcPr>
          <w:p w14:paraId="28C7A1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391" w:type="dxa"/>
            <w:vAlign w:val="center"/>
          </w:tcPr>
          <w:p w14:paraId="45AD5E7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1F3D3B4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19ED5B12">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20375210">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354BD7B8">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sectPr>
          <w:pgSz w:w="11906" w:h="16838"/>
          <w:pgMar w:top="1474" w:right="1418" w:bottom="1474" w:left="1418" w:header="851" w:footer="992" w:gutter="0"/>
          <w:cols w:space="720" w:num="1"/>
          <w:docGrid w:type="linesAndChars" w:linePitch="312" w:charSpace="0"/>
        </w:sectPr>
      </w:pPr>
    </w:p>
    <w:tbl>
      <w:tblPr>
        <w:tblStyle w:val="20"/>
        <w:tblW w:w="9975" w:type="dxa"/>
        <w:tblInd w:w="-34" w:type="dxa"/>
        <w:tblLayout w:type="fixed"/>
        <w:tblCellMar>
          <w:top w:w="0" w:type="dxa"/>
          <w:left w:w="108" w:type="dxa"/>
          <w:bottom w:w="0" w:type="dxa"/>
          <w:right w:w="108" w:type="dxa"/>
        </w:tblCellMar>
      </w:tblPr>
      <w:tblGrid>
        <w:gridCol w:w="440"/>
        <w:gridCol w:w="5655"/>
        <w:gridCol w:w="709"/>
        <w:gridCol w:w="708"/>
        <w:gridCol w:w="426"/>
        <w:gridCol w:w="425"/>
        <w:gridCol w:w="256"/>
        <w:gridCol w:w="312"/>
        <w:gridCol w:w="248"/>
        <w:gridCol w:w="236"/>
        <w:gridCol w:w="75"/>
        <w:gridCol w:w="485"/>
      </w:tblGrid>
      <w:tr w14:paraId="14A6A60D">
        <w:tblPrEx>
          <w:tblCellMar>
            <w:top w:w="0" w:type="dxa"/>
            <w:left w:w="108" w:type="dxa"/>
            <w:bottom w:w="0" w:type="dxa"/>
            <w:right w:w="108" w:type="dxa"/>
          </w:tblCellMar>
        </w:tblPrEx>
        <w:trPr>
          <w:gridAfter w:val="1"/>
          <w:wAfter w:w="485" w:type="dxa"/>
          <w:trHeight w:val="435" w:hRule="atLeast"/>
        </w:trPr>
        <w:tc>
          <w:tcPr>
            <w:tcW w:w="9490" w:type="dxa"/>
            <w:gridSpan w:val="11"/>
            <w:vAlign w:val="center"/>
          </w:tcPr>
          <w:p w14:paraId="2312CB8C">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3.三级护坡养护效果评分表</w:t>
            </w:r>
          </w:p>
        </w:tc>
      </w:tr>
      <w:tr w14:paraId="10411DA9">
        <w:tblPrEx>
          <w:tblCellMar>
            <w:top w:w="0" w:type="dxa"/>
            <w:left w:w="108" w:type="dxa"/>
            <w:bottom w:w="0" w:type="dxa"/>
            <w:right w:w="108" w:type="dxa"/>
          </w:tblCellMar>
        </w:tblPrEx>
        <w:trPr>
          <w:trHeight w:val="285" w:hRule="atLeast"/>
        </w:trPr>
        <w:tc>
          <w:tcPr>
            <w:tcW w:w="440" w:type="dxa"/>
            <w:vAlign w:val="center"/>
          </w:tcPr>
          <w:p w14:paraId="021BB7FD">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tc>
        <w:tc>
          <w:tcPr>
            <w:tcW w:w="5655" w:type="dxa"/>
            <w:vAlign w:val="center"/>
          </w:tcPr>
          <w:p w14:paraId="0620CA2E">
            <w:pPr>
              <w:keepNext w:val="0"/>
              <w:keepLines w:val="0"/>
              <w:pageBreakBefore w:val="0"/>
              <w:kinsoku/>
              <w:overflowPunct/>
              <w:topLinePunct w:val="0"/>
              <w:bidi w:val="0"/>
              <w:snapToGrid/>
              <w:spacing w:line="360" w:lineRule="auto"/>
              <w:ind w:right="400"/>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评分人：</w:t>
            </w:r>
          </w:p>
        </w:tc>
        <w:tc>
          <w:tcPr>
            <w:tcW w:w="709" w:type="dxa"/>
            <w:vAlign w:val="center"/>
          </w:tcPr>
          <w:p w14:paraId="32AFCE3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08" w:type="dxa"/>
            <w:vAlign w:val="center"/>
          </w:tcPr>
          <w:p w14:paraId="7173CB8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1107" w:type="dxa"/>
            <w:gridSpan w:val="3"/>
            <w:vAlign w:val="center"/>
          </w:tcPr>
          <w:p w14:paraId="0C50809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60" w:type="dxa"/>
            <w:gridSpan w:val="2"/>
            <w:vAlign w:val="center"/>
          </w:tcPr>
          <w:p w14:paraId="0483AD3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236" w:type="dxa"/>
            <w:vAlign w:val="center"/>
          </w:tcPr>
          <w:p w14:paraId="16B35DD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60" w:type="dxa"/>
            <w:gridSpan w:val="2"/>
            <w:vAlign w:val="center"/>
          </w:tcPr>
          <w:p w14:paraId="64CE7EC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72F85445">
        <w:tblPrEx>
          <w:tblCellMar>
            <w:top w:w="0" w:type="dxa"/>
            <w:left w:w="108" w:type="dxa"/>
            <w:bottom w:w="0" w:type="dxa"/>
            <w:right w:w="108" w:type="dxa"/>
          </w:tblCellMar>
        </w:tblPrEx>
        <w:trPr>
          <w:gridAfter w:val="1"/>
          <w:wAfter w:w="485" w:type="dxa"/>
          <w:trHeight w:val="511" w:hRule="atLeast"/>
        </w:trPr>
        <w:tc>
          <w:tcPr>
            <w:tcW w:w="440" w:type="dxa"/>
            <w:tcBorders>
              <w:top w:val="single" w:color="auto" w:sz="4" w:space="0"/>
              <w:left w:val="single" w:color="auto" w:sz="4" w:space="0"/>
              <w:bottom w:val="single" w:color="auto" w:sz="4" w:space="0"/>
              <w:right w:val="single" w:color="auto" w:sz="4" w:space="0"/>
            </w:tcBorders>
            <w:vAlign w:val="center"/>
          </w:tcPr>
          <w:p w14:paraId="6702E87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655" w:type="dxa"/>
            <w:tcBorders>
              <w:top w:val="single" w:color="auto" w:sz="4" w:space="0"/>
              <w:left w:val="single" w:color="auto" w:sz="4" w:space="0"/>
              <w:bottom w:val="single" w:color="auto" w:sz="4" w:space="0"/>
              <w:right w:val="single" w:color="auto" w:sz="4" w:space="0"/>
            </w:tcBorders>
            <w:vAlign w:val="center"/>
          </w:tcPr>
          <w:p w14:paraId="7C8E508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c>
          <w:tcPr>
            <w:tcW w:w="709" w:type="dxa"/>
            <w:tcBorders>
              <w:top w:val="single" w:color="auto" w:sz="4" w:space="0"/>
              <w:left w:val="single" w:color="auto" w:sz="4" w:space="0"/>
              <w:bottom w:val="single" w:color="auto" w:sz="4" w:space="0"/>
              <w:right w:val="single" w:color="auto" w:sz="4" w:space="0"/>
            </w:tcBorders>
            <w:vAlign w:val="center"/>
          </w:tcPr>
          <w:p w14:paraId="7367B39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标准比例</w:t>
            </w:r>
          </w:p>
        </w:tc>
        <w:tc>
          <w:tcPr>
            <w:tcW w:w="708" w:type="dxa"/>
            <w:tcBorders>
              <w:top w:val="single" w:color="auto" w:sz="4" w:space="0"/>
              <w:left w:val="single" w:color="auto" w:sz="4" w:space="0"/>
              <w:bottom w:val="single" w:color="auto" w:sz="4" w:space="0"/>
              <w:right w:val="single" w:color="auto" w:sz="4" w:space="0"/>
            </w:tcBorders>
            <w:vAlign w:val="center"/>
          </w:tcPr>
          <w:p w14:paraId="287EC08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标准分</w:t>
            </w:r>
          </w:p>
        </w:tc>
        <w:tc>
          <w:tcPr>
            <w:tcW w:w="1978" w:type="dxa"/>
            <w:gridSpan w:val="7"/>
            <w:tcBorders>
              <w:top w:val="single" w:color="auto" w:sz="4" w:space="0"/>
              <w:left w:val="single" w:color="auto" w:sz="4" w:space="0"/>
              <w:bottom w:val="single" w:color="auto" w:sz="4" w:space="0"/>
              <w:right w:val="single" w:color="auto" w:sz="4" w:space="0"/>
            </w:tcBorders>
            <w:vAlign w:val="center"/>
          </w:tcPr>
          <w:p w14:paraId="6FE0AC2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检查点</w:t>
            </w:r>
          </w:p>
        </w:tc>
      </w:tr>
      <w:tr w14:paraId="501695D3">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0492F89C">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p>
        </w:tc>
        <w:tc>
          <w:tcPr>
            <w:tcW w:w="5655" w:type="dxa"/>
            <w:tcBorders>
              <w:top w:val="single" w:color="auto" w:sz="4" w:space="0"/>
              <w:left w:val="single" w:color="auto" w:sz="4" w:space="0"/>
              <w:bottom w:val="single" w:color="auto" w:sz="4" w:space="0"/>
              <w:right w:val="single" w:color="auto" w:sz="4" w:space="0"/>
            </w:tcBorders>
            <w:vAlign w:val="center"/>
          </w:tcPr>
          <w:p w14:paraId="55B977CD">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整体效果</w:t>
            </w:r>
          </w:p>
        </w:tc>
        <w:tc>
          <w:tcPr>
            <w:tcW w:w="709" w:type="dxa"/>
            <w:tcBorders>
              <w:top w:val="single" w:color="auto" w:sz="4" w:space="0"/>
              <w:left w:val="single" w:color="auto" w:sz="4" w:space="0"/>
              <w:bottom w:val="single" w:color="auto" w:sz="4" w:space="0"/>
              <w:right w:val="single" w:color="auto" w:sz="4" w:space="0"/>
            </w:tcBorders>
            <w:vAlign w:val="center"/>
          </w:tcPr>
          <w:p w14:paraId="39506C4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center"/>
          </w:tcPr>
          <w:p w14:paraId="6B974FCA">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49DA4026">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69C3DD5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7AD44F0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3D268AE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EB88431">
        <w:tblPrEx>
          <w:tblCellMar>
            <w:top w:w="0" w:type="dxa"/>
            <w:left w:w="108" w:type="dxa"/>
            <w:bottom w:w="0" w:type="dxa"/>
            <w:right w:w="108" w:type="dxa"/>
          </w:tblCellMar>
        </w:tblPrEx>
        <w:trPr>
          <w:gridAfter w:val="1"/>
          <w:wAfter w:w="485" w:type="dxa"/>
          <w:trHeight w:val="411" w:hRule="atLeast"/>
        </w:trPr>
        <w:tc>
          <w:tcPr>
            <w:tcW w:w="440" w:type="dxa"/>
            <w:tcBorders>
              <w:top w:val="single" w:color="auto" w:sz="4" w:space="0"/>
              <w:left w:val="single" w:color="auto" w:sz="4" w:space="0"/>
              <w:bottom w:val="single" w:color="auto" w:sz="4" w:space="0"/>
              <w:right w:val="single" w:color="auto" w:sz="4" w:space="0"/>
            </w:tcBorders>
            <w:vAlign w:val="center"/>
          </w:tcPr>
          <w:p w14:paraId="529CCFB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655" w:type="dxa"/>
            <w:tcBorders>
              <w:top w:val="single" w:color="auto" w:sz="4" w:space="0"/>
              <w:left w:val="single" w:color="auto" w:sz="4" w:space="0"/>
              <w:bottom w:val="single" w:color="auto" w:sz="4" w:space="0"/>
              <w:right w:val="single" w:color="auto" w:sz="4" w:space="0"/>
            </w:tcBorders>
            <w:vAlign w:val="center"/>
          </w:tcPr>
          <w:p w14:paraId="1FD9C23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绿化效果一般，护坡整体基本稳固，无明显塌方现象。</w:t>
            </w:r>
          </w:p>
        </w:tc>
        <w:tc>
          <w:tcPr>
            <w:tcW w:w="709" w:type="dxa"/>
            <w:tcBorders>
              <w:top w:val="single" w:color="auto" w:sz="4" w:space="0"/>
              <w:left w:val="single" w:color="auto" w:sz="4" w:space="0"/>
              <w:bottom w:val="single" w:color="auto" w:sz="4" w:space="0"/>
              <w:right w:val="single" w:color="auto" w:sz="4" w:space="0"/>
            </w:tcBorders>
            <w:vAlign w:val="center"/>
          </w:tcPr>
          <w:p w14:paraId="1E906D9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single" w:color="auto" w:sz="4" w:space="0"/>
              <w:left w:val="single" w:color="auto" w:sz="4" w:space="0"/>
              <w:bottom w:val="single" w:color="auto" w:sz="4" w:space="0"/>
              <w:right w:val="single" w:color="auto" w:sz="4" w:space="0"/>
            </w:tcBorders>
            <w:vAlign w:val="center"/>
          </w:tcPr>
          <w:p w14:paraId="35C0B03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006F79F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3949196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459DA9D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0F414D2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0D2F1F8">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73D22A23">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p>
        </w:tc>
        <w:tc>
          <w:tcPr>
            <w:tcW w:w="5655" w:type="dxa"/>
            <w:tcBorders>
              <w:top w:val="single" w:color="auto" w:sz="4" w:space="0"/>
              <w:left w:val="single" w:color="auto" w:sz="4" w:space="0"/>
              <w:bottom w:val="single" w:color="auto" w:sz="4" w:space="0"/>
              <w:right w:val="single" w:color="auto" w:sz="4" w:space="0"/>
            </w:tcBorders>
          </w:tcPr>
          <w:p w14:paraId="12F289DB">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乔木、孤植灌木</w:t>
            </w:r>
          </w:p>
        </w:tc>
        <w:tc>
          <w:tcPr>
            <w:tcW w:w="709" w:type="dxa"/>
            <w:tcBorders>
              <w:top w:val="single" w:color="auto" w:sz="4" w:space="0"/>
              <w:left w:val="single" w:color="auto" w:sz="4" w:space="0"/>
              <w:bottom w:val="single" w:color="auto" w:sz="4" w:space="0"/>
              <w:right w:val="single" w:color="auto" w:sz="4" w:space="0"/>
            </w:tcBorders>
            <w:vAlign w:val="center"/>
          </w:tcPr>
          <w:p w14:paraId="0C44CB3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center"/>
          </w:tcPr>
          <w:p w14:paraId="4709366A">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55F6D041">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084F888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31808A8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0FAE985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E694593">
        <w:tblPrEx>
          <w:tblCellMar>
            <w:top w:w="0" w:type="dxa"/>
            <w:left w:w="108" w:type="dxa"/>
            <w:bottom w:w="0" w:type="dxa"/>
            <w:right w:w="108" w:type="dxa"/>
          </w:tblCellMar>
        </w:tblPrEx>
        <w:trPr>
          <w:gridAfter w:val="1"/>
          <w:wAfter w:w="485" w:type="dxa"/>
          <w:trHeight w:val="528" w:hRule="atLeast"/>
        </w:trPr>
        <w:tc>
          <w:tcPr>
            <w:tcW w:w="440" w:type="dxa"/>
            <w:tcBorders>
              <w:top w:val="single" w:color="auto" w:sz="4" w:space="0"/>
              <w:left w:val="single" w:color="auto" w:sz="4" w:space="0"/>
              <w:bottom w:val="single" w:color="auto" w:sz="4" w:space="0"/>
              <w:right w:val="single" w:color="auto" w:sz="4" w:space="0"/>
            </w:tcBorders>
            <w:vAlign w:val="center"/>
          </w:tcPr>
          <w:p w14:paraId="1F327E6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single" w:color="auto" w:sz="4" w:space="0"/>
              <w:left w:val="single" w:color="auto" w:sz="4" w:space="0"/>
              <w:bottom w:val="single" w:color="auto" w:sz="4" w:space="0"/>
              <w:right w:val="single" w:color="auto" w:sz="4" w:space="0"/>
            </w:tcBorders>
          </w:tcPr>
          <w:p w14:paraId="02A06E9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植株生长符合物候状况。树体无倒伏、无死树，无明显干枯枝、断枝、病虫枝等。</w:t>
            </w:r>
          </w:p>
        </w:tc>
        <w:tc>
          <w:tcPr>
            <w:tcW w:w="709" w:type="dxa"/>
            <w:tcBorders>
              <w:top w:val="single" w:color="auto" w:sz="4" w:space="0"/>
              <w:left w:val="single" w:color="auto" w:sz="4" w:space="0"/>
              <w:bottom w:val="single" w:color="auto" w:sz="4" w:space="0"/>
              <w:right w:val="single" w:color="auto" w:sz="4" w:space="0"/>
            </w:tcBorders>
            <w:vAlign w:val="center"/>
          </w:tcPr>
          <w:p w14:paraId="786E661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single" w:color="auto" w:sz="4" w:space="0"/>
              <w:left w:val="single" w:color="auto" w:sz="4" w:space="0"/>
              <w:bottom w:val="single" w:color="auto" w:sz="4" w:space="0"/>
              <w:right w:val="single" w:color="auto" w:sz="4" w:space="0"/>
            </w:tcBorders>
            <w:vAlign w:val="center"/>
          </w:tcPr>
          <w:p w14:paraId="5445D4C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605450C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0B26C69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1652AFB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32A9121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BF093F4">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7CBAF9F3">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p>
        </w:tc>
        <w:tc>
          <w:tcPr>
            <w:tcW w:w="5655" w:type="dxa"/>
            <w:tcBorders>
              <w:top w:val="single" w:color="auto" w:sz="4" w:space="0"/>
              <w:left w:val="single" w:color="auto" w:sz="4" w:space="0"/>
              <w:bottom w:val="single" w:color="auto" w:sz="4" w:space="0"/>
              <w:right w:val="single" w:color="auto" w:sz="4" w:space="0"/>
            </w:tcBorders>
            <w:vAlign w:val="center"/>
          </w:tcPr>
          <w:p w14:paraId="373075AB">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片植灌木、草本地被、草坪</w:t>
            </w:r>
          </w:p>
        </w:tc>
        <w:tc>
          <w:tcPr>
            <w:tcW w:w="709" w:type="dxa"/>
            <w:tcBorders>
              <w:top w:val="single" w:color="auto" w:sz="4" w:space="0"/>
              <w:left w:val="single" w:color="auto" w:sz="4" w:space="0"/>
              <w:bottom w:val="single" w:color="auto" w:sz="4" w:space="0"/>
              <w:right w:val="single" w:color="auto" w:sz="4" w:space="0"/>
            </w:tcBorders>
            <w:vAlign w:val="center"/>
          </w:tcPr>
          <w:p w14:paraId="3FE19D7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center"/>
          </w:tcPr>
          <w:p w14:paraId="031ED90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54A2889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73949B4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42D1D10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76C6DA4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E158102">
        <w:tblPrEx>
          <w:tblCellMar>
            <w:top w:w="0" w:type="dxa"/>
            <w:left w:w="108" w:type="dxa"/>
            <w:bottom w:w="0" w:type="dxa"/>
            <w:right w:w="108" w:type="dxa"/>
          </w:tblCellMar>
        </w:tblPrEx>
        <w:trPr>
          <w:gridAfter w:val="1"/>
          <w:wAfter w:w="485" w:type="dxa"/>
          <w:trHeight w:val="480" w:hRule="atLeast"/>
        </w:trPr>
        <w:tc>
          <w:tcPr>
            <w:tcW w:w="440" w:type="dxa"/>
            <w:tcBorders>
              <w:top w:val="single" w:color="auto" w:sz="4" w:space="0"/>
              <w:left w:val="single" w:color="auto" w:sz="4" w:space="0"/>
              <w:bottom w:val="single" w:color="auto" w:sz="4" w:space="0"/>
              <w:right w:val="single" w:color="auto" w:sz="4" w:space="0"/>
            </w:tcBorders>
            <w:vAlign w:val="center"/>
          </w:tcPr>
          <w:p w14:paraId="0579E3F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single" w:color="auto" w:sz="4" w:space="0"/>
              <w:left w:val="single" w:color="auto" w:sz="4" w:space="0"/>
              <w:bottom w:val="single" w:color="auto" w:sz="4" w:space="0"/>
              <w:right w:val="single" w:color="auto" w:sz="4" w:space="0"/>
            </w:tcBorders>
            <w:vAlign w:val="center"/>
          </w:tcPr>
          <w:p w14:paraId="7A7869C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生长：植株正常生长，无大片缺株、枯黄、裸露、积水等现象。</w:t>
            </w:r>
          </w:p>
        </w:tc>
        <w:tc>
          <w:tcPr>
            <w:tcW w:w="709" w:type="dxa"/>
            <w:tcBorders>
              <w:top w:val="single" w:color="auto" w:sz="4" w:space="0"/>
              <w:left w:val="single" w:color="auto" w:sz="4" w:space="0"/>
              <w:bottom w:val="single" w:color="auto" w:sz="4" w:space="0"/>
              <w:right w:val="single" w:color="auto" w:sz="4" w:space="0"/>
            </w:tcBorders>
            <w:vAlign w:val="center"/>
          </w:tcPr>
          <w:p w14:paraId="0C6BA56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c>
          <w:tcPr>
            <w:tcW w:w="708" w:type="dxa"/>
            <w:tcBorders>
              <w:top w:val="single" w:color="auto" w:sz="4" w:space="0"/>
              <w:left w:val="single" w:color="auto" w:sz="4" w:space="0"/>
              <w:bottom w:val="single" w:color="auto" w:sz="4" w:space="0"/>
              <w:right w:val="single" w:color="auto" w:sz="4" w:space="0"/>
            </w:tcBorders>
            <w:vAlign w:val="center"/>
          </w:tcPr>
          <w:p w14:paraId="7099310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59F3E54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03F8BE7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3691A39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4F3E9DA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1BA5578">
        <w:tblPrEx>
          <w:tblCellMar>
            <w:top w:w="0" w:type="dxa"/>
            <w:left w:w="108" w:type="dxa"/>
            <w:bottom w:w="0" w:type="dxa"/>
            <w:right w:w="108" w:type="dxa"/>
          </w:tblCellMar>
        </w:tblPrEx>
        <w:trPr>
          <w:gridAfter w:val="1"/>
          <w:wAfter w:w="485" w:type="dxa"/>
          <w:trHeight w:val="421" w:hRule="atLeast"/>
        </w:trPr>
        <w:tc>
          <w:tcPr>
            <w:tcW w:w="440" w:type="dxa"/>
            <w:tcBorders>
              <w:top w:val="single" w:color="auto" w:sz="4" w:space="0"/>
              <w:left w:val="single" w:color="auto" w:sz="4" w:space="0"/>
              <w:bottom w:val="single" w:color="auto" w:sz="4" w:space="0"/>
              <w:right w:val="single" w:color="auto" w:sz="4" w:space="0"/>
            </w:tcBorders>
            <w:vAlign w:val="center"/>
          </w:tcPr>
          <w:p w14:paraId="17A53B1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655" w:type="dxa"/>
            <w:tcBorders>
              <w:top w:val="single" w:color="auto" w:sz="4" w:space="0"/>
              <w:left w:val="single" w:color="auto" w:sz="4" w:space="0"/>
              <w:bottom w:val="single" w:color="auto" w:sz="4" w:space="0"/>
              <w:right w:val="single" w:color="auto" w:sz="4" w:space="0"/>
            </w:tcBorders>
            <w:vAlign w:val="center"/>
          </w:tcPr>
          <w:p w14:paraId="36CCD4D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修剪：按要求维持一定形状</w:t>
            </w:r>
          </w:p>
        </w:tc>
        <w:tc>
          <w:tcPr>
            <w:tcW w:w="709" w:type="dxa"/>
            <w:tcBorders>
              <w:top w:val="single" w:color="auto" w:sz="4" w:space="0"/>
              <w:left w:val="single" w:color="auto" w:sz="4" w:space="0"/>
              <w:bottom w:val="single" w:color="auto" w:sz="4" w:space="0"/>
              <w:right w:val="single" w:color="auto" w:sz="4" w:space="0"/>
            </w:tcBorders>
            <w:vAlign w:val="center"/>
          </w:tcPr>
          <w:p w14:paraId="3D22BF0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tc>
        <w:tc>
          <w:tcPr>
            <w:tcW w:w="708" w:type="dxa"/>
            <w:tcBorders>
              <w:top w:val="single" w:color="auto" w:sz="4" w:space="0"/>
              <w:left w:val="single" w:color="auto" w:sz="4" w:space="0"/>
              <w:bottom w:val="single" w:color="auto" w:sz="4" w:space="0"/>
              <w:right w:val="single" w:color="auto" w:sz="4" w:space="0"/>
            </w:tcBorders>
            <w:vAlign w:val="center"/>
          </w:tcPr>
          <w:p w14:paraId="5D6D32D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071570A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186B804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61DCF12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087B02B2">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525FC56">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23CB233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655" w:type="dxa"/>
            <w:tcBorders>
              <w:top w:val="single" w:color="auto" w:sz="4" w:space="0"/>
              <w:left w:val="single" w:color="auto" w:sz="4" w:space="0"/>
              <w:bottom w:val="single" w:color="auto" w:sz="4" w:space="0"/>
              <w:right w:val="single" w:color="auto" w:sz="4" w:space="0"/>
            </w:tcBorders>
            <w:vAlign w:val="center"/>
          </w:tcPr>
          <w:p w14:paraId="6C3BCF0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无明显高大杂草，杂树及其他植物侵害生长。</w:t>
            </w:r>
          </w:p>
        </w:tc>
        <w:tc>
          <w:tcPr>
            <w:tcW w:w="709" w:type="dxa"/>
            <w:tcBorders>
              <w:top w:val="single" w:color="auto" w:sz="4" w:space="0"/>
              <w:left w:val="single" w:color="auto" w:sz="4" w:space="0"/>
              <w:bottom w:val="single" w:color="auto" w:sz="4" w:space="0"/>
              <w:right w:val="single" w:color="auto" w:sz="4" w:space="0"/>
            </w:tcBorders>
            <w:vAlign w:val="center"/>
          </w:tcPr>
          <w:p w14:paraId="30B5D44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708" w:type="dxa"/>
            <w:tcBorders>
              <w:top w:val="single" w:color="auto" w:sz="4" w:space="0"/>
              <w:left w:val="single" w:color="auto" w:sz="4" w:space="0"/>
              <w:bottom w:val="single" w:color="auto" w:sz="4" w:space="0"/>
              <w:right w:val="single" w:color="auto" w:sz="4" w:space="0"/>
            </w:tcBorders>
            <w:vAlign w:val="center"/>
          </w:tcPr>
          <w:p w14:paraId="05FCAF7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6E53207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5B7883A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48BF1C5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129C042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2D69D96">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4FF0AB43">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p>
        </w:tc>
        <w:tc>
          <w:tcPr>
            <w:tcW w:w="5655" w:type="dxa"/>
            <w:tcBorders>
              <w:top w:val="single" w:color="auto" w:sz="4" w:space="0"/>
              <w:left w:val="single" w:color="auto" w:sz="4" w:space="0"/>
              <w:bottom w:val="single" w:color="auto" w:sz="4" w:space="0"/>
              <w:right w:val="single" w:color="auto" w:sz="4" w:space="0"/>
            </w:tcBorders>
            <w:vAlign w:val="center"/>
          </w:tcPr>
          <w:p w14:paraId="1EF11146">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环境卫生</w:t>
            </w:r>
          </w:p>
        </w:tc>
        <w:tc>
          <w:tcPr>
            <w:tcW w:w="709" w:type="dxa"/>
            <w:tcBorders>
              <w:top w:val="single" w:color="auto" w:sz="4" w:space="0"/>
              <w:left w:val="single" w:color="auto" w:sz="4" w:space="0"/>
              <w:bottom w:val="single" w:color="auto" w:sz="4" w:space="0"/>
              <w:right w:val="single" w:color="auto" w:sz="4" w:space="0"/>
            </w:tcBorders>
            <w:vAlign w:val="center"/>
          </w:tcPr>
          <w:p w14:paraId="2281F74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center"/>
          </w:tcPr>
          <w:p w14:paraId="2C3759D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05DA7DA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26E84FD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35F789C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7E331EB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875AA9C">
        <w:tblPrEx>
          <w:tblCellMar>
            <w:top w:w="0" w:type="dxa"/>
            <w:left w:w="108" w:type="dxa"/>
            <w:bottom w:w="0" w:type="dxa"/>
            <w:right w:w="108" w:type="dxa"/>
          </w:tblCellMar>
        </w:tblPrEx>
        <w:trPr>
          <w:gridAfter w:val="1"/>
          <w:wAfter w:w="485" w:type="dxa"/>
          <w:trHeight w:val="337" w:hRule="atLeast"/>
        </w:trPr>
        <w:tc>
          <w:tcPr>
            <w:tcW w:w="440" w:type="dxa"/>
            <w:tcBorders>
              <w:top w:val="single" w:color="auto" w:sz="4" w:space="0"/>
              <w:left w:val="single" w:color="auto" w:sz="4" w:space="0"/>
              <w:bottom w:val="single" w:color="auto" w:sz="4" w:space="0"/>
              <w:right w:val="single" w:color="auto" w:sz="4" w:space="0"/>
            </w:tcBorders>
            <w:vAlign w:val="center"/>
          </w:tcPr>
          <w:p w14:paraId="6944AFE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single" w:color="auto" w:sz="4" w:space="0"/>
              <w:left w:val="single" w:color="auto" w:sz="4" w:space="0"/>
              <w:bottom w:val="single" w:color="auto" w:sz="4" w:space="0"/>
              <w:right w:val="single" w:color="auto" w:sz="4" w:space="0"/>
            </w:tcBorders>
            <w:vAlign w:val="center"/>
          </w:tcPr>
          <w:p w14:paraId="4F3F91B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无明显垃圾、杂物堆积。</w:t>
            </w:r>
          </w:p>
        </w:tc>
        <w:tc>
          <w:tcPr>
            <w:tcW w:w="709" w:type="dxa"/>
            <w:tcBorders>
              <w:top w:val="single" w:color="auto" w:sz="4" w:space="0"/>
              <w:left w:val="single" w:color="auto" w:sz="4" w:space="0"/>
              <w:bottom w:val="single" w:color="auto" w:sz="4" w:space="0"/>
              <w:right w:val="single" w:color="auto" w:sz="4" w:space="0"/>
            </w:tcBorders>
            <w:vAlign w:val="center"/>
          </w:tcPr>
          <w:p w14:paraId="7D3C855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single" w:color="auto" w:sz="4" w:space="0"/>
              <w:left w:val="single" w:color="auto" w:sz="4" w:space="0"/>
              <w:bottom w:val="single" w:color="auto" w:sz="4" w:space="0"/>
              <w:right w:val="single" w:color="auto" w:sz="4" w:space="0"/>
            </w:tcBorders>
            <w:vAlign w:val="center"/>
          </w:tcPr>
          <w:p w14:paraId="5E730A84">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6A3CE5C6">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467C3D6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136FA61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2F6CDBF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7633CD88">
        <w:tblPrEx>
          <w:tblCellMar>
            <w:top w:w="0" w:type="dxa"/>
            <w:left w:w="108" w:type="dxa"/>
            <w:bottom w:w="0" w:type="dxa"/>
            <w:right w:w="108" w:type="dxa"/>
          </w:tblCellMar>
        </w:tblPrEx>
        <w:trPr>
          <w:gridAfter w:val="1"/>
          <w:wAfter w:w="485" w:type="dxa"/>
          <w:trHeight w:val="473" w:hRule="atLeast"/>
        </w:trPr>
        <w:tc>
          <w:tcPr>
            <w:tcW w:w="440" w:type="dxa"/>
            <w:tcBorders>
              <w:top w:val="single" w:color="auto" w:sz="4" w:space="0"/>
              <w:left w:val="single" w:color="auto" w:sz="4" w:space="0"/>
              <w:bottom w:val="single" w:color="auto" w:sz="4" w:space="0"/>
              <w:right w:val="single" w:color="auto" w:sz="4" w:space="0"/>
            </w:tcBorders>
            <w:vAlign w:val="center"/>
          </w:tcPr>
          <w:p w14:paraId="5C2F3E7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p>
        </w:tc>
        <w:tc>
          <w:tcPr>
            <w:tcW w:w="5655" w:type="dxa"/>
            <w:tcBorders>
              <w:top w:val="single" w:color="auto" w:sz="4" w:space="0"/>
              <w:left w:val="single" w:color="auto" w:sz="4" w:space="0"/>
              <w:bottom w:val="single" w:color="auto" w:sz="4" w:space="0"/>
              <w:right w:val="single" w:color="auto" w:sz="4" w:space="0"/>
            </w:tcBorders>
            <w:vAlign w:val="center"/>
          </w:tcPr>
          <w:p w14:paraId="2A635537">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植物保护</w:t>
            </w:r>
          </w:p>
        </w:tc>
        <w:tc>
          <w:tcPr>
            <w:tcW w:w="709" w:type="dxa"/>
            <w:tcBorders>
              <w:top w:val="single" w:color="auto" w:sz="4" w:space="0"/>
              <w:left w:val="single" w:color="auto" w:sz="4" w:space="0"/>
              <w:bottom w:val="single" w:color="auto" w:sz="4" w:space="0"/>
              <w:right w:val="single" w:color="auto" w:sz="4" w:space="0"/>
            </w:tcBorders>
            <w:vAlign w:val="center"/>
          </w:tcPr>
          <w:p w14:paraId="467218F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center"/>
          </w:tcPr>
          <w:p w14:paraId="546D639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20436A0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4EF96D0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7CD64F4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5152519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1C8E37A">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29C0F98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single" w:color="auto" w:sz="4" w:space="0"/>
              <w:left w:val="single" w:color="auto" w:sz="4" w:space="0"/>
              <w:bottom w:val="single" w:color="auto" w:sz="4" w:space="0"/>
              <w:right w:val="single" w:color="auto" w:sz="4" w:space="0"/>
            </w:tcBorders>
          </w:tcPr>
          <w:p w14:paraId="74BE76B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植物无明显病虫危害迹象。</w:t>
            </w:r>
          </w:p>
        </w:tc>
        <w:tc>
          <w:tcPr>
            <w:tcW w:w="709" w:type="dxa"/>
            <w:tcBorders>
              <w:top w:val="single" w:color="auto" w:sz="4" w:space="0"/>
              <w:left w:val="single" w:color="auto" w:sz="4" w:space="0"/>
              <w:bottom w:val="single" w:color="auto" w:sz="4" w:space="0"/>
              <w:right w:val="single" w:color="auto" w:sz="4" w:space="0"/>
            </w:tcBorders>
            <w:vAlign w:val="center"/>
          </w:tcPr>
          <w:p w14:paraId="61AB13C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single" w:color="auto" w:sz="4" w:space="0"/>
              <w:left w:val="single" w:color="auto" w:sz="4" w:space="0"/>
              <w:bottom w:val="single" w:color="auto" w:sz="4" w:space="0"/>
              <w:right w:val="single" w:color="auto" w:sz="4" w:space="0"/>
            </w:tcBorders>
            <w:vAlign w:val="center"/>
          </w:tcPr>
          <w:p w14:paraId="2A5DAE62">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center"/>
          </w:tcPr>
          <w:p w14:paraId="07C33925">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6F309B9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2B2A977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61CB342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BA5AC33">
        <w:tblPrEx>
          <w:tblCellMar>
            <w:top w:w="0" w:type="dxa"/>
            <w:left w:w="108" w:type="dxa"/>
            <w:bottom w:w="0" w:type="dxa"/>
            <w:right w:w="108" w:type="dxa"/>
          </w:tblCellMar>
        </w:tblPrEx>
        <w:trPr>
          <w:gridAfter w:val="1"/>
          <w:wAfter w:w="485" w:type="dxa"/>
          <w:trHeight w:val="491" w:hRule="atLeast"/>
        </w:trPr>
        <w:tc>
          <w:tcPr>
            <w:tcW w:w="440" w:type="dxa"/>
            <w:tcBorders>
              <w:top w:val="single" w:color="auto" w:sz="4" w:space="0"/>
              <w:left w:val="single" w:color="auto" w:sz="4" w:space="0"/>
              <w:bottom w:val="single" w:color="auto" w:sz="4" w:space="0"/>
              <w:right w:val="single" w:color="auto" w:sz="4" w:space="0"/>
            </w:tcBorders>
            <w:vAlign w:val="center"/>
          </w:tcPr>
          <w:p w14:paraId="222FEEC4">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w:t>
            </w:r>
          </w:p>
        </w:tc>
        <w:tc>
          <w:tcPr>
            <w:tcW w:w="5655" w:type="dxa"/>
            <w:tcBorders>
              <w:top w:val="single" w:color="auto" w:sz="4" w:space="0"/>
              <w:left w:val="single" w:color="auto" w:sz="4" w:space="0"/>
              <w:bottom w:val="single" w:color="auto" w:sz="4" w:space="0"/>
              <w:right w:val="single" w:color="auto" w:sz="4" w:space="0"/>
            </w:tcBorders>
            <w:vAlign w:val="center"/>
          </w:tcPr>
          <w:p w14:paraId="495002F9">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淋水</w:t>
            </w:r>
          </w:p>
        </w:tc>
        <w:tc>
          <w:tcPr>
            <w:tcW w:w="709" w:type="dxa"/>
            <w:tcBorders>
              <w:top w:val="single" w:color="auto" w:sz="4" w:space="0"/>
              <w:left w:val="single" w:color="auto" w:sz="4" w:space="0"/>
              <w:bottom w:val="single" w:color="auto" w:sz="4" w:space="0"/>
              <w:right w:val="single" w:color="auto" w:sz="4" w:space="0"/>
            </w:tcBorders>
            <w:vAlign w:val="center"/>
          </w:tcPr>
          <w:p w14:paraId="6CB998E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bottom"/>
          </w:tcPr>
          <w:p w14:paraId="74C30995">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bottom"/>
          </w:tcPr>
          <w:p w14:paraId="34EED9A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tcPr>
          <w:p w14:paraId="3AD6913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3CECC87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1D257A5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37B72665">
        <w:tblPrEx>
          <w:tblCellMar>
            <w:top w:w="0" w:type="dxa"/>
            <w:left w:w="108" w:type="dxa"/>
            <w:bottom w:w="0" w:type="dxa"/>
            <w:right w:w="108" w:type="dxa"/>
          </w:tblCellMar>
        </w:tblPrEx>
        <w:trPr>
          <w:gridAfter w:val="1"/>
          <w:wAfter w:w="485" w:type="dxa"/>
          <w:trHeight w:val="388" w:hRule="atLeast"/>
        </w:trPr>
        <w:tc>
          <w:tcPr>
            <w:tcW w:w="440" w:type="dxa"/>
            <w:tcBorders>
              <w:top w:val="single" w:color="auto" w:sz="4" w:space="0"/>
              <w:left w:val="single" w:color="auto" w:sz="4" w:space="0"/>
              <w:bottom w:val="single" w:color="auto" w:sz="4" w:space="0"/>
              <w:right w:val="single" w:color="auto" w:sz="4" w:space="0"/>
            </w:tcBorders>
            <w:vAlign w:val="center"/>
          </w:tcPr>
          <w:p w14:paraId="1EA0B5F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655" w:type="dxa"/>
            <w:tcBorders>
              <w:top w:val="single" w:color="auto" w:sz="4" w:space="0"/>
              <w:left w:val="single" w:color="auto" w:sz="4" w:space="0"/>
              <w:bottom w:val="single" w:color="auto" w:sz="4" w:space="0"/>
              <w:right w:val="single" w:color="auto" w:sz="4" w:space="0"/>
            </w:tcBorders>
            <w:vAlign w:val="center"/>
          </w:tcPr>
          <w:p w14:paraId="01A8E83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植物无明显缺水干枯现象。</w:t>
            </w:r>
          </w:p>
        </w:tc>
        <w:tc>
          <w:tcPr>
            <w:tcW w:w="709" w:type="dxa"/>
            <w:tcBorders>
              <w:top w:val="single" w:color="auto" w:sz="4" w:space="0"/>
              <w:left w:val="single" w:color="auto" w:sz="4" w:space="0"/>
              <w:bottom w:val="single" w:color="auto" w:sz="4" w:space="0"/>
              <w:right w:val="single" w:color="auto" w:sz="4" w:space="0"/>
            </w:tcBorders>
            <w:vAlign w:val="center"/>
          </w:tcPr>
          <w:p w14:paraId="31E7A7E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single" w:color="auto" w:sz="4" w:space="0"/>
              <w:left w:val="single" w:color="auto" w:sz="4" w:space="0"/>
              <w:bottom w:val="single" w:color="auto" w:sz="4" w:space="0"/>
              <w:right w:val="single" w:color="auto" w:sz="4" w:space="0"/>
            </w:tcBorders>
            <w:vAlign w:val="bottom"/>
          </w:tcPr>
          <w:p w14:paraId="5DB8C11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bottom"/>
          </w:tcPr>
          <w:p w14:paraId="43247E6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3A21109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066ACDE3">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70B7276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02ACA916">
        <w:tblPrEx>
          <w:tblCellMar>
            <w:top w:w="0" w:type="dxa"/>
            <w:left w:w="108" w:type="dxa"/>
            <w:bottom w:w="0" w:type="dxa"/>
            <w:right w:w="108" w:type="dxa"/>
          </w:tblCellMar>
        </w:tblPrEx>
        <w:trPr>
          <w:gridAfter w:val="1"/>
          <w:wAfter w:w="485" w:type="dxa"/>
          <w:trHeight w:val="267" w:hRule="atLeast"/>
        </w:trPr>
        <w:tc>
          <w:tcPr>
            <w:tcW w:w="440" w:type="dxa"/>
            <w:tcBorders>
              <w:top w:val="single" w:color="auto" w:sz="4" w:space="0"/>
              <w:left w:val="single" w:color="auto" w:sz="4" w:space="0"/>
              <w:bottom w:val="single" w:color="auto" w:sz="4" w:space="0"/>
              <w:right w:val="single" w:color="auto" w:sz="4" w:space="0"/>
            </w:tcBorders>
            <w:vAlign w:val="center"/>
          </w:tcPr>
          <w:p w14:paraId="47ECE392">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5655" w:type="dxa"/>
            <w:tcBorders>
              <w:top w:val="single" w:color="auto" w:sz="4" w:space="0"/>
              <w:left w:val="single" w:color="auto" w:sz="4" w:space="0"/>
              <w:bottom w:val="single" w:color="auto" w:sz="4" w:space="0"/>
              <w:right w:val="single" w:color="auto" w:sz="4" w:space="0"/>
            </w:tcBorders>
            <w:vAlign w:val="center"/>
          </w:tcPr>
          <w:p w14:paraId="292EAEEA">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709" w:type="dxa"/>
            <w:tcBorders>
              <w:top w:val="single" w:color="auto" w:sz="4" w:space="0"/>
              <w:left w:val="single" w:color="auto" w:sz="4" w:space="0"/>
              <w:bottom w:val="single" w:color="auto" w:sz="4" w:space="0"/>
              <w:right w:val="single" w:color="auto" w:sz="4" w:space="0"/>
            </w:tcBorders>
            <w:vAlign w:val="bottom"/>
          </w:tcPr>
          <w:p w14:paraId="43E442E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single" w:color="auto" w:sz="4" w:space="0"/>
              <w:left w:val="single" w:color="auto" w:sz="4" w:space="0"/>
              <w:bottom w:val="single" w:color="auto" w:sz="4" w:space="0"/>
              <w:right w:val="single" w:color="auto" w:sz="4" w:space="0"/>
            </w:tcBorders>
            <w:vAlign w:val="bottom"/>
          </w:tcPr>
          <w:p w14:paraId="481A3DD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single" w:color="auto" w:sz="4" w:space="0"/>
              <w:left w:val="single" w:color="auto" w:sz="4" w:space="0"/>
              <w:bottom w:val="single" w:color="auto" w:sz="4" w:space="0"/>
              <w:right w:val="single" w:color="auto" w:sz="4" w:space="0"/>
            </w:tcBorders>
            <w:vAlign w:val="bottom"/>
          </w:tcPr>
          <w:p w14:paraId="48AE252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single" w:color="auto" w:sz="4" w:space="0"/>
              <w:left w:val="single" w:color="auto" w:sz="4" w:space="0"/>
              <w:bottom w:val="single" w:color="auto" w:sz="4" w:space="0"/>
              <w:right w:val="single" w:color="auto" w:sz="4" w:space="0"/>
            </w:tcBorders>
            <w:vAlign w:val="center"/>
          </w:tcPr>
          <w:p w14:paraId="6736713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8" w:type="dxa"/>
            <w:gridSpan w:val="2"/>
            <w:tcBorders>
              <w:top w:val="single" w:color="auto" w:sz="4" w:space="0"/>
              <w:left w:val="single" w:color="auto" w:sz="4" w:space="0"/>
              <w:bottom w:val="single" w:color="auto" w:sz="4" w:space="0"/>
              <w:right w:val="single" w:color="auto" w:sz="4" w:space="0"/>
            </w:tcBorders>
            <w:vAlign w:val="center"/>
          </w:tcPr>
          <w:p w14:paraId="5C5E1D9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9" w:type="dxa"/>
            <w:gridSpan w:val="3"/>
            <w:tcBorders>
              <w:top w:val="single" w:color="auto" w:sz="4" w:space="0"/>
              <w:left w:val="single" w:color="auto" w:sz="4" w:space="0"/>
              <w:bottom w:val="single" w:color="auto" w:sz="4" w:space="0"/>
              <w:right w:val="single" w:color="auto" w:sz="4" w:space="0"/>
            </w:tcBorders>
            <w:vAlign w:val="center"/>
          </w:tcPr>
          <w:p w14:paraId="0D79273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bl>
    <w:p w14:paraId="2ED80B53">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788EF6DB">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sectPr>
          <w:pgSz w:w="11906" w:h="16838"/>
          <w:pgMar w:top="1474" w:right="1418" w:bottom="1474" w:left="1418" w:header="851" w:footer="992" w:gutter="0"/>
          <w:cols w:space="720" w:num="1"/>
          <w:docGrid w:type="linesAndChars" w:linePitch="312" w:charSpace="0"/>
        </w:sectPr>
      </w:pPr>
    </w:p>
    <w:tbl>
      <w:tblPr>
        <w:tblStyle w:val="20"/>
        <w:tblW w:w="9975" w:type="dxa"/>
        <w:tblInd w:w="-34" w:type="dxa"/>
        <w:tblLayout w:type="fixed"/>
        <w:tblCellMar>
          <w:top w:w="0" w:type="dxa"/>
          <w:left w:w="108" w:type="dxa"/>
          <w:bottom w:w="0" w:type="dxa"/>
          <w:right w:w="108" w:type="dxa"/>
        </w:tblCellMar>
      </w:tblPr>
      <w:tblGrid>
        <w:gridCol w:w="440"/>
        <w:gridCol w:w="5655"/>
        <w:gridCol w:w="709"/>
        <w:gridCol w:w="708"/>
        <w:gridCol w:w="426"/>
        <w:gridCol w:w="425"/>
        <w:gridCol w:w="256"/>
        <w:gridCol w:w="311"/>
        <w:gridCol w:w="249"/>
        <w:gridCol w:w="236"/>
        <w:gridCol w:w="75"/>
        <w:gridCol w:w="485"/>
      </w:tblGrid>
      <w:tr w14:paraId="4C2AAF95">
        <w:tblPrEx>
          <w:tblCellMar>
            <w:top w:w="0" w:type="dxa"/>
            <w:left w:w="108" w:type="dxa"/>
            <w:bottom w:w="0" w:type="dxa"/>
            <w:right w:w="108" w:type="dxa"/>
          </w:tblCellMar>
        </w:tblPrEx>
        <w:trPr>
          <w:gridAfter w:val="1"/>
          <w:wAfter w:w="485" w:type="dxa"/>
          <w:trHeight w:val="435" w:hRule="atLeast"/>
        </w:trPr>
        <w:tc>
          <w:tcPr>
            <w:tcW w:w="9490" w:type="dxa"/>
            <w:gridSpan w:val="11"/>
            <w:vAlign w:val="center"/>
          </w:tcPr>
          <w:p w14:paraId="528FBEA9">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4.四级护坡养护效果评分表</w:t>
            </w:r>
          </w:p>
        </w:tc>
      </w:tr>
      <w:tr w14:paraId="7D26A00E">
        <w:tblPrEx>
          <w:tblCellMar>
            <w:top w:w="0" w:type="dxa"/>
            <w:left w:w="108" w:type="dxa"/>
            <w:bottom w:w="0" w:type="dxa"/>
            <w:right w:w="108" w:type="dxa"/>
          </w:tblCellMar>
        </w:tblPrEx>
        <w:trPr>
          <w:trHeight w:val="285" w:hRule="atLeast"/>
        </w:trPr>
        <w:tc>
          <w:tcPr>
            <w:tcW w:w="440" w:type="dxa"/>
            <w:vAlign w:val="center"/>
          </w:tcPr>
          <w:p w14:paraId="45718B1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p>
        </w:tc>
        <w:tc>
          <w:tcPr>
            <w:tcW w:w="5655" w:type="dxa"/>
            <w:vAlign w:val="center"/>
          </w:tcPr>
          <w:p w14:paraId="19CA5724">
            <w:pPr>
              <w:keepNext w:val="0"/>
              <w:keepLines w:val="0"/>
              <w:pageBreakBefore w:val="0"/>
              <w:kinsoku/>
              <w:overflowPunct/>
              <w:topLinePunct w:val="0"/>
              <w:bidi w:val="0"/>
              <w:snapToGrid/>
              <w:spacing w:line="360" w:lineRule="auto"/>
              <w:ind w:right="400"/>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评分人：</w:t>
            </w:r>
          </w:p>
        </w:tc>
        <w:tc>
          <w:tcPr>
            <w:tcW w:w="709" w:type="dxa"/>
            <w:vAlign w:val="center"/>
          </w:tcPr>
          <w:p w14:paraId="2411AEC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708" w:type="dxa"/>
            <w:vAlign w:val="center"/>
          </w:tcPr>
          <w:p w14:paraId="65AF0EF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1107" w:type="dxa"/>
            <w:gridSpan w:val="3"/>
            <w:vAlign w:val="center"/>
          </w:tcPr>
          <w:p w14:paraId="5B6A601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60" w:type="dxa"/>
            <w:gridSpan w:val="2"/>
            <w:vAlign w:val="center"/>
          </w:tcPr>
          <w:p w14:paraId="31467BD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236" w:type="dxa"/>
            <w:vAlign w:val="center"/>
          </w:tcPr>
          <w:p w14:paraId="338D3AD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c>
          <w:tcPr>
            <w:tcW w:w="560" w:type="dxa"/>
            <w:gridSpan w:val="2"/>
            <w:vAlign w:val="center"/>
          </w:tcPr>
          <w:p w14:paraId="24975AD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tc>
      </w:tr>
      <w:tr w14:paraId="16713A54">
        <w:tblPrEx>
          <w:tblCellMar>
            <w:top w:w="0" w:type="dxa"/>
            <w:left w:w="108" w:type="dxa"/>
            <w:bottom w:w="0" w:type="dxa"/>
            <w:right w:w="108" w:type="dxa"/>
          </w:tblCellMar>
        </w:tblPrEx>
        <w:trPr>
          <w:gridAfter w:val="1"/>
          <w:wAfter w:w="485" w:type="dxa"/>
          <w:trHeight w:val="511" w:hRule="atLeast"/>
        </w:trPr>
        <w:tc>
          <w:tcPr>
            <w:tcW w:w="440" w:type="dxa"/>
            <w:tcBorders>
              <w:top w:val="single" w:color="auto" w:sz="4" w:space="0"/>
              <w:left w:val="single" w:color="auto" w:sz="4" w:space="0"/>
              <w:bottom w:val="single" w:color="auto" w:sz="4" w:space="0"/>
              <w:right w:val="single" w:color="auto" w:sz="4" w:space="0"/>
            </w:tcBorders>
            <w:vAlign w:val="center"/>
          </w:tcPr>
          <w:p w14:paraId="7A6DF59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655" w:type="dxa"/>
            <w:tcBorders>
              <w:top w:val="single" w:color="auto" w:sz="4" w:space="0"/>
              <w:left w:val="single" w:color="auto" w:sz="4" w:space="0"/>
              <w:bottom w:val="single" w:color="auto" w:sz="4" w:space="0"/>
              <w:right w:val="single" w:color="auto" w:sz="4" w:space="0"/>
            </w:tcBorders>
            <w:vAlign w:val="center"/>
          </w:tcPr>
          <w:p w14:paraId="537DE89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c>
          <w:tcPr>
            <w:tcW w:w="709" w:type="dxa"/>
            <w:tcBorders>
              <w:top w:val="single" w:color="auto" w:sz="4" w:space="0"/>
              <w:left w:val="single" w:color="auto" w:sz="4" w:space="0"/>
              <w:bottom w:val="single" w:color="auto" w:sz="4" w:space="0"/>
              <w:right w:val="single" w:color="auto" w:sz="4" w:space="0"/>
            </w:tcBorders>
            <w:vAlign w:val="center"/>
          </w:tcPr>
          <w:p w14:paraId="3039CEF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标准比例</w:t>
            </w:r>
          </w:p>
        </w:tc>
        <w:tc>
          <w:tcPr>
            <w:tcW w:w="708" w:type="dxa"/>
            <w:tcBorders>
              <w:top w:val="single" w:color="auto" w:sz="4" w:space="0"/>
              <w:left w:val="nil"/>
              <w:bottom w:val="single" w:color="auto" w:sz="4" w:space="0"/>
              <w:right w:val="single" w:color="auto" w:sz="4" w:space="0"/>
            </w:tcBorders>
            <w:vAlign w:val="center"/>
          </w:tcPr>
          <w:p w14:paraId="1C92F1D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标准分</w:t>
            </w:r>
          </w:p>
        </w:tc>
        <w:tc>
          <w:tcPr>
            <w:tcW w:w="1978" w:type="dxa"/>
            <w:gridSpan w:val="7"/>
            <w:tcBorders>
              <w:top w:val="single" w:color="auto" w:sz="4" w:space="0"/>
              <w:left w:val="nil"/>
              <w:bottom w:val="single" w:color="auto" w:sz="4" w:space="0"/>
              <w:right w:val="single" w:color="auto" w:sz="4" w:space="0"/>
            </w:tcBorders>
            <w:vAlign w:val="center"/>
          </w:tcPr>
          <w:p w14:paraId="4CCD468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检查点</w:t>
            </w:r>
          </w:p>
        </w:tc>
      </w:tr>
      <w:tr w14:paraId="3A77DB88">
        <w:tblPrEx>
          <w:tblCellMar>
            <w:top w:w="0" w:type="dxa"/>
            <w:left w:w="108" w:type="dxa"/>
            <w:bottom w:w="0" w:type="dxa"/>
            <w:right w:w="108" w:type="dxa"/>
          </w:tblCellMar>
        </w:tblPrEx>
        <w:trPr>
          <w:gridAfter w:val="1"/>
          <w:wAfter w:w="485" w:type="dxa"/>
          <w:trHeight w:val="270" w:hRule="atLeast"/>
        </w:trPr>
        <w:tc>
          <w:tcPr>
            <w:tcW w:w="440" w:type="dxa"/>
            <w:tcBorders>
              <w:top w:val="single" w:color="auto" w:sz="4" w:space="0"/>
              <w:left w:val="single" w:color="auto" w:sz="4" w:space="0"/>
              <w:bottom w:val="single" w:color="auto" w:sz="4" w:space="0"/>
              <w:right w:val="single" w:color="auto" w:sz="4" w:space="0"/>
            </w:tcBorders>
            <w:vAlign w:val="center"/>
          </w:tcPr>
          <w:p w14:paraId="1B1CBCF7">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p>
        </w:tc>
        <w:tc>
          <w:tcPr>
            <w:tcW w:w="5655" w:type="dxa"/>
            <w:tcBorders>
              <w:top w:val="single" w:color="auto" w:sz="4" w:space="0"/>
              <w:left w:val="nil"/>
              <w:bottom w:val="single" w:color="auto" w:sz="4" w:space="0"/>
              <w:right w:val="single" w:color="auto" w:sz="4" w:space="0"/>
            </w:tcBorders>
            <w:vAlign w:val="center"/>
          </w:tcPr>
          <w:p w14:paraId="49DEDC5A">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整体效果</w:t>
            </w:r>
          </w:p>
        </w:tc>
        <w:tc>
          <w:tcPr>
            <w:tcW w:w="709" w:type="dxa"/>
            <w:tcBorders>
              <w:top w:val="single" w:color="auto" w:sz="4" w:space="0"/>
              <w:left w:val="nil"/>
              <w:bottom w:val="single" w:color="auto" w:sz="4" w:space="0"/>
              <w:right w:val="single" w:color="auto" w:sz="4" w:space="0"/>
            </w:tcBorders>
            <w:vAlign w:val="center"/>
          </w:tcPr>
          <w:p w14:paraId="130BA7D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nil"/>
              <w:left w:val="nil"/>
              <w:bottom w:val="single" w:color="auto" w:sz="4" w:space="0"/>
              <w:right w:val="single" w:color="auto" w:sz="4" w:space="0"/>
            </w:tcBorders>
            <w:vAlign w:val="center"/>
          </w:tcPr>
          <w:p w14:paraId="5C5EE612">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nil"/>
              <w:left w:val="nil"/>
              <w:bottom w:val="single" w:color="auto" w:sz="4" w:space="0"/>
              <w:right w:val="single" w:color="auto" w:sz="4" w:space="0"/>
            </w:tcBorders>
            <w:vAlign w:val="center"/>
          </w:tcPr>
          <w:p w14:paraId="77E2380A">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nil"/>
              <w:left w:val="nil"/>
              <w:bottom w:val="single" w:color="auto" w:sz="4" w:space="0"/>
              <w:right w:val="single" w:color="auto" w:sz="4" w:space="0"/>
            </w:tcBorders>
            <w:vAlign w:val="center"/>
          </w:tcPr>
          <w:p w14:paraId="2DA8CB0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574EC614">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0" w:type="dxa"/>
            <w:gridSpan w:val="3"/>
            <w:tcBorders>
              <w:top w:val="nil"/>
              <w:left w:val="nil"/>
              <w:bottom w:val="single" w:color="auto" w:sz="4" w:space="0"/>
              <w:right w:val="single" w:color="auto" w:sz="4" w:space="0"/>
            </w:tcBorders>
            <w:vAlign w:val="center"/>
          </w:tcPr>
          <w:p w14:paraId="6B3E8010">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10C2DDA2">
        <w:tblPrEx>
          <w:tblCellMar>
            <w:top w:w="0" w:type="dxa"/>
            <w:left w:w="108" w:type="dxa"/>
            <w:bottom w:w="0" w:type="dxa"/>
            <w:right w:w="108" w:type="dxa"/>
          </w:tblCellMar>
        </w:tblPrEx>
        <w:trPr>
          <w:gridAfter w:val="1"/>
          <w:wAfter w:w="485" w:type="dxa"/>
          <w:trHeight w:val="411" w:hRule="atLeast"/>
        </w:trPr>
        <w:tc>
          <w:tcPr>
            <w:tcW w:w="440" w:type="dxa"/>
            <w:tcBorders>
              <w:top w:val="nil"/>
              <w:left w:val="single" w:color="auto" w:sz="4" w:space="0"/>
              <w:bottom w:val="single" w:color="auto" w:sz="4" w:space="0"/>
              <w:right w:val="single" w:color="auto" w:sz="4" w:space="0"/>
            </w:tcBorders>
            <w:vAlign w:val="center"/>
          </w:tcPr>
          <w:p w14:paraId="18C1A42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w:t>
            </w:r>
          </w:p>
        </w:tc>
        <w:tc>
          <w:tcPr>
            <w:tcW w:w="5655" w:type="dxa"/>
            <w:tcBorders>
              <w:top w:val="nil"/>
              <w:left w:val="nil"/>
              <w:bottom w:val="single" w:color="auto" w:sz="4" w:space="0"/>
              <w:right w:val="single" w:color="auto" w:sz="4" w:space="0"/>
            </w:tcBorders>
            <w:vAlign w:val="center"/>
          </w:tcPr>
          <w:p w14:paraId="65AD0251">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整体保持基本的绿化效果，无明显塌方现象。</w:t>
            </w:r>
          </w:p>
        </w:tc>
        <w:tc>
          <w:tcPr>
            <w:tcW w:w="709" w:type="dxa"/>
            <w:tcBorders>
              <w:top w:val="nil"/>
              <w:left w:val="nil"/>
              <w:bottom w:val="single" w:color="auto" w:sz="4" w:space="0"/>
              <w:right w:val="single" w:color="auto" w:sz="4" w:space="0"/>
            </w:tcBorders>
            <w:vAlign w:val="center"/>
          </w:tcPr>
          <w:p w14:paraId="78249E5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nil"/>
              <w:left w:val="nil"/>
              <w:bottom w:val="single" w:color="auto" w:sz="4" w:space="0"/>
              <w:right w:val="single" w:color="auto" w:sz="4" w:space="0"/>
            </w:tcBorders>
            <w:vAlign w:val="center"/>
          </w:tcPr>
          <w:p w14:paraId="3499115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6" w:type="dxa"/>
            <w:tcBorders>
              <w:top w:val="nil"/>
              <w:left w:val="nil"/>
              <w:bottom w:val="single" w:color="auto" w:sz="4" w:space="0"/>
              <w:right w:val="single" w:color="auto" w:sz="4" w:space="0"/>
            </w:tcBorders>
            <w:vAlign w:val="center"/>
          </w:tcPr>
          <w:p w14:paraId="147F3D3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425" w:type="dxa"/>
            <w:tcBorders>
              <w:top w:val="nil"/>
              <w:left w:val="nil"/>
              <w:bottom w:val="single" w:color="auto" w:sz="4" w:space="0"/>
              <w:right w:val="single" w:color="auto" w:sz="4" w:space="0"/>
            </w:tcBorders>
            <w:vAlign w:val="center"/>
          </w:tcPr>
          <w:p w14:paraId="68FECA6F">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420B9FA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0" w:type="dxa"/>
            <w:gridSpan w:val="3"/>
            <w:tcBorders>
              <w:top w:val="nil"/>
              <w:left w:val="nil"/>
              <w:bottom w:val="single" w:color="auto" w:sz="4" w:space="0"/>
              <w:right w:val="single" w:color="auto" w:sz="4" w:space="0"/>
            </w:tcBorders>
            <w:vAlign w:val="center"/>
          </w:tcPr>
          <w:p w14:paraId="5DA306F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6274AE86">
        <w:tblPrEx>
          <w:tblCellMar>
            <w:top w:w="0" w:type="dxa"/>
            <w:left w:w="108" w:type="dxa"/>
            <w:bottom w:w="0" w:type="dxa"/>
            <w:right w:w="108" w:type="dxa"/>
          </w:tblCellMar>
        </w:tblPrEx>
        <w:trPr>
          <w:gridAfter w:val="1"/>
          <w:wAfter w:w="485" w:type="dxa"/>
          <w:trHeight w:val="270" w:hRule="atLeast"/>
        </w:trPr>
        <w:tc>
          <w:tcPr>
            <w:tcW w:w="440" w:type="dxa"/>
            <w:tcBorders>
              <w:top w:val="nil"/>
              <w:left w:val="single" w:color="auto" w:sz="4" w:space="0"/>
              <w:bottom w:val="single" w:color="auto" w:sz="4" w:space="0"/>
              <w:right w:val="single" w:color="auto" w:sz="4" w:space="0"/>
            </w:tcBorders>
            <w:vAlign w:val="center"/>
          </w:tcPr>
          <w:p w14:paraId="45F1ECC5">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p>
        </w:tc>
        <w:tc>
          <w:tcPr>
            <w:tcW w:w="5655" w:type="dxa"/>
            <w:tcBorders>
              <w:top w:val="nil"/>
              <w:left w:val="nil"/>
              <w:bottom w:val="single" w:color="auto" w:sz="4" w:space="0"/>
              <w:right w:val="single" w:color="auto" w:sz="4" w:space="0"/>
            </w:tcBorders>
          </w:tcPr>
          <w:p w14:paraId="342801A8">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乔木、孤植灌木</w:t>
            </w:r>
          </w:p>
        </w:tc>
        <w:tc>
          <w:tcPr>
            <w:tcW w:w="709" w:type="dxa"/>
            <w:tcBorders>
              <w:top w:val="nil"/>
              <w:left w:val="nil"/>
              <w:bottom w:val="single" w:color="auto" w:sz="4" w:space="0"/>
              <w:right w:val="single" w:color="auto" w:sz="4" w:space="0"/>
            </w:tcBorders>
            <w:vAlign w:val="center"/>
          </w:tcPr>
          <w:p w14:paraId="0A349F2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08" w:type="dxa"/>
            <w:tcBorders>
              <w:top w:val="nil"/>
              <w:left w:val="nil"/>
              <w:bottom w:val="single" w:color="auto" w:sz="4" w:space="0"/>
              <w:right w:val="single" w:color="auto" w:sz="4" w:space="0"/>
            </w:tcBorders>
            <w:vAlign w:val="center"/>
          </w:tcPr>
          <w:p w14:paraId="630E7E5E">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6" w:type="dxa"/>
            <w:tcBorders>
              <w:top w:val="nil"/>
              <w:left w:val="nil"/>
              <w:bottom w:val="single" w:color="auto" w:sz="4" w:space="0"/>
              <w:right w:val="single" w:color="auto" w:sz="4" w:space="0"/>
            </w:tcBorders>
            <w:vAlign w:val="center"/>
          </w:tcPr>
          <w:p w14:paraId="02B0C258">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w:t>
            </w:r>
          </w:p>
        </w:tc>
        <w:tc>
          <w:tcPr>
            <w:tcW w:w="425" w:type="dxa"/>
            <w:tcBorders>
              <w:top w:val="nil"/>
              <w:left w:val="nil"/>
              <w:bottom w:val="single" w:color="auto" w:sz="4" w:space="0"/>
              <w:right w:val="single" w:color="auto" w:sz="4" w:space="0"/>
            </w:tcBorders>
            <w:vAlign w:val="center"/>
          </w:tcPr>
          <w:p w14:paraId="2B85B057">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7" w:type="dxa"/>
            <w:gridSpan w:val="2"/>
            <w:tcBorders>
              <w:top w:val="nil"/>
              <w:left w:val="nil"/>
              <w:bottom w:val="single" w:color="auto" w:sz="4" w:space="0"/>
              <w:right w:val="single" w:color="auto" w:sz="4" w:space="0"/>
            </w:tcBorders>
            <w:vAlign w:val="center"/>
          </w:tcPr>
          <w:p w14:paraId="3D5368A6">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60" w:type="dxa"/>
            <w:gridSpan w:val="3"/>
            <w:tcBorders>
              <w:top w:val="nil"/>
              <w:left w:val="nil"/>
              <w:bottom w:val="single" w:color="auto" w:sz="4" w:space="0"/>
              <w:right w:val="single" w:color="auto" w:sz="4" w:space="0"/>
            </w:tcBorders>
            <w:vAlign w:val="center"/>
          </w:tcPr>
          <w:p w14:paraId="6CD2CF18">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2AAEC307">
        <w:tblPrEx>
          <w:tblCellMar>
            <w:top w:w="0" w:type="dxa"/>
            <w:left w:w="108" w:type="dxa"/>
            <w:bottom w:w="0" w:type="dxa"/>
            <w:right w:w="108" w:type="dxa"/>
          </w:tblCellMar>
        </w:tblPrEx>
        <w:trPr>
          <w:gridAfter w:val="1"/>
          <w:wAfter w:w="485" w:type="dxa"/>
          <w:trHeight w:val="379" w:hRule="atLeast"/>
        </w:trPr>
        <w:tc>
          <w:tcPr>
            <w:tcW w:w="440" w:type="dxa"/>
            <w:tcBorders>
              <w:top w:val="nil"/>
              <w:left w:val="single" w:color="auto" w:sz="4" w:space="0"/>
              <w:bottom w:val="single" w:color="auto" w:sz="4" w:space="0"/>
              <w:right w:val="single" w:color="auto" w:sz="4" w:space="0"/>
            </w:tcBorders>
            <w:vAlign w:val="center"/>
          </w:tcPr>
          <w:p w14:paraId="311910C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nil"/>
              <w:left w:val="nil"/>
              <w:bottom w:val="single" w:color="auto" w:sz="4" w:space="0"/>
              <w:right w:val="single" w:color="auto" w:sz="4" w:space="0"/>
            </w:tcBorders>
            <w:vAlign w:val="center"/>
          </w:tcPr>
          <w:p w14:paraId="1EF8605D">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生长基本正常，基本符合物候状况。无死树，无明显断枝、干枯枝等。</w:t>
            </w:r>
          </w:p>
        </w:tc>
        <w:tc>
          <w:tcPr>
            <w:tcW w:w="709" w:type="dxa"/>
            <w:tcBorders>
              <w:top w:val="nil"/>
              <w:left w:val="nil"/>
              <w:bottom w:val="single" w:color="auto" w:sz="4" w:space="0"/>
              <w:right w:val="single" w:color="auto" w:sz="4" w:space="0"/>
            </w:tcBorders>
            <w:vAlign w:val="center"/>
          </w:tcPr>
          <w:p w14:paraId="6FF81A1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nil"/>
              <w:left w:val="nil"/>
              <w:bottom w:val="single" w:color="auto" w:sz="4" w:space="0"/>
              <w:right w:val="single" w:color="auto" w:sz="4" w:space="0"/>
            </w:tcBorders>
            <w:vAlign w:val="center"/>
          </w:tcPr>
          <w:p w14:paraId="29DDC6D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701DCD0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38263F0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4E356AD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64B4052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4A838420">
        <w:tblPrEx>
          <w:tblCellMar>
            <w:top w:w="0" w:type="dxa"/>
            <w:left w:w="108" w:type="dxa"/>
            <w:bottom w:w="0" w:type="dxa"/>
            <w:right w:w="108" w:type="dxa"/>
          </w:tblCellMar>
        </w:tblPrEx>
        <w:trPr>
          <w:gridAfter w:val="1"/>
          <w:wAfter w:w="485" w:type="dxa"/>
          <w:trHeight w:val="270" w:hRule="atLeast"/>
        </w:trPr>
        <w:tc>
          <w:tcPr>
            <w:tcW w:w="440" w:type="dxa"/>
            <w:tcBorders>
              <w:top w:val="nil"/>
              <w:left w:val="single" w:color="auto" w:sz="4" w:space="0"/>
              <w:bottom w:val="single" w:color="auto" w:sz="4" w:space="0"/>
              <w:right w:val="single" w:color="auto" w:sz="4" w:space="0"/>
            </w:tcBorders>
            <w:vAlign w:val="center"/>
          </w:tcPr>
          <w:p w14:paraId="65316AF2">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p>
        </w:tc>
        <w:tc>
          <w:tcPr>
            <w:tcW w:w="5655" w:type="dxa"/>
            <w:tcBorders>
              <w:top w:val="nil"/>
              <w:left w:val="nil"/>
              <w:bottom w:val="single" w:color="auto" w:sz="4" w:space="0"/>
              <w:right w:val="single" w:color="auto" w:sz="4" w:space="0"/>
            </w:tcBorders>
            <w:vAlign w:val="center"/>
          </w:tcPr>
          <w:p w14:paraId="70C73D0B">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片植灌木、草本地被、草坪</w:t>
            </w:r>
          </w:p>
        </w:tc>
        <w:tc>
          <w:tcPr>
            <w:tcW w:w="709" w:type="dxa"/>
            <w:tcBorders>
              <w:top w:val="nil"/>
              <w:left w:val="nil"/>
              <w:bottom w:val="single" w:color="auto" w:sz="4" w:space="0"/>
              <w:right w:val="single" w:color="auto" w:sz="4" w:space="0"/>
            </w:tcBorders>
            <w:vAlign w:val="center"/>
          </w:tcPr>
          <w:p w14:paraId="45DB3E6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708" w:type="dxa"/>
            <w:tcBorders>
              <w:top w:val="nil"/>
              <w:left w:val="nil"/>
              <w:bottom w:val="single" w:color="auto" w:sz="4" w:space="0"/>
              <w:right w:val="single" w:color="auto" w:sz="4" w:space="0"/>
            </w:tcBorders>
            <w:vAlign w:val="center"/>
          </w:tcPr>
          <w:p w14:paraId="2D938EA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6AC082A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5541044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7EF106A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0DC8CC0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557B064A">
        <w:tblPrEx>
          <w:tblCellMar>
            <w:top w:w="0" w:type="dxa"/>
            <w:left w:w="108" w:type="dxa"/>
            <w:bottom w:w="0" w:type="dxa"/>
            <w:right w:w="108" w:type="dxa"/>
          </w:tblCellMar>
        </w:tblPrEx>
        <w:trPr>
          <w:gridAfter w:val="1"/>
          <w:wAfter w:w="485" w:type="dxa"/>
          <w:trHeight w:val="270" w:hRule="atLeast"/>
        </w:trPr>
        <w:tc>
          <w:tcPr>
            <w:tcW w:w="440" w:type="dxa"/>
            <w:tcBorders>
              <w:top w:val="nil"/>
              <w:left w:val="single" w:color="auto" w:sz="4" w:space="0"/>
              <w:bottom w:val="single" w:color="auto" w:sz="4" w:space="0"/>
              <w:right w:val="single" w:color="auto" w:sz="4" w:space="0"/>
            </w:tcBorders>
            <w:vAlign w:val="center"/>
          </w:tcPr>
          <w:p w14:paraId="0A5B64A3">
            <w:pPr>
              <w:keepNext w:val="0"/>
              <w:keepLines w:val="0"/>
              <w:pageBreakBefore w:val="0"/>
              <w:kinsoku/>
              <w:overflowPunct/>
              <w:topLinePunct w:val="0"/>
              <w:bidi w:val="0"/>
              <w:snapToGrid/>
              <w:spacing w:line="360" w:lineRule="auto"/>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5655" w:type="dxa"/>
            <w:tcBorders>
              <w:top w:val="nil"/>
              <w:left w:val="nil"/>
              <w:bottom w:val="single" w:color="auto" w:sz="4" w:space="0"/>
              <w:right w:val="single" w:color="auto" w:sz="4" w:space="0"/>
            </w:tcBorders>
            <w:vAlign w:val="center"/>
          </w:tcPr>
          <w:p w14:paraId="07EB5861">
            <w:pPr>
              <w:keepNext w:val="0"/>
              <w:keepLines w:val="0"/>
              <w:pageBreakBefore w:val="0"/>
              <w:kinsoku/>
              <w:overflowPunct/>
              <w:topLinePunct w:val="0"/>
              <w:bidi w:val="0"/>
              <w:snapToGrid/>
              <w:spacing w:line="360" w:lineRule="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生长基本正常，基本能按修剪要求维持一定形状。</w:t>
            </w:r>
          </w:p>
        </w:tc>
        <w:tc>
          <w:tcPr>
            <w:tcW w:w="709" w:type="dxa"/>
            <w:tcBorders>
              <w:top w:val="nil"/>
              <w:left w:val="nil"/>
              <w:bottom w:val="single" w:color="auto" w:sz="4" w:space="0"/>
              <w:right w:val="single" w:color="auto" w:sz="4" w:space="0"/>
            </w:tcBorders>
            <w:vAlign w:val="center"/>
          </w:tcPr>
          <w:p w14:paraId="67B593B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nil"/>
              <w:left w:val="nil"/>
              <w:bottom w:val="single" w:color="auto" w:sz="4" w:space="0"/>
              <w:right w:val="single" w:color="auto" w:sz="4" w:space="0"/>
            </w:tcBorders>
            <w:vAlign w:val="center"/>
          </w:tcPr>
          <w:p w14:paraId="7BB78073">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07141CE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75E85BC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537F613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6BE72DA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6E0DC10B">
        <w:tblPrEx>
          <w:tblCellMar>
            <w:top w:w="0" w:type="dxa"/>
            <w:left w:w="108" w:type="dxa"/>
            <w:bottom w:w="0" w:type="dxa"/>
            <w:right w:w="108" w:type="dxa"/>
          </w:tblCellMar>
        </w:tblPrEx>
        <w:trPr>
          <w:gridAfter w:val="1"/>
          <w:wAfter w:w="485" w:type="dxa"/>
          <w:trHeight w:val="270" w:hRule="atLeast"/>
        </w:trPr>
        <w:tc>
          <w:tcPr>
            <w:tcW w:w="440" w:type="dxa"/>
            <w:tcBorders>
              <w:top w:val="nil"/>
              <w:left w:val="single" w:color="auto" w:sz="4" w:space="0"/>
              <w:bottom w:val="single" w:color="auto" w:sz="4" w:space="0"/>
              <w:right w:val="single" w:color="auto" w:sz="4" w:space="0"/>
            </w:tcBorders>
            <w:vAlign w:val="center"/>
          </w:tcPr>
          <w:p w14:paraId="35E13826">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p>
        </w:tc>
        <w:tc>
          <w:tcPr>
            <w:tcW w:w="5655" w:type="dxa"/>
            <w:tcBorders>
              <w:top w:val="nil"/>
              <w:left w:val="nil"/>
              <w:bottom w:val="single" w:color="auto" w:sz="4" w:space="0"/>
              <w:right w:val="single" w:color="auto" w:sz="4" w:space="0"/>
            </w:tcBorders>
            <w:vAlign w:val="center"/>
          </w:tcPr>
          <w:p w14:paraId="178FE57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环境卫生</w:t>
            </w:r>
          </w:p>
        </w:tc>
        <w:tc>
          <w:tcPr>
            <w:tcW w:w="709" w:type="dxa"/>
            <w:tcBorders>
              <w:top w:val="nil"/>
              <w:left w:val="nil"/>
              <w:bottom w:val="single" w:color="auto" w:sz="4" w:space="0"/>
              <w:right w:val="single" w:color="auto" w:sz="4" w:space="0"/>
            </w:tcBorders>
            <w:vAlign w:val="center"/>
          </w:tcPr>
          <w:p w14:paraId="2405421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708" w:type="dxa"/>
            <w:tcBorders>
              <w:top w:val="nil"/>
              <w:left w:val="nil"/>
              <w:bottom w:val="single" w:color="auto" w:sz="4" w:space="0"/>
              <w:right w:val="single" w:color="auto" w:sz="4" w:space="0"/>
            </w:tcBorders>
            <w:vAlign w:val="center"/>
          </w:tcPr>
          <w:p w14:paraId="15C1B6C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39FBCE2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2129E6D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71DB5CF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70F55D9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78012ABE">
        <w:tblPrEx>
          <w:tblCellMar>
            <w:top w:w="0" w:type="dxa"/>
            <w:left w:w="108" w:type="dxa"/>
            <w:bottom w:w="0" w:type="dxa"/>
            <w:right w:w="108" w:type="dxa"/>
          </w:tblCellMar>
        </w:tblPrEx>
        <w:trPr>
          <w:gridAfter w:val="1"/>
          <w:wAfter w:w="485" w:type="dxa"/>
          <w:trHeight w:val="384" w:hRule="atLeast"/>
        </w:trPr>
        <w:tc>
          <w:tcPr>
            <w:tcW w:w="440" w:type="dxa"/>
            <w:tcBorders>
              <w:top w:val="nil"/>
              <w:left w:val="single" w:color="auto" w:sz="4" w:space="0"/>
              <w:bottom w:val="single" w:color="auto" w:sz="4" w:space="0"/>
              <w:right w:val="single" w:color="auto" w:sz="4" w:space="0"/>
            </w:tcBorders>
            <w:vAlign w:val="center"/>
          </w:tcPr>
          <w:p w14:paraId="2CEC53A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nil"/>
              <w:left w:val="nil"/>
              <w:bottom w:val="single" w:color="auto" w:sz="4" w:space="0"/>
              <w:right w:val="single" w:color="auto" w:sz="4" w:space="0"/>
            </w:tcBorders>
            <w:vAlign w:val="center"/>
          </w:tcPr>
          <w:p w14:paraId="6DC149F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无明显垃圾、杂物堆积。</w:t>
            </w:r>
          </w:p>
        </w:tc>
        <w:tc>
          <w:tcPr>
            <w:tcW w:w="709" w:type="dxa"/>
            <w:tcBorders>
              <w:top w:val="nil"/>
              <w:left w:val="nil"/>
              <w:bottom w:val="single" w:color="auto" w:sz="4" w:space="0"/>
              <w:right w:val="single" w:color="auto" w:sz="4" w:space="0"/>
            </w:tcBorders>
            <w:vAlign w:val="center"/>
          </w:tcPr>
          <w:p w14:paraId="315CC66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708" w:type="dxa"/>
            <w:tcBorders>
              <w:top w:val="nil"/>
              <w:left w:val="nil"/>
              <w:bottom w:val="single" w:color="auto" w:sz="4" w:space="0"/>
              <w:right w:val="single" w:color="auto" w:sz="4" w:space="0"/>
            </w:tcBorders>
            <w:vAlign w:val="center"/>
          </w:tcPr>
          <w:p w14:paraId="13272031">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tc>
        <w:tc>
          <w:tcPr>
            <w:tcW w:w="426" w:type="dxa"/>
            <w:tcBorders>
              <w:top w:val="nil"/>
              <w:left w:val="nil"/>
              <w:bottom w:val="single" w:color="auto" w:sz="4" w:space="0"/>
              <w:right w:val="single" w:color="auto" w:sz="4" w:space="0"/>
            </w:tcBorders>
            <w:vAlign w:val="center"/>
          </w:tcPr>
          <w:p w14:paraId="4E8FA934">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tc>
        <w:tc>
          <w:tcPr>
            <w:tcW w:w="425" w:type="dxa"/>
            <w:tcBorders>
              <w:top w:val="nil"/>
              <w:left w:val="nil"/>
              <w:bottom w:val="single" w:color="auto" w:sz="4" w:space="0"/>
              <w:right w:val="single" w:color="auto" w:sz="4" w:space="0"/>
            </w:tcBorders>
            <w:vAlign w:val="center"/>
          </w:tcPr>
          <w:p w14:paraId="441BAE5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58B89E4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29B148B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26D67810">
        <w:tblPrEx>
          <w:tblCellMar>
            <w:top w:w="0" w:type="dxa"/>
            <w:left w:w="108" w:type="dxa"/>
            <w:bottom w:w="0" w:type="dxa"/>
            <w:right w:w="108" w:type="dxa"/>
          </w:tblCellMar>
        </w:tblPrEx>
        <w:trPr>
          <w:gridAfter w:val="1"/>
          <w:wAfter w:w="485" w:type="dxa"/>
          <w:trHeight w:val="419" w:hRule="atLeast"/>
        </w:trPr>
        <w:tc>
          <w:tcPr>
            <w:tcW w:w="440" w:type="dxa"/>
            <w:tcBorders>
              <w:top w:val="nil"/>
              <w:left w:val="single" w:color="auto" w:sz="4" w:space="0"/>
              <w:bottom w:val="single" w:color="auto" w:sz="4" w:space="0"/>
              <w:right w:val="single" w:color="auto" w:sz="4" w:space="0"/>
            </w:tcBorders>
            <w:vAlign w:val="center"/>
          </w:tcPr>
          <w:p w14:paraId="3C052328">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p>
        </w:tc>
        <w:tc>
          <w:tcPr>
            <w:tcW w:w="5655" w:type="dxa"/>
            <w:tcBorders>
              <w:top w:val="nil"/>
              <w:left w:val="nil"/>
              <w:bottom w:val="single" w:color="auto" w:sz="4" w:space="0"/>
              <w:right w:val="single" w:color="auto" w:sz="4" w:space="0"/>
            </w:tcBorders>
            <w:vAlign w:val="center"/>
          </w:tcPr>
          <w:p w14:paraId="6F4A2D04">
            <w:pPr>
              <w:keepNext w:val="0"/>
              <w:keepLines w:val="0"/>
              <w:pageBreakBefore w:val="0"/>
              <w:kinsoku/>
              <w:overflowPunct/>
              <w:topLinePunct w:val="0"/>
              <w:bidi w:val="0"/>
              <w:snapToGrid/>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植物保护</w:t>
            </w:r>
          </w:p>
        </w:tc>
        <w:tc>
          <w:tcPr>
            <w:tcW w:w="709" w:type="dxa"/>
            <w:tcBorders>
              <w:top w:val="nil"/>
              <w:left w:val="nil"/>
              <w:bottom w:val="single" w:color="auto" w:sz="4" w:space="0"/>
              <w:right w:val="single" w:color="auto" w:sz="4" w:space="0"/>
            </w:tcBorders>
            <w:vAlign w:val="center"/>
          </w:tcPr>
          <w:p w14:paraId="03A1D21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708" w:type="dxa"/>
            <w:tcBorders>
              <w:top w:val="nil"/>
              <w:left w:val="nil"/>
              <w:bottom w:val="single" w:color="auto" w:sz="4" w:space="0"/>
              <w:right w:val="single" w:color="auto" w:sz="4" w:space="0"/>
            </w:tcBorders>
            <w:vAlign w:val="center"/>
          </w:tcPr>
          <w:p w14:paraId="3B04EE8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41B2141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309832F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44D3582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2F2A09C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748243AB">
        <w:tblPrEx>
          <w:tblCellMar>
            <w:top w:w="0" w:type="dxa"/>
            <w:left w:w="108" w:type="dxa"/>
            <w:bottom w:w="0" w:type="dxa"/>
            <w:right w:w="108" w:type="dxa"/>
          </w:tblCellMar>
        </w:tblPrEx>
        <w:trPr>
          <w:gridAfter w:val="1"/>
          <w:wAfter w:w="485" w:type="dxa"/>
          <w:trHeight w:val="283" w:hRule="atLeast"/>
        </w:trPr>
        <w:tc>
          <w:tcPr>
            <w:tcW w:w="440" w:type="dxa"/>
            <w:tcBorders>
              <w:top w:val="nil"/>
              <w:left w:val="single" w:color="auto" w:sz="4" w:space="0"/>
              <w:bottom w:val="single" w:color="auto" w:sz="4" w:space="0"/>
              <w:right w:val="single" w:color="auto" w:sz="4" w:space="0"/>
            </w:tcBorders>
            <w:vAlign w:val="center"/>
          </w:tcPr>
          <w:p w14:paraId="501E65A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655" w:type="dxa"/>
            <w:tcBorders>
              <w:top w:val="nil"/>
              <w:left w:val="nil"/>
              <w:bottom w:val="single" w:color="auto" w:sz="4" w:space="0"/>
              <w:right w:val="single" w:color="auto" w:sz="4" w:space="0"/>
            </w:tcBorders>
            <w:vAlign w:val="center"/>
          </w:tcPr>
          <w:p w14:paraId="0FFFD7DA">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植物无大面积病虫危害现象。</w:t>
            </w:r>
          </w:p>
        </w:tc>
        <w:tc>
          <w:tcPr>
            <w:tcW w:w="709" w:type="dxa"/>
            <w:tcBorders>
              <w:top w:val="nil"/>
              <w:left w:val="nil"/>
              <w:bottom w:val="single" w:color="auto" w:sz="4" w:space="0"/>
              <w:right w:val="single" w:color="auto" w:sz="4" w:space="0"/>
            </w:tcBorders>
            <w:vAlign w:val="center"/>
          </w:tcPr>
          <w:p w14:paraId="38E698D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nil"/>
              <w:left w:val="nil"/>
              <w:bottom w:val="single" w:color="auto" w:sz="4" w:space="0"/>
              <w:right w:val="single" w:color="auto" w:sz="4" w:space="0"/>
            </w:tcBorders>
            <w:vAlign w:val="center"/>
          </w:tcPr>
          <w:p w14:paraId="60F15A74">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tc>
        <w:tc>
          <w:tcPr>
            <w:tcW w:w="426" w:type="dxa"/>
            <w:tcBorders>
              <w:top w:val="nil"/>
              <w:left w:val="nil"/>
              <w:bottom w:val="single" w:color="auto" w:sz="4" w:space="0"/>
              <w:right w:val="single" w:color="auto" w:sz="4" w:space="0"/>
            </w:tcBorders>
            <w:vAlign w:val="center"/>
          </w:tcPr>
          <w:p w14:paraId="07572484">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tc>
        <w:tc>
          <w:tcPr>
            <w:tcW w:w="425" w:type="dxa"/>
            <w:tcBorders>
              <w:top w:val="nil"/>
              <w:left w:val="nil"/>
              <w:bottom w:val="single" w:color="auto" w:sz="4" w:space="0"/>
              <w:right w:val="single" w:color="auto" w:sz="4" w:space="0"/>
            </w:tcBorders>
            <w:vAlign w:val="center"/>
          </w:tcPr>
          <w:p w14:paraId="37C56BA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749B68F4">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641BBA9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67D38FD4">
        <w:tblPrEx>
          <w:tblCellMar>
            <w:top w:w="0" w:type="dxa"/>
            <w:left w:w="108" w:type="dxa"/>
            <w:bottom w:w="0" w:type="dxa"/>
            <w:right w:w="108" w:type="dxa"/>
          </w:tblCellMar>
        </w:tblPrEx>
        <w:trPr>
          <w:gridAfter w:val="1"/>
          <w:wAfter w:w="485" w:type="dxa"/>
          <w:trHeight w:val="452" w:hRule="atLeast"/>
        </w:trPr>
        <w:tc>
          <w:tcPr>
            <w:tcW w:w="440" w:type="dxa"/>
            <w:tcBorders>
              <w:top w:val="nil"/>
              <w:left w:val="single" w:color="auto" w:sz="4" w:space="0"/>
              <w:bottom w:val="single" w:color="auto" w:sz="4" w:space="0"/>
              <w:right w:val="single" w:color="auto" w:sz="4" w:space="0"/>
            </w:tcBorders>
            <w:vAlign w:val="center"/>
          </w:tcPr>
          <w:p w14:paraId="7936078D">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p>
        </w:tc>
        <w:tc>
          <w:tcPr>
            <w:tcW w:w="5655" w:type="dxa"/>
            <w:tcBorders>
              <w:top w:val="nil"/>
              <w:left w:val="nil"/>
              <w:bottom w:val="single" w:color="auto" w:sz="4" w:space="0"/>
              <w:right w:val="single" w:color="auto" w:sz="4" w:space="0"/>
            </w:tcBorders>
            <w:vAlign w:val="center"/>
          </w:tcPr>
          <w:p w14:paraId="2CED2F80">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合计</w:t>
            </w:r>
          </w:p>
        </w:tc>
        <w:tc>
          <w:tcPr>
            <w:tcW w:w="709" w:type="dxa"/>
            <w:tcBorders>
              <w:top w:val="nil"/>
              <w:left w:val="nil"/>
              <w:bottom w:val="single" w:color="auto" w:sz="4" w:space="0"/>
              <w:right w:val="single" w:color="auto" w:sz="4" w:space="0"/>
            </w:tcBorders>
            <w:vAlign w:val="center"/>
          </w:tcPr>
          <w:p w14:paraId="7E6461E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c>
          <w:tcPr>
            <w:tcW w:w="708" w:type="dxa"/>
            <w:tcBorders>
              <w:top w:val="nil"/>
              <w:left w:val="nil"/>
              <w:bottom w:val="single" w:color="auto" w:sz="4" w:space="0"/>
              <w:right w:val="single" w:color="auto" w:sz="4" w:space="0"/>
            </w:tcBorders>
            <w:vAlign w:val="center"/>
          </w:tcPr>
          <w:p w14:paraId="76EC631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6" w:type="dxa"/>
            <w:tcBorders>
              <w:top w:val="nil"/>
              <w:left w:val="nil"/>
              <w:bottom w:val="single" w:color="auto" w:sz="4" w:space="0"/>
              <w:right w:val="single" w:color="auto" w:sz="4" w:space="0"/>
            </w:tcBorders>
            <w:vAlign w:val="center"/>
          </w:tcPr>
          <w:p w14:paraId="519729E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425" w:type="dxa"/>
            <w:tcBorders>
              <w:top w:val="nil"/>
              <w:left w:val="nil"/>
              <w:bottom w:val="single" w:color="auto" w:sz="4" w:space="0"/>
              <w:right w:val="single" w:color="auto" w:sz="4" w:space="0"/>
            </w:tcBorders>
            <w:vAlign w:val="center"/>
          </w:tcPr>
          <w:p w14:paraId="1F3F5DA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7" w:type="dxa"/>
            <w:gridSpan w:val="2"/>
            <w:tcBorders>
              <w:top w:val="nil"/>
              <w:left w:val="nil"/>
              <w:bottom w:val="single" w:color="auto" w:sz="4" w:space="0"/>
              <w:right w:val="single" w:color="auto" w:sz="4" w:space="0"/>
            </w:tcBorders>
            <w:vAlign w:val="center"/>
          </w:tcPr>
          <w:p w14:paraId="06805BF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560" w:type="dxa"/>
            <w:gridSpan w:val="3"/>
            <w:tcBorders>
              <w:top w:val="nil"/>
              <w:left w:val="nil"/>
              <w:bottom w:val="single" w:color="auto" w:sz="4" w:space="0"/>
              <w:right w:val="single" w:color="auto" w:sz="4" w:space="0"/>
            </w:tcBorders>
            <w:vAlign w:val="center"/>
          </w:tcPr>
          <w:p w14:paraId="2AE37C8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bl>
    <w:p w14:paraId="3B08DC1C">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sectPr>
          <w:pgSz w:w="11906" w:h="16838"/>
          <w:pgMar w:top="1474" w:right="1418" w:bottom="1474" w:left="1418" w:header="851" w:footer="992" w:gutter="0"/>
          <w:cols w:space="720" w:num="1"/>
          <w:docGrid w:type="linesAndChars" w:linePitch="312" w:charSpace="0"/>
        </w:sectPr>
      </w:pPr>
    </w:p>
    <w:p w14:paraId="30BB01D9">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四、桥梁三角梅养护效果评分表</w:t>
      </w:r>
    </w:p>
    <w:p w14:paraId="0A633B47">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1.一级桥梁三角梅养护效果考核评分表</w:t>
      </w:r>
    </w:p>
    <w:tbl>
      <w:tblPr>
        <w:tblStyle w:val="20"/>
        <w:tblW w:w="9840" w:type="dxa"/>
        <w:jc w:val="center"/>
        <w:tblLayout w:type="fixed"/>
        <w:tblCellMar>
          <w:top w:w="0" w:type="dxa"/>
          <w:left w:w="108" w:type="dxa"/>
          <w:bottom w:w="0" w:type="dxa"/>
          <w:right w:w="108" w:type="dxa"/>
        </w:tblCellMar>
      </w:tblPr>
      <w:tblGrid>
        <w:gridCol w:w="525"/>
        <w:gridCol w:w="5500"/>
        <w:gridCol w:w="616"/>
        <w:gridCol w:w="640"/>
        <w:gridCol w:w="520"/>
        <w:gridCol w:w="760"/>
        <w:gridCol w:w="580"/>
        <w:gridCol w:w="699"/>
      </w:tblGrid>
      <w:tr w14:paraId="1CE8675F">
        <w:tblPrEx>
          <w:tblCellMar>
            <w:top w:w="0" w:type="dxa"/>
            <w:left w:w="108" w:type="dxa"/>
            <w:bottom w:w="0" w:type="dxa"/>
            <w:right w:w="108" w:type="dxa"/>
          </w:tblCellMar>
        </w:tblPrEx>
        <w:trPr>
          <w:trHeight w:val="660" w:hRule="atLeast"/>
          <w:jc w:val="center"/>
        </w:trPr>
        <w:tc>
          <w:tcPr>
            <w:tcW w:w="525" w:type="dxa"/>
            <w:vAlign w:val="center"/>
          </w:tcPr>
          <w:p w14:paraId="3DA34E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p>
        </w:tc>
        <w:tc>
          <w:tcPr>
            <w:tcW w:w="9315" w:type="dxa"/>
            <w:gridSpan w:val="7"/>
            <w:tcBorders>
              <w:top w:val="nil"/>
              <w:left w:val="nil"/>
              <w:bottom w:val="single" w:color="auto" w:sz="4" w:space="0"/>
              <w:right w:val="nil"/>
            </w:tcBorders>
            <w:vAlign w:val="center"/>
          </w:tcPr>
          <w:p w14:paraId="16716661">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39FECA42">
        <w:tblPrEx>
          <w:tblCellMar>
            <w:top w:w="0" w:type="dxa"/>
            <w:left w:w="108" w:type="dxa"/>
            <w:bottom w:w="0" w:type="dxa"/>
            <w:right w:w="108" w:type="dxa"/>
          </w:tblCellMar>
        </w:tblPrEx>
        <w:trPr>
          <w:trHeight w:val="540"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6A41C7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500" w:type="dxa"/>
            <w:tcBorders>
              <w:top w:val="single" w:color="auto" w:sz="4" w:space="0"/>
              <w:left w:val="nil"/>
              <w:bottom w:val="single" w:color="auto" w:sz="4" w:space="0"/>
              <w:right w:val="single" w:color="auto" w:sz="4" w:space="0"/>
            </w:tcBorders>
            <w:vAlign w:val="center"/>
          </w:tcPr>
          <w:p w14:paraId="1189D4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616" w:type="dxa"/>
            <w:tcBorders>
              <w:top w:val="single" w:color="auto" w:sz="4" w:space="0"/>
              <w:left w:val="nil"/>
              <w:bottom w:val="single" w:color="auto" w:sz="4" w:space="0"/>
              <w:right w:val="single" w:color="auto" w:sz="4" w:space="0"/>
            </w:tcBorders>
            <w:vAlign w:val="center"/>
          </w:tcPr>
          <w:p w14:paraId="247E5E1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640" w:type="dxa"/>
            <w:tcBorders>
              <w:top w:val="single" w:color="auto" w:sz="4" w:space="0"/>
              <w:left w:val="nil"/>
              <w:bottom w:val="single" w:color="auto" w:sz="4" w:space="0"/>
              <w:right w:val="single" w:color="auto" w:sz="4" w:space="0"/>
            </w:tcBorders>
            <w:vAlign w:val="center"/>
          </w:tcPr>
          <w:p w14:paraId="4AA257E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559" w:type="dxa"/>
            <w:gridSpan w:val="4"/>
            <w:tcBorders>
              <w:top w:val="single" w:color="auto" w:sz="4" w:space="0"/>
              <w:left w:val="nil"/>
              <w:bottom w:val="single" w:color="auto" w:sz="4" w:space="0"/>
              <w:right w:val="single" w:color="auto" w:sz="4" w:space="0"/>
            </w:tcBorders>
            <w:vAlign w:val="center"/>
          </w:tcPr>
          <w:p w14:paraId="2FFC207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451E60D1">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6649003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一</w:t>
            </w:r>
          </w:p>
        </w:tc>
        <w:tc>
          <w:tcPr>
            <w:tcW w:w="5500" w:type="dxa"/>
            <w:tcBorders>
              <w:top w:val="nil"/>
              <w:left w:val="nil"/>
              <w:bottom w:val="single" w:color="auto" w:sz="4" w:space="0"/>
              <w:right w:val="single" w:color="auto" w:sz="4" w:space="0"/>
            </w:tcBorders>
            <w:vAlign w:val="center"/>
          </w:tcPr>
          <w:p w14:paraId="15572BA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616" w:type="dxa"/>
            <w:tcBorders>
              <w:top w:val="nil"/>
              <w:left w:val="nil"/>
              <w:bottom w:val="single" w:color="auto" w:sz="4" w:space="0"/>
              <w:right w:val="single" w:color="auto" w:sz="4" w:space="0"/>
            </w:tcBorders>
            <w:vAlign w:val="center"/>
          </w:tcPr>
          <w:p w14:paraId="762A46C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08EC77D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34704E3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428EA1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7714C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79F6FE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AC07F7A">
        <w:tblPrEx>
          <w:tblCellMar>
            <w:top w:w="0" w:type="dxa"/>
            <w:left w:w="108" w:type="dxa"/>
            <w:bottom w:w="0" w:type="dxa"/>
            <w:right w:w="108" w:type="dxa"/>
          </w:tblCellMar>
        </w:tblPrEx>
        <w:trPr>
          <w:trHeight w:val="579" w:hRule="atLeast"/>
          <w:jc w:val="center"/>
        </w:trPr>
        <w:tc>
          <w:tcPr>
            <w:tcW w:w="525" w:type="dxa"/>
            <w:tcBorders>
              <w:top w:val="nil"/>
              <w:left w:val="single" w:color="auto" w:sz="4" w:space="0"/>
              <w:bottom w:val="single" w:color="auto" w:sz="4" w:space="0"/>
              <w:right w:val="single" w:color="auto" w:sz="4" w:space="0"/>
            </w:tcBorders>
            <w:vAlign w:val="center"/>
          </w:tcPr>
          <w:p w14:paraId="482C32F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500" w:type="dxa"/>
            <w:tcBorders>
              <w:top w:val="nil"/>
              <w:left w:val="nil"/>
              <w:bottom w:val="single" w:color="auto" w:sz="4" w:space="0"/>
              <w:right w:val="single" w:color="auto" w:sz="4" w:space="0"/>
            </w:tcBorders>
            <w:vAlign w:val="center"/>
          </w:tcPr>
          <w:p w14:paraId="528EC5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整体景观效果优良，三角梅生长良好，应时开花，花开艳丽，植物干净无明显积尘。</w:t>
            </w:r>
          </w:p>
        </w:tc>
        <w:tc>
          <w:tcPr>
            <w:tcW w:w="616" w:type="dxa"/>
            <w:tcBorders>
              <w:top w:val="nil"/>
              <w:left w:val="nil"/>
              <w:bottom w:val="single" w:color="auto" w:sz="4" w:space="0"/>
              <w:right w:val="single" w:color="auto" w:sz="4" w:space="0"/>
            </w:tcBorders>
            <w:vAlign w:val="center"/>
          </w:tcPr>
          <w:p w14:paraId="5D602A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290AC53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18702E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46E8F0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1B1CD3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4196778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0CD10C1">
        <w:tblPrEx>
          <w:tblCellMar>
            <w:top w:w="0" w:type="dxa"/>
            <w:left w:w="108" w:type="dxa"/>
            <w:bottom w:w="0" w:type="dxa"/>
            <w:right w:w="108" w:type="dxa"/>
          </w:tblCellMar>
        </w:tblPrEx>
        <w:trPr>
          <w:trHeight w:val="400" w:hRule="atLeast"/>
          <w:jc w:val="center"/>
        </w:trPr>
        <w:tc>
          <w:tcPr>
            <w:tcW w:w="525" w:type="dxa"/>
            <w:tcBorders>
              <w:top w:val="nil"/>
              <w:left w:val="single" w:color="auto" w:sz="4" w:space="0"/>
              <w:bottom w:val="single" w:color="auto" w:sz="4" w:space="0"/>
              <w:right w:val="single" w:color="auto" w:sz="4" w:space="0"/>
            </w:tcBorders>
            <w:vAlign w:val="center"/>
          </w:tcPr>
          <w:p w14:paraId="7DA9B30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二</w:t>
            </w:r>
          </w:p>
        </w:tc>
        <w:tc>
          <w:tcPr>
            <w:tcW w:w="5500" w:type="dxa"/>
            <w:tcBorders>
              <w:top w:val="nil"/>
              <w:left w:val="nil"/>
              <w:bottom w:val="single" w:color="auto" w:sz="4" w:space="0"/>
              <w:right w:val="single" w:color="auto" w:sz="4" w:space="0"/>
            </w:tcBorders>
            <w:vAlign w:val="center"/>
          </w:tcPr>
          <w:p w14:paraId="0F52F4B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植株</w:t>
            </w:r>
          </w:p>
        </w:tc>
        <w:tc>
          <w:tcPr>
            <w:tcW w:w="616" w:type="dxa"/>
            <w:tcBorders>
              <w:top w:val="nil"/>
              <w:left w:val="nil"/>
              <w:bottom w:val="single" w:color="auto" w:sz="4" w:space="0"/>
              <w:right w:val="single" w:color="auto" w:sz="4" w:space="0"/>
            </w:tcBorders>
            <w:vAlign w:val="center"/>
          </w:tcPr>
          <w:p w14:paraId="7DA302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72DD0AE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3F82339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0ACEE7E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0A8477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53F241E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DBD6E30">
        <w:tblPrEx>
          <w:tblCellMar>
            <w:top w:w="0" w:type="dxa"/>
            <w:left w:w="108" w:type="dxa"/>
            <w:bottom w:w="0" w:type="dxa"/>
            <w:right w:w="108" w:type="dxa"/>
          </w:tblCellMar>
        </w:tblPrEx>
        <w:trPr>
          <w:trHeight w:val="536" w:hRule="atLeast"/>
          <w:jc w:val="center"/>
        </w:trPr>
        <w:tc>
          <w:tcPr>
            <w:tcW w:w="525" w:type="dxa"/>
            <w:tcBorders>
              <w:top w:val="nil"/>
              <w:left w:val="single" w:color="auto" w:sz="4" w:space="0"/>
              <w:bottom w:val="single" w:color="auto" w:sz="4" w:space="0"/>
              <w:right w:val="single" w:color="auto" w:sz="4" w:space="0"/>
            </w:tcBorders>
            <w:vAlign w:val="center"/>
          </w:tcPr>
          <w:p w14:paraId="4FA265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3F2E40A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生长：生长良好，符合物候状况，枝粗叶壮，无缺株、死株。叶色、叶形、大小正常，应时开花。</w:t>
            </w:r>
          </w:p>
        </w:tc>
        <w:tc>
          <w:tcPr>
            <w:tcW w:w="616" w:type="dxa"/>
            <w:tcBorders>
              <w:top w:val="nil"/>
              <w:left w:val="nil"/>
              <w:bottom w:val="single" w:color="auto" w:sz="4" w:space="0"/>
              <w:right w:val="single" w:color="auto" w:sz="4" w:space="0"/>
            </w:tcBorders>
            <w:vAlign w:val="center"/>
          </w:tcPr>
          <w:p w14:paraId="601955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40" w:type="dxa"/>
            <w:tcBorders>
              <w:top w:val="nil"/>
              <w:left w:val="nil"/>
              <w:bottom w:val="single" w:color="auto" w:sz="4" w:space="0"/>
              <w:right w:val="single" w:color="auto" w:sz="4" w:space="0"/>
            </w:tcBorders>
            <w:vAlign w:val="center"/>
          </w:tcPr>
          <w:p w14:paraId="49867F6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7831056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39CC7D4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4E15011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4D0BA2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6893E02">
        <w:tblPrEx>
          <w:tblCellMar>
            <w:top w:w="0" w:type="dxa"/>
            <w:left w:w="108" w:type="dxa"/>
            <w:bottom w:w="0" w:type="dxa"/>
            <w:right w:w="108" w:type="dxa"/>
          </w:tblCellMar>
        </w:tblPrEx>
        <w:trPr>
          <w:trHeight w:val="461" w:hRule="atLeast"/>
          <w:jc w:val="center"/>
        </w:trPr>
        <w:tc>
          <w:tcPr>
            <w:tcW w:w="525" w:type="dxa"/>
            <w:tcBorders>
              <w:top w:val="nil"/>
              <w:left w:val="single" w:color="auto" w:sz="4" w:space="0"/>
              <w:bottom w:val="single" w:color="auto" w:sz="4" w:space="0"/>
              <w:right w:val="single" w:color="auto" w:sz="4" w:space="0"/>
            </w:tcBorders>
            <w:vAlign w:val="center"/>
          </w:tcPr>
          <w:p w14:paraId="5CE0CAA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500" w:type="dxa"/>
            <w:tcBorders>
              <w:top w:val="nil"/>
              <w:left w:val="nil"/>
              <w:bottom w:val="single" w:color="auto" w:sz="4" w:space="0"/>
              <w:right w:val="single" w:color="auto" w:sz="4" w:space="0"/>
            </w:tcBorders>
            <w:vAlign w:val="center"/>
          </w:tcPr>
          <w:p w14:paraId="5EBC496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修剪：造型整齐美观，按要求及时修剪。</w:t>
            </w:r>
          </w:p>
        </w:tc>
        <w:tc>
          <w:tcPr>
            <w:tcW w:w="616" w:type="dxa"/>
            <w:tcBorders>
              <w:top w:val="nil"/>
              <w:left w:val="nil"/>
              <w:bottom w:val="single" w:color="auto" w:sz="4" w:space="0"/>
              <w:right w:val="single" w:color="auto" w:sz="4" w:space="0"/>
            </w:tcBorders>
            <w:vAlign w:val="center"/>
          </w:tcPr>
          <w:p w14:paraId="2EC22C6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40" w:type="dxa"/>
            <w:tcBorders>
              <w:top w:val="nil"/>
              <w:left w:val="nil"/>
              <w:bottom w:val="single" w:color="auto" w:sz="4" w:space="0"/>
              <w:right w:val="single" w:color="auto" w:sz="4" w:space="0"/>
            </w:tcBorders>
            <w:vAlign w:val="center"/>
          </w:tcPr>
          <w:p w14:paraId="3B910D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5385896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2681FA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3FAEFFE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4A00F9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9F40EDC">
        <w:tblPrEx>
          <w:tblCellMar>
            <w:top w:w="0" w:type="dxa"/>
            <w:left w:w="108" w:type="dxa"/>
            <w:bottom w:w="0" w:type="dxa"/>
            <w:right w:w="108" w:type="dxa"/>
          </w:tblCellMar>
        </w:tblPrEx>
        <w:trPr>
          <w:trHeight w:val="410" w:hRule="atLeast"/>
          <w:jc w:val="center"/>
        </w:trPr>
        <w:tc>
          <w:tcPr>
            <w:tcW w:w="525" w:type="dxa"/>
            <w:tcBorders>
              <w:top w:val="nil"/>
              <w:left w:val="single" w:color="auto" w:sz="4" w:space="0"/>
              <w:bottom w:val="single" w:color="auto" w:sz="4" w:space="0"/>
              <w:right w:val="single" w:color="auto" w:sz="4" w:space="0"/>
            </w:tcBorders>
            <w:vAlign w:val="center"/>
          </w:tcPr>
          <w:p w14:paraId="206BAA9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500" w:type="dxa"/>
            <w:tcBorders>
              <w:top w:val="nil"/>
              <w:left w:val="nil"/>
              <w:bottom w:val="single" w:color="auto" w:sz="4" w:space="0"/>
              <w:right w:val="single" w:color="auto" w:sz="4" w:space="0"/>
            </w:tcBorders>
            <w:vAlign w:val="center"/>
          </w:tcPr>
          <w:p w14:paraId="1354263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钉挂物、干枯枝等：无干枯枝、伤残枝及黄叶。无钉挂物、铁丝等缠绕物。</w:t>
            </w:r>
          </w:p>
        </w:tc>
        <w:tc>
          <w:tcPr>
            <w:tcW w:w="616" w:type="dxa"/>
            <w:tcBorders>
              <w:top w:val="nil"/>
              <w:left w:val="nil"/>
              <w:bottom w:val="single" w:color="auto" w:sz="4" w:space="0"/>
              <w:right w:val="single" w:color="auto" w:sz="4" w:space="0"/>
            </w:tcBorders>
            <w:vAlign w:val="center"/>
          </w:tcPr>
          <w:p w14:paraId="0120C2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640" w:type="dxa"/>
            <w:tcBorders>
              <w:top w:val="nil"/>
              <w:left w:val="nil"/>
              <w:bottom w:val="single" w:color="auto" w:sz="4" w:space="0"/>
              <w:right w:val="single" w:color="auto" w:sz="4" w:space="0"/>
            </w:tcBorders>
            <w:vAlign w:val="center"/>
          </w:tcPr>
          <w:p w14:paraId="5A54922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4C0F399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2F27964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EBA2A6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182D78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5822AFC">
        <w:tblPrEx>
          <w:tblCellMar>
            <w:top w:w="0" w:type="dxa"/>
            <w:left w:w="108" w:type="dxa"/>
            <w:bottom w:w="0" w:type="dxa"/>
            <w:right w:w="108" w:type="dxa"/>
          </w:tblCellMar>
        </w:tblPrEx>
        <w:trPr>
          <w:trHeight w:val="491" w:hRule="atLeast"/>
          <w:jc w:val="center"/>
        </w:trPr>
        <w:tc>
          <w:tcPr>
            <w:tcW w:w="525" w:type="dxa"/>
            <w:tcBorders>
              <w:top w:val="nil"/>
              <w:left w:val="single" w:color="auto" w:sz="4" w:space="0"/>
              <w:bottom w:val="single" w:color="auto" w:sz="4" w:space="0"/>
              <w:right w:val="single" w:color="auto" w:sz="4" w:space="0"/>
            </w:tcBorders>
            <w:vAlign w:val="center"/>
          </w:tcPr>
          <w:p w14:paraId="21FDAF4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5500" w:type="dxa"/>
            <w:tcBorders>
              <w:top w:val="nil"/>
              <w:left w:val="nil"/>
              <w:bottom w:val="single" w:color="auto" w:sz="4" w:space="0"/>
              <w:right w:val="single" w:color="auto" w:sz="4" w:space="0"/>
            </w:tcBorders>
            <w:vAlign w:val="center"/>
          </w:tcPr>
          <w:p w14:paraId="186F90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松土：土壤平整，疏松通透，无积水。</w:t>
            </w:r>
          </w:p>
        </w:tc>
        <w:tc>
          <w:tcPr>
            <w:tcW w:w="616" w:type="dxa"/>
            <w:tcBorders>
              <w:top w:val="nil"/>
              <w:left w:val="nil"/>
              <w:bottom w:val="single" w:color="auto" w:sz="4" w:space="0"/>
              <w:right w:val="single" w:color="auto" w:sz="4" w:space="0"/>
            </w:tcBorders>
            <w:vAlign w:val="center"/>
          </w:tcPr>
          <w:p w14:paraId="0DC0DF5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640" w:type="dxa"/>
            <w:tcBorders>
              <w:top w:val="nil"/>
              <w:left w:val="nil"/>
              <w:bottom w:val="single" w:color="auto" w:sz="4" w:space="0"/>
              <w:right w:val="single" w:color="auto" w:sz="4" w:space="0"/>
            </w:tcBorders>
            <w:vAlign w:val="center"/>
          </w:tcPr>
          <w:p w14:paraId="69AD275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34CAB8D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58F5595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47B0B15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2F1642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B3F6883">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7DED8A2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三</w:t>
            </w:r>
          </w:p>
        </w:tc>
        <w:tc>
          <w:tcPr>
            <w:tcW w:w="5500" w:type="dxa"/>
            <w:tcBorders>
              <w:top w:val="nil"/>
              <w:left w:val="nil"/>
              <w:bottom w:val="single" w:color="auto" w:sz="4" w:space="0"/>
              <w:right w:val="single" w:color="auto" w:sz="4" w:space="0"/>
            </w:tcBorders>
            <w:vAlign w:val="center"/>
          </w:tcPr>
          <w:p w14:paraId="43DCC63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环境卫生</w:t>
            </w:r>
          </w:p>
        </w:tc>
        <w:tc>
          <w:tcPr>
            <w:tcW w:w="616" w:type="dxa"/>
            <w:tcBorders>
              <w:top w:val="nil"/>
              <w:left w:val="nil"/>
              <w:bottom w:val="single" w:color="auto" w:sz="4" w:space="0"/>
              <w:right w:val="single" w:color="auto" w:sz="4" w:space="0"/>
            </w:tcBorders>
            <w:vAlign w:val="center"/>
          </w:tcPr>
          <w:p w14:paraId="2309F3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1A362D8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3823033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26CC973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DD993B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2CB8652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9CD6F0B">
        <w:tblPrEx>
          <w:tblCellMar>
            <w:top w:w="0" w:type="dxa"/>
            <w:left w:w="108" w:type="dxa"/>
            <w:bottom w:w="0" w:type="dxa"/>
            <w:right w:w="108" w:type="dxa"/>
          </w:tblCellMar>
        </w:tblPrEx>
        <w:trPr>
          <w:trHeight w:val="645" w:hRule="atLeast"/>
          <w:jc w:val="center"/>
        </w:trPr>
        <w:tc>
          <w:tcPr>
            <w:tcW w:w="525" w:type="dxa"/>
            <w:tcBorders>
              <w:top w:val="nil"/>
              <w:left w:val="single" w:color="auto" w:sz="4" w:space="0"/>
              <w:bottom w:val="single" w:color="auto" w:sz="4" w:space="0"/>
              <w:right w:val="single" w:color="auto" w:sz="4" w:space="0"/>
            </w:tcBorders>
            <w:vAlign w:val="center"/>
          </w:tcPr>
          <w:p w14:paraId="0DD774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203B7C7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种植绿带干净整洁，无垃圾，修剪后枝叶及时清理；无散落枝叶、石块、杂物堆积。</w:t>
            </w:r>
          </w:p>
        </w:tc>
        <w:tc>
          <w:tcPr>
            <w:tcW w:w="616" w:type="dxa"/>
            <w:tcBorders>
              <w:top w:val="nil"/>
              <w:left w:val="nil"/>
              <w:bottom w:val="single" w:color="auto" w:sz="4" w:space="0"/>
              <w:right w:val="single" w:color="auto" w:sz="4" w:space="0"/>
            </w:tcBorders>
            <w:vAlign w:val="center"/>
          </w:tcPr>
          <w:p w14:paraId="27879BE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6A7DDAB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4C6A83A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3BA2C33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47DB7F5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70D7E7C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4F19FB1">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0DCAFA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四</w:t>
            </w:r>
          </w:p>
        </w:tc>
        <w:tc>
          <w:tcPr>
            <w:tcW w:w="5500" w:type="dxa"/>
            <w:tcBorders>
              <w:top w:val="nil"/>
              <w:left w:val="nil"/>
              <w:bottom w:val="single" w:color="auto" w:sz="4" w:space="0"/>
              <w:right w:val="single" w:color="auto" w:sz="4" w:space="0"/>
            </w:tcBorders>
            <w:vAlign w:val="center"/>
          </w:tcPr>
          <w:p w14:paraId="4F801B3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附属设施</w:t>
            </w:r>
          </w:p>
        </w:tc>
        <w:tc>
          <w:tcPr>
            <w:tcW w:w="616" w:type="dxa"/>
            <w:tcBorders>
              <w:top w:val="nil"/>
              <w:left w:val="nil"/>
              <w:bottom w:val="single" w:color="auto" w:sz="4" w:space="0"/>
              <w:right w:val="single" w:color="auto" w:sz="4" w:space="0"/>
            </w:tcBorders>
            <w:vAlign w:val="center"/>
          </w:tcPr>
          <w:p w14:paraId="062ADA4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640" w:type="dxa"/>
            <w:tcBorders>
              <w:top w:val="nil"/>
              <w:left w:val="nil"/>
              <w:bottom w:val="single" w:color="auto" w:sz="4" w:space="0"/>
              <w:right w:val="single" w:color="auto" w:sz="4" w:space="0"/>
            </w:tcBorders>
            <w:vAlign w:val="center"/>
          </w:tcPr>
          <w:p w14:paraId="77A455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20" w:type="dxa"/>
            <w:tcBorders>
              <w:top w:val="nil"/>
              <w:left w:val="nil"/>
              <w:bottom w:val="single" w:color="auto" w:sz="4" w:space="0"/>
              <w:right w:val="single" w:color="auto" w:sz="4" w:space="0"/>
            </w:tcBorders>
            <w:vAlign w:val="center"/>
          </w:tcPr>
          <w:p w14:paraId="0394CCC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760" w:type="dxa"/>
            <w:tcBorders>
              <w:top w:val="nil"/>
              <w:left w:val="nil"/>
              <w:bottom w:val="single" w:color="auto" w:sz="4" w:space="0"/>
              <w:right w:val="single" w:color="auto" w:sz="4" w:space="0"/>
            </w:tcBorders>
            <w:vAlign w:val="center"/>
          </w:tcPr>
          <w:p w14:paraId="2E68492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80" w:type="dxa"/>
            <w:tcBorders>
              <w:top w:val="nil"/>
              <w:left w:val="nil"/>
              <w:bottom w:val="single" w:color="auto" w:sz="4" w:space="0"/>
              <w:right w:val="single" w:color="auto" w:sz="4" w:space="0"/>
            </w:tcBorders>
            <w:vAlign w:val="center"/>
          </w:tcPr>
          <w:p w14:paraId="0A4EBA0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699" w:type="dxa"/>
            <w:tcBorders>
              <w:top w:val="nil"/>
              <w:left w:val="nil"/>
              <w:bottom w:val="single" w:color="auto" w:sz="4" w:space="0"/>
              <w:right w:val="single" w:color="auto" w:sz="4" w:space="0"/>
            </w:tcBorders>
            <w:vAlign w:val="center"/>
          </w:tcPr>
          <w:p w14:paraId="6EDE880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675971E8">
        <w:tblPrEx>
          <w:tblCellMar>
            <w:top w:w="0" w:type="dxa"/>
            <w:left w:w="108" w:type="dxa"/>
            <w:bottom w:w="0" w:type="dxa"/>
            <w:right w:w="108" w:type="dxa"/>
          </w:tblCellMar>
        </w:tblPrEx>
        <w:trPr>
          <w:trHeight w:val="375" w:hRule="atLeast"/>
          <w:jc w:val="center"/>
        </w:trPr>
        <w:tc>
          <w:tcPr>
            <w:tcW w:w="525" w:type="dxa"/>
            <w:tcBorders>
              <w:top w:val="nil"/>
              <w:left w:val="single" w:color="auto" w:sz="4" w:space="0"/>
              <w:bottom w:val="single" w:color="auto" w:sz="4" w:space="0"/>
              <w:right w:val="single" w:color="auto" w:sz="4" w:space="0"/>
            </w:tcBorders>
            <w:vAlign w:val="center"/>
          </w:tcPr>
          <w:p w14:paraId="387660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179D785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设施完整，无损坏、滴漏等现象。</w:t>
            </w:r>
          </w:p>
        </w:tc>
        <w:tc>
          <w:tcPr>
            <w:tcW w:w="616" w:type="dxa"/>
            <w:tcBorders>
              <w:top w:val="nil"/>
              <w:left w:val="nil"/>
              <w:bottom w:val="single" w:color="auto" w:sz="4" w:space="0"/>
              <w:right w:val="single" w:color="auto" w:sz="4" w:space="0"/>
            </w:tcBorders>
            <w:vAlign w:val="center"/>
          </w:tcPr>
          <w:p w14:paraId="7C9EC55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2B7A3B8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20" w:type="dxa"/>
            <w:tcBorders>
              <w:top w:val="nil"/>
              <w:left w:val="nil"/>
              <w:bottom w:val="single" w:color="auto" w:sz="4" w:space="0"/>
              <w:right w:val="single" w:color="auto" w:sz="4" w:space="0"/>
            </w:tcBorders>
            <w:vAlign w:val="center"/>
          </w:tcPr>
          <w:p w14:paraId="62AF6B9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760" w:type="dxa"/>
            <w:tcBorders>
              <w:top w:val="nil"/>
              <w:left w:val="nil"/>
              <w:bottom w:val="single" w:color="auto" w:sz="4" w:space="0"/>
              <w:right w:val="single" w:color="auto" w:sz="4" w:space="0"/>
            </w:tcBorders>
            <w:vAlign w:val="center"/>
          </w:tcPr>
          <w:p w14:paraId="65DD1C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80" w:type="dxa"/>
            <w:tcBorders>
              <w:top w:val="nil"/>
              <w:left w:val="nil"/>
              <w:bottom w:val="single" w:color="auto" w:sz="4" w:space="0"/>
              <w:right w:val="single" w:color="auto" w:sz="4" w:space="0"/>
            </w:tcBorders>
            <w:vAlign w:val="center"/>
          </w:tcPr>
          <w:p w14:paraId="21ADB9E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699" w:type="dxa"/>
            <w:tcBorders>
              <w:top w:val="nil"/>
              <w:left w:val="nil"/>
              <w:bottom w:val="single" w:color="auto" w:sz="4" w:space="0"/>
              <w:right w:val="single" w:color="auto" w:sz="4" w:space="0"/>
            </w:tcBorders>
            <w:vAlign w:val="center"/>
          </w:tcPr>
          <w:p w14:paraId="70003BF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0455FE20">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6EE94F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5500" w:type="dxa"/>
            <w:tcBorders>
              <w:top w:val="nil"/>
              <w:left w:val="nil"/>
              <w:bottom w:val="single" w:color="auto" w:sz="4" w:space="0"/>
              <w:right w:val="single" w:color="auto" w:sz="4" w:space="0"/>
            </w:tcBorders>
          </w:tcPr>
          <w:p w14:paraId="0C130B74">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616" w:type="dxa"/>
            <w:tcBorders>
              <w:top w:val="nil"/>
              <w:left w:val="nil"/>
              <w:bottom w:val="single" w:color="auto" w:sz="4" w:space="0"/>
              <w:right w:val="single" w:color="auto" w:sz="4" w:space="0"/>
            </w:tcBorders>
            <w:vAlign w:val="center"/>
          </w:tcPr>
          <w:p w14:paraId="77A098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40" w:type="dxa"/>
            <w:tcBorders>
              <w:top w:val="nil"/>
              <w:left w:val="nil"/>
              <w:bottom w:val="single" w:color="auto" w:sz="4" w:space="0"/>
              <w:right w:val="single" w:color="auto" w:sz="4" w:space="0"/>
            </w:tcBorders>
            <w:vAlign w:val="bottom"/>
          </w:tcPr>
          <w:p w14:paraId="1DC918FE">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bottom"/>
          </w:tcPr>
          <w:p w14:paraId="55EBEC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4452C8B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136AA3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243367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r>
      <w:tr w14:paraId="6CC6DE95">
        <w:tblPrEx>
          <w:tblCellMar>
            <w:top w:w="0" w:type="dxa"/>
            <w:left w:w="108" w:type="dxa"/>
            <w:bottom w:w="0" w:type="dxa"/>
            <w:right w:w="108" w:type="dxa"/>
          </w:tblCellMar>
        </w:tblPrEx>
        <w:trPr>
          <w:trHeight w:val="780"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43698C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single" w:color="auto" w:sz="4" w:space="0"/>
              <w:left w:val="single" w:color="auto" w:sz="4" w:space="0"/>
              <w:bottom w:val="single" w:color="auto" w:sz="4" w:space="0"/>
              <w:right w:val="single" w:color="auto" w:sz="4" w:space="0"/>
            </w:tcBorders>
          </w:tcPr>
          <w:p w14:paraId="061BADA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无明显病虫危害和鼠害现象。病害每处（株）不超过10%。食叶害虫、刺吸式害虫的危害每处（株）不超过10%，无蛀干性害虫的活虫、活卵。</w:t>
            </w:r>
          </w:p>
        </w:tc>
        <w:tc>
          <w:tcPr>
            <w:tcW w:w="616" w:type="dxa"/>
            <w:tcBorders>
              <w:top w:val="single" w:color="auto" w:sz="4" w:space="0"/>
              <w:left w:val="single" w:color="auto" w:sz="4" w:space="0"/>
              <w:bottom w:val="single" w:color="auto" w:sz="4" w:space="0"/>
              <w:right w:val="single" w:color="auto" w:sz="4" w:space="0"/>
            </w:tcBorders>
            <w:vAlign w:val="center"/>
          </w:tcPr>
          <w:p w14:paraId="3D55FE8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7AB568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66326BB9">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3BFE260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40FD020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2AEE12F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DC7875A">
        <w:tblPrEx>
          <w:tblCellMar>
            <w:top w:w="0" w:type="dxa"/>
            <w:left w:w="108" w:type="dxa"/>
            <w:bottom w:w="0" w:type="dxa"/>
            <w:right w:w="108" w:type="dxa"/>
          </w:tblCellMar>
        </w:tblPrEx>
        <w:trPr>
          <w:trHeight w:val="345"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2C786F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5500" w:type="dxa"/>
            <w:tcBorders>
              <w:top w:val="single" w:color="auto" w:sz="4" w:space="0"/>
              <w:left w:val="single" w:color="auto" w:sz="4" w:space="0"/>
              <w:bottom w:val="single" w:color="auto" w:sz="4" w:space="0"/>
              <w:right w:val="single" w:color="auto" w:sz="4" w:space="0"/>
            </w:tcBorders>
            <w:vAlign w:val="bottom"/>
          </w:tcPr>
          <w:p w14:paraId="4631336A">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616" w:type="dxa"/>
            <w:tcBorders>
              <w:top w:val="single" w:color="auto" w:sz="4" w:space="0"/>
              <w:left w:val="single" w:color="auto" w:sz="4" w:space="0"/>
              <w:bottom w:val="single" w:color="auto" w:sz="4" w:space="0"/>
              <w:right w:val="single" w:color="auto" w:sz="4" w:space="0"/>
            </w:tcBorders>
            <w:vAlign w:val="center"/>
          </w:tcPr>
          <w:p w14:paraId="319D3B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1DC279D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30663B9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66B8407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51193E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7414D98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660D657">
        <w:tblPrEx>
          <w:tblCellMar>
            <w:top w:w="0" w:type="dxa"/>
            <w:left w:w="108" w:type="dxa"/>
            <w:bottom w:w="0" w:type="dxa"/>
            <w:right w:w="108" w:type="dxa"/>
          </w:tblCellMar>
        </w:tblPrEx>
        <w:trPr>
          <w:trHeight w:val="645"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6451D48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single" w:color="auto" w:sz="4" w:space="0"/>
              <w:left w:val="single" w:color="auto" w:sz="4" w:space="0"/>
              <w:bottom w:val="single" w:color="auto" w:sz="4" w:space="0"/>
              <w:right w:val="single" w:color="auto" w:sz="4" w:space="0"/>
            </w:tcBorders>
          </w:tcPr>
          <w:p w14:paraId="5C0ACC7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植株长势旺盛，无积水；非控水期叶子挺直，土壤不干裂；无淋水造成的苗木倒伏、枝叶损伤、黄土污染路面现象。</w:t>
            </w:r>
          </w:p>
        </w:tc>
        <w:tc>
          <w:tcPr>
            <w:tcW w:w="616" w:type="dxa"/>
            <w:tcBorders>
              <w:top w:val="single" w:color="auto" w:sz="4" w:space="0"/>
              <w:left w:val="single" w:color="auto" w:sz="4" w:space="0"/>
              <w:bottom w:val="single" w:color="auto" w:sz="4" w:space="0"/>
              <w:right w:val="single" w:color="auto" w:sz="4" w:space="0"/>
            </w:tcBorders>
            <w:vAlign w:val="center"/>
          </w:tcPr>
          <w:p w14:paraId="204555B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3D6D260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2447762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61B4441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285A1CA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74FA41F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6E0E92BC">
        <w:tblPrEx>
          <w:tblCellMar>
            <w:top w:w="0" w:type="dxa"/>
            <w:left w:w="108" w:type="dxa"/>
            <w:bottom w:w="0" w:type="dxa"/>
            <w:right w:w="108" w:type="dxa"/>
          </w:tblCellMar>
        </w:tblPrEx>
        <w:trPr>
          <w:trHeight w:val="331" w:hRule="atLeast"/>
          <w:jc w:val="center"/>
        </w:trPr>
        <w:tc>
          <w:tcPr>
            <w:tcW w:w="525" w:type="dxa"/>
            <w:tcBorders>
              <w:top w:val="single" w:color="auto" w:sz="4" w:space="0"/>
              <w:left w:val="single" w:color="auto" w:sz="4" w:space="0"/>
              <w:bottom w:val="single" w:color="auto" w:sz="4" w:space="0"/>
              <w:right w:val="single" w:color="auto" w:sz="4" w:space="0"/>
            </w:tcBorders>
          </w:tcPr>
          <w:p w14:paraId="4961B06F">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500" w:type="dxa"/>
            <w:tcBorders>
              <w:top w:val="single" w:color="auto" w:sz="4" w:space="0"/>
              <w:left w:val="nil"/>
              <w:bottom w:val="single" w:color="auto" w:sz="4" w:space="0"/>
              <w:right w:val="single" w:color="auto" w:sz="4" w:space="0"/>
            </w:tcBorders>
          </w:tcPr>
          <w:p w14:paraId="2D5C621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616" w:type="dxa"/>
            <w:tcBorders>
              <w:top w:val="single" w:color="auto" w:sz="4" w:space="0"/>
              <w:left w:val="nil"/>
              <w:bottom w:val="single" w:color="auto" w:sz="4" w:space="0"/>
              <w:right w:val="single" w:color="auto" w:sz="4" w:space="0"/>
            </w:tcBorders>
            <w:vAlign w:val="bottom"/>
          </w:tcPr>
          <w:p w14:paraId="37F745EA">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single" w:color="auto" w:sz="4" w:space="0"/>
              <w:left w:val="nil"/>
              <w:bottom w:val="single" w:color="auto" w:sz="4" w:space="0"/>
              <w:right w:val="single" w:color="auto" w:sz="4" w:space="0"/>
            </w:tcBorders>
            <w:vAlign w:val="bottom"/>
          </w:tcPr>
          <w:p w14:paraId="658222F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nil"/>
              <w:bottom w:val="single" w:color="auto" w:sz="4" w:space="0"/>
              <w:right w:val="single" w:color="auto" w:sz="4" w:space="0"/>
            </w:tcBorders>
            <w:vAlign w:val="bottom"/>
          </w:tcPr>
          <w:p w14:paraId="67D5EF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nil"/>
              <w:bottom w:val="single" w:color="auto" w:sz="4" w:space="0"/>
              <w:right w:val="single" w:color="auto" w:sz="4" w:space="0"/>
            </w:tcBorders>
            <w:vAlign w:val="center"/>
          </w:tcPr>
          <w:p w14:paraId="40102B0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nil"/>
              <w:bottom w:val="single" w:color="auto" w:sz="4" w:space="0"/>
              <w:right w:val="single" w:color="auto" w:sz="4" w:space="0"/>
            </w:tcBorders>
            <w:vAlign w:val="center"/>
          </w:tcPr>
          <w:p w14:paraId="67AF141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nil"/>
              <w:bottom w:val="single" w:color="auto" w:sz="4" w:space="0"/>
              <w:right w:val="single" w:color="auto" w:sz="4" w:space="0"/>
            </w:tcBorders>
            <w:vAlign w:val="center"/>
          </w:tcPr>
          <w:p w14:paraId="2CB6582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637E58CB">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15669FCC">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5C3E0CD5">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7096CD8F">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7DCC9F0B">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15671646">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3EDCF197">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sectPr>
          <w:pgSz w:w="11906" w:h="16838"/>
          <w:pgMar w:top="1474" w:right="1418" w:bottom="1474" w:left="1418" w:header="851" w:footer="992" w:gutter="0"/>
          <w:cols w:space="720" w:num="1"/>
          <w:docGrid w:type="linesAndChars" w:linePitch="312" w:charSpace="0"/>
        </w:sectPr>
      </w:pPr>
    </w:p>
    <w:p w14:paraId="36B9E3AD">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2.二级桥梁三角梅养护效果考核评分表</w:t>
      </w:r>
    </w:p>
    <w:tbl>
      <w:tblPr>
        <w:tblStyle w:val="20"/>
        <w:tblW w:w="9840" w:type="dxa"/>
        <w:jc w:val="center"/>
        <w:tblLayout w:type="fixed"/>
        <w:tblCellMar>
          <w:top w:w="0" w:type="dxa"/>
          <w:left w:w="108" w:type="dxa"/>
          <w:bottom w:w="0" w:type="dxa"/>
          <w:right w:w="108" w:type="dxa"/>
        </w:tblCellMar>
      </w:tblPr>
      <w:tblGrid>
        <w:gridCol w:w="525"/>
        <w:gridCol w:w="5500"/>
        <w:gridCol w:w="616"/>
        <w:gridCol w:w="640"/>
        <w:gridCol w:w="520"/>
        <w:gridCol w:w="760"/>
        <w:gridCol w:w="580"/>
        <w:gridCol w:w="699"/>
      </w:tblGrid>
      <w:tr w14:paraId="353DFE77">
        <w:tblPrEx>
          <w:tblCellMar>
            <w:top w:w="0" w:type="dxa"/>
            <w:left w:w="108" w:type="dxa"/>
            <w:bottom w:w="0" w:type="dxa"/>
            <w:right w:w="108" w:type="dxa"/>
          </w:tblCellMar>
        </w:tblPrEx>
        <w:trPr>
          <w:trHeight w:val="660" w:hRule="atLeast"/>
          <w:jc w:val="center"/>
        </w:trPr>
        <w:tc>
          <w:tcPr>
            <w:tcW w:w="525" w:type="dxa"/>
            <w:vAlign w:val="center"/>
          </w:tcPr>
          <w:p w14:paraId="5B62E8B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p>
        </w:tc>
        <w:tc>
          <w:tcPr>
            <w:tcW w:w="9315" w:type="dxa"/>
            <w:gridSpan w:val="7"/>
            <w:tcBorders>
              <w:top w:val="nil"/>
              <w:left w:val="nil"/>
              <w:bottom w:val="single" w:color="auto" w:sz="4" w:space="0"/>
              <w:right w:val="nil"/>
            </w:tcBorders>
            <w:vAlign w:val="center"/>
          </w:tcPr>
          <w:p w14:paraId="1F25972D">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评分人:</w:t>
            </w:r>
          </w:p>
        </w:tc>
      </w:tr>
      <w:tr w14:paraId="535F8658">
        <w:tblPrEx>
          <w:tblCellMar>
            <w:top w:w="0" w:type="dxa"/>
            <w:left w:w="108" w:type="dxa"/>
            <w:bottom w:w="0" w:type="dxa"/>
            <w:right w:w="108" w:type="dxa"/>
          </w:tblCellMar>
        </w:tblPrEx>
        <w:trPr>
          <w:trHeight w:val="540"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3124389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5500" w:type="dxa"/>
            <w:tcBorders>
              <w:top w:val="single" w:color="auto" w:sz="4" w:space="0"/>
              <w:left w:val="nil"/>
              <w:bottom w:val="single" w:color="auto" w:sz="4" w:space="0"/>
              <w:right w:val="single" w:color="auto" w:sz="4" w:space="0"/>
            </w:tcBorders>
            <w:vAlign w:val="center"/>
          </w:tcPr>
          <w:p w14:paraId="6DCBE95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内       容</w:t>
            </w:r>
          </w:p>
        </w:tc>
        <w:tc>
          <w:tcPr>
            <w:tcW w:w="616" w:type="dxa"/>
            <w:tcBorders>
              <w:top w:val="single" w:color="auto" w:sz="4" w:space="0"/>
              <w:left w:val="nil"/>
              <w:bottom w:val="single" w:color="auto" w:sz="4" w:space="0"/>
              <w:right w:val="single" w:color="auto" w:sz="4" w:space="0"/>
            </w:tcBorders>
            <w:vAlign w:val="center"/>
          </w:tcPr>
          <w:p w14:paraId="0F92AD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标准比例</w:t>
            </w:r>
          </w:p>
        </w:tc>
        <w:tc>
          <w:tcPr>
            <w:tcW w:w="640" w:type="dxa"/>
            <w:tcBorders>
              <w:top w:val="single" w:color="auto" w:sz="4" w:space="0"/>
              <w:left w:val="nil"/>
              <w:bottom w:val="single" w:color="auto" w:sz="4" w:space="0"/>
              <w:right w:val="single" w:color="auto" w:sz="4" w:space="0"/>
            </w:tcBorders>
            <w:vAlign w:val="center"/>
          </w:tcPr>
          <w:p w14:paraId="4603900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标准</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分</w:t>
            </w:r>
          </w:p>
        </w:tc>
        <w:tc>
          <w:tcPr>
            <w:tcW w:w="2559" w:type="dxa"/>
            <w:gridSpan w:val="4"/>
            <w:tcBorders>
              <w:top w:val="single" w:color="auto" w:sz="4" w:space="0"/>
              <w:left w:val="nil"/>
              <w:bottom w:val="single" w:color="auto" w:sz="4" w:space="0"/>
              <w:right w:val="single" w:color="auto" w:sz="4" w:space="0"/>
            </w:tcBorders>
            <w:vAlign w:val="center"/>
          </w:tcPr>
          <w:p w14:paraId="4A1C5C1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检查点</w:t>
            </w:r>
          </w:p>
        </w:tc>
      </w:tr>
      <w:tr w14:paraId="31055B69">
        <w:tblPrEx>
          <w:tblCellMar>
            <w:top w:w="0" w:type="dxa"/>
            <w:left w:w="108" w:type="dxa"/>
            <w:bottom w:w="0" w:type="dxa"/>
            <w:right w:w="108" w:type="dxa"/>
          </w:tblCellMar>
        </w:tblPrEx>
        <w:trPr>
          <w:trHeight w:val="345" w:hRule="atLeast"/>
          <w:jc w:val="center"/>
        </w:trPr>
        <w:tc>
          <w:tcPr>
            <w:tcW w:w="525" w:type="dxa"/>
            <w:tcBorders>
              <w:top w:val="nil"/>
              <w:left w:val="single" w:color="auto" w:sz="4" w:space="0"/>
              <w:bottom w:val="single" w:color="auto" w:sz="4" w:space="0"/>
              <w:right w:val="single" w:color="auto" w:sz="4" w:space="0"/>
            </w:tcBorders>
            <w:vAlign w:val="center"/>
          </w:tcPr>
          <w:p w14:paraId="5208231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一</w:t>
            </w:r>
          </w:p>
        </w:tc>
        <w:tc>
          <w:tcPr>
            <w:tcW w:w="5500" w:type="dxa"/>
            <w:tcBorders>
              <w:top w:val="nil"/>
              <w:left w:val="nil"/>
              <w:bottom w:val="single" w:color="auto" w:sz="4" w:space="0"/>
              <w:right w:val="single" w:color="auto" w:sz="4" w:space="0"/>
            </w:tcBorders>
            <w:vAlign w:val="center"/>
          </w:tcPr>
          <w:p w14:paraId="09B619F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整体效果</w:t>
            </w:r>
          </w:p>
        </w:tc>
        <w:tc>
          <w:tcPr>
            <w:tcW w:w="616" w:type="dxa"/>
            <w:tcBorders>
              <w:top w:val="nil"/>
              <w:left w:val="nil"/>
              <w:bottom w:val="single" w:color="auto" w:sz="4" w:space="0"/>
              <w:right w:val="single" w:color="auto" w:sz="4" w:space="0"/>
            </w:tcBorders>
            <w:vAlign w:val="center"/>
          </w:tcPr>
          <w:p w14:paraId="0FAC51C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4A49635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6FCCADE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1BAB390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69C22F6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501DED3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7DA6C15F">
        <w:tblPrEx>
          <w:tblCellMar>
            <w:top w:w="0" w:type="dxa"/>
            <w:left w:w="108" w:type="dxa"/>
            <w:bottom w:w="0" w:type="dxa"/>
            <w:right w:w="108" w:type="dxa"/>
          </w:tblCellMar>
        </w:tblPrEx>
        <w:trPr>
          <w:trHeight w:val="579" w:hRule="atLeast"/>
          <w:jc w:val="center"/>
        </w:trPr>
        <w:tc>
          <w:tcPr>
            <w:tcW w:w="525" w:type="dxa"/>
            <w:tcBorders>
              <w:top w:val="nil"/>
              <w:left w:val="single" w:color="auto" w:sz="4" w:space="0"/>
              <w:bottom w:val="single" w:color="auto" w:sz="4" w:space="0"/>
              <w:right w:val="single" w:color="auto" w:sz="4" w:space="0"/>
            </w:tcBorders>
            <w:vAlign w:val="center"/>
          </w:tcPr>
          <w:p w14:paraId="338D22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　</w:t>
            </w:r>
          </w:p>
        </w:tc>
        <w:tc>
          <w:tcPr>
            <w:tcW w:w="5500" w:type="dxa"/>
            <w:tcBorders>
              <w:top w:val="nil"/>
              <w:left w:val="nil"/>
              <w:bottom w:val="single" w:color="auto" w:sz="4" w:space="0"/>
              <w:right w:val="single" w:color="auto" w:sz="4" w:space="0"/>
            </w:tcBorders>
            <w:vAlign w:val="center"/>
          </w:tcPr>
          <w:p w14:paraId="09E22A0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整体景观效果良好。三角梅生长较好，适时开花，花开艳丽，植物干净无明显积尘。</w:t>
            </w:r>
          </w:p>
        </w:tc>
        <w:tc>
          <w:tcPr>
            <w:tcW w:w="616" w:type="dxa"/>
            <w:tcBorders>
              <w:top w:val="nil"/>
              <w:left w:val="nil"/>
              <w:bottom w:val="single" w:color="auto" w:sz="4" w:space="0"/>
              <w:right w:val="single" w:color="auto" w:sz="4" w:space="0"/>
            </w:tcBorders>
            <w:vAlign w:val="center"/>
          </w:tcPr>
          <w:p w14:paraId="38C016F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210BFB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0528A76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6F1104B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135177F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3E54206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06FE2FB">
        <w:tblPrEx>
          <w:tblCellMar>
            <w:top w:w="0" w:type="dxa"/>
            <w:left w:w="108" w:type="dxa"/>
            <w:bottom w:w="0" w:type="dxa"/>
            <w:right w:w="108" w:type="dxa"/>
          </w:tblCellMar>
        </w:tblPrEx>
        <w:trPr>
          <w:trHeight w:val="400" w:hRule="atLeast"/>
          <w:jc w:val="center"/>
        </w:trPr>
        <w:tc>
          <w:tcPr>
            <w:tcW w:w="525" w:type="dxa"/>
            <w:tcBorders>
              <w:top w:val="nil"/>
              <w:left w:val="single" w:color="auto" w:sz="4" w:space="0"/>
              <w:bottom w:val="single" w:color="auto" w:sz="4" w:space="0"/>
              <w:right w:val="single" w:color="auto" w:sz="4" w:space="0"/>
            </w:tcBorders>
            <w:vAlign w:val="center"/>
          </w:tcPr>
          <w:p w14:paraId="69D7F1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二</w:t>
            </w:r>
          </w:p>
        </w:tc>
        <w:tc>
          <w:tcPr>
            <w:tcW w:w="5500" w:type="dxa"/>
            <w:tcBorders>
              <w:top w:val="nil"/>
              <w:left w:val="nil"/>
              <w:bottom w:val="single" w:color="auto" w:sz="4" w:space="0"/>
              <w:right w:val="single" w:color="auto" w:sz="4" w:space="0"/>
            </w:tcBorders>
            <w:vAlign w:val="center"/>
          </w:tcPr>
          <w:p w14:paraId="56E8825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植株</w:t>
            </w:r>
          </w:p>
        </w:tc>
        <w:tc>
          <w:tcPr>
            <w:tcW w:w="616" w:type="dxa"/>
            <w:tcBorders>
              <w:top w:val="nil"/>
              <w:left w:val="nil"/>
              <w:bottom w:val="single" w:color="auto" w:sz="4" w:space="0"/>
              <w:right w:val="single" w:color="auto" w:sz="4" w:space="0"/>
            </w:tcBorders>
            <w:vAlign w:val="center"/>
          </w:tcPr>
          <w:p w14:paraId="675C1F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3F96294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62D06AC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6336E08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359407F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61F29C4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B548895">
        <w:tblPrEx>
          <w:tblCellMar>
            <w:top w:w="0" w:type="dxa"/>
            <w:left w:w="108" w:type="dxa"/>
            <w:bottom w:w="0" w:type="dxa"/>
            <w:right w:w="108" w:type="dxa"/>
          </w:tblCellMar>
        </w:tblPrEx>
        <w:trPr>
          <w:trHeight w:val="536" w:hRule="atLeast"/>
          <w:jc w:val="center"/>
        </w:trPr>
        <w:tc>
          <w:tcPr>
            <w:tcW w:w="525" w:type="dxa"/>
            <w:tcBorders>
              <w:top w:val="nil"/>
              <w:left w:val="single" w:color="auto" w:sz="4" w:space="0"/>
              <w:bottom w:val="single" w:color="auto" w:sz="4" w:space="0"/>
              <w:right w:val="single" w:color="auto" w:sz="4" w:space="0"/>
            </w:tcBorders>
            <w:vAlign w:val="center"/>
          </w:tcPr>
          <w:p w14:paraId="19DD427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30A4189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生长：生长较好，符合物候状况。植株无缺株、死株，叶色、叶形、大小正常，适时开花。</w:t>
            </w:r>
          </w:p>
        </w:tc>
        <w:tc>
          <w:tcPr>
            <w:tcW w:w="616" w:type="dxa"/>
            <w:tcBorders>
              <w:top w:val="nil"/>
              <w:left w:val="nil"/>
              <w:bottom w:val="single" w:color="auto" w:sz="4" w:space="0"/>
              <w:right w:val="single" w:color="auto" w:sz="4" w:space="0"/>
            </w:tcBorders>
            <w:vAlign w:val="center"/>
          </w:tcPr>
          <w:p w14:paraId="018F890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40%</w:t>
            </w:r>
          </w:p>
        </w:tc>
        <w:tc>
          <w:tcPr>
            <w:tcW w:w="640" w:type="dxa"/>
            <w:tcBorders>
              <w:top w:val="nil"/>
              <w:left w:val="nil"/>
              <w:bottom w:val="single" w:color="auto" w:sz="4" w:space="0"/>
              <w:right w:val="single" w:color="auto" w:sz="4" w:space="0"/>
            </w:tcBorders>
            <w:vAlign w:val="center"/>
          </w:tcPr>
          <w:p w14:paraId="6182085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706324B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666C837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00E9FDA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30D2767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15DC2D12">
        <w:tblPrEx>
          <w:tblCellMar>
            <w:top w:w="0" w:type="dxa"/>
            <w:left w:w="108" w:type="dxa"/>
            <w:bottom w:w="0" w:type="dxa"/>
            <w:right w:w="108" w:type="dxa"/>
          </w:tblCellMar>
        </w:tblPrEx>
        <w:trPr>
          <w:trHeight w:val="461" w:hRule="atLeast"/>
          <w:jc w:val="center"/>
        </w:trPr>
        <w:tc>
          <w:tcPr>
            <w:tcW w:w="525" w:type="dxa"/>
            <w:tcBorders>
              <w:top w:val="nil"/>
              <w:left w:val="single" w:color="auto" w:sz="4" w:space="0"/>
              <w:bottom w:val="single" w:color="auto" w:sz="4" w:space="0"/>
              <w:right w:val="single" w:color="auto" w:sz="4" w:space="0"/>
            </w:tcBorders>
            <w:vAlign w:val="center"/>
          </w:tcPr>
          <w:p w14:paraId="3C9BC02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5500" w:type="dxa"/>
            <w:tcBorders>
              <w:top w:val="nil"/>
              <w:left w:val="nil"/>
              <w:bottom w:val="single" w:color="auto" w:sz="4" w:space="0"/>
              <w:right w:val="single" w:color="auto" w:sz="4" w:space="0"/>
            </w:tcBorders>
            <w:vAlign w:val="center"/>
          </w:tcPr>
          <w:p w14:paraId="7B002F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修剪：造型整齐，按要求及时修剪。</w:t>
            </w:r>
          </w:p>
        </w:tc>
        <w:tc>
          <w:tcPr>
            <w:tcW w:w="616" w:type="dxa"/>
            <w:tcBorders>
              <w:top w:val="nil"/>
              <w:left w:val="nil"/>
              <w:bottom w:val="single" w:color="auto" w:sz="4" w:space="0"/>
              <w:right w:val="single" w:color="auto" w:sz="4" w:space="0"/>
            </w:tcBorders>
            <w:vAlign w:val="center"/>
          </w:tcPr>
          <w:p w14:paraId="6225779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30%</w:t>
            </w:r>
          </w:p>
        </w:tc>
        <w:tc>
          <w:tcPr>
            <w:tcW w:w="640" w:type="dxa"/>
            <w:tcBorders>
              <w:top w:val="nil"/>
              <w:left w:val="nil"/>
              <w:bottom w:val="single" w:color="auto" w:sz="4" w:space="0"/>
              <w:right w:val="single" w:color="auto" w:sz="4" w:space="0"/>
            </w:tcBorders>
            <w:vAlign w:val="center"/>
          </w:tcPr>
          <w:p w14:paraId="647608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7E6E5D9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16EDD5E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B076A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17B4E4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D2852E4">
        <w:tblPrEx>
          <w:tblCellMar>
            <w:top w:w="0" w:type="dxa"/>
            <w:left w:w="108" w:type="dxa"/>
            <w:bottom w:w="0" w:type="dxa"/>
            <w:right w:w="108" w:type="dxa"/>
          </w:tblCellMar>
        </w:tblPrEx>
        <w:trPr>
          <w:trHeight w:val="410" w:hRule="atLeast"/>
          <w:jc w:val="center"/>
        </w:trPr>
        <w:tc>
          <w:tcPr>
            <w:tcW w:w="525" w:type="dxa"/>
            <w:tcBorders>
              <w:top w:val="nil"/>
              <w:left w:val="single" w:color="auto" w:sz="4" w:space="0"/>
              <w:bottom w:val="single" w:color="auto" w:sz="4" w:space="0"/>
              <w:right w:val="single" w:color="auto" w:sz="4" w:space="0"/>
            </w:tcBorders>
            <w:vAlign w:val="center"/>
          </w:tcPr>
          <w:p w14:paraId="731F3BE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5500" w:type="dxa"/>
            <w:tcBorders>
              <w:top w:val="nil"/>
              <w:left w:val="nil"/>
              <w:bottom w:val="single" w:color="auto" w:sz="4" w:space="0"/>
              <w:right w:val="single" w:color="auto" w:sz="4" w:space="0"/>
            </w:tcBorders>
            <w:vAlign w:val="center"/>
          </w:tcPr>
          <w:p w14:paraId="2E9C816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钉挂物、干枯枝等：无明显干枯枝、伤残枝和黄叶。无明显钉挂物、铁丝等缠绕物。</w:t>
            </w:r>
          </w:p>
        </w:tc>
        <w:tc>
          <w:tcPr>
            <w:tcW w:w="616" w:type="dxa"/>
            <w:tcBorders>
              <w:top w:val="nil"/>
              <w:left w:val="nil"/>
              <w:bottom w:val="single" w:color="auto" w:sz="4" w:space="0"/>
              <w:right w:val="single" w:color="auto" w:sz="4" w:space="0"/>
            </w:tcBorders>
            <w:vAlign w:val="center"/>
          </w:tcPr>
          <w:p w14:paraId="4A59E8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w:t>
            </w:r>
          </w:p>
        </w:tc>
        <w:tc>
          <w:tcPr>
            <w:tcW w:w="640" w:type="dxa"/>
            <w:tcBorders>
              <w:top w:val="nil"/>
              <w:left w:val="nil"/>
              <w:bottom w:val="single" w:color="auto" w:sz="4" w:space="0"/>
              <w:right w:val="single" w:color="auto" w:sz="4" w:space="0"/>
            </w:tcBorders>
            <w:vAlign w:val="center"/>
          </w:tcPr>
          <w:p w14:paraId="28BDB2F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3E20CF0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469E11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0D8173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3C38C54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1D0CC7B">
        <w:tblPrEx>
          <w:tblCellMar>
            <w:top w:w="0" w:type="dxa"/>
            <w:left w:w="108" w:type="dxa"/>
            <w:bottom w:w="0" w:type="dxa"/>
            <w:right w:w="108" w:type="dxa"/>
          </w:tblCellMar>
        </w:tblPrEx>
        <w:trPr>
          <w:trHeight w:val="491" w:hRule="atLeast"/>
          <w:jc w:val="center"/>
        </w:trPr>
        <w:tc>
          <w:tcPr>
            <w:tcW w:w="525" w:type="dxa"/>
            <w:tcBorders>
              <w:top w:val="nil"/>
              <w:left w:val="single" w:color="auto" w:sz="4" w:space="0"/>
              <w:bottom w:val="single" w:color="auto" w:sz="4" w:space="0"/>
              <w:right w:val="single" w:color="auto" w:sz="4" w:space="0"/>
            </w:tcBorders>
            <w:vAlign w:val="center"/>
          </w:tcPr>
          <w:p w14:paraId="4CF96E5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5500" w:type="dxa"/>
            <w:tcBorders>
              <w:top w:val="nil"/>
              <w:left w:val="nil"/>
              <w:bottom w:val="single" w:color="auto" w:sz="4" w:space="0"/>
              <w:right w:val="single" w:color="auto" w:sz="4" w:space="0"/>
            </w:tcBorders>
            <w:vAlign w:val="center"/>
          </w:tcPr>
          <w:p w14:paraId="0B8E3F3F">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松土：土壤较平整，疏松通透，无明显积水。</w:t>
            </w:r>
          </w:p>
        </w:tc>
        <w:tc>
          <w:tcPr>
            <w:tcW w:w="616" w:type="dxa"/>
            <w:tcBorders>
              <w:top w:val="nil"/>
              <w:left w:val="nil"/>
              <w:bottom w:val="single" w:color="auto" w:sz="4" w:space="0"/>
              <w:right w:val="single" w:color="auto" w:sz="4" w:space="0"/>
            </w:tcBorders>
            <w:vAlign w:val="center"/>
          </w:tcPr>
          <w:p w14:paraId="7CA7752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640" w:type="dxa"/>
            <w:tcBorders>
              <w:top w:val="nil"/>
              <w:left w:val="nil"/>
              <w:bottom w:val="single" w:color="auto" w:sz="4" w:space="0"/>
              <w:right w:val="single" w:color="auto" w:sz="4" w:space="0"/>
            </w:tcBorders>
            <w:vAlign w:val="center"/>
          </w:tcPr>
          <w:p w14:paraId="2F58202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56C463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2512B08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60C1D69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236F397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E943CD1">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16E892F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三</w:t>
            </w:r>
          </w:p>
        </w:tc>
        <w:tc>
          <w:tcPr>
            <w:tcW w:w="5500" w:type="dxa"/>
            <w:tcBorders>
              <w:top w:val="nil"/>
              <w:left w:val="nil"/>
              <w:bottom w:val="single" w:color="auto" w:sz="4" w:space="0"/>
              <w:right w:val="single" w:color="auto" w:sz="4" w:space="0"/>
            </w:tcBorders>
            <w:vAlign w:val="center"/>
          </w:tcPr>
          <w:p w14:paraId="697D26B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环境卫生</w:t>
            </w:r>
          </w:p>
        </w:tc>
        <w:tc>
          <w:tcPr>
            <w:tcW w:w="616" w:type="dxa"/>
            <w:tcBorders>
              <w:top w:val="nil"/>
              <w:left w:val="nil"/>
              <w:bottom w:val="single" w:color="auto" w:sz="4" w:space="0"/>
              <w:right w:val="single" w:color="auto" w:sz="4" w:space="0"/>
            </w:tcBorders>
            <w:vAlign w:val="center"/>
          </w:tcPr>
          <w:p w14:paraId="0198544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nil"/>
              <w:left w:val="nil"/>
              <w:bottom w:val="single" w:color="auto" w:sz="4" w:space="0"/>
              <w:right w:val="single" w:color="auto" w:sz="4" w:space="0"/>
            </w:tcBorders>
            <w:vAlign w:val="center"/>
          </w:tcPr>
          <w:p w14:paraId="5DEAA34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794C665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09ED202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113CD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1708136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3D555D9">
        <w:tblPrEx>
          <w:tblCellMar>
            <w:top w:w="0" w:type="dxa"/>
            <w:left w:w="108" w:type="dxa"/>
            <w:bottom w:w="0" w:type="dxa"/>
            <w:right w:w="108" w:type="dxa"/>
          </w:tblCellMar>
        </w:tblPrEx>
        <w:trPr>
          <w:trHeight w:val="645" w:hRule="atLeast"/>
          <w:jc w:val="center"/>
        </w:trPr>
        <w:tc>
          <w:tcPr>
            <w:tcW w:w="525" w:type="dxa"/>
            <w:tcBorders>
              <w:top w:val="nil"/>
              <w:left w:val="single" w:color="auto" w:sz="4" w:space="0"/>
              <w:bottom w:val="single" w:color="auto" w:sz="4" w:space="0"/>
              <w:right w:val="single" w:color="auto" w:sz="4" w:space="0"/>
            </w:tcBorders>
            <w:vAlign w:val="center"/>
          </w:tcPr>
          <w:p w14:paraId="077066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44BC143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种植绿带干净整洁，无明显垃圾，修剪后枝叶及时清理；无明显散落枝叶、石块、杂物堆积。</w:t>
            </w:r>
          </w:p>
        </w:tc>
        <w:tc>
          <w:tcPr>
            <w:tcW w:w="616" w:type="dxa"/>
            <w:tcBorders>
              <w:top w:val="nil"/>
              <w:left w:val="nil"/>
              <w:bottom w:val="single" w:color="auto" w:sz="4" w:space="0"/>
              <w:right w:val="single" w:color="auto" w:sz="4" w:space="0"/>
            </w:tcBorders>
            <w:vAlign w:val="center"/>
          </w:tcPr>
          <w:p w14:paraId="279B316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45D6B05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center"/>
          </w:tcPr>
          <w:p w14:paraId="4E841B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56B2ACB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158EE27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39EC393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4B8261A8">
        <w:tblPrEx>
          <w:tblCellMar>
            <w:top w:w="0" w:type="dxa"/>
            <w:left w:w="108" w:type="dxa"/>
            <w:bottom w:w="0" w:type="dxa"/>
            <w:right w:w="108" w:type="dxa"/>
          </w:tblCellMar>
        </w:tblPrEx>
        <w:trPr>
          <w:trHeight w:val="645" w:hRule="atLeast"/>
          <w:jc w:val="center"/>
        </w:trPr>
        <w:tc>
          <w:tcPr>
            <w:tcW w:w="525" w:type="dxa"/>
            <w:tcBorders>
              <w:top w:val="nil"/>
              <w:left w:val="single" w:color="auto" w:sz="4" w:space="0"/>
              <w:bottom w:val="single" w:color="auto" w:sz="4" w:space="0"/>
              <w:right w:val="single" w:color="auto" w:sz="4" w:space="0"/>
            </w:tcBorders>
            <w:vAlign w:val="center"/>
          </w:tcPr>
          <w:p w14:paraId="78C325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四</w:t>
            </w:r>
          </w:p>
        </w:tc>
        <w:tc>
          <w:tcPr>
            <w:tcW w:w="5500" w:type="dxa"/>
            <w:tcBorders>
              <w:top w:val="nil"/>
              <w:left w:val="nil"/>
              <w:bottom w:val="single" w:color="auto" w:sz="4" w:space="0"/>
              <w:right w:val="single" w:color="auto" w:sz="4" w:space="0"/>
            </w:tcBorders>
            <w:vAlign w:val="center"/>
          </w:tcPr>
          <w:p w14:paraId="5DC8172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附属设施</w:t>
            </w:r>
          </w:p>
        </w:tc>
        <w:tc>
          <w:tcPr>
            <w:tcW w:w="616" w:type="dxa"/>
            <w:tcBorders>
              <w:top w:val="nil"/>
              <w:left w:val="nil"/>
              <w:bottom w:val="single" w:color="auto" w:sz="4" w:space="0"/>
              <w:right w:val="single" w:color="auto" w:sz="4" w:space="0"/>
            </w:tcBorders>
            <w:vAlign w:val="center"/>
          </w:tcPr>
          <w:p w14:paraId="505294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640" w:type="dxa"/>
            <w:tcBorders>
              <w:top w:val="nil"/>
              <w:left w:val="nil"/>
              <w:bottom w:val="single" w:color="auto" w:sz="4" w:space="0"/>
              <w:right w:val="single" w:color="auto" w:sz="4" w:space="0"/>
            </w:tcBorders>
            <w:vAlign w:val="center"/>
          </w:tcPr>
          <w:p w14:paraId="51C7EA7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20" w:type="dxa"/>
            <w:tcBorders>
              <w:top w:val="nil"/>
              <w:left w:val="nil"/>
              <w:bottom w:val="single" w:color="auto" w:sz="4" w:space="0"/>
              <w:right w:val="single" w:color="auto" w:sz="4" w:space="0"/>
            </w:tcBorders>
            <w:vAlign w:val="center"/>
          </w:tcPr>
          <w:p w14:paraId="39983D8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760" w:type="dxa"/>
            <w:tcBorders>
              <w:top w:val="nil"/>
              <w:left w:val="nil"/>
              <w:bottom w:val="single" w:color="auto" w:sz="4" w:space="0"/>
              <w:right w:val="single" w:color="auto" w:sz="4" w:space="0"/>
            </w:tcBorders>
            <w:vAlign w:val="center"/>
          </w:tcPr>
          <w:p w14:paraId="2A8362E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80" w:type="dxa"/>
            <w:tcBorders>
              <w:top w:val="nil"/>
              <w:left w:val="nil"/>
              <w:bottom w:val="single" w:color="auto" w:sz="4" w:space="0"/>
              <w:right w:val="single" w:color="auto" w:sz="4" w:space="0"/>
            </w:tcBorders>
            <w:vAlign w:val="center"/>
          </w:tcPr>
          <w:p w14:paraId="04E5B09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699" w:type="dxa"/>
            <w:tcBorders>
              <w:top w:val="nil"/>
              <w:left w:val="nil"/>
              <w:bottom w:val="single" w:color="auto" w:sz="4" w:space="0"/>
              <w:right w:val="single" w:color="auto" w:sz="4" w:space="0"/>
            </w:tcBorders>
            <w:vAlign w:val="center"/>
          </w:tcPr>
          <w:p w14:paraId="788626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439D1780">
        <w:tblPrEx>
          <w:tblCellMar>
            <w:top w:w="0" w:type="dxa"/>
            <w:left w:w="108" w:type="dxa"/>
            <w:bottom w:w="0" w:type="dxa"/>
            <w:right w:w="108" w:type="dxa"/>
          </w:tblCellMar>
        </w:tblPrEx>
        <w:trPr>
          <w:trHeight w:val="380" w:hRule="atLeast"/>
          <w:jc w:val="center"/>
        </w:trPr>
        <w:tc>
          <w:tcPr>
            <w:tcW w:w="525" w:type="dxa"/>
            <w:tcBorders>
              <w:top w:val="nil"/>
              <w:left w:val="single" w:color="auto" w:sz="4" w:space="0"/>
              <w:bottom w:val="single" w:color="auto" w:sz="4" w:space="0"/>
              <w:right w:val="single" w:color="auto" w:sz="4" w:space="0"/>
            </w:tcBorders>
            <w:vAlign w:val="center"/>
          </w:tcPr>
          <w:p w14:paraId="1DF226D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vAlign w:val="center"/>
          </w:tcPr>
          <w:p w14:paraId="78DAE885">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设施完整，无损坏、滴漏等现象。</w:t>
            </w:r>
          </w:p>
        </w:tc>
        <w:tc>
          <w:tcPr>
            <w:tcW w:w="616" w:type="dxa"/>
            <w:tcBorders>
              <w:top w:val="nil"/>
              <w:left w:val="nil"/>
              <w:bottom w:val="single" w:color="auto" w:sz="4" w:space="0"/>
              <w:right w:val="single" w:color="auto" w:sz="4" w:space="0"/>
            </w:tcBorders>
            <w:vAlign w:val="center"/>
          </w:tcPr>
          <w:p w14:paraId="11A69E7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center"/>
          </w:tcPr>
          <w:p w14:paraId="4A014FC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20" w:type="dxa"/>
            <w:tcBorders>
              <w:top w:val="nil"/>
              <w:left w:val="nil"/>
              <w:bottom w:val="single" w:color="auto" w:sz="4" w:space="0"/>
              <w:right w:val="single" w:color="auto" w:sz="4" w:space="0"/>
            </w:tcBorders>
            <w:vAlign w:val="center"/>
          </w:tcPr>
          <w:p w14:paraId="6569C9F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760" w:type="dxa"/>
            <w:tcBorders>
              <w:top w:val="nil"/>
              <w:left w:val="nil"/>
              <w:bottom w:val="single" w:color="auto" w:sz="4" w:space="0"/>
              <w:right w:val="single" w:color="auto" w:sz="4" w:space="0"/>
            </w:tcBorders>
            <w:vAlign w:val="center"/>
          </w:tcPr>
          <w:p w14:paraId="16CC1F4E">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580" w:type="dxa"/>
            <w:tcBorders>
              <w:top w:val="nil"/>
              <w:left w:val="nil"/>
              <w:bottom w:val="single" w:color="auto" w:sz="4" w:space="0"/>
              <w:right w:val="single" w:color="auto" w:sz="4" w:space="0"/>
            </w:tcBorders>
            <w:vAlign w:val="center"/>
          </w:tcPr>
          <w:p w14:paraId="58C5F9E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699" w:type="dxa"/>
            <w:tcBorders>
              <w:top w:val="nil"/>
              <w:left w:val="nil"/>
              <w:bottom w:val="single" w:color="auto" w:sz="4" w:space="0"/>
              <w:right w:val="single" w:color="auto" w:sz="4" w:space="0"/>
            </w:tcBorders>
            <w:vAlign w:val="center"/>
          </w:tcPr>
          <w:p w14:paraId="0D3324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r>
      <w:tr w14:paraId="4081B524">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3A4134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五</w:t>
            </w:r>
          </w:p>
        </w:tc>
        <w:tc>
          <w:tcPr>
            <w:tcW w:w="5500" w:type="dxa"/>
            <w:tcBorders>
              <w:top w:val="nil"/>
              <w:left w:val="nil"/>
              <w:bottom w:val="single" w:color="auto" w:sz="4" w:space="0"/>
              <w:right w:val="single" w:color="auto" w:sz="4" w:space="0"/>
            </w:tcBorders>
          </w:tcPr>
          <w:p w14:paraId="7942EEF2">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植物保护</w:t>
            </w:r>
          </w:p>
        </w:tc>
        <w:tc>
          <w:tcPr>
            <w:tcW w:w="616" w:type="dxa"/>
            <w:tcBorders>
              <w:top w:val="nil"/>
              <w:left w:val="nil"/>
              <w:bottom w:val="single" w:color="auto" w:sz="4" w:space="0"/>
              <w:right w:val="single" w:color="auto" w:sz="4" w:space="0"/>
            </w:tcBorders>
            <w:vAlign w:val="center"/>
          </w:tcPr>
          <w:p w14:paraId="71FE024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40" w:type="dxa"/>
            <w:tcBorders>
              <w:top w:val="nil"/>
              <w:left w:val="nil"/>
              <w:bottom w:val="single" w:color="auto" w:sz="4" w:space="0"/>
              <w:right w:val="single" w:color="auto" w:sz="4" w:space="0"/>
            </w:tcBorders>
            <w:vAlign w:val="bottom"/>
          </w:tcPr>
          <w:p w14:paraId="7A1466E9">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20" w:type="dxa"/>
            <w:tcBorders>
              <w:top w:val="nil"/>
              <w:left w:val="nil"/>
              <w:bottom w:val="single" w:color="auto" w:sz="4" w:space="0"/>
              <w:right w:val="single" w:color="auto" w:sz="4" w:space="0"/>
            </w:tcBorders>
            <w:vAlign w:val="bottom"/>
          </w:tcPr>
          <w:p w14:paraId="4B1CB7D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67B80C5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7A7C10C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2076256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w:t>
            </w:r>
          </w:p>
        </w:tc>
      </w:tr>
      <w:tr w14:paraId="7FF59051">
        <w:tblPrEx>
          <w:tblCellMar>
            <w:top w:w="0" w:type="dxa"/>
            <w:left w:w="108" w:type="dxa"/>
            <w:bottom w:w="0" w:type="dxa"/>
            <w:right w:w="108" w:type="dxa"/>
          </w:tblCellMar>
        </w:tblPrEx>
        <w:trPr>
          <w:trHeight w:val="360" w:hRule="atLeast"/>
          <w:jc w:val="center"/>
        </w:trPr>
        <w:tc>
          <w:tcPr>
            <w:tcW w:w="525" w:type="dxa"/>
            <w:tcBorders>
              <w:top w:val="nil"/>
              <w:left w:val="single" w:color="auto" w:sz="4" w:space="0"/>
              <w:bottom w:val="single" w:color="auto" w:sz="4" w:space="0"/>
              <w:right w:val="single" w:color="auto" w:sz="4" w:space="0"/>
            </w:tcBorders>
            <w:vAlign w:val="center"/>
          </w:tcPr>
          <w:p w14:paraId="1464E83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nil"/>
              <w:left w:val="nil"/>
              <w:bottom w:val="single" w:color="auto" w:sz="4" w:space="0"/>
              <w:right w:val="single" w:color="auto" w:sz="4" w:space="0"/>
            </w:tcBorders>
          </w:tcPr>
          <w:p w14:paraId="1016FCC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无明显病虫害和鼠害现象。病害每处（株）不超过15%。食叶害虫、刺吸式害虫的危害每处（株）不超过15%，无蛀干性害虫的活虫、活卵。</w:t>
            </w:r>
          </w:p>
        </w:tc>
        <w:tc>
          <w:tcPr>
            <w:tcW w:w="616" w:type="dxa"/>
            <w:tcBorders>
              <w:top w:val="nil"/>
              <w:left w:val="nil"/>
              <w:bottom w:val="single" w:color="auto" w:sz="4" w:space="0"/>
              <w:right w:val="single" w:color="auto" w:sz="4" w:space="0"/>
            </w:tcBorders>
            <w:vAlign w:val="center"/>
          </w:tcPr>
          <w:p w14:paraId="5F70D27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nil"/>
              <w:left w:val="nil"/>
              <w:bottom w:val="single" w:color="auto" w:sz="4" w:space="0"/>
              <w:right w:val="single" w:color="auto" w:sz="4" w:space="0"/>
            </w:tcBorders>
            <w:vAlign w:val="bottom"/>
          </w:tcPr>
          <w:p w14:paraId="4EA200C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nil"/>
              <w:left w:val="nil"/>
              <w:bottom w:val="single" w:color="auto" w:sz="4" w:space="0"/>
              <w:right w:val="single" w:color="auto" w:sz="4" w:space="0"/>
            </w:tcBorders>
            <w:vAlign w:val="bottom"/>
          </w:tcPr>
          <w:p w14:paraId="2EA9FE4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nil"/>
              <w:left w:val="nil"/>
              <w:bottom w:val="single" w:color="auto" w:sz="4" w:space="0"/>
              <w:right w:val="single" w:color="auto" w:sz="4" w:space="0"/>
            </w:tcBorders>
            <w:vAlign w:val="center"/>
          </w:tcPr>
          <w:p w14:paraId="40390AE2">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nil"/>
              <w:left w:val="nil"/>
              <w:bottom w:val="single" w:color="auto" w:sz="4" w:space="0"/>
              <w:right w:val="single" w:color="auto" w:sz="4" w:space="0"/>
            </w:tcBorders>
            <w:vAlign w:val="center"/>
          </w:tcPr>
          <w:p w14:paraId="28BEAE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nil"/>
              <w:left w:val="nil"/>
              <w:bottom w:val="single" w:color="auto" w:sz="4" w:space="0"/>
              <w:right w:val="single" w:color="auto" w:sz="4" w:space="0"/>
            </w:tcBorders>
            <w:vAlign w:val="center"/>
          </w:tcPr>
          <w:p w14:paraId="3EBC2EE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6698D8E">
        <w:tblPrEx>
          <w:tblCellMar>
            <w:top w:w="0" w:type="dxa"/>
            <w:left w:w="108" w:type="dxa"/>
            <w:bottom w:w="0" w:type="dxa"/>
            <w:right w:w="108" w:type="dxa"/>
          </w:tblCellMar>
        </w:tblPrEx>
        <w:trPr>
          <w:trHeight w:val="491"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7B60ECFB">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w:t>
            </w:r>
          </w:p>
        </w:tc>
        <w:tc>
          <w:tcPr>
            <w:tcW w:w="5500" w:type="dxa"/>
            <w:tcBorders>
              <w:top w:val="single" w:color="auto" w:sz="4" w:space="0"/>
              <w:left w:val="single" w:color="auto" w:sz="4" w:space="0"/>
              <w:bottom w:val="single" w:color="auto" w:sz="4" w:space="0"/>
              <w:right w:val="single" w:color="auto" w:sz="4" w:space="0"/>
            </w:tcBorders>
            <w:vAlign w:val="center"/>
          </w:tcPr>
          <w:p w14:paraId="78CACBD2">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淋水</w:t>
            </w:r>
          </w:p>
        </w:tc>
        <w:tc>
          <w:tcPr>
            <w:tcW w:w="616" w:type="dxa"/>
            <w:tcBorders>
              <w:top w:val="single" w:color="auto" w:sz="4" w:space="0"/>
              <w:left w:val="single" w:color="auto" w:sz="4" w:space="0"/>
              <w:bottom w:val="single" w:color="auto" w:sz="4" w:space="0"/>
              <w:right w:val="single" w:color="auto" w:sz="4" w:space="0"/>
            </w:tcBorders>
            <w:vAlign w:val="center"/>
          </w:tcPr>
          <w:p w14:paraId="4D74325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640" w:type="dxa"/>
            <w:tcBorders>
              <w:top w:val="single" w:color="auto" w:sz="4" w:space="0"/>
              <w:left w:val="single" w:color="auto" w:sz="4" w:space="0"/>
              <w:bottom w:val="single" w:color="auto" w:sz="4" w:space="0"/>
              <w:right w:val="single" w:color="auto" w:sz="4" w:space="0"/>
            </w:tcBorders>
            <w:vAlign w:val="center"/>
          </w:tcPr>
          <w:p w14:paraId="2E9D0C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520" w:type="dxa"/>
            <w:tcBorders>
              <w:top w:val="single" w:color="auto" w:sz="4" w:space="0"/>
              <w:left w:val="single" w:color="auto" w:sz="4" w:space="0"/>
              <w:bottom w:val="single" w:color="auto" w:sz="4" w:space="0"/>
              <w:right w:val="single" w:color="auto" w:sz="4" w:space="0"/>
            </w:tcBorders>
            <w:vAlign w:val="center"/>
          </w:tcPr>
          <w:p w14:paraId="393887E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60" w:type="dxa"/>
            <w:tcBorders>
              <w:top w:val="single" w:color="auto" w:sz="4" w:space="0"/>
              <w:left w:val="single" w:color="auto" w:sz="4" w:space="0"/>
              <w:bottom w:val="single" w:color="auto" w:sz="4" w:space="0"/>
              <w:right w:val="single" w:color="auto" w:sz="4" w:space="0"/>
            </w:tcBorders>
            <w:vAlign w:val="center"/>
          </w:tcPr>
          <w:p w14:paraId="5ECB81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125093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699" w:type="dxa"/>
            <w:tcBorders>
              <w:top w:val="single" w:color="auto" w:sz="4" w:space="0"/>
              <w:left w:val="single" w:color="auto" w:sz="4" w:space="0"/>
              <w:bottom w:val="single" w:color="auto" w:sz="4" w:space="0"/>
              <w:right w:val="single" w:color="auto" w:sz="4" w:space="0"/>
            </w:tcBorders>
            <w:vAlign w:val="center"/>
          </w:tcPr>
          <w:p w14:paraId="6BEB8B6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4C43DF19">
        <w:tblPrEx>
          <w:tblCellMar>
            <w:top w:w="0" w:type="dxa"/>
            <w:left w:w="108" w:type="dxa"/>
            <w:bottom w:w="0" w:type="dxa"/>
            <w:right w:w="108" w:type="dxa"/>
          </w:tblCellMar>
        </w:tblPrEx>
        <w:trPr>
          <w:trHeight w:val="345" w:hRule="atLeast"/>
          <w:jc w:val="center"/>
        </w:trPr>
        <w:tc>
          <w:tcPr>
            <w:tcW w:w="525" w:type="dxa"/>
            <w:tcBorders>
              <w:top w:val="single" w:color="auto" w:sz="4" w:space="0"/>
              <w:left w:val="single" w:color="auto" w:sz="4" w:space="0"/>
              <w:bottom w:val="single" w:color="auto" w:sz="4" w:space="0"/>
              <w:right w:val="single" w:color="auto" w:sz="4" w:space="0"/>
            </w:tcBorders>
            <w:vAlign w:val="center"/>
          </w:tcPr>
          <w:p w14:paraId="74259DA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5500" w:type="dxa"/>
            <w:tcBorders>
              <w:top w:val="single" w:color="auto" w:sz="4" w:space="0"/>
              <w:left w:val="single" w:color="auto" w:sz="4" w:space="0"/>
              <w:bottom w:val="single" w:color="auto" w:sz="4" w:space="0"/>
              <w:right w:val="single" w:color="auto" w:sz="4" w:space="0"/>
            </w:tcBorders>
          </w:tcPr>
          <w:p w14:paraId="22C75AD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植株长势良好，无积水；非控水期叶子挺直，土壤不干裂；无淋水造成的苗木倒伏、枝叶损伤、黄土污染路面现象。</w:t>
            </w:r>
          </w:p>
        </w:tc>
        <w:tc>
          <w:tcPr>
            <w:tcW w:w="616" w:type="dxa"/>
            <w:tcBorders>
              <w:top w:val="single" w:color="auto" w:sz="4" w:space="0"/>
              <w:left w:val="single" w:color="auto" w:sz="4" w:space="0"/>
              <w:bottom w:val="single" w:color="auto" w:sz="4" w:space="0"/>
              <w:right w:val="single" w:color="auto" w:sz="4" w:space="0"/>
            </w:tcBorders>
            <w:vAlign w:val="center"/>
          </w:tcPr>
          <w:p w14:paraId="26D2E03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w:t>
            </w:r>
          </w:p>
        </w:tc>
        <w:tc>
          <w:tcPr>
            <w:tcW w:w="640" w:type="dxa"/>
            <w:tcBorders>
              <w:top w:val="single" w:color="auto" w:sz="4" w:space="0"/>
              <w:left w:val="single" w:color="auto" w:sz="4" w:space="0"/>
              <w:bottom w:val="single" w:color="auto" w:sz="4" w:space="0"/>
              <w:right w:val="single" w:color="auto" w:sz="4" w:space="0"/>
            </w:tcBorders>
            <w:vAlign w:val="bottom"/>
          </w:tcPr>
          <w:p w14:paraId="5A51F8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394CED8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627674CC">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2F7F53F0">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63D835C6">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5651930D">
        <w:tblPrEx>
          <w:tblCellMar>
            <w:top w:w="0" w:type="dxa"/>
            <w:left w:w="108" w:type="dxa"/>
            <w:bottom w:w="0" w:type="dxa"/>
            <w:right w:w="108" w:type="dxa"/>
          </w:tblCellMar>
        </w:tblPrEx>
        <w:trPr>
          <w:trHeight w:val="645" w:hRule="atLeast"/>
          <w:jc w:val="center"/>
        </w:trPr>
        <w:tc>
          <w:tcPr>
            <w:tcW w:w="525" w:type="dxa"/>
            <w:tcBorders>
              <w:top w:val="single" w:color="auto" w:sz="4" w:space="0"/>
              <w:left w:val="single" w:color="auto" w:sz="4" w:space="0"/>
              <w:bottom w:val="single" w:color="auto" w:sz="4" w:space="0"/>
              <w:right w:val="single" w:color="auto" w:sz="4" w:space="0"/>
            </w:tcBorders>
          </w:tcPr>
          <w:p w14:paraId="7BD1FBD1">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500" w:type="dxa"/>
            <w:tcBorders>
              <w:top w:val="single" w:color="auto" w:sz="4" w:space="0"/>
              <w:left w:val="single" w:color="auto" w:sz="4" w:space="0"/>
              <w:bottom w:val="single" w:color="auto" w:sz="4" w:space="0"/>
              <w:right w:val="single" w:color="auto" w:sz="4" w:space="0"/>
            </w:tcBorders>
            <w:vAlign w:val="center"/>
          </w:tcPr>
          <w:p w14:paraId="2796D0CE">
            <w:pPr>
              <w:keepNext w:val="0"/>
              <w:keepLines w:val="0"/>
              <w:pageBreakBefore w:val="0"/>
              <w:widowControl/>
              <w:kinsoku/>
              <w:overflowPunct/>
              <w:topLinePunct w:val="0"/>
              <w:bidi w:val="0"/>
              <w:snapToGrid/>
              <w:spacing w:line="360" w:lineRule="auto"/>
              <w:outlineLvl w:val="9"/>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616" w:type="dxa"/>
            <w:tcBorders>
              <w:top w:val="single" w:color="auto" w:sz="4" w:space="0"/>
              <w:left w:val="single" w:color="auto" w:sz="4" w:space="0"/>
              <w:bottom w:val="single" w:color="auto" w:sz="4" w:space="0"/>
              <w:right w:val="single" w:color="auto" w:sz="4" w:space="0"/>
            </w:tcBorders>
            <w:vAlign w:val="bottom"/>
          </w:tcPr>
          <w:p w14:paraId="78503EC5">
            <w:pPr>
              <w:keepNext w:val="0"/>
              <w:keepLines w:val="0"/>
              <w:pageBreakBefore w:val="0"/>
              <w:widowControl/>
              <w:kinsoku/>
              <w:overflowPunct/>
              <w:topLinePunct w:val="0"/>
              <w:bidi w:val="0"/>
              <w:snapToGrid/>
              <w:spacing w:line="360" w:lineRule="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40" w:type="dxa"/>
            <w:tcBorders>
              <w:top w:val="single" w:color="auto" w:sz="4" w:space="0"/>
              <w:left w:val="single" w:color="auto" w:sz="4" w:space="0"/>
              <w:bottom w:val="single" w:color="auto" w:sz="4" w:space="0"/>
              <w:right w:val="single" w:color="auto" w:sz="4" w:space="0"/>
            </w:tcBorders>
            <w:vAlign w:val="bottom"/>
          </w:tcPr>
          <w:p w14:paraId="211102E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20" w:type="dxa"/>
            <w:tcBorders>
              <w:top w:val="single" w:color="auto" w:sz="4" w:space="0"/>
              <w:left w:val="single" w:color="auto" w:sz="4" w:space="0"/>
              <w:bottom w:val="single" w:color="auto" w:sz="4" w:space="0"/>
              <w:right w:val="single" w:color="auto" w:sz="4" w:space="0"/>
            </w:tcBorders>
            <w:vAlign w:val="bottom"/>
          </w:tcPr>
          <w:p w14:paraId="2D1D9421">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760" w:type="dxa"/>
            <w:tcBorders>
              <w:top w:val="single" w:color="auto" w:sz="4" w:space="0"/>
              <w:left w:val="single" w:color="auto" w:sz="4" w:space="0"/>
              <w:bottom w:val="single" w:color="auto" w:sz="4" w:space="0"/>
              <w:right w:val="single" w:color="auto" w:sz="4" w:space="0"/>
            </w:tcBorders>
            <w:vAlign w:val="center"/>
          </w:tcPr>
          <w:p w14:paraId="2E3B536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580" w:type="dxa"/>
            <w:tcBorders>
              <w:top w:val="single" w:color="auto" w:sz="4" w:space="0"/>
              <w:left w:val="single" w:color="auto" w:sz="4" w:space="0"/>
              <w:bottom w:val="single" w:color="auto" w:sz="4" w:space="0"/>
              <w:right w:val="single" w:color="auto" w:sz="4" w:space="0"/>
            </w:tcBorders>
            <w:vAlign w:val="center"/>
          </w:tcPr>
          <w:p w14:paraId="38A01A14">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699" w:type="dxa"/>
            <w:tcBorders>
              <w:top w:val="single" w:color="auto" w:sz="4" w:space="0"/>
              <w:left w:val="single" w:color="auto" w:sz="4" w:space="0"/>
              <w:bottom w:val="single" w:color="auto" w:sz="4" w:space="0"/>
              <w:right w:val="single" w:color="auto" w:sz="4" w:space="0"/>
            </w:tcBorders>
            <w:vAlign w:val="center"/>
          </w:tcPr>
          <w:p w14:paraId="0EAF8273">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bl>
    <w:p w14:paraId="0B656C1C">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634C4B8E">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p>
    <w:p w14:paraId="4B30B907">
      <w:pPr>
        <w:keepNext w:val="0"/>
        <w:keepLines w:val="0"/>
        <w:pageBreakBefore w:val="0"/>
        <w:kinsoku/>
        <w:overflowPunct/>
        <w:topLinePunct w:val="0"/>
        <w:bidi w:val="0"/>
        <w:snapToGrid/>
        <w:spacing w:line="360" w:lineRule="auto"/>
        <w:jc w:val="left"/>
        <w:outlineLvl w:val="9"/>
        <w:rPr>
          <w:rFonts w:hint="eastAsia" w:ascii="宋体" w:hAnsi="宋体" w:eastAsia="宋体" w:cs="宋体"/>
          <w:b/>
          <w:bCs/>
          <w:color w:val="auto"/>
          <w:sz w:val="24"/>
          <w:szCs w:val="24"/>
          <w:highlight w:val="none"/>
        </w:rPr>
      </w:pPr>
    </w:p>
    <w:p w14:paraId="380F7606">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101C3AFB">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06982E1C">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7D33B54D">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10CB18DF">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41E6189A">
      <w:pPr>
        <w:keepNext w:val="0"/>
        <w:keepLines w:val="0"/>
        <w:pageBreakBefore w:val="0"/>
        <w:kinsoku/>
        <w:overflowPunct/>
        <w:topLinePunct w:val="0"/>
        <w:bidi w:val="0"/>
        <w:snapToGrid/>
        <w:spacing w:line="360" w:lineRule="auto"/>
        <w:ind w:firstLine="630" w:firstLineChars="300"/>
        <w:outlineLvl w:val="9"/>
        <w:rPr>
          <w:rFonts w:ascii="宋体" w:hAnsi="宋体" w:cs="宋体"/>
          <w:color w:val="auto"/>
          <w:highlight w:val="none"/>
        </w:rPr>
      </w:pPr>
    </w:p>
    <w:p w14:paraId="730ADDF7">
      <w:pPr>
        <w:keepNext w:val="0"/>
        <w:keepLines w:val="0"/>
        <w:pageBreakBefore w:val="0"/>
        <w:kinsoku/>
        <w:overflowPunct/>
        <w:topLinePunct w:val="0"/>
        <w:bidi w:val="0"/>
        <w:snapToGrid/>
        <w:spacing w:line="360" w:lineRule="auto"/>
        <w:outlineLvl w:val="9"/>
        <w:rPr>
          <w:rFonts w:ascii="宋体" w:hAnsi="宋体" w:cs="宋体"/>
          <w:color w:val="auto"/>
          <w:highlight w:val="none"/>
        </w:rPr>
      </w:pPr>
    </w:p>
    <w:p w14:paraId="18CC7EA6">
      <w:pPr>
        <w:keepNext w:val="0"/>
        <w:keepLines w:val="0"/>
        <w:pageBreakBefore w:val="0"/>
        <w:kinsoku/>
        <w:overflowPunct/>
        <w:topLinePunct w:val="0"/>
        <w:bidi w:val="0"/>
        <w:snapToGrid/>
        <w:spacing w:line="360" w:lineRule="auto"/>
        <w:outlineLvl w:val="9"/>
        <w:rPr>
          <w:rFonts w:hint="eastAsia" w:ascii="黑体" w:hAnsi="黑体" w:eastAsia="黑体" w:cs="宋体"/>
          <w:color w:val="auto"/>
          <w:sz w:val="32"/>
          <w:szCs w:val="32"/>
          <w:highlight w:val="none"/>
        </w:rPr>
        <w:sectPr>
          <w:pgSz w:w="11906" w:h="16838"/>
          <w:pgMar w:top="1474" w:right="1418" w:bottom="1474" w:left="1418" w:header="851" w:footer="992" w:gutter="0"/>
          <w:cols w:space="720" w:num="1"/>
          <w:docGrid w:type="linesAndChars" w:linePitch="312" w:charSpace="0"/>
        </w:sectPr>
      </w:pPr>
    </w:p>
    <w:p w14:paraId="634E680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黑体" w:hAnsi="黑体" w:eastAsia="黑体" w:cs="宋体"/>
          <w:color w:val="auto"/>
          <w:sz w:val="32"/>
          <w:szCs w:val="32"/>
          <w:highlight w:val="none"/>
          <w:lang w:val="en-US" w:eastAsia="zh-CN"/>
        </w:rPr>
      </w:pPr>
      <w:bookmarkStart w:id="152" w:name="_Toc5710"/>
      <w:r>
        <w:rPr>
          <w:rFonts w:hint="eastAsia" w:ascii="黑体" w:hAnsi="黑体" w:eastAsia="黑体" w:cs="宋体"/>
          <w:color w:val="auto"/>
          <w:sz w:val="32"/>
          <w:szCs w:val="32"/>
          <w:highlight w:val="none"/>
        </w:rPr>
        <w:t>附件</w:t>
      </w:r>
      <w:r>
        <w:rPr>
          <w:rFonts w:hint="eastAsia" w:ascii="黑体" w:hAnsi="黑体" w:eastAsia="黑体" w:cs="宋体"/>
          <w:color w:val="auto"/>
          <w:sz w:val="32"/>
          <w:szCs w:val="32"/>
          <w:highlight w:val="none"/>
          <w:lang w:val="en-US" w:eastAsia="zh-CN"/>
        </w:rPr>
        <w:t>3-3：南宁市绿化工程管理中心道路绿化养护安全管理办法（2024版）</w:t>
      </w:r>
      <w:bookmarkEnd w:id="152"/>
    </w:p>
    <w:p w14:paraId="29EE664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黑体" w:hAnsi="黑体" w:eastAsia="黑体" w:cs="宋体"/>
          <w:color w:val="auto"/>
          <w:sz w:val="32"/>
          <w:szCs w:val="32"/>
          <w:highlight w:val="none"/>
          <w:lang w:val="en-US" w:eastAsia="zh-CN"/>
        </w:rPr>
      </w:pPr>
    </w:p>
    <w:p w14:paraId="30A8E8BF">
      <w:pPr>
        <w:keepNext w:val="0"/>
        <w:keepLines w:val="0"/>
        <w:pageBreakBefore w:val="0"/>
        <w:kinsoku/>
        <w:overflowPunct/>
        <w:topLinePunct w:val="0"/>
        <w:bidi w:val="0"/>
        <w:snapToGrid/>
        <w:spacing w:line="360" w:lineRule="auto"/>
        <w:ind w:firstLine="862" w:firstLineChars="196"/>
        <w:jc w:val="center"/>
        <w:outlineLvl w:val="9"/>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南宁市绿化工程管理中心</w:t>
      </w:r>
    </w:p>
    <w:p w14:paraId="7B3B6108">
      <w:pPr>
        <w:keepNext w:val="0"/>
        <w:keepLines w:val="0"/>
        <w:pageBreakBefore w:val="0"/>
        <w:kinsoku/>
        <w:overflowPunct/>
        <w:topLinePunct w:val="0"/>
        <w:bidi w:val="0"/>
        <w:snapToGrid/>
        <w:spacing w:line="360" w:lineRule="auto"/>
        <w:ind w:firstLine="862" w:firstLineChars="196"/>
        <w:jc w:val="center"/>
        <w:outlineLvl w:val="9"/>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道路绿化养护安全管理办法（202</w:t>
      </w:r>
      <w:r>
        <w:rPr>
          <w:rFonts w:hint="eastAsia" w:ascii="方正小标宋简体" w:hAnsi="方正小标宋简体" w:eastAsia="方正小标宋简体" w:cs="方正小标宋简体"/>
          <w:color w:val="auto"/>
          <w:sz w:val="44"/>
          <w:szCs w:val="44"/>
          <w:highlight w:val="none"/>
          <w:lang w:val="en-US" w:eastAsia="zh-CN"/>
        </w:rPr>
        <w:t>4</w:t>
      </w:r>
      <w:r>
        <w:rPr>
          <w:rFonts w:hint="eastAsia" w:ascii="方正小标宋简体" w:hAnsi="方正小标宋简体" w:eastAsia="方正小标宋简体" w:cs="方正小标宋简体"/>
          <w:color w:val="auto"/>
          <w:sz w:val="44"/>
          <w:szCs w:val="44"/>
          <w:highlight w:val="none"/>
        </w:rPr>
        <w:t>版）</w:t>
      </w:r>
    </w:p>
    <w:p w14:paraId="51B9A29A">
      <w:pPr>
        <w:keepNext w:val="0"/>
        <w:keepLines w:val="0"/>
        <w:pageBreakBefore w:val="0"/>
        <w:kinsoku/>
        <w:wordWrap w:val="0"/>
        <w:overflowPunct/>
        <w:topLinePunct w:val="0"/>
        <w:bidi w:val="0"/>
        <w:snapToGrid/>
        <w:spacing w:line="360" w:lineRule="auto"/>
        <w:ind w:left="945" w:right="105" w:firstLine="880" w:firstLineChars="200"/>
        <w:jc w:val="right"/>
        <w:outlineLvl w:val="9"/>
        <w:rPr>
          <w:rFonts w:ascii="方正小标宋_GBK" w:hAnsi="宋体" w:eastAsia="方正小标宋_GBK" w:cs="宋体"/>
          <w:b/>
          <w:color w:val="auto"/>
          <w:sz w:val="44"/>
          <w:szCs w:val="44"/>
          <w:highlight w:val="none"/>
        </w:rPr>
      </w:pPr>
    </w:p>
    <w:p w14:paraId="19AF3BAB">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为加强本单位安全生产工作，保证绿化养护生产作业的安全，根据国家有关安全生产的法规，结合南宁市绿化工程管理中心(以下简称绿管中心）的实际情况制订本办法。</w:t>
      </w:r>
    </w:p>
    <w:p w14:paraId="6EB7CACD">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一、养护作业时间</w:t>
      </w:r>
    </w:p>
    <w:p w14:paraId="14066387">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道路绿化养护占道作业应避开上下班高峰期，并积极配合交警部门做好交通疏导工作。</w:t>
      </w:r>
    </w:p>
    <w:p w14:paraId="00DDEA31">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二、养护作业人员</w:t>
      </w:r>
    </w:p>
    <w:p w14:paraId="624DAA9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（一）养护单位必须对作业人员进行岗前安全培训，使其具备必要的安全生产作业知识，熟悉安全生产的法规和安全操作规程，掌握本岗位的安全操作技能。</w:t>
      </w:r>
    </w:p>
    <w:p w14:paraId="355F4326">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（二）道路绿化养护人员须注意交通安全。工作期间及上下班途中须遵守《中华人民共和国道路交通安全法》。</w:t>
      </w:r>
    </w:p>
    <w:p w14:paraId="55161005">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（三）作业人员严禁酒后作业，严禁在车行道、分车带区域内工间休息、吃饭等。</w:t>
      </w:r>
    </w:p>
    <w:p w14:paraId="280C92BE">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（四）作业人员开展绿化养护作业时必须做好安全防护措施。按要求穿戴有效反光安全防护服、安全帽等。作业人员在分车带工作时，应有3人以上集体作业且必须在围合的安全范围内作业。</w:t>
      </w:r>
    </w:p>
    <w:p w14:paraId="2007141C">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（五）占道作业、乔木修剪、移植、种植等作业现场，须配备现场安全员，现场安全员的主要职责：</w:t>
      </w:r>
    </w:p>
    <w:p w14:paraId="13054E50">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1.负责现场作业人员的安全教育；</w:t>
      </w:r>
    </w:p>
    <w:p w14:paraId="3CDBCE06">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2.负责对现场作业人员进行作业前安全生产交底，督促现场作业人员遵守安全操作规程，作业期间及时制止、纠正违规行为，消除安全隐患；</w:t>
      </w:r>
    </w:p>
    <w:p w14:paraId="6A250A9F">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3.负责指导现场作业人员正确使用劳动防护用品；</w:t>
      </w:r>
    </w:p>
    <w:p w14:paraId="678F4072">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4.负责检查和维护现场安全设施，确保有效使用；</w:t>
      </w:r>
    </w:p>
    <w:p w14:paraId="0C4902CF">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5.负责观察作业现场周围人员、车辆及环境等情况，发现异常情况及时采取有效的紧急避险措施；</w:t>
      </w:r>
    </w:p>
    <w:p w14:paraId="5CD4D740">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6.发生事故须及时上报。</w:t>
      </w:r>
    </w:p>
    <w:p w14:paraId="529F84F1">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三、作业安全设施设置要求</w:t>
      </w:r>
    </w:p>
    <w:p w14:paraId="7120765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（一）安全锥外形应完好无缺、反光条老旧或残缺影响正常使用的应及时更换。</w:t>
      </w:r>
    </w:p>
    <w:p w14:paraId="7AB39F8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（二）作业区域应使用安全锥进行围合，必要时用警示带连接，形成明显的安全作业区，同时兼顾车辆、行人交通安全，尽量减少对交通的影响。</w:t>
      </w:r>
    </w:p>
    <w:p w14:paraId="0F7C438E">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（三）警示牌应标识清晰完整并迎着来车的方向放置；警示牌应距作业区不少于30米，并确保稳固、明显。</w:t>
      </w:r>
    </w:p>
    <w:p w14:paraId="2C70640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（四）分车带作业</w:t>
      </w:r>
    </w:p>
    <w:p w14:paraId="38FBCA36">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1.安全锥每隔10至30米设置一个，愈近工作地点放置应愈密，两头的安全锥应摆成斜线或用安全警示带拉成斜线进行围合。</w:t>
      </w:r>
    </w:p>
    <w:p w14:paraId="5C64027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2.安全锥放置的距离应视具体路段而定，在机动车道作业的，作业范围占道0.5～1个车道，在非机动车道作业的，作业范围占道0.3～0.5个车道。</w:t>
      </w:r>
    </w:p>
    <w:p w14:paraId="123D313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3.绿化管理车、货车、水车等各种作业车辆在占道停车时，须根据路况在距车辆5—20米处设置安全锥。</w:t>
      </w:r>
    </w:p>
    <w:p w14:paraId="0264FD2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4.应在分车带端头、出入口两侧醒目处放置警示牌。</w:t>
      </w:r>
    </w:p>
    <w:p w14:paraId="260D7C6F">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5.时速80公里/小时以上的高速路段：10人以上集体作业，分车带两侧各设置10个以上安全锥，按车道行驶平行方向放置，警示牌应放置于距作业区100米处，迎来车方向放置。  </w:t>
      </w:r>
    </w:p>
    <w:p w14:paraId="7E057952">
      <w:pPr>
        <w:keepNext w:val="0"/>
        <w:keepLines w:val="0"/>
        <w:pageBreakBefore w:val="0"/>
        <w:kinsoku/>
        <w:overflowPunct/>
        <w:topLinePunct w:val="0"/>
        <w:bidi w:val="0"/>
        <w:snapToGrid/>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6.时速60—80公里/小时的路段：8人以上集体作业，分车带两侧各设置8个以上安全锥，按车道行驶平行方向放置，警示牌应放置于距作业区80米处，迎来车方向放置。</w:t>
      </w:r>
    </w:p>
    <w:p w14:paraId="4C20BDEC">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7.时速40—60公里/小时路段：6人以上集体作业，分车带两侧各设置6个以上安全锥，按车道行驶平行方向放置，警示牌应放置于距作业区60米处，迎来车方向放置。</w:t>
      </w:r>
    </w:p>
    <w:p w14:paraId="6669D356">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8.时速30—40公里/小时路段：4人以上集体作业，分车带两侧各设置4个以上安全锥，按车道行驶平行方向放置，警示牌应放置于距作业区40米处，迎来车方向放置。</w:t>
      </w:r>
    </w:p>
    <w:p w14:paraId="7CEF1B0C">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9.时速30公里/小时以内路段：3人以上集体作业，分车带两侧各设置3个以上安全锥，按车道行驶平行方向放置，警示牌应放置于距作业区30米处，迎来车方向放置。</w:t>
      </w:r>
    </w:p>
    <w:p w14:paraId="23BCB606">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10.大雨天气或能见度在500米以下的雾天，应避免在车道或车道旁作业。</w:t>
      </w:r>
    </w:p>
    <w:p w14:paraId="3559DEF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11.同一段路不允许中分带和侧分带同时作业。</w:t>
      </w:r>
    </w:p>
    <w:p w14:paraId="71866CB4">
      <w:pPr>
        <w:keepNext w:val="0"/>
        <w:keepLines w:val="0"/>
        <w:pageBreakBefore w:val="0"/>
        <w:kinsoku/>
        <w:overflowPunct/>
        <w:topLinePunct w:val="0"/>
        <w:bidi w:val="0"/>
        <w:snapToGrid/>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（五）乔木修剪作业</w:t>
      </w:r>
    </w:p>
    <w:p w14:paraId="1BDCB8C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1.作业前必须做好安全分析，拟定安全工作方案后方能进行。作业区域须用安全锥或警示带围合，防止无关人员和车辆进入作业区。</w:t>
      </w:r>
    </w:p>
    <w:p w14:paraId="33151F2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作业人员须思想集中，严禁谈笑打闹，禁止患有高血压或心脏病等不宜高空作业的人员上树作业。使用梯子必须稳固，单面梯将上部横档与树身捆住，人字梯中腰栓绳，角度开张适当；有五级以上大风的不可上树，修剪工具要坚固耐用。</w:t>
      </w:r>
    </w:p>
    <w:p w14:paraId="0D51BFB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（六）供电线路区域乔木修剪作业</w:t>
      </w:r>
    </w:p>
    <w:p w14:paraId="384F719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1.在供电线路区域修剪作业前须拟定工作方案，确保安全。</w:t>
      </w:r>
    </w:p>
    <w:p w14:paraId="72DB4AEE">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2.在供电线路区域修剪作业应事先与电力部门联系、申请，确认安全后方能操作。</w:t>
      </w:r>
    </w:p>
    <w:p w14:paraId="766F4F2B">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3.在供电线路区域修剪作业时，须设一名现场安全员，现场安全员须佩戴明显的标识，操作员作业时必须听从现场安全员的指挥。</w:t>
      </w:r>
    </w:p>
    <w:p w14:paraId="571E4450">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4.在供电线路区域修剪作业时，做好相关安全措施，须戴好安全帽，穿戴相应电压等级（10kV、35kV两类）绝缘鞋、绝缘手套等，高处作业须按要求系好安全绳。</w:t>
      </w:r>
    </w:p>
    <w:p w14:paraId="5C017630">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（七）高速公路养护作业按照国家、广西壮族自治区和南宁市相关法规执行。</w:t>
      </w:r>
    </w:p>
    <w:p w14:paraId="3AED51CB">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四、园林机械管理和使用</w:t>
      </w:r>
    </w:p>
    <w:p w14:paraId="634F0081">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（一）使用锄、铲、斧等工具前须先检查其安全性，作业前须设定安全作业范围，避免交叉作业。</w:t>
      </w:r>
    </w:p>
    <w:p w14:paraId="65A7EDD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使用打草机、绿篱修剪机、油锯等机械前须检查好器械的安全性能，作业前对绿地进行检查，清理石块、铁线等杂物，戴好防护眼镜、安全帽等防护用具。在分车带内或人流量较大的绿地进行打草作业时，应按要求设置安全防护设施。</w:t>
      </w:r>
    </w:p>
    <w:p w14:paraId="6966996C">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五、农药管理和使用</w:t>
      </w:r>
    </w:p>
    <w:p w14:paraId="1F3816C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（一）加强农药安全管理。遵守国家有关农药安全使用制度，严禁使用违禁及高毒高残留农药。农药须贴有完整、明显的标签或警示标志，搬运或使用过程中要轻拿轻放，泄漏、暴露的药物应及时清理。</w:t>
      </w:r>
    </w:p>
    <w:p w14:paraId="1AB97FF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（二）规范农药使用管理。做好农药出入库及使用台账，用完后的农药容器及包装物应按要求回收及处理，剩余农药应及时放回仓库或安全处理。</w:t>
      </w:r>
    </w:p>
    <w:p w14:paraId="58230081">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（三）应严格按照标签、说明书和要求配药，用药量准确，必要时先在小范围试用，避免发生药害。</w:t>
      </w:r>
    </w:p>
    <w:p w14:paraId="2732717E">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（四）开展植保作业时，须戴好胶手套、口罩、眼镜等防护品。农药、农药容器、器械等须安全、妥善保管，防止意外发生。</w:t>
      </w:r>
    </w:p>
    <w:p w14:paraId="7B356F5E">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（五）施药宜在夜间或人流量少的时段进行，施药前须做好安全预告或提示。喷施农药过程中要注意观察风向和周围环境，尽量避开行人、车辆、物品，确定安全后方能进行。</w:t>
      </w:r>
    </w:p>
    <w:p w14:paraId="155184DA">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（六）拖胶施药应三个人协作进行，一人劝离施药范围内的群众或提醒群众保护好个人财产，一人操控喷头，一人负责安全观察。</w:t>
      </w:r>
    </w:p>
    <w:p w14:paraId="4BA5302E">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六、车辆管理和使用</w:t>
      </w:r>
    </w:p>
    <w:p w14:paraId="66C9DEA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参与道路绿化养护作业的车辆须到公安机关交通管理部门办理登记，取得车辆号；作业车辆驾驶员须遵守《中华人民共和国道路交通安全法》，取得公安机关或其他监管机关颁发的有效资格许可证件后方可操作机械、车辆，确保安全驾驶、文明驾驶，严禁酒后驾车、无证驾驶等违法行为。</w:t>
      </w:r>
    </w:p>
    <w:p w14:paraId="444BD5B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（二）占道作业车辆须按要求报备。</w:t>
      </w:r>
    </w:p>
    <w:p w14:paraId="55B949EF">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（三）作业车辆启动前，驾驶员应绕车一周检查车辆，检查好车况。</w:t>
      </w:r>
    </w:p>
    <w:p w14:paraId="03FA3DD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车辆正在作业或在禁停路段临时停车时，必须打开警示灯；在安全障碍（安全锥、安全牌、警示带）围合区域内停车时，在确保安全的情况下可以不打开警示灯。如发生交通事故，要按照公安交通管理相关规定报案处理，同时报绿管中心。</w:t>
      </w:r>
    </w:p>
    <w:p w14:paraId="72AE25B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（五）水车、喷药车等在作业时，须播放警示音乐，夜间作业必须打开警示灯。</w:t>
      </w:r>
    </w:p>
    <w:p w14:paraId="4F5FE64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（六）道路绿化养护作业货车须遵守国家有关法规，不允许人、货混装。</w:t>
      </w:r>
    </w:p>
    <w:p w14:paraId="5678571A">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使用吊车、高空作业车时，须做好安全围合、警示及防护等措施，指挥人员信号明确，现场人员听从指挥；严禁在雷雨天气、坡道、超负荷或其他不适宜的条件下作业；起吊作业时，应确保绳缆牢固、提绳角度合理，吊臂下严禁站人。</w:t>
      </w:r>
    </w:p>
    <w:p w14:paraId="4CC809D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（八）水车淋水工、喷药车植保工在车上作业时必须穿好安全防护服、戴好安全帽等。如工作需要登上车辆水箱，必须系好安全绳。</w:t>
      </w:r>
    </w:p>
    <w:p w14:paraId="7D04517E">
      <w:pPr>
        <w:keepNext w:val="0"/>
        <w:keepLines w:val="0"/>
        <w:pageBreakBefore w:val="0"/>
        <w:kinsoku/>
        <w:overflowPunct/>
        <w:topLinePunct w:val="0"/>
        <w:bidi w:val="0"/>
        <w:adjustRightInd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七、养护物资仓库管理</w:t>
      </w:r>
    </w:p>
    <w:p w14:paraId="182E80D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（一）警示牌及责任牌：养护物资仓库必须在明显位置设置警示牌及管理责任牌，警示牌标注“仓库重地，严禁烟火”，责任牌注明养护单位名称、管理责任人、值班人员或使用人姓名及联系电话。</w:t>
      </w:r>
    </w:p>
    <w:p w14:paraId="45ED2A6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（二）生产物资存放：养护物资仓库内各类物资须按类存放，做到安全、整齐、有序，同时做好“四害”消杀工作。</w:t>
      </w:r>
    </w:p>
    <w:p w14:paraId="26BF64A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消防器材配置、检查和更换：养护物资仓库必须依照建筑面积确保最少15㎡/个灭火器的配备，仓库夜间无人值守的必须配备悬挂式感应灭火器，投入使用的灭火器须在有效期内，且质量状况良好、压力符合要求，养护单位每个月须对灭火器进行一次有效性检查。</w:t>
      </w:r>
    </w:p>
    <w:p w14:paraId="478A3F4A">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仓库存油：养护物资仓库内原则上不允许存放汽油、柴油等易燃易爆油品，如因特殊时期抢险作业需要临时少量存油的，油品必须使用专用金属容器在单独空间存放，同时在油品存放点配备感应式干粉型灭火器和手提水基型灭火器。</w:t>
      </w:r>
    </w:p>
    <w:p w14:paraId="18D3336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p>
    <w:p w14:paraId="7C30259D">
      <w:pPr>
        <w:keepNext w:val="0"/>
        <w:keepLines w:val="0"/>
        <w:pageBreakBefore w:val="0"/>
        <w:kinsoku/>
        <w:overflowPunct/>
        <w:topLinePunct w:val="0"/>
        <w:bidi w:val="0"/>
        <w:snapToGrid/>
        <w:spacing w:line="360" w:lineRule="auto"/>
        <w:ind w:firstLine="200"/>
        <w:outlineLvl w:val="9"/>
        <w:rPr>
          <w:rFonts w:hint="eastAsia" w:ascii="宋体" w:hAnsi="宋体" w:eastAsia="宋体" w:cs="宋体"/>
          <w:color w:val="auto"/>
          <w:sz w:val="24"/>
          <w:szCs w:val="24"/>
          <w:highlight w:val="none"/>
        </w:rPr>
      </w:pPr>
    </w:p>
    <w:p w14:paraId="22261117">
      <w:pPr>
        <w:keepNext w:val="0"/>
        <w:keepLines w:val="0"/>
        <w:pageBreakBefore w:val="0"/>
        <w:kinsoku/>
        <w:overflowPunct/>
        <w:topLinePunct w:val="0"/>
        <w:bidi w:val="0"/>
        <w:snapToGrid/>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南宁市绿化工程管理中心</w:t>
      </w:r>
    </w:p>
    <w:p w14:paraId="421F54A6">
      <w:pPr>
        <w:keepNext w:val="0"/>
        <w:keepLines w:val="0"/>
        <w:pageBreakBefore w:val="0"/>
        <w:kinsoku/>
        <w:overflowPunct/>
        <w:topLinePunct w:val="0"/>
        <w:bidi w:val="0"/>
        <w:snapToGrid/>
        <w:spacing w:line="360" w:lineRule="auto"/>
        <w:ind w:firstLine="5640" w:firstLineChars="23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月</w:t>
      </w:r>
    </w:p>
    <w:p w14:paraId="4BA438B4">
      <w:pPr>
        <w:keepNext w:val="0"/>
        <w:keepLines w:val="0"/>
        <w:pageBreakBefore w:val="0"/>
        <w:kinsoku/>
        <w:overflowPunct/>
        <w:topLinePunct w:val="0"/>
        <w:bidi w:val="0"/>
        <w:snapToGrid/>
        <w:spacing w:line="360" w:lineRule="auto"/>
        <w:jc w:val="left"/>
        <w:outlineLvl w:val="9"/>
        <w:rPr>
          <w:rFonts w:ascii="宋体" w:hAnsi="宋体" w:cs="宋体"/>
          <w:b/>
          <w:bCs/>
          <w:color w:val="auto"/>
          <w:szCs w:val="21"/>
          <w:highlight w:val="none"/>
        </w:rPr>
      </w:pPr>
    </w:p>
    <w:p w14:paraId="5BD410F4">
      <w:pPr>
        <w:keepNext w:val="0"/>
        <w:keepLines w:val="0"/>
        <w:pageBreakBefore w:val="0"/>
        <w:kinsoku/>
        <w:overflowPunct/>
        <w:topLinePunct w:val="0"/>
        <w:bidi w:val="0"/>
        <w:snapToGrid/>
        <w:spacing w:line="360" w:lineRule="auto"/>
        <w:jc w:val="left"/>
        <w:outlineLvl w:val="9"/>
        <w:rPr>
          <w:rFonts w:ascii="宋体" w:hAnsi="宋体" w:cs="宋体"/>
          <w:b/>
          <w:bCs/>
          <w:color w:val="auto"/>
          <w:szCs w:val="21"/>
          <w:highlight w:val="none"/>
        </w:rPr>
      </w:pPr>
    </w:p>
    <w:p w14:paraId="6F71E105">
      <w:pPr>
        <w:keepNext w:val="0"/>
        <w:keepLines w:val="0"/>
        <w:pageBreakBefore w:val="0"/>
        <w:kinsoku/>
        <w:overflowPunct/>
        <w:topLinePunct w:val="0"/>
        <w:bidi w:val="0"/>
        <w:snapToGrid/>
        <w:spacing w:line="360" w:lineRule="auto"/>
        <w:jc w:val="left"/>
        <w:outlineLvl w:val="9"/>
        <w:rPr>
          <w:rFonts w:ascii="宋体" w:hAnsi="宋体" w:cs="宋体"/>
          <w:b/>
          <w:bCs/>
          <w:color w:val="auto"/>
          <w:szCs w:val="21"/>
          <w:highlight w:val="none"/>
        </w:rPr>
      </w:pPr>
    </w:p>
    <w:p w14:paraId="64231423">
      <w:pPr>
        <w:keepNext w:val="0"/>
        <w:keepLines w:val="0"/>
        <w:pageBreakBefore w:val="0"/>
        <w:kinsoku/>
        <w:overflowPunct/>
        <w:topLinePunct w:val="0"/>
        <w:bidi w:val="0"/>
        <w:snapToGrid/>
        <w:spacing w:line="360" w:lineRule="auto"/>
        <w:jc w:val="left"/>
        <w:outlineLvl w:val="9"/>
        <w:rPr>
          <w:rFonts w:ascii="宋体" w:hAnsi="宋体" w:cs="宋体"/>
          <w:b/>
          <w:bCs/>
          <w:color w:val="auto"/>
          <w:szCs w:val="21"/>
          <w:highlight w:val="none"/>
        </w:rPr>
      </w:pPr>
    </w:p>
    <w:p w14:paraId="3C582079">
      <w:pPr>
        <w:keepNext w:val="0"/>
        <w:keepLines w:val="0"/>
        <w:pageBreakBefore w:val="0"/>
        <w:kinsoku/>
        <w:overflowPunct/>
        <w:topLinePunct w:val="0"/>
        <w:bidi w:val="0"/>
        <w:snapToGrid/>
        <w:spacing w:line="360" w:lineRule="auto"/>
        <w:jc w:val="left"/>
        <w:outlineLvl w:val="9"/>
        <w:rPr>
          <w:rFonts w:ascii="宋体" w:hAnsi="宋体" w:cs="宋体"/>
          <w:b/>
          <w:bCs/>
          <w:color w:val="auto"/>
          <w:szCs w:val="21"/>
          <w:highlight w:val="none"/>
        </w:rPr>
      </w:pPr>
    </w:p>
    <w:p w14:paraId="5C2BEB32">
      <w:pPr>
        <w:keepNext w:val="0"/>
        <w:keepLines w:val="0"/>
        <w:pageBreakBefore w:val="0"/>
        <w:kinsoku/>
        <w:overflowPunct/>
        <w:topLinePunct w:val="0"/>
        <w:bidi w:val="0"/>
        <w:snapToGrid/>
        <w:spacing w:line="360" w:lineRule="auto"/>
        <w:jc w:val="left"/>
        <w:outlineLvl w:val="9"/>
        <w:rPr>
          <w:rFonts w:ascii="黑体" w:hAnsi="黑体" w:eastAsia="黑体" w:cs="宋体"/>
          <w:bCs/>
          <w:color w:val="auto"/>
          <w:sz w:val="30"/>
          <w:szCs w:val="30"/>
          <w:highlight w:val="none"/>
        </w:rPr>
      </w:pPr>
    </w:p>
    <w:p w14:paraId="3E51D247">
      <w:pPr>
        <w:keepNext w:val="0"/>
        <w:keepLines w:val="0"/>
        <w:pageBreakBefore w:val="0"/>
        <w:kinsoku/>
        <w:overflowPunct/>
        <w:topLinePunct w:val="0"/>
        <w:bidi w:val="0"/>
        <w:snapToGrid/>
        <w:spacing w:line="360" w:lineRule="auto"/>
        <w:jc w:val="left"/>
        <w:outlineLvl w:val="9"/>
        <w:rPr>
          <w:rFonts w:hint="eastAsia" w:ascii="黑体" w:hAnsi="黑体" w:eastAsia="黑体" w:cs="宋体"/>
          <w:bCs/>
          <w:color w:val="auto"/>
          <w:sz w:val="30"/>
          <w:szCs w:val="30"/>
          <w:highlight w:val="none"/>
        </w:rPr>
        <w:sectPr>
          <w:pgSz w:w="11906" w:h="16838"/>
          <w:pgMar w:top="1474" w:right="1418" w:bottom="1474" w:left="1418" w:header="851" w:footer="992" w:gutter="0"/>
          <w:cols w:space="720" w:num="1"/>
          <w:docGrid w:type="linesAndChars" w:linePitch="312" w:charSpace="0"/>
        </w:sectPr>
      </w:pPr>
    </w:p>
    <w:p w14:paraId="310C0BD8">
      <w:pPr>
        <w:keepNext w:val="0"/>
        <w:keepLines w:val="0"/>
        <w:pageBreakBefore w:val="0"/>
        <w:kinsoku/>
        <w:overflowPunct/>
        <w:topLinePunct w:val="0"/>
        <w:bidi w:val="0"/>
        <w:snapToGrid/>
        <w:spacing w:line="360" w:lineRule="auto"/>
        <w:jc w:val="left"/>
        <w:outlineLvl w:val="1"/>
        <w:rPr>
          <w:rFonts w:ascii="黑体" w:hAnsi="黑体" w:eastAsia="黑体" w:cs="宋体"/>
          <w:bCs/>
          <w:color w:val="auto"/>
          <w:sz w:val="30"/>
          <w:szCs w:val="30"/>
          <w:highlight w:val="none"/>
        </w:rPr>
      </w:pPr>
      <w:bookmarkStart w:id="153" w:name="_Toc20847"/>
      <w:r>
        <w:rPr>
          <w:rFonts w:hint="eastAsia" w:ascii="黑体" w:hAnsi="黑体" w:eastAsia="黑体" w:cs="宋体"/>
          <w:bCs/>
          <w:color w:val="auto"/>
          <w:sz w:val="30"/>
          <w:szCs w:val="30"/>
          <w:highlight w:val="none"/>
        </w:rPr>
        <w:t>附件</w:t>
      </w:r>
      <w:r>
        <w:rPr>
          <w:rFonts w:hint="eastAsia" w:ascii="黑体" w:hAnsi="黑体" w:eastAsia="黑体" w:cs="宋体"/>
          <w:bCs/>
          <w:color w:val="auto"/>
          <w:sz w:val="30"/>
          <w:szCs w:val="30"/>
          <w:highlight w:val="none"/>
          <w:lang w:val="en-US" w:eastAsia="zh-CN"/>
        </w:rPr>
        <w:t>3-</w:t>
      </w:r>
      <w:r>
        <w:rPr>
          <w:rFonts w:hint="eastAsia" w:ascii="黑体" w:hAnsi="黑体" w:eastAsia="黑体" w:cs="宋体"/>
          <w:bCs/>
          <w:color w:val="auto"/>
          <w:sz w:val="30"/>
          <w:szCs w:val="30"/>
          <w:highlight w:val="none"/>
        </w:rPr>
        <w:t>4</w:t>
      </w:r>
      <w:r>
        <w:rPr>
          <w:rFonts w:hint="eastAsia" w:ascii="黑体" w:hAnsi="黑体" w:eastAsia="黑体" w:cs="宋体"/>
          <w:bCs/>
          <w:color w:val="auto"/>
          <w:sz w:val="30"/>
          <w:szCs w:val="30"/>
          <w:highlight w:val="none"/>
          <w:lang w:eastAsia="zh-CN"/>
        </w:rPr>
        <w:t>：</w:t>
      </w:r>
      <w:r>
        <w:rPr>
          <w:rFonts w:hint="eastAsia" w:ascii="黑体" w:hAnsi="黑体" w:eastAsia="黑体" w:cs="宋体"/>
          <w:bCs/>
          <w:color w:val="auto"/>
          <w:sz w:val="30"/>
          <w:szCs w:val="30"/>
          <w:highlight w:val="none"/>
        </w:rPr>
        <w:t>南宁市绿化工程管理中心道路绿化植物施肥管理办法（202</w:t>
      </w:r>
      <w:r>
        <w:rPr>
          <w:rFonts w:hint="eastAsia" w:ascii="黑体" w:hAnsi="黑体" w:eastAsia="黑体" w:cs="宋体"/>
          <w:bCs/>
          <w:color w:val="auto"/>
          <w:sz w:val="30"/>
          <w:szCs w:val="30"/>
          <w:highlight w:val="none"/>
          <w:lang w:val="en-US" w:eastAsia="zh-CN"/>
        </w:rPr>
        <w:t>4</w:t>
      </w:r>
      <w:r>
        <w:rPr>
          <w:rFonts w:hint="eastAsia" w:ascii="黑体" w:hAnsi="黑体" w:eastAsia="黑体" w:cs="宋体"/>
          <w:bCs/>
          <w:color w:val="auto"/>
          <w:sz w:val="30"/>
          <w:szCs w:val="30"/>
          <w:highlight w:val="none"/>
        </w:rPr>
        <w:t>版）</w:t>
      </w:r>
      <w:bookmarkEnd w:id="153"/>
    </w:p>
    <w:p w14:paraId="7C89364A">
      <w:pPr>
        <w:keepNext w:val="0"/>
        <w:keepLines w:val="0"/>
        <w:pageBreakBefore w:val="0"/>
        <w:kinsoku/>
        <w:overflowPunct/>
        <w:topLinePunct w:val="0"/>
        <w:bidi w:val="0"/>
        <w:snapToGrid/>
        <w:spacing w:line="360" w:lineRule="auto"/>
        <w:jc w:val="center"/>
        <w:outlineLvl w:val="9"/>
        <w:rPr>
          <w:rFonts w:hint="eastAsia" w:ascii="方正小标宋简体" w:hAnsi="方正小标宋简体" w:eastAsia="方正小标宋简体" w:cs="方正小标宋简体"/>
          <w:bCs/>
          <w:color w:val="auto"/>
          <w:sz w:val="44"/>
          <w:szCs w:val="44"/>
          <w:highlight w:val="none"/>
        </w:rPr>
      </w:pPr>
    </w:p>
    <w:p w14:paraId="0A1CBEC6">
      <w:pPr>
        <w:keepNext w:val="0"/>
        <w:keepLines w:val="0"/>
        <w:pageBreakBefore w:val="0"/>
        <w:kinsoku/>
        <w:overflowPunct/>
        <w:topLinePunct w:val="0"/>
        <w:bidi w:val="0"/>
        <w:snapToGrid/>
        <w:spacing w:line="360" w:lineRule="auto"/>
        <w:jc w:val="center"/>
        <w:outlineLvl w:val="9"/>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南宁市绿化工程管理中心</w:t>
      </w:r>
    </w:p>
    <w:p w14:paraId="48966A0C">
      <w:pPr>
        <w:keepNext w:val="0"/>
        <w:keepLines w:val="0"/>
        <w:pageBreakBefore w:val="0"/>
        <w:kinsoku/>
        <w:overflowPunct/>
        <w:topLinePunct w:val="0"/>
        <w:bidi w:val="0"/>
        <w:snapToGrid/>
        <w:spacing w:line="360" w:lineRule="auto"/>
        <w:jc w:val="center"/>
        <w:outlineLvl w:val="9"/>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道路绿化植物施肥管理办法（202</w:t>
      </w:r>
      <w:r>
        <w:rPr>
          <w:rFonts w:hint="eastAsia" w:ascii="方正小标宋简体" w:hAnsi="方正小标宋简体" w:eastAsia="方正小标宋简体" w:cs="方正小标宋简体"/>
          <w:bCs/>
          <w:color w:val="auto"/>
          <w:sz w:val="44"/>
          <w:szCs w:val="44"/>
          <w:highlight w:val="none"/>
          <w:lang w:val="en-US" w:eastAsia="zh-CN"/>
        </w:rPr>
        <w:t>4</w:t>
      </w:r>
      <w:r>
        <w:rPr>
          <w:rFonts w:hint="eastAsia" w:ascii="方正小标宋简体" w:hAnsi="方正小标宋简体" w:eastAsia="方正小标宋简体" w:cs="方正小标宋简体"/>
          <w:bCs/>
          <w:color w:val="auto"/>
          <w:sz w:val="44"/>
          <w:szCs w:val="44"/>
          <w:highlight w:val="none"/>
        </w:rPr>
        <w:t>版）</w:t>
      </w:r>
    </w:p>
    <w:p w14:paraId="4B10B867">
      <w:pPr>
        <w:keepNext w:val="0"/>
        <w:keepLines w:val="0"/>
        <w:pageBreakBefore w:val="0"/>
        <w:kinsoku/>
        <w:overflowPunct/>
        <w:topLinePunct w:val="0"/>
        <w:bidi w:val="0"/>
        <w:snapToGrid/>
        <w:spacing w:line="360" w:lineRule="auto"/>
        <w:ind w:firstLine="420" w:firstLineChars="200"/>
        <w:outlineLvl w:val="9"/>
        <w:rPr>
          <w:rFonts w:ascii="宋体" w:hAnsi="宋体" w:cs="宋体"/>
          <w:color w:val="auto"/>
          <w:szCs w:val="21"/>
          <w:highlight w:val="none"/>
        </w:rPr>
      </w:pPr>
    </w:p>
    <w:p w14:paraId="242D4AC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为规范道路绿化养护施肥管理工作，强化绿化养护精细化管理水平，促进绿化景观品质不断提升，根据相关技术规范和标准，结合南宁市绿化管养实际情况，制定本办法。</w:t>
      </w:r>
    </w:p>
    <w:p w14:paraId="0F01AB88">
      <w:pPr>
        <w:keepNext w:val="0"/>
        <w:keepLines w:val="0"/>
        <w:pageBreakBefore w:val="0"/>
        <w:numPr>
          <w:ilvl w:val="0"/>
          <w:numId w:val="6"/>
        </w:numPr>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施肥的原则</w:t>
      </w:r>
    </w:p>
    <w:p w14:paraId="15ECCC0A">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（一）按土壤肥力状况施肥:根据土壤养分含量和植物对养分的需求，合理确定施肥的种类、数量和施肥时间。</w:t>
      </w:r>
    </w:p>
    <w:p w14:paraId="69DB374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（二）按平衡供给养分施肥:依据植物所需的主要养分如氮、磷、钾进行平衡供给，并适量补充特定植物所需的微量元素。</w:t>
      </w:r>
    </w:p>
    <w:p w14:paraId="689C22A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（三）按植物生长阶段施肥:根据植物生长的不同阶段和养分需求进行施肥。</w:t>
      </w:r>
    </w:p>
    <w:p w14:paraId="68DF43E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二、施肥管理的主要内容</w:t>
      </w:r>
    </w:p>
    <w:p w14:paraId="3A1EC23F">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（一）施肥管理的流程</w:t>
      </w:r>
    </w:p>
    <w:p w14:paraId="7E7BFE1D">
      <w:pPr>
        <w:keepNext w:val="0"/>
        <w:keepLines w:val="0"/>
        <w:pageBreakBefore w:val="0"/>
        <w:kinsoku/>
        <w:overflowPunct/>
        <w:topLinePunct w:val="0"/>
        <w:bidi w:val="0"/>
        <w:snapToGrid/>
        <w:spacing w:line="360" w:lineRule="auto"/>
        <w:jc w:val="center"/>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drawing>
          <wp:inline distT="0" distB="0" distL="114300" distR="114300">
            <wp:extent cx="5224145" cy="2749550"/>
            <wp:effectExtent l="0" t="0" r="0" b="0"/>
            <wp:docPr id="5" name="图片 5" descr="施肥流程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施肥流程4.29"/>
                    <pic:cNvPicPr>
                      <a:picLocks noChangeAspect="1"/>
                    </pic:cNvPicPr>
                  </pic:nvPicPr>
                  <pic:blipFill>
                    <a:blip r:embed="rId18"/>
                    <a:stretch>
                      <a:fillRect/>
                    </a:stretch>
                  </pic:blipFill>
                  <pic:spPr>
                    <a:xfrm>
                      <a:off x="0" y="0"/>
                      <a:ext cx="5224145" cy="2749550"/>
                    </a:xfrm>
                    <a:prstGeom prst="rect">
                      <a:avLst/>
                    </a:prstGeom>
                  </pic:spPr>
                </pic:pic>
              </a:graphicData>
            </a:graphic>
          </wp:inline>
        </w:drawing>
      </w:r>
    </w:p>
    <w:p w14:paraId="0F9BDCE9">
      <w:pPr>
        <w:keepNext w:val="0"/>
        <w:keepLines w:val="0"/>
        <w:pageBreakBefore w:val="0"/>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65DA06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1.养护单位须制定施肥的阶段性计划及年度计划，包括施肥的时间、肥料的种类、施肥的数量、施肥的方式等；</w:t>
      </w:r>
    </w:p>
    <w:p w14:paraId="7AD7254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2.养护所对现场施肥实施监督，重点核查施放肥料的数量、施肥的操作是否规范，对肥料进行随机抽样封存送检。</w:t>
      </w:r>
    </w:p>
    <w:p w14:paraId="19D51D7B">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（二）肥料的登记</w:t>
      </w:r>
    </w:p>
    <w:p w14:paraId="10FE0A9C">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养护所管理员负责对准备施放的肥料进行登记，填写《南宁市绿化工程管理中心绿化养护施肥现场登记表》（附件</w:t>
      </w: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），《南宁市绿化工程管理中心绿化养护施肥现场登记表》（附件</w:t>
      </w: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）一式贰份，养护所和养护企业各留存一份。</w:t>
      </w:r>
    </w:p>
    <w:p w14:paraId="09842396">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（三）肥料质量的抽检</w:t>
      </w:r>
    </w:p>
    <w:p w14:paraId="1443E05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1.抽样的时间</w:t>
      </w:r>
    </w:p>
    <w:p w14:paraId="6F3E915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肥料运送到现场施放前。</w:t>
      </w:r>
    </w:p>
    <w:p w14:paraId="24A9389B">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2.抽样的操作要求</w:t>
      </w:r>
    </w:p>
    <w:p w14:paraId="783AB08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（1）抽样的人员</w:t>
      </w:r>
    </w:p>
    <w:p w14:paraId="5DD0AA4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抽样由养护所管理员负责，养护企业现场负责人签字确认。</w:t>
      </w:r>
    </w:p>
    <w:p w14:paraId="403DEAD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（2）抽样的比例</w:t>
      </w:r>
    </w:p>
    <w:p w14:paraId="513F444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根据当天施放肥料的总量，以包装袋（桶）为单位，按照5%的数量进行抽样，不足40袋（桶）的至少抽样2份，固体肥料每份取样50—100g，液体肥料每份取样50—100ml。</w:t>
      </w:r>
    </w:p>
    <w:p w14:paraId="5BD24E50">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（3）样品的封存</w:t>
      </w:r>
    </w:p>
    <w:p w14:paraId="0F36412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抽样应使用专门的取样袋（或瓶）,抽样完成后进行密封保存，贴上密封条和抽样标签，抽样标签需注明抽样编号、肥料生产单位、产品等级、肥料名称、生产日期、采样日期、采样人姓名、养护单位现场负责人等信息。</w:t>
      </w:r>
    </w:p>
    <w:p w14:paraId="4192095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3.样品的送检</w:t>
      </w:r>
    </w:p>
    <w:p w14:paraId="27B6E22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绿管中心根据需要对封存的样品进行送检。</w:t>
      </w:r>
    </w:p>
    <w:p w14:paraId="404C86D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五、施肥的方法</w:t>
      </w:r>
    </w:p>
    <w:p w14:paraId="5F04A0C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（一）土壤施肥</w:t>
      </w:r>
    </w:p>
    <w:p w14:paraId="183304D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土壤施肥是指将肥料施到土壤中，通过根部吸收养分的施肥方式。根部是植物最主要、最完善的吸收器官，适宜对植物需求量大的营养元素如氮、磷、钾等的吸收。土壤施肥可分为种植前施肥和种植后施肥。</w:t>
      </w:r>
    </w:p>
    <w:p w14:paraId="7448C900">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1.种植前施肥</w:t>
      </w:r>
    </w:p>
    <w:p w14:paraId="378D22BB">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种植前施肥是指在植物种植前把肥料拌入土壤介质中的施肥方式。一般以有机肥等基肥为主。肥料主要以缓效性强的肥料（如磷肥）或有机肥等基肥为主。有机肥可选择腐熟的垃圾肥、枝叶肥、鸡粪肥等，磷肥可选择钙镁磷肥、过磷酸钙等。</w:t>
      </w:r>
    </w:p>
    <w:p w14:paraId="658F47F6">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种植前施肥要求在苗木种植前平整土地时进行。撒肥要均匀。撒肥后要进行翻土，并把肥料与土壤拌匀。施肥结束后要把多余的泥土、杂物清理干净，以保证市容干净整洁。</w:t>
      </w:r>
    </w:p>
    <w:p w14:paraId="08DDAA96">
      <w:pPr>
        <w:keepNext w:val="0"/>
        <w:keepLines w:val="0"/>
        <w:pageBreakBefore w:val="0"/>
        <w:kinsoku/>
        <w:overflowPunct/>
        <w:topLinePunct w:val="0"/>
        <w:bidi w:val="0"/>
        <w:snapToGrid/>
        <w:spacing w:line="360" w:lineRule="auto"/>
        <w:ind w:firstLine="480" w:firstLineChars="200"/>
        <w:jc w:val="left"/>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2.种植后土壤施肥</w:t>
      </w:r>
    </w:p>
    <w:p w14:paraId="1CEA2FB0">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种植后土壤施肥是指在植物种植后把肥料施用到土壤介质中被植物根部吸收，是我们城市街道绿化养护中最常见的施肥方式。种植后土壤施肥，既可以是基肥，也可以是追肥。常用的方法有穴施、</w:t>
      </w:r>
      <w:r>
        <w:rPr>
          <w:rFonts w:hint="eastAsia" w:ascii="宋体" w:hAnsi="宋体" w:eastAsia="宋体" w:cs="宋体"/>
          <w:bCs/>
          <w:color w:val="auto"/>
          <w:sz w:val="24"/>
          <w:szCs w:val="24"/>
          <w:highlight w:val="none"/>
        </w:rPr>
        <w:t>打孔施、</w:t>
      </w:r>
      <w:r>
        <w:rPr>
          <w:rFonts w:hint="eastAsia" w:ascii="宋体" w:hAnsi="宋体" w:eastAsia="宋体" w:cs="宋体"/>
          <w:color w:val="auto"/>
          <w:sz w:val="24"/>
          <w:szCs w:val="24"/>
          <w:highlight w:val="none"/>
        </w:rPr>
        <w:t>环施、撒施、淋施和条施。</w:t>
      </w:r>
    </w:p>
    <w:p w14:paraId="2282E91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（1）穴施</w:t>
      </w:r>
    </w:p>
    <w:p w14:paraId="29E2F31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穴施是指在植株周边挖穴，将肥料施入穴后覆土，通过植物根部吸收养分的施肥方式，此法主要适用于需肥量较多的乔木、孤植灌木的施肥。</w:t>
      </w:r>
    </w:p>
    <w:p w14:paraId="0D7F974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①肥料种类：可以是缓效性强的肥料（如磷肥）或有机肥等基肥，也可以是比较速效的复合肥、尿素等，或是缓效肥与速效肥混合使用。</w:t>
      </w:r>
    </w:p>
    <w:p w14:paraId="43F76181">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操作要点：乔木在植株周边挖多个坑，坑的规格宜为长60cm，宽40cm，深40cm。孤植灌木穴施肥料一般在树冠滴水线外侧，每株通常挖两个或多个坑，坑的规格宜为长40cm，宽30cm，深30cm。如挖坑位置有地被或片植灌木，须把地被或片植灌木铲起，再往下挖，施肥后要用原来的地被或片植灌木覆盖好施肥坑；如挖坑位置是硬化的路面或人行道硬化铺砖，则把施肥坑移至树盘最外侧可挖掘的位置。挖坑时要把坑里的表土与底土分别放置。施肥时要把肥料（含枝叶肥等疏松有机介质）与施肥坑的表土拌匀，并把泥土打碎。回填时，要先回填肥料混合物和表土，压实，再填底土（底土过多时，连同碎石块等清运走），然后回种原有的植被，同时撒上有机肥，待面层底土慢慢改良。如果挖坑位置是草坪，应先灌水使土面沉降，然后铺回草块，再淋水、拍实。施肥结束后要把多余的泥土、杂物清理干净，以保证绿地干净整洁。</w:t>
      </w:r>
    </w:p>
    <w:p w14:paraId="5F27BF0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（2）打孔施</w:t>
      </w:r>
    </w:p>
    <w:p w14:paraId="0E1FB9C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打孔施是指使用打孔机在乔木和灌木的冠幅/滴水线覆盖区域进行打孔，将肥料施入孔内后覆土的施肥方式，是穴施的一种。</w:t>
      </w:r>
    </w:p>
    <w:p w14:paraId="651B1B2E">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①肥料种类：孔洞施用的肥料宜为枝叶肥混拌复合肥或缓释肥，比例为1（复合肥）：4（有机肥）。</w:t>
      </w:r>
    </w:p>
    <w:p w14:paraId="3EE9DD1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②操作要点：在乔木和灌木的冠幅/滴水线覆盖区域进行打孔，打孔数量一般为4-6个，打孔深度为40cm - 60cm。使用打孔机时要按照机械的操作规程，安全操作。对于需要复壮的植物的补肥，可每月两次水溶肥（100倍肥溶液）灌于孔洞，连续施用3个月左右。</w:t>
      </w:r>
    </w:p>
    <w:p w14:paraId="3B86E5D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（3）撒施</w:t>
      </w:r>
    </w:p>
    <w:p w14:paraId="7C287ED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撒施是指将肥料均匀地撒布于种植区域的土壤上，通过植物根部吸收养分的施肥方式，主要适合于片植灌木和地被的施肥。</w:t>
      </w:r>
    </w:p>
    <w:p w14:paraId="7C7557C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①肥料种类：主要是选择一些比较速效的复合肥、尿素、钾肥等化学肥料，也可以添加一些缓效性强的磷肥。</w:t>
      </w:r>
    </w:p>
    <w:p w14:paraId="1E36E2AE">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操作要点：撒施时间要选择非雨天进行，如气温高于35℃时，应选择上午11点以前下午4点以后进行施肥。按照当天需要施肥路段的片植灌木、地被的面积和肥料配比，配置好各种肥料数量并混合拌匀装袋。撒施肥料前，对片植灌木进行松土除草，并清理绿地上的石块、塑料、过高土等。撒肥时要按照每平方施肥量的标准，均匀地将肥料撒施到片植灌木或地被的地表上。对茂盛的片植灌木，要把植物枝叶拨开，使肥料撒到地表上。撒肥后对片植灌木进行拍打摇动，使附着在枝叶上的肥料落到地表上。撒完肥料后，宜用小锄头松土并覆盖肥料。肥料盖土后，立即对已撒施肥料的片植灌木或地被进行灌淋，把肥料溶解，灌淋水量以没有水溢出绿地的路缘石为准。</w:t>
      </w:r>
    </w:p>
    <w:p w14:paraId="5E4303A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（4）淋施</w:t>
      </w:r>
    </w:p>
    <w:p w14:paraId="125AFE5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淋施是指将肥料配制成水肥溶液，再均匀地淋洒到土壤上被植物根部吸收的施肥方式，主要适合于片植灌木和地被的追肥。</w:t>
      </w:r>
    </w:p>
    <w:p w14:paraId="65493964">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施肥种类：主要选择可溶、速效的复合肥、尿素、钾肥等化学肥料。淋施前按照要求搭配好肥料品种，并根据水车容积配置好水肥浓度，浓度宜为0.1%～0.5%。如果肥料不易溶于水，则要先把肥料加水沤制，直到肥料全部溶于水。淋水工爬上水车水箱顶部加水配肥时，要戴好安全帽、系好安全绳。配制水肥时先把完全溶解的肥料倒入水车水箱里，加水充分搅拌。</w:t>
      </w:r>
    </w:p>
    <w:p w14:paraId="6A8EA59B">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操作要点：淋施前，先对片植灌木进行松土除草，并把绿地上的石块、塑料、过高土等清理干净。水车淋施过程中，须打开警示灯、播放警示音乐，并注意避让道路上车辆、行人等。施用量以水肥没有溢出绿地路缘石为准。</w:t>
      </w:r>
    </w:p>
    <w:p w14:paraId="11C21BB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（5）环施</w:t>
      </w:r>
    </w:p>
    <w:p w14:paraId="5F8E1AAF">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环施是指沿树冠滴水线外侧挖掘宽和深均为30cm～40cm的沟，施入肥料后覆土被植物根部吸收的施肥方式。主要适用于乔木或孤植灌木施肥。</w:t>
      </w:r>
    </w:p>
    <w:p w14:paraId="548BCB1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肥料种类与操作要点参照穴施。</w:t>
      </w:r>
    </w:p>
    <w:p w14:paraId="5664A2E1">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（6）条施</w:t>
      </w:r>
    </w:p>
    <w:p w14:paraId="7F78430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条施又称沟施，是指在条形种植植物的绿地中，于植物行间挖沟，将肥料施下后覆土被植物根部吸收的施肥方式。条施多用于苗圃假植地。</w:t>
      </w:r>
    </w:p>
    <w:p w14:paraId="61EC423C">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肥料种类与操作要点参照穴施。</w:t>
      </w:r>
    </w:p>
    <w:p w14:paraId="7645BEEA">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（二）根外施肥</w:t>
      </w:r>
    </w:p>
    <w:p w14:paraId="522CA2CF">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根外施肥又称叶面施肥、根外追肥，是指将肥料溶于水，形成肥料溶液后喷洒于植物叶片上的施肥方式。</w:t>
      </w:r>
    </w:p>
    <w:p w14:paraId="314F8362">
      <w:pPr>
        <w:keepNext w:val="0"/>
        <w:keepLines w:val="0"/>
        <w:pageBreakBefore w:val="0"/>
        <w:numPr>
          <w:ilvl w:val="0"/>
          <w:numId w:val="7"/>
        </w:numPr>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肥料种类：磷酸二氢钾（促花、叶）、尿素（促叶）和其他水溶性好的叶面肥（高磷高钾型促花、高氮型促叶生长）。</w:t>
      </w:r>
    </w:p>
    <w:p w14:paraId="5D490A8E">
      <w:pPr>
        <w:keepNext w:val="0"/>
        <w:keepLines w:val="0"/>
        <w:pageBreakBefore w:val="0"/>
        <w:numPr>
          <w:ilvl w:val="0"/>
          <w:numId w:val="7"/>
        </w:numPr>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操作要点：喷施时间要选择非雨天或夜间进行，如气温高于35℃时，应选择上午10点以前下午4点以后进行施肥。根外施肥前按照要求搭配好肥料品种，并根据水车容积配置好叶面肥浓度，浓度宜为0.1%~0.5%。淋水工爬上水车水箱顶部加水配肥时，要戴好安全帽、系好安全绳。配制叶面肥时先把完全溶解的肥料倒入水车水箱里，加水充分搅拌。</w:t>
      </w:r>
    </w:p>
    <w:p w14:paraId="58A84E7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水车喷施肥料时，须打开警示灯、播放警示音乐，并注意避让道路上车辆、行人等。喷施时要将肥料溶液喷洒在植物树冠上，喷洒量以叶片湿透并开始出现滴水为准。</w:t>
      </w:r>
    </w:p>
    <w:p w14:paraId="0F5C445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（三）不同类型植物施肥方式推荐</w:t>
      </w:r>
    </w:p>
    <w:tbl>
      <w:tblPr>
        <w:tblStyle w:val="20"/>
        <w:tblW w:w="8250" w:type="dxa"/>
        <w:jc w:val="center"/>
        <w:tblLayout w:type="fixed"/>
        <w:tblCellMar>
          <w:top w:w="0" w:type="dxa"/>
          <w:left w:w="0" w:type="dxa"/>
          <w:bottom w:w="0" w:type="dxa"/>
          <w:right w:w="0" w:type="dxa"/>
        </w:tblCellMar>
      </w:tblPr>
      <w:tblGrid>
        <w:gridCol w:w="1425"/>
        <w:gridCol w:w="904"/>
        <w:gridCol w:w="1328"/>
        <w:gridCol w:w="904"/>
        <w:gridCol w:w="904"/>
        <w:gridCol w:w="904"/>
        <w:gridCol w:w="906"/>
        <w:gridCol w:w="975"/>
      </w:tblGrid>
      <w:tr w14:paraId="733735B4">
        <w:tblPrEx>
          <w:tblCellMar>
            <w:top w:w="0" w:type="dxa"/>
            <w:left w:w="0" w:type="dxa"/>
            <w:bottom w:w="0" w:type="dxa"/>
            <w:right w:w="0" w:type="dxa"/>
          </w:tblCellMar>
        </w:tblPrEx>
        <w:trPr>
          <w:trHeight w:val="300" w:hRule="atLeast"/>
          <w:jc w:val="center"/>
        </w:trPr>
        <w:tc>
          <w:tcPr>
            <w:tcW w:w="1425"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60828">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植物类型</w:t>
            </w:r>
          </w:p>
        </w:tc>
        <w:tc>
          <w:tcPr>
            <w:tcW w:w="585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E9551E">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土壤施肥</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94608">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根外施肥</w:t>
            </w:r>
          </w:p>
        </w:tc>
      </w:tr>
      <w:tr w14:paraId="21F9F0B8">
        <w:tblPrEx>
          <w:tblCellMar>
            <w:top w:w="0" w:type="dxa"/>
            <w:left w:w="0" w:type="dxa"/>
            <w:bottom w:w="0" w:type="dxa"/>
            <w:right w:w="0" w:type="dxa"/>
          </w:tblCellMar>
        </w:tblPrEx>
        <w:trPr>
          <w:trHeight w:val="300"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80CB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F23CCB">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穴施</w:t>
            </w: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9D29D">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打孔施</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33FC9">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撒施</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56FFCF">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淋施</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A5A4E">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环施</w:t>
            </w: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156C02">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条施</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CCEAEC">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喷施</w:t>
            </w:r>
          </w:p>
        </w:tc>
      </w:tr>
      <w:tr w14:paraId="5EDE9C8E">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A14D6">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行道树</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E22BC">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F6BAA4">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8D46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51F9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83EF4E">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A08382">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770D9">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3EA78DBB">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05C54">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绿地乔木</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BE6D1">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25BFE">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781B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6078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9EA99B">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DD1E2">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A0EA3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2914658D">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FB1A7">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孤植灌木</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C5145">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9AE08">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5410F">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43676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552DE">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D4A9C">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827F5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6D9A3A8E">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50CFA">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片植灌木</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87B0A">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4810E">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287B5">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87804">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BC7A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BB93B8">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053AD">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r>
      <w:tr w14:paraId="12655F4E">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5FBE7">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草本地被</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79A6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F3ACC">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360E9C">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2D47C">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8B14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1B3ED3">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B8F62">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r>
      <w:tr w14:paraId="2D78A506">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5B068">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草坪</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1182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729BC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170D7">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98C5A">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9AA2D6">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D457D">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00FA1">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r>
      <w:tr w14:paraId="2A496460">
        <w:tblPrEx>
          <w:tblCellMar>
            <w:top w:w="0" w:type="dxa"/>
            <w:left w:w="0" w:type="dxa"/>
            <w:bottom w:w="0" w:type="dxa"/>
            <w:right w:w="0" w:type="dxa"/>
          </w:tblCellMar>
        </w:tblPrEx>
        <w:trPr>
          <w:trHeight w:val="300" w:hRule="atLeast"/>
          <w:jc w:val="center"/>
        </w:trPr>
        <w:tc>
          <w:tcPr>
            <w:tcW w:w="14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FF50D1">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桥体三角梅</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406E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3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FCFE5">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CDB45A">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82E06">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5E6290">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9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F5F2BF">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E6F55">
            <w:pPr>
              <w:keepNext w:val="0"/>
              <w:keepLines w:val="0"/>
              <w:pageBreakBefore w:val="0"/>
              <w:widowControl/>
              <w:kinsoku/>
              <w:overflowPunct/>
              <w:topLinePunct w:val="0"/>
              <w:bidi w:val="0"/>
              <w:snapToGrid/>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w:t>
            </w:r>
          </w:p>
        </w:tc>
      </w:tr>
    </w:tbl>
    <w:p w14:paraId="3A3C851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六、施肥的要求 </w:t>
      </w:r>
      <w:bookmarkStart w:id="154" w:name="_Toc182365507"/>
    </w:p>
    <w:p w14:paraId="17BC0BC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（一）乔木施肥</w:t>
      </w:r>
    </w:p>
    <w:p w14:paraId="64D7B5CF">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定植3年内的乔木，全年施肥2～3次，穴施每株每次施复合肥0.4～0.5kg或施枝叶肥0.5～1kg。</w:t>
      </w:r>
      <w:bookmarkEnd w:id="154"/>
    </w:p>
    <w:p w14:paraId="2DF92B4F">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定植3年后的乔木，对生长不良、长势弱的施1～2次根外肥；对观花类的，应在花前、花后各追施一次复合肥，每株每次穴施复合肥0.2～0.25kg。</w:t>
      </w:r>
    </w:p>
    <w:p w14:paraId="581B593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（二）灌木施肥</w:t>
      </w:r>
    </w:p>
    <w:p w14:paraId="02B4DC53">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灌木全年施肥2～4次，具体施肥时间和要求为：</w:t>
      </w:r>
    </w:p>
    <w:p w14:paraId="44155EED">
      <w:pPr>
        <w:pStyle w:val="36"/>
        <w:keepNext w:val="0"/>
        <w:keepLines w:val="0"/>
        <w:pageBreakBefore w:val="0"/>
        <w:kinsoku/>
        <w:overflowPunct/>
        <w:topLinePunct w:val="0"/>
        <w:bidi w:val="0"/>
        <w:snapToGrid/>
        <w:spacing w:line="360" w:lineRule="auto"/>
        <w:ind w:firstLine="562"/>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1.春季大修剪后施肥  </w:t>
      </w:r>
    </w:p>
    <w:p w14:paraId="160EEC24">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片植灌木每次每平方米施肥0.15～0.25kg；孤植灌木，每株每次施肥0.2～0.25kg。</w:t>
      </w:r>
    </w:p>
    <w:p w14:paraId="5C831BC4">
      <w:pPr>
        <w:pStyle w:val="36"/>
        <w:keepNext w:val="0"/>
        <w:keepLines w:val="0"/>
        <w:pageBreakBefore w:val="0"/>
        <w:kinsoku/>
        <w:overflowPunct/>
        <w:topLinePunct w:val="0"/>
        <w:bidi w:val="0"/>
        <w:snapToGrid/>
        <w:spacing w:line="360" w:lineRule="auto"/>
        <w:ind w:firstLine="562"/>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2.夏秋季施肥</w:t>
      </w:r>
    </w:p>
    <w:p w14:paraId="40A7BB5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视植物的生长情况和缺肥情况进行施肥，整个夏秋季需施肥2～3次。其中片植和孤植的整形灌木原则上每修剪一次后必须要追施1次速效肥；孤植非整形灌木每次新芽时必须要追施1次速效肥；观花片植和孤植灌木除了每修剪1次枝叶后必须要追施外，还必须在花前和花后增施复合肥1次。</w:t>
      </w:r>
    </w:p>
    <w:p w14:paraId="6CE71A28">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3.冬季施肥</w:t>
      </w:r>
    </w:p>
    <w:p w14:paraId="56137138">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11-12月进行冬季施肥以增强植物的抗寒能力，主要以磷钾肥为主。片植灌木每平方撒施0.2～0.25kg，孤植灌木每株穴施0.2～0.3kg，小乔木每株穴施0.4～0.5kg，具体施用量视灌木的大小和生长情况酌情增减。</w:t>
      </w:r>
    </w:p>
    <w:p w14:paraId="7F73F6D7">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（三）草坪、草本地被施肥</w:t>
      </w:r>
    </w:p>
    <w:p w14:paraId="17E206C1">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全年施肥3～5次，生长期施肥4～5次，每平方米施0.15～0.2kg；入冬前施1次复合肥，观花地被花前施1次复合肥。</w:t>
      </w:r>
    </w:p>
    <w:p w14:paraId="3F383625">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七、肥料的选择</w:t>
      </w:r>
    </w:p>
    <w:p w14:paraId="0DC246C9">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（一）肥料的种类</w:t>
      </w:r>
    </w:p>
    <w:p w14:paraId="3D009923">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1.有机肥:包括垃圾肥、禽畜粪肥、枝叶肥等，有机肥料富含有机质，可以增加土壤有机质含量，改善土壤结构，提高保水保肥能力。</w:t>
      </w:r>
    </w:p>
    <w:p w14:paraId="4A453ED2">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2.复合肥：将多种营养元素（通常包括氮、磷、钾）混合在一起的肥料，可以一次性满足植物的多种营养需要，是城市绿化植物施放的最常用肥料。</w:t>
      </w:r>
    </w:p>
    <w:p w14:paraId="50E0B991">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3.化肥：包括氮肥、磷肥、钾肥等，可以快速补充土壤中缺乏的元素，促进植物健康生长。</w:t>
      </w:r>
    </w:p>
    <w:p w14:paraId="4CCEB36D">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4.微量元素肥料:指含有微量元素如铁、锰、铜、锌、硼等的肥料，可以补充土壤中缺少的特定元素。</w:t>
      </w:r>
    </w:p>
    <w:p w14:paraId="7C692BCC">
      <w:pPr>
        <w:keepNext w:val="0"/>
        <w:keepLines w:val="0"/>
        <w:pageBreakBefore w:val="0"/>
        <w:kinsoku/>
        <w:overflowPunct/>
        <w:topLinePunct w:val="0"/>
        <w:bidi w:val="0"/>
        <w:snapToGrid/>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（二）常用品牌复合肥推荐（定期更新）</w:t>
      </w:r>
    </w:p>
    <w:p w14:paraId="11C4CE23">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狮马（德国）、恩泰克（比利时）、阿康（俄罗斯）、罗素施（俄罗斯）、白俄罗（俄罗斯）、撒可富（阿拉伯）、安得（罗马尼亚）、联邦嘉吉（美国）、花多多（美国）、奥绿（美国）、长之道（芬兰）、花无缺（中国）、墨绿狮马（中德合资）、史丹利（中美合资）、美可特（中美合资）、中挪（中国）、开门子（中国）、超级蓝（中国）、华强（中国）、拉多美（中国）、米斯图（中国）、芭田（中国）、宜化（中国）、红四方（中国）、金正大（中国）、鲁西（中国）、云天化（中国）、施可丰（中国）、中农（中国）、艳阳天（中国）、天脊（中国）、新洋丰（中国）、佛山青山（中国）、石宝山（中国）、桂湖（中国）等。</w:t>
      </w:r>
    </w:p>
    <w:p w14:paraId="18E86EC1">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八、注意事项</w:t>
      </w:r>
    </w:p>
    <w:p w14:paraId="43DC5667">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（一）严禁使用无铭牌、假冒、劣质（肥力低下、长时间不溶解）或不适用于园林植物的肥料，一经发现将根据《南宁市绿化工程管理中心道路绿化养护市场化管理养护月度工作考核细则（202</w:t>
      </w:r>
      <w:r>
        <w:rPr>
          <w:rFonts w:hint="eastAsia" w:ascii="宋体" w:hAnsi="宋体" w:eastAsia="宋体" w:cs="宋体"/>
          <w:color w:val="auto"/>
          <w:sz w:val="24"/>
          <w:szCs w:val="24"/>
          <w:highlight w:val="none"/>
          <w:lang w:val="en-US" w:eastAsia="zh-CN"/>
        </w:rPr>
        <w:t>5修订</w:t>
      </w:r>
      <w:r>
        <w:rPr>
          <w:rFonts w:hint="eastAsia" w:ascii="宋体" w:hAnsi="宋体" w:eastAsia="宋体" w:cs="宋体"/>
          <w:color w:val="auto"/>
          <w:sz w:val="24"/>
          <w:szCs w:val="24"/>
          <w:highlight w:val="none"/>
        </w:rPr>
        <w:t>版）》（附件</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rPr>
        <w:t>1）进行扣罚。鉴于目前绿化养护主要使用复合肥料，如要使用上述推荐品牌以外的复合肥，需提供该品牌复合肥检验合格材料，并报植物保护所审核同意后方可使用。</w:t>
      </w:r>
    </w:p>
    <w:p w14:paraId="70B66A93">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（二）养护人员在作业时，要严格遵守《南宁市绿化工程管理中心道路绿化养护安全管理办法（202</w:t>
      </w:r>
      <w:r>
        <w:rPr>
          <w:rFonts w:hint="eastAsia" w:ascii="宋体" w:hAnsi="宋体" w:eastAsia="宋体" w:cs="宋体"/>
          <w:color w:val="auto"/>
          <w:sz w:val="24"/>
          <w:szCs w:val="24"/>
          <w:highlight w:val="none"/>
          <w:lang w:val="en-US" w:eastAsia="zh-CN"/>
        </w:rPr>
        <w:t>5修订</w:t>
      </w:r>
      <w:r>
        <w:rPr>
          <w:rFonts w:hint="eastAsia" w:ascii="宋体" w:hAnsi="宋体" w:eastAsia="宋体" w:cs="宋体"/>
          <w:color w:val="auto"/>
          <w:sz w:val="24"/>
          <w:szCs w:val="24"/>
          <w:highlight w:val="none"/>
        </w:rPr>
        <w:t>版）》（附件</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须穿好安全服，摆好安全锥，系好警示带，与肥料接触时须穿好橡胶手套等。水车淋施肥料时，要严格遵守《中华人民共和国道路交通安全法》，要打开故障灯、警示音乐，并注意街道上车辆、行人等情况。</w:t>
      </w:r>
    </w:p>
    <w:p w14:paraId="7CB892F2">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（三）年度施肥总量须严格按照投标承诺的数量，以一个合同期为周期，最后一个月对施肥的数量进行统计，核查抽检样品的合格率；对达不到合同约定施肥总量的进行扣罚，对抽检不合格的进行复核及处罚。</w:t>
      </w:r>
    </w:p>
    <w:p w14:paraId="7634AFA4">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p>
    <w:p w14:paraId="33F1D99B">
      <w:pPr>
        <w:pStyle w:val="36"/>
        <w:keepNext w:val="0"/>
        <w:keepLines w:val="0"/>
        <w:pageBreakBefore w:val="0"/>
        <w:kinsoku/>
        <w:overflowPunct/>
        <w:topLinePunct w:val="0"/>
        <w:bidi w:val="0"/>
        <w:snapToGrid/>
        <w:spacing w:line="360" w:lineRule="auto"/>
        <w:ind w:firstLine="0" w:firstLineChars="0"/>
        <w:outlineLvl w:val="9"/>
        <w:rPr>
          <w:rFonts w:hint="eastAsia" w:ascii="宋体" w:hAnsi="宋体" w:eastAsia="宋体" w:cs="宋体"/>
          <w:color w:val="auto"/>
          <w:sz w:val="24"/>
          <w:szCs w:val="24"/>
          <w:highlight w:val="none"/>
        </w:rPr>
      </w:pPr>
    </w:p>
    <w:p w14:paraId="450E8A4B">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p>
    <w:p w14:paraId="4960B09E">
      <w:pPr>
        <w:pStyle w:val="36"/>
        <w:keepNext w:val="0"/>
        <w:keepLines w:val="0"/>
        <w:pageBreakBefore w:val="0"/>
        <w:kinsoku/>
        <w:overflowPunct/>
        <w:topLinePunct w:val="0"/>
        <w:bidi w:val="0"/>
        <w:snapToGrid/>
        <w:spacing w:line="360" w:lineRule="auto"/>
        <w:ind w:firstLine="560"/>
        <w:outlineLvl w:val="9"/>
        <w:rPr>
          <w:rFonts w:hint="eastAsia" w:ascii="宋体" w:hAnsi="宋体" w:eastAsia="宋体" w:cs="宋体"/>
          <w:color w:val="auto"/>
          <w:sz w:val="24"/>
          <w:szCs w:val="24"/>
          <w:highlight w:val="none"/>
        </w:rPr>
      </w:pPr>
    </w:p>
    <w:p w14:paraId="0CAB0595">
      <w:pPr>
        <w:keepNext w:val="0"/>
        <w:keepLines w:val="0"/>
        <w:pageBreakBefore w:val="0"/>
        <w:kinsoku/>
        <w:overflowPunct/>
        <w:topLinePunct w:val="0"/>
        <w:bidi w:val="0"/>
        <w:snapToGrid/>
        <w:spacing w:line="360" w:lineRule="auto"/>
        <w:ind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南宁市绿化工程管理中心</w:t>
      </w:r>
    </w:p>
    <w:p w14:paraId="19098242">
      <w:pPr>
        <w:keepNext w:val="0"/>
        <w:keepLines w:val="0"/>
        <w:pageBreakBefore w:val="0"/>
        <w:kinsoku/>
        <w:overflowPunct/>
        <w:topLinePunct w:val="0"/>
        <w:bidi w:val="0"/>
        <w:snapToGrid/>
        <w:spacing w:line="360" w:lineRule="auto"/>
        <w:ind w:firstLine="5640" w:firstLineChars="23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月</w:t>
      </w:r>
    </w:p>
    <w:p w14:paraId="02C766E7">
      <w:pPr>
        <w:keepNext w:val="0"/>
        <w:keepLines w:val="0"/>
        <w:pageBreakBefore w:val="0"/>
        <w:tabs>
          <w:tab w:val="center" w:pos="4535"/>
        </w:tabs>
        <w:kinsoku/>
        <w:overflowPunct/>
        <w:topLinePunct w:val="0"/>
        <w:bidi w:val="0"/>
        <w:snapToGrid/>
        <w:spacing w:line="360" w:lineRule="auto"/>
        <w:jc w:val="left"/>
        <w:outlineLvl w:val="9"/>
        <w:rPr>
          <w:rFonts w:hint="eastAsia" w:ascii="宋体" w:hAnsi="宋体" w:eastAsia="宋体" w:cs="宋体"/>
          <w:color w:val="auto"/>
          <w:sz w:val="24"/>
          <w:szCs w:val="24"/>
          <w:highlight w:val="none"/>
        </w:rPr>
        <w:sectPr>
          <w:pgSz w:w="11906" w:h="16838"/>
          <w:pgMar w:top="1474" w:right="1418" w:bottom="1474" w:left="1418" w:header="851" w:footer="992" w:gutter="0"/>
          <w:cols w:space="720" w:num="1"/>
          <w:docGrid w:type="linesAndChars" w:linePitch="312" w:charSpace="0"/>
        </w:sectPr>
      </w:pPr>
    </w:p>
    <w:p w14:paraId="2743BDA5">
      <w:pPr>
        <w:keepNext w:val="0"/>
        <w:keepLines w:val="0"/>
        <w:pageBreakBefore w:val="0"/>
        <w:kinsoku/>
        <w:overflowPunct/>
        <w:topLinePunct w:val="0"/>
        <w:bidi w:val="0"/>
        <w:snapToGrid/>
        <w:spacing w:line="360" w:lineRule="auto"/>
        <w:ind w:right="108"/>
        <w:jc w:val="left"/>
        <w:outlineLvl w:val="1"/>
        <w:rPr>
          <w:rFonts w:ascii="黑体" w:hAnsi="黑体" w:eastAsia="黑体" w:cs="宋体"/>
          <w:color w:val="auto"/>
          <w:sz w:val="32"/>
          <w:szCs w:val="32"/>
          <w:highlight w:val="none"/>
        </w:rPr>
      </w:pPr>
      <w:bookmarkStart w:id="155" w:name="_Toc12436"/>
      <w:r>
        <w:rPr>
          <w:rFonts w:hint="eastAsia" w:ascii="黑体" w:hAnsi="黑体" w:eastAsia="黑体" w:cs="宋体"/>
          <w:color w:val="auto"/>
          <w:sz w:val="32"/>
          <w:szCs w:val="32"/>
          <w:highlight w:val="none"/>
        </w:rPr>
        <w:t>附件</w:t>
      </w:r>
      <w:r>
        <w:rPr>
          <w:rFonts w:hint="eastAsia" w:ascii="黑体" w:hAnsi="黑体" w:eastAsia="黑体" w:cs="宋体"/>
          <w:color w:val="auto"/>
          <w:sz w:val="32"/>
          <w:szCs w:val="32"/>
          <w:highlight w:val="none"/>
          <w:lang w:val="en-US" w:eastAsia="zh-CN"/>
        </w:rPr>
        <w:t>3-</w:t>
      </w:r>
      <w:r>
        <w:rPr>
          <w:rFonts w:hint="eastAsia" w:ascii="黑体" w:hAnsi="黑体" w:eastAsia="黑体" w:cs="宋体"/>
          <w:color w:val="auto"/>
          <w:sz w:val="32"/>
          <w:szCs w:val="32"/>
          <w:highlight w:val="none"/>
        </w:rPr>
        <w:t>5</w:t>
      </w:r>
      <w:r>
        <w:rPr>
          <w:rFonts w:hint="eastAsia" w:ascii="黑体" w:hAnsi="黑体" w:eastAsia="黑体" w:cs="宋体"/>
          <w:color w:val="auto"/>
          <w:sz w:val="32"/>
          <w:szCs w:val="32"/>
          <w:highlight w:val="none"/>
          <w:lang w:eastAsia="zh-CN"/>
        </w:rPr>
        <w:t>：</w:t>
      </w:r>
      <w:r>
        <w:rPr>
          <w:rFonts w:hint="eastAsia" w:ascii="黑体" w:hAnsi="黑体" w:eastAsia="黑体" w:cs="宋体"/>
          <w:color w:val="auto"/>
          <w:sz w:val="32"/>
          <w:szCs w:val="32"/>
          <w:highlight w:val="none"/>
        </w:rPr>
        <w:t>南宁市绿化工程管理中心道路绿化养护市场化管理养护月度考核记录表</w:t>
      </w:r>
      <w:bookmarkEnd w:id="155"/>
    </w:p>
    <w:p w14:paraId="635B513D">
      <w:pPr>
        <w:keepNext w:val="0"/>
        <w:keepLines w:val="0"/>
        <w:pageBreakBefore w:val="0"/>
        <w:kinsoku/>
        <w:overflowPunct/>
        <w:topLinePunct w:val="0"/>
        <w:bidi w:val="0"/>
        <w:snapToGrid/>
        <w:spacing w:line="360" w:lineRule="auto"/>
        <w:ind w:right="108"/>
        <w:jc w:val="center"/>
        <w:outlineLvl w:val="9"/>
        <w:rPr>
          <w:rFonts w:ascii="方正小标宋_GBK" w:hAnsi="黑体" w:eastAsia="方正小标宋_GBK" w:cs="宋体"/>
          <w:color w:val="auto"/>
          <w:sz w:val="44"/>
          <w:szCs w:val="44"/>
          <w:highlight w:val="none"/>
        </w:rPr>
      </w:pPr>
    </w:p>
    <w:p w14:paraId="6675FDEB">
      <w:pPr>
        <w:keepNext w:val="0"/>
        <w:keepLines w:val="0"/>
        <w:pageBreakBefore w:val="0"/>
        <w:kinsoku/>
        <w:overflowPunct/>
        <w:topLinePunct w:val="0"/>
        <w:bidi w:val="0"/>
        <w:snapToGrid/>
        <w:spacing w:line="360" w:lineRule="auto"/>
        <w:ind w:right="108"/>
        <w:jc w:val="center"/>
        <w:outlineLvl w:val="9"/>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南宁市绿化工程管理中心道路绿化养护市场化管理养护月度考核记录表</w:t>
      </w:r>
    </w:p>
    <w:p w14:paraId="59C0D015">
      <w:pPr>
        <w:keepNext w:val="0"/>
        <w:keepLines w:val="0"/>
        <w:pageBreakBefore w:val="0"/>
        <w:kinsoku/>
        <w:overflowPunct/>
        <w:topLinePunct w:val="0"/>
        <w:bidi w:val="0"/>
        <w:snapToGrid/>
        <w:spacing w:line="360" w:lineRule="auto"/>
        <w:ind w:right="108"/>
        <w:jc w:val="center"/>
        <w:outlineLvl w:val="9"/>
        <w:rPr>
          <w:rFonts w:ascii="方正小标宋_GBK" w:hAnsi="黑体" w:eastAsia="方正小标宋_GBK" w:cs="宋体"/>
          <w:color w:val="auto"/>
          <w:sz w:val="44"/>
          <w:szCs w:val="44"/>
          <w:highlight w:val="none"/>
        </w:rPr>
      </w:pPr>
    </w:p>
    <w:p w14:paraId="7F2105F8">
      <w:pPr>
        <w:keepNext w:val="0"/>
        <w:keepLines w:val="0"/>
        <w:pageBreakBefore w:val="0"/>
        <w:kinsoku/>
        <w:overflowPunct/>
        <w:topLinePunct w:val="0"/>
        <w:bidi w:val="0"/>
        <w:snapToGrid/>
        <w:spacing w:line="360" w:lineRule="auto"/>
        <w:ind w:right="108"/>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检查部门：养护生产      所     项目编号：                      养护单位：                             检查时间：</w:t>
      </w:r>
    </w:p>
    <w:tbl>
      <w:tblPr>
        <w:tblStyle w:val="20"/>
        <w:tblW w:w="14041" w:type="dxa"/>
        <w:jc w:val="center"/>
        <w:tblLayout w:type="fixed"/>
        <w:tblCellMar>
          <w:top w:w="0" w:type="dxa"/>
          <w:left w:w="108" w:type="dxa"/>
          <w:bottom w:w="0" w:type="dxa"/>
          <w:right w:w="108" w:type="dxa"/>
        </w:tblCellMar>
      </w:tblPr>
      <w:tblGrid>
        <w:gridCol w:w="497"/>
        <w:gridCol w:w="1221"/>
        <w:gridCol w:w="1843"/>
        <w:gridCol w:w="709"/>
        <w:gridCol w:w="2835"/>
        <w:gridCol w:w="709"/>
        <w:gridCol w:w="708"/>
        <w:gridCol w:w="851"/>
        <w:gridCol w:w="850"/>
        <w:gridCol w:w="2552"/>
        <w:gridCol w:w="1266"/>
      </w:tblGrid>
      <w:tr w14:paraId="76F40738">
        <w:tblPrEx>
          <w:tblCellMar>
            <w:top w:w="0" w:type="dxa"/>
            <w:left w:w="108" w:type="dxa"/>
            <w:bottom w:w="0" w:type="dxa"/>
            <w:right w:w="108" w:type="dxa"/>
          </w:tblCellMar>
        </w:tblPrEx>
        <w:trPr>
          <w:trHeight w:val="329" w:hRule="atLeast"/>
          <w:jc w:val="center"/>
        </w:trPr>
        <w:tc>
          <w:tcPr>
            <w:tcW w:w="497" w:type="dxa"/>
            <w:vMerge w:val="restart"/>
            <w:tcBorders>
              <w:top w:val="single" w:color="auto" w:sz="4" w:space="0"/>
              <w:left w:val="single" w:color="auto" w:sz="4" w:space="0"/>
              <w:bottom w:val="single" w:color="auto" w:sz="4" w:space="0"/>
              <w:right w:val="single" w:color="auto" w:sz="4" w:space="0"/>
            </w:tcBorders>
            <w:vAlign w:val="center"/>
          </w:tcPr>
          <w:p w14:paraId="44FB9CC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221" w:type="dxa"/>
            <w:vMerge w:val="restart"/>
            <w:tcBorders>
              <w:top w:val="single" w:color="auto" w:sz="4" w:space="0"/>
              <w:left w:val="single" w:color="auto" w:sz="4" w:space="0"/>
              <w:bottom w:val="single" w:color="auto" w:sz="4" w:space="0"/>
              <w:right w:val="single" w:color="auto" w:sz="4" w:space="0"/>
            </w:tcBorders>
            <w:vAlign w:val="center"/>
          </w:tcPr>
          <w:p w14:paraId="3351308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路段</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14:paraId="36713FA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具体位置</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584216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养护等级</w:t>
            </w:r>
          </w:p>
        </w:tc>
        <w:tc>
          <w:tcPr>
            <w:tcW w:w="2835" w:type="dxa"/>
            <w:vMerge w:val="restart"/>
            <w:tcBorders>
              <w:top w:val="single" w:color="auto" w:sz="4" w:space="0"/>
              <w:left w:val="single" w:color="auto" w:sz="4" w:space="0"/>
              <w:right w:val="single" w:color="auto" w:sz="4" w:space="0"/>
            </w:tcBorders>
            <w:vAlign w:val="center"/>
          </w:tcPr>
          <w:p w14:paraId="120D0ACB">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现场情况描述</w:t>
            </w:r>
          </w:p>
        </w:tc>
        <w:tc>
          <w:tcPr>
            <w:tcW w:w="5670" w:type="dxa"/>
            <w:gridSpan w:val="5"/>
            <w:tcBorders>
              <w:top w:val="single" w:color="auto" w:sz="4" w:space="0"/>
              <w:left w:val="single" w:color="auto" w:sz="4" w:space="0"/>
              <w:bottom w:val="single" w:color="auto" w:sz="4" w:space="0"/>
              <w:right w:val="single" w:color="auto" w:sz="4" w:space="0"/>
            </w:tcBorders>
            <w:vAlign w:val="center"/>
          </w:tcPr>
          <w:p w14:paraId="583756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处理情况</w:t>
            </w:r>
          </w:p>
        </w:tc>
        <w:tc>
          <w:tcPr>
            <w:tcW w:w="1266" w:type="dxa"/>
            <w:vMerge w:val="restart"/>
            <w:tcBorders>
              <w:top w:val="single" w:color="auto" w:sz="4" w:space="0"/>
              <w:left w:val="single" w:color="auto" w:sz="4" w:space="0"/>
              <w:right w:val="single" w:color="auto" w:sz="4" w:space="0"/>
            </w:tcBorders>
            <w:vAlign w:val="center"/>
          </w:tcPr>
          <w:p w14:paraId="47C21ED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14:paraId="3DD57D4B">
        <w:tblPrEx>
          <w:tblCellMar>
            <w:top w:w="0" w:type="dxa"/>
            <w:left w:w="108" w:type="dxa"/>
            <w:bottom w:w="0" w:type="dxa"/>
            <w:right w:w="108" w:type="dxa"/>
          </w:tblCellMar>
        </w:tblPrEx>
        <w:trPr>
          <w:trHeight w:val="368" w:hRule="atLeast"/>
          <w:jc w:val="center"/>
        </w:trPr>
        <w:tc>
          <w:tcPr>
            <w:tcW w:w="497" w:type="dxa"/>
            <w:vMerge w:val="continue"/>
            <w:tcBorders>
              <w:top w:val="single" w:color="auto" w:sz="4" w:space="0"/>
              <w:left w:val="single" w:color="auto" w:sz="4" w:space="0"/>
              <w:bottom w:val="single" w:color="auto" w:sz="4" w:space="0"/>
              <w:right w:val="single" w:color="auto" w:sz="4" w:space="0"/>
            </w:tcBorders>
            <w:vAlign w:val="center"/>
          </w:tcPr>
          <w:p w14:paraId="2F7B0327">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1221" w:type="dxa"/>
            <w:vMerge w:val="continue"/>
            <w:tcBorders>
              <w:top w:val="single" w:color="auto" w:sz="4" w:space="0"/>
              <w:left w:val="single" w:color="auto" w:sz="4" w:space="0"/>
              <w:bottom w:val="single" w:color="auto" w:sz="4" w:space="0"/>
              <w:right w:val="single" w:color="auto" w:sz="4" w:space="0"/>
            </w:tcBorders>
            <w:vAlign w:val="center"/>
          </w:tcPr>
          <w:p w14:paraId="73BCC2AA">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14:paraId="09618FC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D7612D8">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p>
        </w:tc>
        <w:tc>
          <w:tcPr>
            <w:tcW w:w="2835" w:type="dxa"/>
            <w:vMerge w:val="continue"/>
            <w:tcBorders>
              <w:left w:val="single" w:color="auto" w:sz="4" w:space="0"/>
              <w:bottom w:val="single" w:color="auto" w:sz="4" w:space="0"/>
              <w:right w:val="single" w:color="auto" w:sz="4" w:space="0"/>
            </w:tcBorders>
          </w:tcPr>
          <w:p w14:paraId="52FB7F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62FFF42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扣则序号</w:t>
            </w:r>
          </w:p>
        </w:tc>
        <w:tc>
          <w:tcPr>
            <w:tcW w:w="708" w:type="dxa"/>
            <w:tcBorders>
              <w:top w:val="single" w:color="auto" w:sz="4" w:space="0"/>
              <w:left w:val="single" w:color="auto" w:sz="4" w:space="0"/>
              <w:bottom w:val="single" w:color="auto" w:sz="4" w:space="0"/>
              <w:right w:val="single" w:color="auto" w:sz="4" w:space="0"/>
            </w:tcBorders>
            <w:vAlign w:val="center"/>
          </w:tcPr>
          <w:p w14:paraId="4C6E3EE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单位扣分</w:t>
            </w:r>
          </w:p>
        </w:tc>
        <w:tc>
          <w:tcPr>
            <w:tcW w:w="851" w:type="dxa"/>
            <w:tcBorders>
              <w:top w:val="single" w:color="auto" w:sz="4" w:space="0"/>
              <w:left w:val="nil"/>
              <w:bottom w:val="single" w:color="auto" w:sz="4" w:space="0"/>
              <w:right w:val="single" w:color="auto" w:sz="4" w:space="0"/>
            </w:tcBorders>
            <w:vAlign w:val="center"/>
          </w:tcPr>
          <w:p w14:paraId="29A226C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数量（处）</w:t>
            </w:r>
          </w:p>
        </w:tc>
        <w:tc>
          <w:tcPr>
            <w:tcW w:w="850" w:type="dxa"/>
            <w:tcBorders>
              <w:top w:val="single" w:color="auto" w:sz="4" w:space="0"/>
              <w:left w:val="nil"/>
              <w:bottom w:val="single" w:color="auto" w:sz="4" w:space="0"/>
              <w:right w:val="single" w:color="auto" w:sz="4" w:space="0"/>
            </w:tcBorders>
            <w:vAlign w:val="center"/>
          </w:tcPr>
          <w:p w14:paraId="1E86151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扣分总计</w:t>
            </w:r>
          </w:p>
        </w:tc>
        <w:tc>
          <w:tcPr>
            <w:tcW w:w="2552" w:type="dxa"/>
            <w:tcBorders>
              <w:top w:val="single" w:color="auto" w:sz="4" w:space="0"/>
              <w:left w:val="nil"/>
              <w:bottom w:val="single" w:color="auto" w:sz="4" w:space="0"/>
              <w:right w:val="single" w:color="auto" w:sz="4" w:space="0"/>
            </w:tcBorders>
            <w:vAlign w:val="center"/>
          </w:tcPr>
          <w:p w14:paraId="5F70319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整改要求</w:t>
            </w:r>
          </w:p>
        </w:tc>
        <w:tc>
          <w:tcPr>
            <w:tcW w:w="1266" w:type="dxa"/>
            <w:vMerge w:val="continue"/>
            <w:tcBorders>
              <w:left w:val="single" w:color="auto" w:sz="4" w:space="0"/>
              <w:bottom w:val="single" w:color="auto" w:sz="4" w:space="0"/>
              <w:right w:val="single" w:color="auto" w:sz="4" w:space="0"/>
            </w:tcBorders>
            <w:vAlign w:val="center"/>
          </w:tcPr>
          <w:p w14:paraId="263DA8E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4F0AAB71">
        <w:tblPrEx>
          <w:tblCellMar>
            <w:top w:w="0" w:type="dxa"/>
            <w:left w:w="108" w:type="dxa"/>
            <w:bottom w:w="0" w:type="dxa"/>
            <w:right w:w="108" w:type="dxa"/>
          </w:tblCellMar>
        </w:tblPrEx>
        <w:trPr>
          <w:trHeight w:val="340" w:hRule="atLeast"/>
          <w:jc w:val="center"/>
        </w:trPr>
        <w:tc>
          <w:tcPr>
            <w:tcW w:w="497" w:type="dxa"/>
            <w:tcBorders>
              <w:top w:val="single" w:color="auto" w:sz="4" w:space="0"/>
              <w:left w:val="single" w:color="auto" w:sz="4" w:space="0"/>
              <w:bottom w:val="single" w:color="auto" w:sz="4" w:space="0"/>
              <w:right w:val="single" w:color="auto" w:sz="4" w:space="0"/>
            </w:tcBorders>
            <w:shd w:val="clear" w:color="000000" w:fill="FFFFFF"/>
            <w:vAlign w:val="center"/>
          </w:tcPr>
          <w:p w14:paraId="3B2D5D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221" w:type="dxa"/>
            <w:tcBorders>
              <w:top w:val="single" w:color="auto" w:sz="4" w:space="0"/>
              <w:left w:val="nil"/>
              <w:bottom w:val="single" w:color="auto" w:sz="4" w:space="0"/>
              <w:right w:val="single" w:color="auto" w:sz="4" w:space="0"/>
            </w:tcBorders>
            <w:shd w:val="clear" w:color="000000" w:fill="FFFFFF"/>
            <w:vAlign w:val="center"/>
          </w:tcPr>
          <w:p w14:paraId="71FAE63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single" w:color="auto" w:sz="4" w:space="0"/>
              <w:left w:val="nil"/>
              <w:bottom w:val="single" w:color="auto" w:sz="4" w:space="0"/>
              <w:right w:val="single" w:color="auto" w:sz="4" w:space="0"/>
            </w:tcBorders>
            <w:shd w:val="clear" w:color="000000" w:fill="FFFFFF"/>
            <w:vAlign w:val="center"/>
          </w:tcPr>
          <w:p w14:paraId="4B540B3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single" w:color="auto" w:sz="4" w:space="0"/>
              <w:left w:val="nil"/>
              <w:bottom w:val="single" w:color="auto" w:sz="4" w:space="0"/>
              <w:right w:val="single" w:color="auto" w:sz="4" w:space="0"/>
            </w:tcBorders>
            <w:shd w:val="clear" w:color="000000" w:fill="FFFFFF"/>
            <w:vAlign w:val="center"/>
          </w:tcPr>
          <w:p w14:paraId="156DDE0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4CFEA8D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3157359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single" w:color="auto" w:sz="4" w:space="0"/>
              <w:left w:val="single" w:color="auto" w:sz="4" w:space="0"/>
              <w:bottom w:val="single" w:color="auto" w:sz="4" w:space="0"/>
              <w:right w:val="single" w:color="auto" w:sz="4" w:space="0"/>
            </w:tcBorders>
            <w:shd w:val="clear" w:color="000000" w:fill="FFFFFF"/>
            <w:vAlign w:val="center"/>
          </w:tcPr>
          <w:p w14:paraId="30A8B5A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single" w:color="auto" w:sz="4" w:space="0"/>
              <w:left w:val="nil"/>
              <w:bottom w:val="single" w:color="auto" w:sz="4" w:space="0"/>
              <w:right w:val="single" w:color="auto" w:sz="4" w:space="0"/>
            </w:tcBorders>
            <w:shd w:val="clear" w:color="000000" w:fill="FFFFFF"/>
            <w:vAlign w:val="center"/>
          </w:tcPr>
          <w:p w14:paraId="02D7670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14:paraId="4361A13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single" w:color="auto" w:sz="4" w:space="0"/>
              <w:left w:val="nil"/>
              <w:bottom w:val="single" w:color="auto" w:sz="4" w:space="0"/>
              <w:right w:val="single" w:color="auto" w:sz="4" w:space="0"/>
            </w:tcBorders>
            <w:shd w:val="clear" w:color="000000" w:fill="FFFFFF"/>
            <w:vAlign w:val="center"/>
          </w:tcPr>
          <w:p w14:paraId="79CD9B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single" w:color="auto" w:sz="4" w:space="0"/>
              <w:left w:val="nil"/>
              <w:bottom w:val="single" w:color="auto" w:sz="4" w:space="0"/>
              <w:right w:val="single" w:color="auto" w:sz="4" w:space="0"/>
            </w:tcBorders>
            <w:shd w:val="clear" w:color="000000" w:fill="FFFFFF"/>
            <w:vAlign w:val="center"/>
          </w:tcPr>
          <w:p w14:paraId="76942DC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38BB1C8B">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78DF2B8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221" w:type="dxa"/>
            <w:tcBorders>
              <w:top w:val="nil"/>
              <w:left w:val="nil"/>
              <w:bottom w:val="single" w:color="auto" w:sz="4" w:space="0"/>
              <w:right w:val="single" w:color="auto" w:sz="4" w:space="0"/>
            </w:tcBorders>
            <w:shd w:val="clear" w:color="000000" w:fill="FFFFFF"/>
            <w:vAlign w:val="center"/>
          </w:tcPr>
          <w:p w14:paraId="3F1273B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747F759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40A818A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5480CBD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34155B2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601D271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11BA76F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07CC68D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56949B6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1ACA26B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409F556A">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3F3E8E4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221" w:type="dxa"/>
            <w:tcBorders>
              <w:top w:val="nil"/>
              <w:left w:val="nil"/>
              <w:bottom w:val="single" w:color="auto" w:sz="4" w:space="0"/>
              <w:right w:val="single" w:color="auto" w:sz="4" w:space="0"/>
            </w:tcBorders>
            <w:shd w:val="clear" w:color="000000" w:fill="FFFFFF"/>
            <w:vAlign w:val="center"/>
          </w:tcPr>
          <w:p w14:paraId="330B5A4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5B0F0C6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1FCC57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30EC164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43CFB13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38E27BF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2150BEC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330C809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6AEFA0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4A265AD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49471C14">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34817C6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221" w:type="dxa"/>
            <w:tcBorders>
              <w:top w:val="nil"/>
              <w:left w:val="nil"/>
              <w:bottom w:val="single" w:color="auto" w:sz="4" w:space="0"/>
              <w:right w:val="single" w:color="auto" w:sz="4" w:space="0"/>
            </w:tcBorders>
            <w:shd w:val="clear" w:color="000000" w:fill="FFFFFF"/>
            <w:vAlign w:val="center"/>
          </w:tcPr>
          <w:p w14:paraId="7411C79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3C9EEE7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01BA4ED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14E222D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78F2301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591BC1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59BF744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3B36684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2A4BA6F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5F2F6D9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54BA9358">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0B9EE2E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221" w:type="dxa"/>
            <w:tcBorders>
              <w:top w:val="nil"/>
              <w:left w:val="nil"/>
              <w:bottom w:val="single" w:color="auto" w:sz="4" w:space="0"/>
              <w:right w:val="single" w:color="auto" w:sz="4" w:space="0"/>
            </w:tcBorders>
            <w:shd w:val="clear" w:color="000000" w:fill="FFFFFF"/>
            <w:vAlign w:val="center"/>
          </w:tcPr>
          <w:p w14:paraId="4B60D7D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071C1D7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78251AD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1F4D43D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451A3FE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7EAD495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6F51B78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16D175A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42F0E58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6680FD6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6277912F">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1FEE176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221" w:type="dxa"/>
            <w:tcBorders>
              <w:top w:val="nil"/>
              <w:left w:val="nil"/>
              <w:bottom w:val="single" w:color="auto" w:sz="4" w:space="0"/>
              <w:right w:val="single" w:color="auto" w:sz="4" w:space="0"/>
            </w:tcBorders>
            <w:shd w:val="clear" w:color="000000" w:fill="FFFFFF"/>
            <w:vAlign w:val="center"/>
          </w:tcPr>
          <w:p w14:paraId="683ECE3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776558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6700DFE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2345E38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777CE27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089FDDE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52DBE8B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41B9A52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24F5AA8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1B32A67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11DFA997">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77890B3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221" w:type="dxa"/>
            <w:tcBorders>
              <w:top w:val="nil"/>
              <w:left w:val="nil"/>
              <w:bottom w:val="single" w:color="auto" w:sz="4" w:space="0"/>
              <w:right w:val="single" w:color="auto" w:sz="4" w:space="0"/>
            </w:tcBorders>
            <w:shd w:val="clear" w:color="000000" w:fill="FFFFFF"/>
            <w:vAlign w:val="center"/>
          </w:tcPr>
          <w:p w14:paraId="2C9A517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41D20DD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0996BB5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436CFC9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7D2DD14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1BC157C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26D700F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08E293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0F46AD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433BF35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15AA1CF5">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6105158B">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221" w:type="dxa"/>
            <w:tcBorders>
              <w:top w:val="nil"/>
              <w:left w:val="nil"/>
              <w:bottom w:val="single" w:color="auto" w:sz="4" w:space="0"/>
              <w:right w:val="single" w:color="auto" w:sz="4" w:space="0"/>
            </w:tcBorders>
            <w:shd w:val="clear" w:color="000000" w:fill="FFFFFF"/>
            <w:vAlign w:val="center"/>
          </w:tcPr>
          <w:p w14:paraId="39F6335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2BEAF7B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5C04B39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21BBA3A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1968936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2DA8B9E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428929A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422DA8F3">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3D85770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6C552F6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138D483F">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3A25B4F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221" w:type="dxa"/>
            <w:tcBorders>
              <w:top w:val="nil"/>
              <w:left w:val="nil"/>
              <w:bottom w:val="single" w:color="auto" w:sz="4" w:space="0"/>
              <w:right w:val="single" w:color="auto" w:sz="4" w:space="0"/>
            </w:tcBorders>
            <w:shd w:val="clear" w:color="000000" w:fill="FFFFFF"/>
            <w:vAlign w:val="center"/>
          </w:tcPr>
          <w:p w14:paraId="07A46A3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64AA47D4">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1DE7601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28FE55C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2DD2956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69014B38">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76729CA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0A15FA6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048CA17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3EB87A8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5737CBD9">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shd w:val="clear" w:color="000000" w:fill="FFFFFF"/>
            <w:vAlign w:val="center"/>
          </w:tcPr>
          <w:p w14:paraId="66EE810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221" w:type="dxa"/>
            <w:tcBorders>
              <w:top w:val="nil"/>
              <w:left w:val="nil"/>
              <w:bottom w:val="single" w:color="auto" w:sz="4" w:space="0"/>
              <w:right w:val="single" w:color="auto" w:sz="4" w:space="0"/>
            </w:tcBorders>
            <w:shd w:val="clear" w:color="000000" w:fill="FFFFFF"/>
            <w:vAlign w:val="center"/>
          </w:tcPr>
          <w:p w14:paraId="12427DC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shd w:val="clear" w:color="000000" w:fill="FFFFFF"/>
            <w:vAlign w:val="center"/>
          </w:tcPr>
          <w:p w14:paraId="622B48EC">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shd w:val="clear" w:color="000000" w:fill="FFFFFF"/>
            <w:vAlign w:val="center"/>
          </w:tcPr>
          <w:p w14:paraId="13098A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shd w:val="clear" w:color="000000" w:fill="FFFFFF"/>
            <w:vAlign w:val="center"/>
          </w:tcPr>
          <w:p w14:paraId="1B43BEF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shd w:val="clear" w:color="000000" w:fill="FFFFFF"/>
            <w:vAlign w:val="center"/>
          </w:tcPr>
          <w:p w14:paraId="154E8DB7">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shd w:val="clear" w:color="000000" w:fill="FFFFFF"/>
            <w:vAlign w:val="center"/>
          </w:tcPr>
          <w:p w14:paraId="5C60035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shd w:val="clear" w:color="000000" w:fill="FFFFFF"/>
            <w:vAlign w:val="center"/>
          </w:tcPr>
          <w:p w14:paraId="2285F6D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shd w:val="clear" w:color="000000" w:fill="FFFFFF"/>
            <w:vAlign w:val="center"/>
          </w:tcPr>
          <w:p w14:paraId="7B89FDD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552" w:type="dxa"/>
            <w:tcBorders>
              <w:top w:val="nil"/>
              <w:left w:val="nil"/>
              <w:bottom w:val="single" w:color="auto" w:sz="4" w:space="0"/>
              <w:right w:val="single" w:color="auto" w:sz="4" w:space="0"/>
            </w:tcBorders>
            <w:shd w:val="clear" w:color="000000" w:fill="FFFFFF"/>
            <w:vAlign w:val="center"/>
          </w:tcPr>
          <w:p w14:paraId="78285FD1">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266" w:type="dxa"/>
            <w:tcBorders>
              <w:top w:val="nil"/>
              <w:left w:val="nil"/>
              <w:bottom w:val="single" w:color="auto" w:sz="4" w:space="0"/>
              <w:right w:val="single" w:color="auto" w:sz="4" w:space="0"/>
            </w:tcBorders>
            <w:shd w:val="clear" w:color="000000" w:fill="FFFFFF"/>
            <w:vAlign w:val="center"/>
          </w:tcPr>
          <w:p w14:paraId="5B6EED0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038D5B29">
        <w:tblPrEx>
          <w:tblCellMar>
            <w:top w:w="0" w:type="dxa"/>
            <w:left w:w="108" w:type="dxa"/>
            <w:bottom w:w="0" w:type="dxa"/>
            <w:right w:w="108" w:type="dxa"/>
          </w:tblCellMar>
        </w:tblPrEx>
        <w:trPr>
          <w:trHeight w:val="340" w:hRule="atLeast"/>
          <w:jc w:val="center"/>
        </w:trPr>
        <w:tc>
          <w:tcPr>
            <w:tcW w:w="497" w:type="dxa"/>
            <w:tcBorders>
              <w:top w:val="nil"/>
              <w:left w:val="single" w:color="auto" w:sz="4" w:space="0"/>
              <w:bottom w:val="single" w:color="auto" w:sz="4" w:space="0"/>
              <w:right w:val="single" w:color="auto" w:sz="4" w:space="0"/>
            </w:tcBorders>
            <w:vAlign w:val="center"/>
          </w:tcPr>
          <w:p w14:paraId="4A9E30BD">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合计</w:t>
            </w:r>
          </w:p>
        </w:tc>
        <w:tc>
          <w:tcPr>
            <w:tcW w:w="1221" w:type="dxa"/>
            <w:tcBorders>
              <w:top w:val="nil"/>
              <w:left w:val="nil"/>
              <w:bottom w:val="single" w:color="auto" w:sz="4" w:space="0"/>
              <w:right w:val="single" w:color="auto" w:sz="4" w:space="0"/>
            </w:tcBorders>
            <w:vAlign w:val="center"/>
          </w:tcPr>
          <w:p w14:paraId="7495177A">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1843" w:type="dxa"/>
            <w:tcBorders>
              <w:top w:val="nil"/>
              <w:left w:val="nil"/>
              <w:bottom w:val="single" w:color="auto" w:sz="4" w:space="0"/>
              <w:right w:val="single" w:color="auto" w:sz="4" w:space="0"/>
            </w:tcBorders>
            <w:vAlign w:val="center"/>
          </w:tcPr>
          <w:p w14:paraId="00D334A0">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nil"/>
              <w:bottom w:val="single" w:color="auto" w:sz="4" w:space="0"/>
              <w:right w:val="single" w:color="auto" w:sz="4" w:space="0"/>
            </w:tcBorders>
            <w:vAlign w:val="center"/>
          </w:tcPr>
          <w:p w14:paraId="5D6350D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2835" w:type="dxa"/>
            <w:tcBorders>
              <w:top w:val="single" w:color="auto" w:sz="4" w:space="0"/>
              <w:left w:val="nil"/>
              <w:bottom w:val="single" w:color="auto" w:sz="4" w:space="0"/>
              <w:right w:val="single" w:color="auto" w:sz="4" w:space="0"/>
            </w:tcBorders>
            <w:vAlign w:val="center"/>
          </w:tcPr>
          <w:p w14:paraId="7A10EE7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9" w:type="dxa"/>
            <w:tcBorders>
              <w:top w:val="nil"/>
              <w:left w:val="single" w:color="auto" w:sz="4" w:space="0"/>
              <w:bottom w:val="single" w:color="auto" w:sz="4" w:space="0"/>
              <w:right w:val="single" w:color="auto" w:sz="4" w:space="0"/>
            </w:tcBorders>
            <w:vAlign w:val="center"/>
          </w:tcPr>
          <w:p w14:paraId="2FA3E516">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708" w:type="dxa"/>
            <w:tcBorders>
              <w:top w:val="nil"/>
              <w:left w:val="single" w:color="auto" w:sz="4" w:space="0"/>
              <w:bottom w:val="single" w:color="auto" w:sz="4" w:space="0"/>
              <w:right w:val="single" w:color="auto" w:sz="4" w:space="0"/>
            </w:tcBorders>
            <w:vAlign w:val="center"/>
          </w:tcPr>
          <w:p w14:paraId="1E96E73E">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1" w:type="dxa"/>
            <w:tcBorders>
              <w:top w:val="nil"/>
              <w:left w:val="nil"/>
              <w:bottom w:val="single" w:color="auto" w:sz="4" w:space="0"/>
              <w:right w:val="single" w:color="auto" w:sz="4" w:space="0"/>
            </w:tcBorders>
            <w:vAlign w:val="center"/>
          </w:tcPr>
          <w:p w14:paraId="20285829">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c>
          <w:tcPr>
            <w:tcW w:w="850" w:type="dxa"/>
            <w:tcBorders>
              <w:top w:val="nil"/>
              <w:left w:val="nil"/>
              <w:bottom w:val="single" w:color="auto" w:sz="4" w:space="0"/>
              <w:right w:val="single" w:color="auto" w:sz="4" w:space="0"/>
            </w:tcBorders>
            <w:vAlign w:val="center"/>
          </w:tcPr>
          <w:p w14:paraId="6BFDC3F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p>
        </w:tc>
        <w:tc>
          <w:tcPr>
            <w:tcW w:w="2552" w:type="dxa"/>
            <w:tcBorders>
              <w:top w:val="nil"/>
              <w:left w:val="nil"/>
              <w:bottom w:val="single" w:color="auto" w:sz="4" w:space="0"/>
              <w:right w:val="single" w:color="auto" w:sz="4" w:space="0"/>
            </w:tcBorders>
            <w:vAlign w:val="center"/>
          </w:tcPr>
          <w:p w14:paraId="55897A9D">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b/>
                <w:bCs/>
                <w:color w:val="auto"/>
                <w:kern w:val="0"/>
                <w:sz w:val="24"/>
                <w:szCs w:val="24"/>
                <w:highlight w:val="none"/>
              </w:rPr>
            </w:pPr>
          </w:p>
        </w:tc>
        <w:tc>
          <w:tcPr>
            <w:tcW w:w="1266" w:type="dxa"/>
            <w:tcBorders>
              <w:top w:val="nil"/>
              <w:left w:val="nil"/>
              <w:bottom w:val="single" w:color="auto" w:sz="4" w:space="0"/>
              <w:right w:val="single" w:color="auto" w:sz="4" w:space="0"/>
            </w:tcBorders>
            <w:vAlign w:val="center"/>
          </w:tcPr>
          <w:p w14:paraId="7C953912">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p>
        </w:tc>
      </w:tr>
      <w:tr w14:paraId="47D86DB6">
        <w:tblPrEx>
          <w:tblCellMar>
            <w:top w:w="0" w:type="dxa"/>
            <w:left w:w="108" w:type="dxa"/>
            <w:bottom w:w="0" w:type="dxa"/>
            <w:right w:w="108" w:type="dxa"/>
          </w:tblCellMar>
        </w:tblPrEx>
        <w:trPr>
          <w:trHeight w:val="604" w:hRule="atLeast"/>
          <w:jc w:val="center"/>
        </w:trPr>
        <w:tc>
          <w:tcPr>
            <w:tcW w:w="4270" w:type="dxa"/>
            <w:gridSpan w:val="4"/>
            <w:tcBorders>
              <w:top w:val="single" w:color="auto" w:sz="4" w:space="0"/>
              <w:left w:val="single" w:color="auto" w:sz="4" w:space="0"/>
              <w:bottom w:val="single" w:color="auto" w:sz="4" w:space="0"/>
              <w:right w:val="single" w:color="auto" w:sz="4" w:space="0"/>
            </w:tcBorders>
            <w:vAlign w:val="center"/>
          </w:tcPr>
          <w:p w14:paraId="1243EDDB">
            <w:pPr>
              <w:keepNext w:val="0"/>
              <w:keepLines w:val="0"/>
              <w:pageBreakBefore w:val="0"/>
              <w:widowControl/>
              <w:kinsoku/>
              <w:overflowPunct/>
              <w:topLinePunct w:val="0"/>
              <w:bidi w:val="0"/>
              <w:snapToGrid/>
              <w:spacing w:line="360" w:lineRule="auto"/>
              <w:jc w:val="left"/>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检查人员签名：                                                                 </w:t>
            </w:r>
          </w:p>
        </w:tc>
        <w:tc>
          <w:tcPr>
            <w:tcW w:w="5103" w:type="dxa"/>
            <w:gridSpan w:val="4"/>
            <w:tcBorders>
              <w:top w:val="single" w:color="auto" w:sz="4" w:space="0"/>
              <w:left w:val="nil"/>
              <w:bottom w:val="single" w:color="auto" w:sz="4" w:space="0"/>
              <w:right w:val="single" w:color="auto" w:sz="4" w:space="0"/>
            </w:tcBorders>
            <w:vAlign w:val="center"/>
          </w:tcPr>
          <w:p w14:paraId="2087D8A5">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现场代表签名：</w:t>
            </w:r>
          </w:p>
        </w:tc>
        <w:tc>
          <w:tcPr>
            <w:tcW w:w="4668" w:type="dxa"/>
            <w:gridSpan w:val="3"/>
            <w:tcBorders>
              <w:top w:val="single" w:color="auto" w:sz="4" w:space="0"/>
              <w:left w:val="nil"/>
              <w:bottom w:val="single" w:color="auto" w:sz="4" w:space="0"/>
              <w:right w:val="single" w:color="auto" w:sz="4" w:space="0"/>
            </w:tcBorders>
            <w:vAlign w:val="center"/>
          </w:tcPr>
          <w:p w14:paraId="31AA9E7F">
            <w:pPr>
              <w:keepNext w:val="0"/>
              <w:keepLines w:val="0"/>
              <w:pageBreakBefore w:val="0"/>
              <w:widowControl/>
              <w:kinsoku/>
              <w:overflowPunct/>
              <w:topLinePunct w:val="0"/>
              <w:bidi w:val="0"/>
              <w:snapToGrid/>
              <w:spacing w:line="360" w:lineRule="auto"/>
              <w:jc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养护所负责人签名：</w:t>
            </w:r>
          </w:p>
        </w:tc>
      </w:tr>
    </w:tbl>
    <w:p w14:paraId="57B5A01B">
      <w:pPr>
        <w:keepNext w:val="0"/>
        <w:keepLines w:val="0"/>
        <w:pageBreakBefore w:val="0"/>
        <w:kinsoku/>
        <w:overflowPunct/>
        <w:topLinePunct w:val="0"/>
        <w:bidi w:val="0"/>
        <w:snapToGrid/>
        <w:spacing w:line="360" w:lineRule="auto"/>
        <w:ind w:right="108"/>
        <w:jc w:val="left"/>
        <w:outlineLvl w:val="9"/>
        <w:rPr>
          <w:rFonts w:ascii="宋体" w:hAnsi="宋体" w:cs="宋体"/>
          <w:color w:val="auto"/>
          <w:sz w:val="32"/>
          <w:szCs w:val="32"/>
          <w:highlight w:val="none"/>
        </w:rPr>
      </w:pPr>
    </w:p>
    <w:p w14:paraId="114A0960">
      <w:pPr>
        <w:keepNext w:val="0"/>
        <w:keepLines w:val="0"/>
        <w:pageBreakBefore w:val="0"/>
        <w:kinsoku/>
        <w:overflowPunct/>
        <w:topLinePunct w:val="0"/>
        <w:bidi w:val="0"/>
        <w:snapToGrid/>
        <w:spacing w:line="360" w:lineRule="auto"/>
        <w:ind w:right="108"/>
        <w:jc w:val="left"/>
        <w:outlineLvl w:val="9"/>
        <w:rPr>
          <w:rFonts w:ascii="宋体" w:hAnsi="宋体" w:cs="宋体"/>
          <w:color w:val="auto"/>
          <w:sz w:val="32"/>
          <w:szCs w:val="32"/>
          <w:highlight w:val="none"/>
        </w:rPr>
      </w:pPr>
    </w:p>
    <w:p w14:paraId="2557B4A6">
      <w:pPr>
        <w:keepNext w:val="0"/>
        <w:keepLines w:val="0"/>
        <w:pageBreakBefore w:val="0"/>
        <w:kinsoku/>
        <w:overflowPunct/>
        <w:topLinePunct w:val="0"/>
        <w:bidi w:val="0"/>
        <w:snapToGrid/>
        <w:spacing w:line="360" w:lineRule="auto"/>
        <w:ind w:right="108"/>
        <w:jc w:val="left"/>
        <w:outlineLvl w:val="1"/>
        <w:rPr>
          <w:rFonts w:hint="eastAsia" w:ascii="黑体" w:hAnsi="黑体" w:eastAsia="黑体" w:cs="宋体"/>
          <w:bCs/>
          <w:color w:val="auto"/>
          <w:sz w:val="32"/>
          <w:szCs w:val="32"/>
          <w:highlight w:val="none"/>
        </w:rPr>
        <w:sectPr>
          <w:footerReference r:id="rId8" w:type="default"/>
          <w:pgSz w:w="16838" w:h="11906" w:orient="landscape"/>
          <w:pgMar w:top="1418" w:right="1474" w:bottom="1418" w:left="1474" w:header="851" w:footer="992" w:gutter="0"/>
          <w:cols w:space="425" w:num="1"/>
          <w:docGrid w:linePitch="312" w:charSpace="0"/>
        </w:sectPr>
      </w:pPr>
    </w:p>
    <w:p w14:paraId="17E4F3B4">
      <w:pPr>
        <w:keepNext w:val="0"/>
        <w:keepLines w:val="0"/>
        <w:pageBreakBefore w:val="0"/>
        <w:kinsoku/>
        <w:overflowPunct/>
        <w:topLinePunct w:val="0"/>
        <w:bidi w:val="0"/>
        <w:snapToGrid/>
        <w:spacing w:line="360" w:lineRule="auto"/>
        <w:ind w:right="108"/>
        <w:jc w:val="left"/>
        <w:outlineLvl w:val="1"/>
        <w:rPr>
          <w:rFonts w:hint="default" w:ascii="黑体" w:hAnsi="黑体" w:eastAsia="黑体" w:cs="宋体"/>
          <w:bCs/>
          <w:color w:val="auto"/>
          <w:sz w:val="32"/>
          <w:szCs w:val="32"/>
          <w:highlight w:val="none"/>
          <w:lang w:val="en-US" w:eastAsia="zh-CN"/>
        </w:rPr>
      </w:pPr>
      <w:bookmarkStart w:id="156" w:name="_Toc16444"/>
      <w:r>
        <w:rPr>
          <w:rFonts w:hint="eastAsia" w:ascii="黑体" w:hAnsi="黑体" w:eastAsia="黑体" w:cs="宋体"/>
          <w:bCs/>
          <w:color w:val="auto"/>
          <w:sz w:val="32"/>
          <w:szCs w:val="32"/>
          <w:highlight w:val="none"/>
        </w:rPr>
        <w:t>附件</w:t>
      </w:r>
      <w:r>
        <w:rPr>
          <w:rFonts w:hint="eastAsia" w:ascii="黑体" w:hAnsi="黑体" w:eastAsia="黑体" w:cs="宋体"/>
          <w:bCs/>
          <w:color w:val="auto"/>
          <w:sz w:val="32"/>
          <w:szCs w:val="32"/>
          <w:highlight w:val="none"/>
          <w:lang w:val="en-US" w:eastAsia="zh-CN"/>
        </w:rPr>
        <w:t>3-6：南宁市绿化工程管理中心绿化养护施肥现场登记表</w:t>
      </w:r>
      <w:bookmarkEnd w:id="156"/>
    </w:p>
    <w:p w14:paraId="55EA41D5">
      <w:pPr>
        <w:keepNext w:val="0"/>
        <w:keepLines w:val="0"/>
        <w:pageBreakBefore w:val="0"/>
        <w:kinsoku/>
        <w:overflowPunct/>
        <w:topLinePunct w:val="0"/>
        <w:bidi w:val="0"/>
        <w:snapToGrid/>
        <w:spacing w:line="360" w:lineRule="auto"/>
        <w:jc w:val="center"/>
        <w:outlineLvl w:val="9"/>
        <w:rPr>
          <w:rFonts w:ascii="宋体" w:hAnsi="宋体" w:cs="宋体"/>
          <w:b/>
          <w:bCs/>
          <w:color w:val="auto"/>
          <w:sz w:val="44"/>
          <w:szCs w:val="44"/>
          <w:highlight w:val="none"/>
        </w:rPr>
      </w:pPr>
    </w:p>
    <w:p w14:paraId="06533D1C">
      <w:pPr>
        <w:keepNext w:val="0"/>
        <w:keepLines w:val="0"/>
        <w:pageBreakBefore w:val="0"/>
        <w:kinsoku/>
        <w:overflowPunct/>
        <w:topLinePunct w:val="0"/>
        <w:bidi w:val="0"/>
        <w:snapToGrid/>
        <w:spacing w:line="360" w:lineRule="auto"/>
        <w:jc w:val="center"/>
        <w:outlineLvl w:val="9"/>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南宁市绿化工程管理中心绿化养护施肥现场登记表</w:t>
      </w:r>
    </w:p>
    <w:p w14:paraId="3BBB014E">
      <w:pPr>
        <w:keepNext w:val="0"/>
        <w:keepLines w:val="0"/>
        <w:pageBreakBefore w:val="0"/>
        <w:kinsoku/>
        <w:overflowPunct/>
        <w:topLinePunct w:val="0"/>
        <w:bidi w:val="0"/>
        <w:snapToGrid/>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47A794AF">
      <w:pPr>
        <w:keepNext w:val="0"/>
        <w:keepLines w:val="0"/>
        <w:pageBreakBefore w:val="0"/>
        <w:kinsoku/>
        <w:overflowPunct/>
        <w:topLinePunct w:val="0"/>
        <w:bidi w:val="0"/>
        <w:snapToGrid/>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登记编号：YS2024——xxx                      监管单位：养护生产   所                        养护单位：                 </w:t>
      </w:r>
    </w:p>
    <w:tbl>
      <w:tblPr>
        <w:tblStyle w:val="20"/>
        <w:tblpPr w:leftFromText="180" w:rightFromText="180" w:vertAnchor="text" w:horzAnchor="margin" w:tblpXSpec="center" w:tblpY="120"/>
        <w:tblW w:w="14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498"/>
        <w:gridCol w:w="1498"/>
        <w:gridCol w:w="1498"/>
        <w:gridCol w:w="1498"/>
        <w:gridCol w:w="1500"/>
        <w:gridCol w:w="1414"/>
        <w:gridCol w:w="1678"/>
        <w:gridCol w:w="1425"/>
      </w:tblGrid>
      <w:tr w14:paraId="6676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17" w:type="dxa"/>
            <w:vMerge w:val="restart"/>
            <w:vAlign w:val="center"/>
          </w:tcPr>
          <w:p w14:paraId="6DE208E3">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18" w:type="dxa"/>
            <w:vMerge w:val="restart"/>
            <w:vAlign w:val="center"/>
          </w:tcPr>
          <w:p w14:paraId="14DB05B1">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养护标段</w:t>
            </w:r>
          </w:p>
        </w:tc>
        <w:tc>
          <w:tcPr>
            <w:tcW w:w="8906" w:type="dxa"/>
            <w:gridSpan w:val="6"/>
            <w:vAlign w:val="center"/>
          </w:tcPr>
          <w:p w14:paraId="0A52CA8F">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肥料信息</w:t>
            </w:r>
          </w:p>
        </w:tc>
        <w:tc>
          <w:tcPr>
            <w:tcW w:w="1678" w:type="dxa"/>
            <w:vMerge w:val="restart"/>
            <w:vAlign w:val="center"/>
          </w:tcPr>
          <w:p w14:paraId="45A3A5AE">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施肥地点</w:t>
            </w:r>
          </w:p>
        </w:tc>
        <w:tc>
          <w:tcPr>
            <w:tcW w:w="1425" w:type="dxa"/>
            <w:vMerge w:val="restart"/>
            <w:vAlign w:val="center"/>
          </w:tcPr>
          <w:p w14:paraId="2BAAEBC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施肥数量</w:t>
            </w:r>
          </w:p>
          <w:p w14:paraId="12D69EF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（kg）</w:t>
            </w:r>
          </w:p>
        </w:tc>
      </w:tr>
      <w:tr w14:paraId="01F8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17" w:type="dxa"/>
            <w:vMerge w:val="continue"/>
            <w:vAlign w:val="center"/>
          </w:tcPr>
          <w:p w14:paraId="228EF9D7">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8" w:type="dxa"/>
            <w:vMerge w:val="continue"/>
            <w:vAlign w:val="center"/>
          </w:tcPr>
          <w:p w14:paraId="26D31372">
            <w:pPr>
              <w:keepNext w:val="0"/>
              <w:keepLines w:val="0"/>
              <w:pageBreakBefore w:val="0"/>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53155B79">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肥料名称</w:t>
            </w:r>
          </w:p>
        </w:tc>
        <w:tc>
          <w:tcPr>
            <w:tcW w:w="1498" w:type="dxa"/>
            <w:vAlign w:val="center"/>
          </w:tcPr>
          <w:p w14:paraId="6BBAF83E">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肥料类型</w:t>
            </w:r>
          </w:p>
        </w:tc>
        <w:tc>
          <w:tcPr>
            <w:tcW w:w="1498" w:type="dxa"/>
            <w:vAlign w:val="center"/>
          </w:tcPr>
          <w:p w14:paraId="69CC00D2">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生产单位</w:t>
            </w:r>
          </w:p>
        </w:tc>
        <w:tc>
          <w:tcPr>
            <w:tcW w:w="1498" w:type="dxa"/>
            <w:vAlign w:val="center"/>
          </w:tcPr>
          <w:p w14:paraId="7AA51FF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产品等级</w:t>
            </w:r>
          </w:p>
        </w:tc>
        <w:tc>
          <w:tcPr>
            <w:tcW w:w="1500" w:type="dxa"/>
            <w:vAlign w:val="center"/>
          </w:tcPr>
          <w:p w14:paraId="66EC3D86">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肥料产地</w:t>
            </w:r>
          </w:p>
        </w:tc>
        <w:tc>
          <w:tcPr>
            <w:tcW w:w="1414" w:type="dxa"/>
            <w:vAlign w:val="center"/>
          </w:tcPr>
          <w:p w14:paraId="14A4B3A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生产日期</w:t>
            </w:r>
          </w:p>
        </w:tc>
        <w:tc>
          <w:tcPr>
            <w:tcW w:w="1678" w:type="dxa"/>
            <w:vMerge w:val="continue"/>
            <w:vAlign w:val="center"/>
          </w:tcPr>
          <w:p w14:paraId="0157982F">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Merge w:val="continue"/>
            <w:vAlign w:val="center"/>
          </w:tcPr>
          <w:p w14:paraId="08E7B93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10BB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17" w:type="dxa"/>
            <w:vAlign w:val="center"/>
          </w:tcPr>
          <w:p w14:paraId="2625BFD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8" w:type="dxa"/>
            <w:vAlign w:val="center"/>
          </w:tcPr>
          <w:p w14:paraId="0A0E8D8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0F754EEC">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7FD6C36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72F3BF1E">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36CF0182">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500" w:type="dxa"/>
            <w:vAlign w:val="center"/>
          </w:tcPr>
          <w:p w14:paraId="2AC7C6D4">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4" w:type="dxa"/>
            <w:vAlign w:val="center"/>
          </w:tcPr>
          <w:p w14:paraId="031F73A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678" w:type="dxa"/>
            <w:vAlign w:val="center"/>
          </w:tcPr>
          <w:p w14:paraId="7FD86DDA">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Align w:val="center"/>
          </w:tcPr>
          <w:p w14:paraId="70DDC914">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7380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17" w:type="dxa"/>
            <w:vAlign w:val="center"/>
          </w:tcPr>
          <w:p w14:paraId="6B18A744">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8" w:type="dxa"/>
            <w:vAlign w:val="center"/>
          </w:tcPr>
          <w:p w14:paraId="6E3A293A">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6142C396">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28CD6159">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0928DB2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5C20F98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500" w:type="dxa"/>
            <w:vAlign w:val="center"/>
          </w:tcPr>
          <w:p w14:paraId="2FF25DA5">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4" w:type="dxa"/>
            <w:vAlign w:val="center"/>
          </w:tcPr>
          <w:p w14:paraId="3D5FEBA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678" w:type="dxa"/>
            <w:vAlign w:val="center"/>
          </w:tcPr>
          <w:p w14:paraId="23801A72">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Align w:val="center"/>
          </w:tcPr>
          <w:p w14:paraId="59A83E04">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5385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17" w:type="dxa"/>
            <w:vAlign w:val="center"/>
          </w:tcPr>
          <w:p w14:paraId="49673B36">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18" w:type="dxa"/>
            <w:vAlign w:val="center"/>
          </w:tcPr>
          <w:p w14:paraId="52F7E83F">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3AC69C28">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67366247">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1195668F">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2EB55017">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500" w:type="dxa"/>
            <w:vAlign w:val="center"/>
          </w:tcPr>
          <w:p w14:paraId="753B977C">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4" w:type="dxa"/>
            <w:vAlign w:val="center"/>
          </w:tcPr>
          <w:p w14:paraId="306CA1D5">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678" w:type="dxa"/>
            <w:vAlign w:val="center"/>
          </w:tcPr>
          <w:p w14:paraId="259A8B25">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Align w:val="center"/>
          </w:tcPr>
          <w:p w14:paraId="7BF981CE">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7257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17" w:type="dxa"/>
            <w:vAlign w:val="center"/>
          </w:tcPr>
          <w:p w14:paraId="66C97878">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18" w:type="dxa"/>
            <w:vAlign w:val="center"/>
          </w:tcPr>
          <w:p w14:paraId="0F05039A">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0E1A6CBA">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0E3D4649">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2738890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238B7128">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500" w:type="dxa"/>
            <w:vAlign w:val="center"/>
          </w:tcPr>
          <w:p w14:paraId="4CEDF188">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4" w:type="dxa"/>
            <w:vAlign w:val="center"/>
          </w:tcPr>
          <w:p w14:paraId="6456B3EC">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678" w:type="dxa"/>
            <w:vAlign w:val="center"/>
          </w:tcPr>
          <w:p w14:paraId="22019E8F">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Align w:val="center"/>
          </w:tcPr>
          <w:p w14:paraId="45F138F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r w14:paraId="1F06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17" w:type="dxa"/>
            <w:vAlign w:val="center"/>
          </w:tcPr>
          <w:p w14:paraId="08D77AFD">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418" w:type="dxa"/>
            <w:vAlign w:val="center"/>
          </w:tcPr>
          <w:p w14:paraId="48595F4E">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6D01849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3A663854">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79E395B9">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98" w:type="dxa"/>
            <w:vAlign w:val="center"/>
          </w:tcPr>
          <w:p w14:paraId="4CD80206">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500" w:type="dxa"/>
            <w:vAlign w:val="center"/>
          </w:tcPr>
          <w:p w14:paraId="1B366415">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14" w:type="dxa"/>
            <w:vAlign w:val="center"/>
          </w:tcPr>
          <w:p w14:paraId="4B62BF3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678" w:type="dxa"/>
            <w:vAlign w:val="center"/>
          </w:tcPr>
          <w:p w14:paraId="143185E1">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c>
          <w:tcPr>
            <w:tcW w:w="1425" w:type="dxa"/>
            <w:vAlign w:val="center"/>
          </w:tcPr>
          <w:p w14:paraId="7DA7C8AB">
            <w:pPr>
              <w:keepNext w:val="0"/>
              <w:keepLines w:val="0"/>
              <w:pageBreakBefore w:val="0"/>
              <w:tabs>
                <w:tab w:val="left" w:pos="13750"/>
              </w:tabs>
              <w:kinsoku/>
              <w:overflowPunct/>
              <w:topLinePunct w:val="0"/>
              <w:bidi w:val="0"/>
              <w:snapToGrid/>
              <w:spacing w:line="360" w:lineRule="auto"/>
              <w:jc w:val="center"/>
              <w:outlineLvl w:val="9"/>
              <w:rPr>
                <w:rFonts w:hint="eastAsia" w:ascii="宋体" w:hAnsi="宋体" w:eastAsia="宋体" w:cs="宋体"/>
                <w:color w:val="auto"/>
                <w:sz w:val="24"/>
                <w:szCs w:val="24"/>
                <w:highlight w:val="none"/>
              </w:rPr>
            </w:pPr>
          </w:p>
        </w:tc>
      </w:tr>
    </w:tbl>
    <w:p w14:paraId="3C54CB8C">
      <w:pPr>
        <w:keepNext w:val="0"/>
        <w:keepLines w:val="0"/>
        <w:pageBreakBefore w:val="0"/>
        <w:tabs>
          <w:tab w:val="left" w:pos="13750"/>
        </w:tabs>
        <w:kinsoku/>
        <w:overflowPunct/>
        <w:topLinePunct w:val="0"/>
        <w:bidi w:val="0"/>
        <w:snapToGrid/>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养护所管理员：              养护单位现场负责人：                  养护所负责人：</w:t>
      </w:r>
    </w:p>
    <w:p w14:paraId="0C6C2141">
      <w:pPr>
        <w:keepNext w:val="0"/>
        <w:keepLines w:val="0"/>
        <w:pageBreakBefore w:val="0"/>
        <w:kinsoku/>
        <w:overflowPunct/>
        <w:topLinePunct w:val="0"/>
        <w:bidi w:val="0"/>
        <w:snapToGrid/>
        <w:spacing w:line="360" w:lineRule="auto"/>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5E73781">
      <w:pPr>
        <w:keepNext w:val="0"/>
        <w:keepLines w:val="0"/>
        <w:pageBreakBefore w:val="0"/>
        <w:kinsoku/>
        <w:overflowPunct/>
        <w:topLinePunct w:val="0"/>
        <w:bidi w:val="0"/>
        <w:snapToGrid/>
        <w:spacing w:line="360" w:lineRule="auto"/>
        <w:ind w:firstLine="10080" w:firstLineChars="4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登记时间：        年   月   日</w:t>
      </w:r>
    </w:p>
    <w:p w14:paraId="5E2DA87F">
      <w:pPr>
        <w:pageBreakBefore w:val="0"/>
        <w:topLinePunct w:val="0"/>
        <w:bidi w:val="0"/>
        <w:spacing w:line="360" w:lineRule="auto"/>
        <w:jc w:val="left"/>
        <w:rPr>
          <w:rFonts w:hint="eastAsia" w:ascii="宋体" w:hAnsi="宋体" w:eastAsia="宋体" w:cs="宋体"/>
          <w:vanish/>
          <w:color w:val="auto"/>
          <w:sz w:val="24"/>
          <w:szCs w:val="24"/>
          <w:highlight w:val="none"/>
        </w:rPr>
      </w:pPr>
    </w:p>
    <w:p w14:paraId="0E1B7BD3">
      <w:pPr>
        <w:pageBreakBefore w:val="0"/>
        <w:topLinePunct w:val="0"/>
        <w:bidi w:val="0"/>
        <w:spacing w:line="360" w:lineRule="auto"/>
        <w:ind w:left="947" w:right="1705" w:firstLine="480" w:firstLineChars="200"/>
        <w:jc w:val="right"/>
        <w:rPr>
          <w:rFonts w:hint="eastAsia" w:ascii="宋体" w:hAnsi="宋体" w:eastAsia="宋体" w:cs="宋体"/>
          <w:vanish/>
          <w:color w:val="auto"/>
          <w:sz w:val="24"/>
          <w:szCs w:val="24"/>
          <w:highlight w:val="none"/>
        </w:rPr>
        <w:sectPr>
          <w:pgSz w:w="16838" w:h="11906" w:orient="landscape"/>
          <w:pgMar w:top="1418" w:right="1474" w:bottom="1418" w:left="1474" w:header="851" w:footer="992" w:gutter="0"/>
          <w:cols w:space="425" w:num="1"/>
          <w:docGrid w:linePitch="312" w:charSpace="0"/>
        </w:sectPr>
      </w:pPr>
    </w:p>
    <w:p w14:paraId="306A700A">
      <w:pPr>
        <w:pageBreakBefore w:val="0"/>
        <w:wordWrap w:val="0"/>
        <w:overflowPunct/>
        <w:topLinePunct w:val="0"/>
        <w:bidi w:val="0"/>
        <w:spacing w:line="360" w:lineRule="auto"/>
        <w:outlineLvl w:val="9"/>
        <w:rPr>
          <w:rFonts w:hint="default" w:ascii="宋体" w:hAnsi="宋体" w:eastAsia="宋体" w:cs="宋体"/>
          <w:color w:val="auto"/>
          <w:sz w:val="32"/>
          <w:szCs w:val="32"/>
          <w:highlight w:val="none"/>
          <w:lang w:val="en-US" w:eastAsia="zh-CN"/>
        </w:rPr>
      </w:pPr>
      <w:r>
        <w:rPr>
          <w:rFonts w:hint="eastAsia" w:ascii="宋体" w:hAnsi="宋体" w:cs="宋体"/>
          <w:color w:val="auto"/>
          <w:sz w:val="32"/>
          <w:szCs w:val="32"/>
          <w:highlight w:val="none"/>
        </w:rPr>
        <w:t>附件</w:t>
      </w:r>
      <w:r>
        <w:rPr>
          <w:rFonts w:hint="eastAsia" w:ascii="宋体" w:hAnsi="宋体" w:cs="宋体"/>
          <w:color w:val="auto"/>
          <w:sz w:val="32"/>
          <w:szCs w:val="32"/>
          <w:highlight w:val="none"/>
          <w:lang w:val="en-US" w:eastAsia="zh-CN"/>
        </w:rPr>
        <w:t>一</w:t>
      </w:r>
      <w:r>
        <w:rPr>
          <w:rFonts w:hint="eastAsia" w:ascii="宋体" w:hAnsi="宋体" w:cs="宋体"/>
          <w:color w:val="auto"/>
          <w:sz w:val="32"/>
          <w:szCs w:val="32"/>
          <w:highlight w:val="none"/>
          <w:lang w:eastAsia="zh-CN"/>
        </w:rPr>
        <w:t>：</w:t>
      </w:r>
    </w:p>
    <w:p w14:paraId="73278D1E">
      <w:pPr>
        <w:pageBreakBefore w:val="0"/>
        <w:wordWrap w:val="0"/>
        <w:overflowPunct/>
        <w:topLinePunct w:val="0"/>
        <w:bidi w:val="0"/>
        <w:spacing w:line="360" w:lineRule="auto"/>
        <w:rPr>
          <w:rFonts w:ascii="宋体" w:hAnsi="宋体" w:cs="宋体"/>
          <w:color w:val="auto"/>
          <w:sz w:val="17"/>
          <w:szCs w:val="17"/>
          <w:highlight w:val="none"/>
        </w:rPr>
      </w:pPr>
    </w:p>
    <w:p w14:paraId="5A43ABCA">
      <w:pPr>
        <w:pageBreakBefore w:val="0"/>
        <w:wordWrap w:val="0"/>
        <w:overflowPunct/>
        <w:topLinePunct w:val="0"/>
        <w:bidi w:val="0"/>
        <w:spacing w:line="360" w:lineRule="auto"/>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20"/>
        <w:tblW w:w="9220" w:type="dxa"/>
        <w:tblInd w:w="93" w:type="dxa"/>
        <w:tblLayout w:type="fixed"/>
        <w:tblCellMar>
          <w:top w:w="0" w:type="dxa"/>
          <w:left w:w="108" w:type="dxa"/>
          <w:bottom w:w="0" w:type="dxa"/>
          <w:right w:w="108" w:type="dxa"/>
        </w:tblCellMar>
      </w:tblPr>
      <w:tblGrid>
        <w:gridCol w:w="660"/>
        <w:gridCol w:w="1080"/>
        <w:gridCol w:w="1320"/>
        <w:gridCol w:w="1620"/>
        <w:gridCol w:w="4540"/>
      </w:tblGrid>
      <w:tr w14:paraId="2CABA92E">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tcPr>
          <w:p w14:paraId="5D7D6EDB">
            <w:pPr>
              <w:pageBreakBefore w:val="0"/>
              <w:widowControl/>
              <w:wordWrap w:val="0"/>
              <w:overflowPunct/>
              <w:topLinePunct w:val="0"/>
              <w:bidi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51FD94CC">
            <w:pPr>
              <w:pageBreakBefore w:val="0"/>
              <w:widowControl/>
              <w:wordWrap w:val="0"/>
              <w:overflowPunct/>
              <w:topLinePunct w:val="0"/>
              <w:bidi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vAlign w:val="center"/>
          </w:tcPr>
          <w:p w14:paraId="17111F4B">
            <w:pPr>
              <w:pageBreakBefore w:val="0"/>
              <w:widowControl/>
              <w:wordWrap w:val="0"/>
              <w:overflowPunct/>
              <w:topLinePunct w:val="0"/>
              <w:bidi w:val="0"/>
              <w:spacing w:line="36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14:paraId="351F4B16">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090F3ED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080" w:type="dxa"/>
            <w:vMerge w:val="restart"/>
            <w:tcBorders>
              <w:top w:val="nil"/>
              <w:left w:val="single" w:color="000000" w:sz="8" w:space="0"/>
              <w:bottom w:val="single" w:color="000000" w:sz="8" w:space="0"/>
              <w:right w:val="single" w:color="000000" w:sz="8" w:space="0"/>
            </w:tcBorders>
            <w:vAlign w:val="center"/>
          </w:tcPr>
          <w:p w14:paraId="0EB48B7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320" w:type="dxa"/>
            <w:tcBorders>
              <w:top w:val="nil"/>
              <w:left w:val="nil"/>
              <w:bottom w:val="single" w:color="000000" w:sz="8" w:space="0"/>
              <w:right w:val="single" w:color="000000" w:sz="8" w:space="0"/>
            </w:tcBorders>
            <w:vAlign w:val="center"/>
          </w:tcPr>
          <w:p w14:paraId="156A102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vAlign w:val="center"/>
          </w:tcPr>
          <w:p w14:paraId="08231EFA">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7C11A9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3204D52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FC8BE76">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F5D909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97CA27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vAlign w:val="center"/>
          </w:tcPr>
          <w:p w14:paraId="5623C041">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BB9A63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1BAB068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2E9DA3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4DA2846">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992940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vAlign w:val="center"/>
          </w:tcPr>
          <w:p w14:paraId="06BF0EE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357340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14:paraId="4F7DDB45">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CF9023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080" w:type="dxa"/>
            <w:vMerge w:val="restart"/>
            <w:tcBorders>
              <w:top w:val="nil"/>
              <w:left w:val="single" w:color="000000" w:sz="8" w:space="0"/>
              <w:bottom w:val="single" w:color="000000" w:sz="8" w:space="0"/>
              <w:right w:val="single" w:color="000000" w:sz="8" w:space="0"/>
            </w:tcBorders>
            <w:vAlign w:val="center"/>
          </w:tcPr>
          <w:p w14:paraId="34C04E2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16A1F19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vAlign w:val="center"/>
          </w:tcPr>
          <w:p w14:paraId="0C30306F">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vAlign w:val="center"/>
          </w:tcPr>
          <w:p w14:paraId="7581C32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128FFED">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34F869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D50808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0ADACC2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B503C5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vAlign w:val="center"/>
          </w:tcPr>
          <w:p w14:paraId="2DEFF22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1FD216BE">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F5AABE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4A2CC64">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61FF6D7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5F4C542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vAlign w:val="center"/>
          </w:tcPr>
          <w:p w14:paraId="5F11B848">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6ADE0744">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C238DB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EA054E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7721A0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vAlign w:val="center"/>
          </w:tcPr>
          <w:p w14:paraId="6A5DC00A">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vAlign w:val="center"/>
          </w:tcPr>
          <w:p w14:paraId="5B205E2A">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14:paraId="658FD605">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5DD8562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03EC7C4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C4D528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vAlign w:val="center"/>
          </w:tcPr>
          <w:p w14:paraId="42819EF1">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vAlign w:val="center"/>
          </w:tcPr>
          <w:p w14:paraId="3128154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14:paraId="6D0C345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ABDBCE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080" w:type="dxa"/>
            <w:tcBorders>
              <w:top w:val="nil"/>
              <w:left w:val="nil"/>
              <w:bottom w:val="single" w:color="000000" w:sz="8" w:space="0"/>
              <w:right w:val="single" w:color="000000" w:sz="8" w:space="0"/>
            </w:tcBorders>
            <w:vAlign w:val="center"/>
          </w:tcPr>
          <w:p w14:paraId="6D5E8A2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320" w:type="dxa"/>
            <w:tcBorders>
              <w:top w:val="nil"/>
              <w:left w:val="nil"/>
              <w:bottom w:val="single" w:color="000000" w:sz="8" w:space="0"/>
              <w:right w:val="single" w:color="000000" w:sz="8" w:space="0"/>
            </w:tcBorders>
            <w:vAlign w:val="center"/>
          </w:tcPr>
          <w:p w14:paraId="705DE14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04463D9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43F56E2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14:paraId="4077EE3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7CA9E917">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080" w:type="dxa"/>
            <w:tcBorders>
              <w:top w:val="nil"/>
              <w:left w:val="nil"/>
              <w:bottom w:val="single" w:color="000000" w:sz="8" w:space="0"/>
              <w:right w:val="single" w:color="000000" w:sz="8" w:space="0"/>
            </w:tcBorders>
            <w:vAlign w:val="center"/>
          </w:tcPr>
          <w:p w14:paraId="032801A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320" w:type="dxa"/>
            <w:tcBorders>
              <w:top w:val="nil"/>
              <w:left w:val="nil"/>
              <w:bottom w:val="single" w:color="000000" w:sz="8" w:space="0"/>
              <w:right w:val="single" w:color="000000" w:sz="8" w:space="0"/>
            </w:tcBorders>
            <w:vAlign w:val="center"/>
          </w:tcPr>
          <w:p w14:paraId="7E0CB0B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5CE6592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EC18CE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14:paraId="0A0180E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FE3894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080" w:type="dxa"/>
            <w:tcBorders>
              <w:top w:val="nil"/>
              <w:left w:val="nil"/>
              <w:bottom w:val="single" w:color="000000" w:sz="8" w:space="0"/>
              <w:right w:val="single" w:color="000000" w:sz="8" w:space="0"/>
            </w:tcBorders>
            <w:vAlign w:val="center"/>
          </w:tcPr>
          <w:p w14:paraId="4BA0799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320" w:type="dxa"/>
            <w:tcBorders>
              <w:top w:val="nil"/>
              <w:left w:val="nil"/>
              <w:bottom w:val="single" w:color="000000" w:sz="8" w:space="0"/>
              <w:right w:val="single" w:color="000000" w:sz="8" w:space="0"/>
            </w:tcBorders>
            <w:vAlign w:val="center"/>
          </w:tcPr>
          <w:p w14:paraId="3F76158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vAlign w:val="center"/>
          </w:tcPr>
          <w:p w14:paraId="374E5F7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CA2AA36">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14:paraId="26345742">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24F5C38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080" w:type="dxa"/>
            <w:vMerge w:val="restart"/>
            <w:tcBorders>
              <w:top w:val="nil"/>
              <w:left w:val="single" w:color="000000" w:sz="8" w:space="0"/>
              <w:bottom w:val="single" w:color="000000" w:sz="8" w:space="0"/>
              <w:right w:val="single" w:color="000000" w:sz="8" w:space="0"/>
            </w:tcBorders>
            <w:vAlign w:val="center"/>
          </w:tcPr>
          <w:p w14:paraId="70A31C6A">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0B7B207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vAlign w:val="center"/>
          </w:tcPr>
          <w:p w14:paraId="1CC5EA01">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vAlign w:val="center"/>
          </w:tcPr>
          <w:p w14:paraId="1493FC6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14:paraId="4D94FC2C">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197DEB1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60B4199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5DB9908">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BD557C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vAlign w:val="center"/>
          </w:tcPr>
          <w:p w14:paraId="3C7F28D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14:paraId="5931BD8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504582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027447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6102D1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7781C44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vAlign w:val="center"/>
          </w:tcPr>
          <w:p w14:paraId="4366F73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14:paraId="4F0CFD3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1EC060E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14CA8E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489D91C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vAlign w:val="center"/>
          </w:tcPr>
          <w:p w14:paraId="011B8697">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vAlign w:val="center"/>
          </w:tcPr>
          <w:p w14:paraId="4724E76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00868CB7">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5A9BE8B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13056B6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46EC1ED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1F6605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vAlign w:val="center"/>
          </w:tcPr>
          <w:p w14:paraId="5E2ADA0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14:paraId="529E7784">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590DF8B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B3E1B6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5DEA05D1">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vAlign w:val="center"/>
          </w:tcPr>
          <w:p w14:paraId="5ADB923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vAlign w:val="center"/>
          </w:tcPr>
          <w:p w14:paraId="050B1D0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14:paraId="31C7C54C">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813BD9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D13FA8B">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B3DF9F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vAlign w:val="center"/>
          </w:tcPr>
          <w:p w14:paraId="415E8B87">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vAlign w:val="center"/>
          </w:tcPr>
          <w:p w14:paraId="135C790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14:paraId="6D0AF9E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977CB6A">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080" w:type="dxa"/>
            <w:tcBorders>
              <w:top w:val="nil"/>
              <w:left w:val="nil"/>
              <w:bottom w:val="single" w:color="000000" w:sz="8" w:space="0"/>
              <w:right w:val="single" w:color="000000" w:sz="8" w:space="0"/>
            </w:tcBorders>
            <w:vAlign w:val="center"/>
          </w:tcPr>
          <w:p w14:paraId="4768152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320" w:type="dxa"/>
            <w:tcBorders>
              <w:top w:val="nil"/>
              <w:left w:val="nil"/>
              <w:bottom w:val="single" w:color="000000" w:sz="8" w:space="0"/>
              <w:right w:val="single" w:color="000000" w:sz="8" w:space="0"/>
            </w:tcBorders>
            <w:vAlign w:val="center"/>
          </w:tcPr>
          <w:p w14:paraId="1CA4ACE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53443357">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E74F6E4">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14:paraId="0D2193A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DAE89A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080" w:type="dxa"/>
            <w:tcBorders>
              <w:top w:val="nil"/>
              <w:left w:val="nil"/>
              <w:bottom w:val="single" w:color="000000" w:sz="8" w:space="0"/>
              <w:right w:val="single" w:color="000000" w:sz="8" w:space="0"/>
            </w:tcBorders>
            <w:vAlign w:val="center"/>
          </w:tcPr>
          <w:p w14:paraId="60F0879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320" w:type="dxa"/>
            <w:tcBorders>
              <w:top w:val="nil"/>
              <w:left w:val="nil"/>
              <w:bottom w:val="single" w:color="000000" w:sz="8" w:space="0"/>
              <w:right w:val="single" w:color="000000" w:sz="8" w:space="0"/>
            </w:tcBorders>
            <w:vAlign w:val="center"/>
          </w:tcPr>
          <w:p w14:paraId="1D8F764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vAlign w:val="center"/>
          </w:tcPr>
          <w:p w14:paraId="1FB5BEC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91B5EF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14:paraId="25C22B0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084F4A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080" w:type="dxa"/>
            <w:tcBorders>
              <w:top w:val="nil"/>
              <w:left w:val="nil"/>
              <w:bottom w:val="single" w:color="000000" w:sz="8" w:space="0"/>
              <w:right w:val="single" w:color="000000" w:sz="8" w:space="0"/>
            </w:tcBorders>
            <w:vAlign w:val="center"/>
          </w:tcPr>
          <w:p w14:paraId="6038625E">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320" w:type="dxa"/>
            <w:tcBorders>
              <w:top w:val="nil"/>
              <w:left w:val="nil"/>
              <w:bottom w:val="single" w:color="000000" w:sz="8" w:space="0"/>
              <w:right w:val="single" w:color="000000" w:sz="8" w:space="0"/>
            </w:tcBorders>
            <w:vAlign w:val="center"/>
          </w:tcPr>
          <w:p w14:paraId="760C0B9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vAlign w:val="center"/>
          </w:tcPr>
          <w:p w14:paraId="57AB832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3206C80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14:paraId="21B5411D">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6C7CC3D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080" w:type="dxa"/>
            <w:vMerge w:val="restart"/>
            <w:tcBorders>
              <w:top w:val="nil"/>
              <w:left w:val="single" w:color="000000" w:sz="8" w:space="0"/>
              <w:bottom w:val="single" w:color="000000" w:sz="8" w:space="0"/>
              <w:right w:val="single" w:color="000000" w:sz="8" w:space="0"/>
            </w:tcBorders>
            <w:vAlign w:val="center"/>
          </w:tcPr>
          <w:p w14:paraId="73C8C0E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320" w:type="dxa"/>
            <w:tcBorders>
              <w:top w:val="nil"/>
              <w:left w:val="nil"/>
              <w:bottom w:val="single" w:color="000000" w:sz="8" w:space="0"/>
              <w:right w:val="single" w:color="000000" w:sz="8" w:space="0"/>
            </w:tcBorders>
            <w:vAlign w:val="center"/>
          </w:tcPr>
          <w:p w14:paraId="721073B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vAlign w:val="center"/>
          </w:tcPr>
          <w:p w14:paraId="569299D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707E648">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14:paraId="4E0FCF4F">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14:paraId="72A4DA27">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A913CF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4AA8645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vAlign w:val="center"/>
          </w:tcPr>
          <w:p w14:paraId="497B104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vAlign w:val="center"/>
          </w:tcPr>
          <w:p w14:paraId="569FDC5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74328DBA">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69D6EAB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DC0E44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4C4C3D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324058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vAlign w:val="center"/>
          </w:tcPr>
          <w:p w14:paraId="3F100B6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14:paraId="1F8D7D71">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518D7DEA">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4442AE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1D908608">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0E326EC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vAlign w:val="center"/>
          </w:tcPr>
          <w:p w14:paraId="4BF425D9">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14:paraId="084C987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0C88495">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34F6F0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2D69D91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vAlign w:val="center"/>
          </w:tcPr>
          <w:p w14:paraId="357BF4F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4ABB0F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14:paraId="4495D525">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6DD71D14">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693994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restart"/>
            <w:tcBorders>
              <w:top w:val="nil"/>
              <w:left w:val="single" w:color="000000" w:sz="8" w:space="0"/>
              <w:bottom w:val="single" w:color="000000" w:sz="8" w:space="0"/>
              <w:right w:val="single" w:color="000000" w:sz="8" w:space="0"/>
            </w:tcBorders>
            <w:vAlign w:val="center"/>
          </w:tcPr>
          <w:p w14:paraId="78A2C5D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vAlign w:val="center"/>
          </w:tcPr>
          <w:p w14:paraId="1B78BF7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vAlign w:val="center"/>
          </w:tcPr>
          <w:p w14:paraId="6ABF1D1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14:paraId="198565A9">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C4EB30E">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6B2282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749439F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5283515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vAlign w:val="center"/>
          </w:tcPr>
          <w:p w14:paraId="5CA16F4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14:paraId="1A8009B7">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792E5CA8">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3DFFC83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2D5A9397">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1C226CFF">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vAlign w:val="center"/>
          </w:tcPr>
          <w:p w14:paraId="4AD344F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14:paraId="33A81598">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14FE66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695735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vMerge w:val="continue"/>
            <w:tcBorders>
              <w:top w:val="nil"/>
              <w:left w:val="single" w:color="000000" w:sz="8" w:space="0"/>
              <w:bottom w:val="single" w:color="000000" w:sz="8" w:space="0"/>
              <w:right w:val="single" w:color="000000" w:sz="8" w:space="0"/>
            </w:tcBorders>
            <w:vAlign w:val="center"/>
          </w:tcPr>
          <w:p w14:paraId="5D8346A5">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vAlign w:val="center"/>
          </w:tcPr>
          <w:p w14:paraId="3EE2050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vAlign w:val="center"/>
          </w:tcPr>
          <w:p w14:paraId="2EE4D86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14:paraId="527D1189">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F37050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080" w:type="dxa"/>
            <w:vMerge w:val="restart"/>
            <w:tcBorders>
              <w:top w:val="nil"/>
              <w:left w:val="single" w:color="000000" w:sz="8" w:space="0"/>
              <w:bottom w:val="single" w:color="000000" w:sz="8" w:space="0"/>
              <w:right w:val="single" w:color="000000" w:sz="8" w:space="0"/>
            </w:tcBorders>
            <w:vAlign w:val="center"/>
          </w:tcPr>
          <w:p w14:paraId="4750139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320" w:type="dxa"/>
            <w:tcBorders>
              <w:top w:val="nil"/>
              <w:left w:val="nil"/>
              <w:bottom w:val="single" w:color="000000" w:sz="8" w:space="0"/>
              <w:right w:val="single" w:color="000000" w:sz="8" w:space="0"/>
            </w:tcBorders>
            <w:vAlign w:val="center"/>
          </w:tcPr>
          <w:p w14:paraId="4346B61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000000" w:sz="8" w:space="0"/>
              <w:right w:val="single" w:color="000000" w:sz="8" w:space="0"/>
            </w:tcBorders>
            <w:vAlign w:val="center"/>
          </w:tcPr>
          <w:p w14:paraId="621B110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97D2F56">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14:paraId="54F3F69B">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946A797">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97F1A5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CFDF94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000000" w:sz="8" w:space="0"/>
              <w:right w:val="single" w:color="000000" w:sz="8" w:space="0"/>
            </w:tcBorders>
            <w:vAlign w:val="center"/>
          </w:tcPr>
          <w:p w14:paraId="57909F2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F516B7D">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14:paraId="074B2B20">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0A9546D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27D6A7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4AC7F36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000000" w:sz="8" w:space="0"/>
              <w:right w:val="single" w:color="000000" w:sz="8" w:space="0"/>
            </w:tcBorders>
            <w:vAlign w:val="center"/>
          </w:tcPr>
          <w:p w14:paraId="397D2EF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D1B8B65">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12501DA5">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14:paraId="220C342A">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244DFADC">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36E79B1E">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000000" w:sz="8" w:space="0"/>
              <w:right w:val="single" w:color="000000" w:sz="8" w:space="0"/>
            </w:tcBorders>
            <w:vAlign w:val="center"/>
          </w:tcPr>
          <w:p w14:paraId="78E1A60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20DA2B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14:paraId="6C7CD19C">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vAlign w:val="center"/>
          </w:tcPr>
          <w:p w14:paraId="0973A8A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080" w:type="dxa"/>
            <w:tcBorders>
              <w:top w:val="nil"/>
              <w:left w:val="nil"/>
              <w:bottom w:val="single" w:color="000000" w:sz="8" w:space="0"/>
              <w:right w:val="single" w:color="000000" w:sz="8" w:space="0"/>
            </w:tcBorders>
            <w:vAlign w:val="center"/>
          </w:tcPr>
          <w:p w14:paraId="2343E72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320" w:type="dxa"/>
            <w:tcBorders>
              <w:top w:val="nil"/>
              <w:left w:val="nil"/>
              <w:bottom w:val="single" w:color="000000" w:sz="8" w:space="0"/>
              <w:right w:val="single" w:color="000000" w:sz="8" w:space="0"/>
            </w:tcBorders>
            <w:vAlign w:val="center"/>
          </w:tcPr>
          <w:p w14:paraId="4AD343C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000000" w:sz="8" w:space="0"/>
              <w:right w:val="single" w:color="000000" w:sz="8" w:space="0"/>
            </w:tcBorders>
            <w:vAlign w:val="center"/>
          </w:tcPr>
          <w:p w14:paraId="1EEF057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6DFFC9D4">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14:paraId="2CAEF5C6">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vAlign w:val="center"/>
          </w:tcPr>
          <w:p w14:paraId="1BD2E469">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080" w:type="dxa"/>
            <w:tcBorders>
              <w:top w:val="nil"/>
              <w:left w:val="nil"/>
              <w:bottom w:val="single" w:color="000000" w:sz="8" w:space="0"/>
              <w:right w:val="single" w:color="000000" w:sz="8" w:space="0"/>
            </w:tcBorders>
            <w:vAlign w:val="center"/>
          </w:tcPr>
          <w:p w14:paraId="044C900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320" w:type="dxa"/>
            <w:tcBorders>
              <w:top w:val="nil"/>
              <w:left w:val="nil"/>
              <w:bottom w:val="single" w:color="000000" w:sz="8" w:space="0"/>
              <w:right w:val="single" w:color="000000" w:sz="8" w:space="0"/>
            </w:tcBorders>
            <w:vAlign w:val="center"/>
          </w:tcPr>
          <w:p w14:paraId="51692D9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000000" w:sz="8" w:space="0"/>
              <w:right w:val="single" w:color="000000" w:sz="8" w:space="0"/>
            </w:tcBorders>
            <w:vAlign w:val="center"/>
          </w:tcPr>
          <w:p w14:paraId="0F31B11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000000" w:sz="8" w:space="0"/>
              <w:right w:val="single" w:color="000000" w:sz="8" w:space="0"/>
            </w:tcBorders>
            <w:vAlign w:val="center"/>
          </w:tcPr>
          <w:p w14:paraId="751EEA30">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38438C4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D51F97D">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080" w:type="dxa"/>
            <w:tcBorders>
              <w:top w:val="nil"/>
              <w:left w:val="nil"/>
              <w:bottom w:val="single" w:color="000000" w:sz="8" w:space="0"/>
              <w:right w:val="single" w:color="000000" w:sz="8" w:space="0"/>
            </w:tcBorders>
            <w:vAlign w:val="center"/>
          </w:tcPr>
          <w:p w14:paraId="1DDBA47F">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320" w:type="dxa"/>
            <w:tcBorders>
              <w:top w:val="nil"/>
              <w:left w:val="nil"/>
              <w:bottom w:val="single" w:color="000000" w:sz="8" w:space="0"/>
              <w:right w:val="single" w:color="000000" w:sz="8" w:space="0"/>
            </w:tcBorders>
            <w:vAlign w:val="center"/>
          </w:tcPr>
          <w:p w14:paraId="38EE2818">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000000" w:sz="8" w:space="0"/>
              <w:right w:val="single" w:color="000000" w:sz="8" w:space="0"/>
            </w:tcBorders>
            <w:vAlign w:val="center"/>
          </w:tcPr>
          <w:p w14:paraId="65F663A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0E6C04D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14:paraId="4B66832F">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vAlign w:val="center"/>
          </w:tcPr>
          <w:p w14:paraId="3674D5EA">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080" w:type="dxa"/>
            <w:vMerge w:val="restart"/>
            <w:tcBorders>
              <w:top w:val="nil"/>
              <w:left w:val="single" w:color="000000" w:sz="8" w:space="0"/>
              <w:bottom w:val="single" w:color="000000" w:sz="8" w:space="0"/>
              <w:right w:val="single" w:color="000000" w:sz="8" w:space="0"/>
            </w:tcBorders>
            <w:vAlign w:val="center"/>
          </w:tcPr>
          <w:p w14:paraId="3D3156F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320" w:type="dxa"/>
            <w:tcBorders>
              <w:top w:val="nil"/>
              <w:left w:val="nil"/>
              <w:bottom w:val="single" w:color="000000" w:sz="8" w:space="0"/>
              <w:right w:val="single" w:color="000000" w:sz="8" w:space="0"/>
            </w:tcBorders>
            <w:vAlign w:val="center"/>
          </w:tcPr>
          <w:p w14:paraId="7CAA275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000000" w:sz="8" w:space="0"/>
              <w:right w:val="single" w:color="000000" w:sz="8" w:space="0"/>
            </w:tcBorders>
            <w:vAlign w:val="center"/>
          </w:tcPr>
          <w:p w14:paraId="1A6EB4E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93B6B7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14:paraId="3C00B322">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43AB04E1">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433597A7">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7CD13F1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000000" w:sz="8" w:space="0"/>
              <w:right w:val="single" w:color="000000" w:sz="8" w:space="0"/>
            </w:tcBorders>
            <w:vAlign w:val="center"/>
          </w:tcPr>
          <w:p w14:paraId="7DF4202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7669037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14:paraId="31627EBD">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14:paraId="28C41C5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080" w:type="dxa"/>
            <w:vMerge w:val="continue"/>
            <w:tcBorders>
              <w:top w:val="nil"/>
              <w:left w:val="single" w:color="000000" w:sz="8" w:space="0"/>
              <w:bottom w:val="single" w:color="000000" w:sz="8" w:space="0"/>
              <w:right w:val="single" w:color="000000" w:sz="8" w:space="0"/>
            </w:tcBorders>
            <w:vAlign w:val="center"/>
          </w:tcPr>
          <w:p w14:paraId="7B19617F">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p>
        </w:tc>
        <w:tc>
          <w:tcPr>
            <w:tcW w:w="1320" w:type="dxa"/>
            <w:tcBorders>
              <w:top w:val="nil"/>
              <w:left w:val="nil"/>
              <w:bottom w:val="single" w:color="000000" w:sz="8" w:space="0"/>
              <w:right w:val="single" w:color="000000" w:sz="8" w:space="0"/>
            </w:tcBorders>
            <w:vAlign w:val="center"/>
          </w:tcPr>
          <w:p w14:paraId="1F63631E">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000000" w:sz="8" w:space="0"/>
              <w:right w:val="single" w:color="000000" w:sz="8" w:space="0"/>
            </w:tcBorders>
            <w:vAlign w:val="center"/>
          </w:tcPr>
          <w:p w14:paraId="61A054C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8B900F4">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14:paraId="5F94190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349AD0E5">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080" w:type="dxa"/>
            <w:tcBorders>
              <w:top w:val="nil"/>
              <w:left w:val="nil"/>
              <w:bottom w:val="single" w:color="000000" w:sz="8" w:space="0"/>
              <w:right w:val="single" w:color="000000" w:sz="8" w:space="0"/>
            </w:tcBorders>
            <w:vAlign w:val="center"/>
          </w:tcPr>
          <w:p w14:paraId="745AD0B0">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320" w:type="dxa"/>
            <w:tcBorders>
              <w:top w:val="nil"/>
              <w:left w:val="nil"/>
              <w:bottom w:val="single" w:color="000000" w:sz="8" w:space="0"/>
              <w:right w:val="single" w:color="000000" w:sz="8" w:space="0"/>
            </w:tcBorders>
            <w:vAlign w:val="center"/>
          </w:tcPr>
          <w:p w14:paraId="1C893C16">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44BC651">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2AE12EA2">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14:paraId="511F3653">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17E6403">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080" w:type="dxa"/>
            <w:tcBorders>
              <w:top w:val="nil"/>
              <w:left w:val="nil"/>
              <w:bottom w:val="single" w:color="000000" w:sz="8" w:space="0"/>
              <w:right w:val="single" w:color="000000" w:sz="8" w:space="0"/>
            </w:tcBorders>
            <w:vAlign w:val="center"/>
          </w:tcPr>
          <w:p w14:paraId="5F744BC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320" w:type="dxa"/>
            <w:tcBorders>
              <w:top w:val="nil"/>
              <w:left w:val="nil"/>
              <w:bottom w:val="single" w:color="000000" w:sz="8" w:space="0"/>
              <w:right w:val="single" w:color="000000" w:sz="8" w:space="0"/>
            </w:tcBorders>
            <w:vAlign w:val="center"/>
          </w:tcPr>
          <w:p w14:paraId="39F1462C">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5061F2F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1DB71303">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14:paraId="093A44B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6E7DDD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080" w:type="dxa"/>
            <w:tcBorders>
              <w:top w:val="nil"/>
              <w:left w:val="nil"/>
              <w:bottom w:val="single" w:color="000000" w:sz="8" w:space="0"/>
              <w:right w:val="single" w:color="000000" w:sz="8" w:space="0"/>
            </w:tcBorders>
            <w:vAlign w:val="center"/>
          </w:tcPr>
          <w:p w14:paraId="2F79EA3B">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320" w:type="dxa"/>
            <w:tcBorders>
              <w:top w:val="nil"/>
              <w:left w:val="nil"/>
              <w:bottom w:val="single" w:color="000000" w:sz="8" w:space="0"/>
              <w:right w:val="single" w:color="000000" w:sz="8" w:space="0"/>
            </w:tcBorders>
            <w:vAlign w:val="center"/>
          </w:tcPr>
          <w:p w14:paraId="2D912032">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vAlign w:val="center"/>
          </w:tcPr>
          <w:p w14:paraId="4AD7E2C4">
            <w:pPr>
              <w:pageBreakBefore w:val="0"/>
              <w:widowControl/>
              <w:wordWrap w:val="0"/>
              <w:overflowPunct/>
              <w:topLinePunct w:val="0"/>
              <w:bidi w:val="0"/>
              <w:spacing w:line="360" w:lineRule="auto"/>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vAlign w:val="center"/>
          </w:tcPr>
          <w:p w14:paraId="5FFA8F16">
            <w:pPr>
              <w:pageBreakBefore w:val="0"/>
              <w:widowControl/>
              <w:wordWrap w:val="0"/>
              <w:overflowPunct/>
              <w:topLinePunct w:val="0"/>
              <w:bidi w:val="0"/>
              <w:spacing w:line="360" w:lineRule="auto"/>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14:paraId="2D848833">
      <w:pPr>
        <w:pStyle w:val="9"/>
        <w:pageBreakBefore w:val="0"/>
        <w:wordWrap w:val="0"/>
        <w:overflowPunct/>
        <w:topLinePunct w:val="0"/>
        <w:bidi w:val="0"/>
        <w:spacing w:after="0" w:line="360" w:lineRule="auto"/>
        <w:rPr>
          <w:rFonts w:ascii="宋体" w:hAnsi="宋体" w:cs="宋体"/>
          <w:color w:val="auto"/>
          <w:spacing w:val="-3"/>
          <w:szCs w:val="21"/>
          <w:highlight w:val="none"/>
        </w:rPr>
      </w:pPr>
    </w:p>
    <w:p w14:paraId="55C493D9">
      <w:pPr>
        <w:pStyle w:val="9"/>
        <w:pageBreakBefore w:val="0"/>
        <w:wordWrap w:val="0"/>
        <w:overflowPunct/>
        <w:topLinePunct w:val="0"/>
        <w:bidi w:val="0"/>
        <w:spacing w:after="0" w:line="360" w:lineRule="auto"/>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14:paraId="444C6CA4">
      <w:pPr>
        <w:pStyle w:val="9"/>
        <w:pageBreakBefore w:val="0"/>
        <w:wordWrap w:val="0"/>
        <w:overflowPunct/>
        <w:topLinePunct w:val="0"/>
        <w:bidi w:val="0"/>
        <w:spacing w:after="0" w:line="360" w:lineRule="auto"/>
        <w:rPr>
          <w:rFonts w:ascii="宋体" w:hAnsi="宋体" w:cs="宋体"/>
          <w:b/>
          <w:bCs/>
          <w:color w:val="auto"/>
          <w:szCs w:val="21"/>
          <w:highlight w:val="none"/>
        </w:rPr>
      </w:pPr>
      <w:r>
        <w:rPr>
          <w:rFonts w:hint="eastAsia" w:ascii="宋体" w:hAnsi="宋体" w:cs="宋体"/>
          <w:color w:val="auto"/>
          <w:szCs w:val="21"/>
          <w:highlight w:val="none"/>
        </w:rPr>
        <w:t xml:space="preserve">    2</w:t>
      </w:r>
      <w:r>
        <w:rPr>
          <w:rFonts w:hint="eastAsia" w:ascii="宋体" w:hAnsi="宋体" w:cs="宋体"/>
          <w:b/>
          <w:bCs/>
          <w:color w:val="auto"/>
          <w:szCs w:val="21"/>
          <w:highlight w:val="none"/>
        </w:rPr>
        <w:t>.以“★”标注的为政府强制采购产品。</w:t>
      </w:r>
    </w:p>
    <w:p w14:paraId="4E896816">
      <w:pPr>
        <w:pStyle w:val="12"/>
        <w:pageBreakBefore w:val="0"/>
        <w:wordWrap w:val="0"/>
        <w:overflowPunct/>
        <w:topLinePunct w:val="0"/>
        <w:bidi w:val="0"/>
        <w:spacing w:line="360" w:lineRule="auto"/>
        <w:jc w:val="left"/>
        <w:rPr>
          <w:rFonts w:hint="eastAsia" w:hAnsi="宋体" w:cs="宋体"/>
          <w:color w:val="auto"/>
          <w:highlight w:val="none"/>
        </w:rPr>
        <w:sectPr>
          <w:pgSz w:w="11906" w:h="16838"/>
          <w:pgMar w:top="1440" w:right="1080" w:bottom="1440" w:left="1080" w:header="720" w:footer="720" w:gutter="0"/>
          <w:pgNumType w:fmt="decimal"/>
          <w:cols w:space="720" w:num="1"/>
          <w:docGrid w:type="lines" w:linePitch="331" w:charSpace="0"/>
        </w:sectPr>
      </w:pPr>
    </w:p>
    <w:p w14:paraId="5330C403">
      <w:pPr>
        <w:pStyle w:val="12"/>
        <w:pageBreakBefore w:val="0"/>
        <w:wordWrap w:val="0"/>
        <w:overflowPunct/>
        <w:topLinePunct w:val="0"/>
        <w:bidi w:val="0"/>
        <w:spacing w:line="360" w:lineRule="auto"/>
        <w:jc w:val="left"/>
        <w:outlineLvl w:val="9"/>
        <w:rPr>
          <w:rFonts w:hAnsi="宋体" w:cs="宋体"/>
          <w:color w:val="auto"/>
          <w:sz w:val="32"/>
          <w:szCs w:val="32"/>
          <w:highlight w:val="none"/>
        </w:rPr>
      </w:pPr>
      <w:r>
        <w:rPr>
          <w:rFonts w:hint="eastAsia" w:hAnsi="宋体" w:cs="宋体"/>
          <w:color w:val="auto"/>
          <w:sz w:val="32"/>
          <w:szCs w:val="32"/>
          <w:highlight w:val="none"/>
        </w:rPr>
        <w:t>附件</w:t>
      </w:r>
      <w:r>
        <w:rPr>
          <w:rFonts w:hint="eastAsia" w:hAnsi="宋体" w:cs="宋体"/>
          <w:color w:val="auto"/>
          <w:sz w:val="32"/>
          <w:szCs w:val="32"/>
          <w:highlight w:val="none"/>
          <w:lang w:val="en-US" w:eastAsia="zh-CN"/>
        </w:rPr>
        <w:t>二</w:t>
      </w:r>
      <w:r>
        <w:rPr>
          <w:rFonts w:hint="eastAsia" w:hAnsi="宋体" w:cs="宋体"/>
          <w:color w:val="auto"/>
          <w:sz w:val="32"/>
          <w:szCs w:val="32"/>
          <w:highlight w:val="none"/>
        </w:rPr>
        <w:t>：</w:t>
      </w:r>
    </w:p>
    <w:p w14:paraId="3450EF72">
      <w:pPr>
        <w:pageBreakBefore w:val="0"/>
        <w:wordWrap w:val="0"/>
        <w:overflowPunct/>
        <w:topLinePunct w:val="0"/>
        <w:bidi w:val="0"/>
        <w:spacing w:line="360" w:lineRule="auto"/>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20"/>
        <w:tblW w:w="9537" w:type="dxa"/>
        <w:tblInd w:w="250" w:type="dxa"/>
        <w:tblLayout w:type="fixed"/>
        <w:tblCellMar>
          <w:top w:w="0" w:type="dxa"/>
          <w:left w:w="108" w:type="dxa"/>
          <w:bottom w:w="0" w:type="dxa"/>
          <w:right w:w="108" w:type="dxa"/>
        </w:tblCellMar>
      </w:tblPr>
      <w:tblGrid>
        <w:gridCol w:w="2033"/>
        <w:gridCol w:w="1653"/>
        <w:gridCol w:w="1091"/>
        <w:gridCol w:w="1935"/>
        <w:gridCol w:w="1720"/>
        <w:gridCol w:w="1105"/>
      </w:tblGrid>
      <w:tr w14:paraId="6D198B4B">
        <w:tblPrEx>
          <w:tblCellMar>
            <w:top w:w="0" w:type="dxa"/>
            <w:left w:w="108" w:type="dxa"/>
            <w:bottom w:w="0" w:type="dxa"/>
            <w:right w:w="108" w:type="dxa"/>
          </w:tblCellMar>
        </w:tblPrEx>
        <w:trPr>
          <w:trHeight w:val="285" w:hRule="atLeast"/>
        </w:trPr>
        <w:tc>
          <w:tcPr>
            <w:tcW w:w="2033" w:type="dxa"/>
            <w:tcBorders>
              <w:top w:val="single" w:color="auto" w:sz="4" w:space="0"/>
              <w:left w:val="single" w:color="auto" w:sz="4" w:space="0"/>
              <w:bottom w:val="single" w:color="auto" w:sz="4" w:space="0"/>
              <w:right w:val="single" w:color="auto" w:sz="4" w:space="0"/>
            </w:tcBorders>
            <w:vAlign w:val="center"/>
          </w:tcPr>
          <w:p w14:paraId="7652C9AA">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653" w:type="dxa"/>
            <w:tcBorders>
              <w:top w:val="single" w:color="auto" w:sz="4" w:space="0"/>
              <w:left w:val="nil"/>
              <w:bottom w:val="single" w:color="auto" w:sz="4" w:space="0"/>
              <w:right w:val="single" w:color="auto" w:sz="4" w:space="0"/>
            </w:tcBorders>
            <w:vAlign w:val="center"/>
          </w:tcPr>
          <w:p w14:paraId="3FCEB5F2">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1091" w:type="dxa"/>
            <w:tcBorders>
              <w:top w:val="single" w:color="auto" w:sz="4" w:space="0"/>
              <w:left w:val="nil"/>
              <w:bottom w:val="single" w:color="auto" w:sz="4" w:space="0"/>
              <w:right w:val="single" w:color="auto" w:sz="4" w:space="0"/>
            </w:tcBorders>
            <w:vAlign w:val="center"/>
          </w:tcPr>
          <w:p w14:paraId="2A5F1800">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35" w:type="dxa"/>
            <w:tcBorders>
              <w:top w:val="single" w:color="auto" w:sz="4" w:space="0"/>
              <w:left w:val="nil"/>
              <w:bottom w:val="single" w:color="auto" w:sz="4" w:space="0"/>
              <w:right w:val="single" w:color="auto" w:sz="4" w:space="0"/>
            </w:tcBorders>
            <w:vAlign w:val="center"/>
          </w:tcPr>
          <w:p w14:paraId="2C21DD2E">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20" w:type="dxa"/>
            <w:tcBorders>
              <w:top w:val="single" w:color="auto" w:sz="4" w:space="0"/>
              <w:left w:val="nil"/>
              <w:bottom w:val="single" w:color="auto" w:sz="4" w:space="0"/>
              <w:right w:val="single" w:color="auto" w:sz="4" w:space="0"/>
            </w:tcBorders>
            <w:vAlign w:val="center"/>
          </w:tcPr>
          <w:p w14:paraId="4C9DDB04">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05" w:type="dxa"/>
            <w:tcBorders>
              <w:top w:val="single" w:color="auto" w:sz="4" w:space="0"/>
              <w:left w:val="nil"/>
              <w:bottom w:val="single" w:color="auto" w:sz="4" w:space="0"/>
              <w:right w:val="single" w:color="auto" w:sz="4" w:space="0"/>
            </w:tcBorders>
            <w:vAlign w:val="center"/>
          </w:tcPr>
          <w:p w14:paraId="690C7680">
            <w:pPr>
              <w:pageBreakBefore w:val="0"/>
              <w:widowControl/>
              <w:wordWrap w:val="0"/>
              <w:overflowPunct/>
              <w:topLinePunct w:val="0"/>
              <w:bidi w:val="0"/>
              <w:spacing w:line="360" w:lineRule="auto"/>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53635A33">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4726837F">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653" w:type="dxa"/>
            <w:tcBorders>
              <w:top w:val="nil"/>
              <w:left w:val="nil"/>
              <w:bottom w:val="single" w:color="auto" w:sz="4" w:space="0"/>
              <w:right w:val="single" w:color="auto" w:sz="4" w:space="0"/>
            </w:tcBorders>
            <w:vAlign w:val="center"/>
          </w:tcPr>
          <w:p w14:paraId="5688CB5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452656A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761A5DE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6829CA5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05" w:type="dxa"/>
            <w:tcBorders>
              <w:top w:val="nil"/>
              <w:left w:val="nil"/>
              <w:bottom w:val="single" w:color="auto" w:sz="4" w:space="0"/>
              <w:right w:val="single" w:color="auto" w:sz="4" w:space="0"/>
            </w:tcBorders>
            <w:vAlign w:val="center"/>
          </w:tcPr>
          <w:p w14:paraId="348FE84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50039E7E">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1680C73">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653" w:type="dxa"/>
            <w:tcBorders>
              <w:top w:val="nil"/>
              <w:left w:val="nil"/>
              <w:bottom w:val="single" w:color="auto" w:sz="4" w:space="0"/>
              <w:right w:val="single" w:color="auto" w:sz="4" w:space="0"/>
            </w:tcBorders>
            <w:vAlign w:val="center"/>
          </w:tcPr>
          <w:p w14:paraId="3FA3875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907EBB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14AE76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22CBA62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4DAEEA2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D52BE54">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17B7E647">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790B171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1B528B2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BB6661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20" w:type="dxa"/>
            <w:tcBorders>
              <w:top w:val="nil"/>
              <w:left w:val="nil"/>
              <w:bottom w:val="single" w:color="auto" w:sz="4" w:space="0"/>
              <w:right w:val="single" w:color="auto" w:sz="4" w:space="0"/>
            </w:tcBorders>
            <w:vAlign w:val="center"/>
          </w:tcPr>
          <w:p w14:paraId="38280A6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05" w:type="dxa"/>
            <w:tcBorders>
              <w:top w:val="nil"/>
              <w:left w:val="nil"/>
              <w:bottom w:val="single" w:color="auto" w:sz="4" w:space="0"/>
              <w:right w:val="single" w:color="auto" w:sz="4" w:space="0"/>
            </w:tcBorders>
            <w:vAlign w:val="center"/>
          </w:tcPr>
          <w:p w14:paraId="2919160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CE840ED">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2D6A8451">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653" w:type="dxa"/>
            <w:tcBorders>
              <w:top w:val="nil"/>
              <w:left w:val="nil"/>
              <w:bottom w:val="single" w:color="auto" w:sz="4" w:space="0"/>
              <w:right w:val="single" w:color="auto" w:sz="4" w:space="0"/>
            </w:tcBorders>
            <w:vAlign w:val="center"/>
          </w:tcPr>
          <w:p w14:paraId="5A6863A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71686E1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37F2E0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20" w:type="dxa"/>
            <w:tcBorders>
              <w:top w:val="nil"/>
              <w:left w:val="nil"/>
              <w:bottom w:val="single" w:color="auto" w:sz="4" w:space="0"/>
              <w:right w:val="single" w:color="auto" w:sz="4" w:space="0"/>
            </w:tcBorders>
            <w:vAlign w:val="center"/>
          </w:tcPr>
          <w:p w14:paraId="7B25129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05" w:type="dxa"/>
            <w:tcBorders>
              <w:top w:val="nil"/>
              <w:left w:val="nil"/>
              <w:bottom w:val="single" w:color="auto" w:sz="4" w:space="0"/>
              <w:right w:val="single" w:color="auto" w:sz="4" w:space="0"/>
            </w:tcBorders>
            <w:vAlign w:val="center"/>
          </w:tcPr>
          <w:p w14:paraId="339EFAA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AC88729">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7DCE148">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3A372C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3AAFA7F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226B50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20" w:type="dxa"/>
            <w:tcBorders>
              <w:top w:val="nil"/>
              <w:left w:val="nil"/>
              <w:bottom w:val="single" w:color="auto" w:sz="4" w:space="0"/>
              <w:right w:val="single" w:color="auto" w:sz="4" w:space="0"/>
            </w:tcBorders>
            <w:vAlign w:val="center"/>
          </w:tcPr>
          <w:p w14:paraId="4F06BA2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05" w:type="dxa"/>
            <w:tcBorders>
              <w:top w:val="nil"/>
              <w:left w:val="nil"/>
              <w:bottom w:val="single" w:color="auto" w:sz="4" w:space="0"/>
              <w:right w:val="single" w:color="auto" w:sz="4" w:space="0"/>
            </w:tcBorders>
            <w:vAlign w:val="center"/>
          </w:tcPr>
          <w:p w14:paraId="1C7D0BE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67C65048">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279EDA3">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653" w:type="dxa"/>
            <w:tcBorders>
              <w:top w:val="nil"/>
              <w:left w:val="nil"/>
              <w:bottom w:val="single" w:color="auto" w:sz="4" w:space="0"/>
              <w:right w:val="single" w:color="auto" w:sz="4" w:space="0"/>
            </w:tcBorders>
            <w:vAlign w:val="center"/>
          </w:tcPr>
          <w:p w14:paraId="5C00249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67FAA18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A4CDB8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20" w:type="dxa"/>
            <w:tcBorders>
              <w:top w:val="nil"/>
              <w:left w:val="nil"/>
              <w:bottom w:val="single" w:color="auto" w:sz="4" w:space="0"/>
              <w:right w:val="single" w:color="auto" w:sz="4" w:space="0"/>
            </w:tcBorders>
            <w:vAlign w:val="center"/>
          </w:tcPr>
          <w:p w14:paraId="3F962BA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05" w:type="dxa"/>
            <w:tcBorders>
              <w:top w:val="nil"/>
              <w:left w:val="nil"/>
              <w:bottom w:val="single" w:color="auto" w:sz="4" w:space="0"/>
              <w:right w:val="single" w:color="auto" w:sz="4" w:space="0"/>
            </w:tcBorders>
            <w:vAlign w:val="center"/>
          </w:tcPr>
          <w:p w14:paraId="3CC8340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71BD82B">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874A1AB">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0318B2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F2046B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938769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20" w:type="dxa"/>
            <w:tcBorders>
              <w:top w:val="nil"/>
              <w:left w:val="nil"/>
              <w:bottom w:val="single" w:color="auto" w:sz="4" w:space="0"/>
              <w:right w:val="single" w:color="auto" w:sz="4" w:space="0"/>
            </w:tcBorders>
            <w:vAlign w:val="center"/>
          </w:tcPr>
          <w:p w14:paraId="3C920D4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05" w:type="dxa"/>
            <w:tcBorders>
              <w:top w:val="nil"/>
              <w:left w:val="nil"/>
              <w:bottom w:val="single" w:color="auto" w:sz="4" w:space="0"/>
              <w:right w:val="single" w:color="auto" w:sz="4" w:space="0"/>
            </w:tcBorders>
            <w:vAlign w:val="center"/>
          </w:tcPr>
          <w:p w14:paraId="6048D9E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40D6C8E1">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17D2919D">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653" w:type="dxa"/>
            <w:tcBorders>
              <w:top w:val="nil"/>
              <w:left w:val="nil"/>
              <w:bottom w:val="single" w:color="auto" w:sz="4" w:space="0"/>
              <w:right w:val="single" w:color="auto" w:sz="4" w:space="0"/>
            </w:tcBorders>
            <w:vAlign w:val="center"/>
          </w:tcPr>
          <w:p w14:paraId="75E558D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0FFC07C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E38E677">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20" w:type="dxa"/>
            <w:tcBorders>
              <w:top w:val="nil"/>
              <w:left w:val="nil"/>
              <w:bottom w:val="single" w:color="auto" w:sz="4" w:space="0"/>
              <w:right w:val="single" w:color="auto" w:sz="4" w:space="0"/>
            </w:tcBorders>
            <w:vAlign w:val="center"/>
          </w:tcPr>
          <w:p w14:paraId="6D124A3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05" w:type="dxa"/>
            <w:tcBorders>
              <w:top w:val="nil"/>
              <w:left w:val="nil"/>
              <w:bottom w:val="single" w:color="auto" w:sz="4" w:space="0"/>
              <w:right w:val="single" w:color="auto" w:sz="4" w:space="0"/>
            </w:tcBorders>
            <w:vAlign w:val="center"/>
          </w:tcPr>
          <w:p w14:paraId="6B91F30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96088D7">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5101A513">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42BBC2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1E7B95F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7F0833B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20" w:type="dxa"/>
            <w:tcBorders>
              <w:top w:val="nil"/>
              <w:left w:val="nil"/>
              <w:bottom w:val="single" w:color="auto" w:sz="4" w:space="0"/>
              <w:right w:val="single" w:color="auto" w:sz="4" w:space="0"/>
            </w:tcBorders>
            <w:vAlign w:val="center"/>
          </w:tcPr>
          <w:p w14:paraId="21F930E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05" w:type="dxa"/>
            <w:tcBorders>
              <w:top w:val="nil"/>
              <w:left w:val="nil"/>
              <w:bottom w:val="single" w:color="auto" w:sz="4" w:space="0"/>
              <w:right w:val="single" w:color="auto" w:sz="4" w:space="0"/>
            </w:tcBorders>
            <w:vAlign w:val="center"/>
          </w:tcPr>
          <w:p w14:paraId="7DD98BF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DDD2384">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39E1ADE7">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653" w:type="dxa"/>
            <w:tcBorders>
              <w:top w:val="nil"/>
              <w:left w:val="nil"/>
              <w:bottom w:val="single" w:color="auto" w:sz="4" w:space="0"/>
              <w:right w:val="single" w:color="auto" w:sz="4" w:space="0"/>
            </w:tcBorders>
            <w:vAlign w:val="center"/>
          </w:tcPr>
          <w:p w14:paraId="1DFE94D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0740E1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043535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69C7908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0E7D5BB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61D4F97">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1091DD40">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DEFF66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25677F2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7F2AD11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20" w:type="dxa"/>
            <w:tcBorders>
              <w:top w:val="nil"/>
              <w:left w:val="nil"/>
              <w:bottom w:val="single" w:color="auto" w:sz="4" w:space="0"/>
              <w:right w:val="single" w:color="auto" w:sz="4" w:space="0"/>
            </w:tcBorders>
            <w:vAlign w:val="center"/>
          </w:tcPr>
          <w:p w14:paraId="2A045D5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05" w:type="dxa"/>
            <w:tcBorders>
              <w:top w:val="nil"/>
              <w:left w:val="nil"/>
              <w:bottom w:val="single" w:color="auto" w:sz="4" w:space="0"/>
              <w:right w:val="single" w:color="auto" w:sz="4" w:space="0"/>
            </w:tcBorders>
            <w:vAlign w:val="center"/>
          </w:tcPr>
          <w:p w14:paraId="795F01F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1C2B57F">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2B989AA7">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653" w:type="dxa"/>
            <w:tcBorders>
              <w:top w:val="nil"/>
              <w:left w:val="nil"/>
              <w:bottom w:val="single" w:color="auto" w:sz="4" w:space="0"/>
              <w:right w:val="single" w:color="auto" w:sz="4" w:space="0"/>
            </w:tcBorders>
            <w:vAlign w:val="center"/>
          </w:tcPr>
          <w:p w14:paraId="450980A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9640427">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C41B2F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20" w:type="dxa"/>
            <w:tcBorders>
              <w:top w:val="nil"/>
              <w:left w:val="nil"/>
              <w:bottom w:val="single" w:color="auto" w:sz="4" w:space="0"/>
              <w:right w:val="single" w:color="auto" w:sz="4" w:space="0"/>
            </w:tcBorders>
            <w:vAlign w:val="center"/>
          </w:tcPr>
          <w:p w14:paraId="3FA56C9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05" w:type="dxa"/>
            <w:tcBorders>
              <w:top w:val="nil"/>
              <w:left w:val="nil"/>
              <w:bottom w:val="single" w:color="auto" w:sz="4" w:space="0"/>
              <w:right w:val="single" w:color="auto" w:sz="4" w:space="0"/>
            </w:tcBorders>
            <w:vAlign w:val="center"/>
          </w:tcPr>
          <w:p w14:paraId="2AC0DAF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324FA15">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9F4ED7C">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3A19CA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3CA0A6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5160AA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20" w:type="dxa"/>
            <w:tcBorders>
              <w:top w:val="nil"/>
              <w:left w:val="nil"/>
              <w:bottom w:val="single" w:color="auto" w:sz="4" w:space="0"/>
              <w:right w:val="single" w:color="auto" w:sz="4" w:space="0"/>
            </w:tcBorders>
            <w:vAlign w:val="center"/>
          </w:tcPr>
          <w:p w14:paraId="0BC1345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6E43E067">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59E2095">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12EEF3AF">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653" w:type="dxa"/>
            <w:tcBorders>
              <w:top w:val="nil"/>
              <w:left w:val="nil"/>
              <w:bottom w:val="single" w:color="auto" w:sz="4" w:space="0"/>
              <w:right w:val="single" w:color="auto" w:sz="4" w:space="0"/>
            </w:tcBorders>
            <w:vAlign w:val="center"/>
          </w:tcPr>
          <w:p w14:paraId="76CEE87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77516AA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293FB2A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7A97E32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05" w:type="dxa"/>
            <w:tcBorders>
              <w:top w:val="nil"/>
              <w:left w:val="nil"/>
              <w:bottom w:val="single" w:color="auto" w:sz="4" w:space="0"/>
              <w:right w:val="single" w:color="auto" w:sz="4" w:space="0"/>
            </w:tcBorders>
            <w:vAlign w:val="center"/>
          </w:tcPr>
          <w:p w14:paraId="7E8C02E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3808EED">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28F10C4">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801537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5514574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4D84E9F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20" w:type="dxa"/>
            <w:tcBorders>
              <w:top w:val="nil"/>
              <w:left w:val="nil"/>
              <w:bottom w:val="single" w:color="auto" w:sz="4" w:space="0"/>
              <w:right w:val="single" w:color="auto" w:sz="4" w:space="0"/>
            </w:tcBorders>
            <w:vAlign w:val="center"/>
          </w:tcPr>
          <w:p w14:paraId="6646EC1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0E4A865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D4E9890">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6D47BCA9">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653" w:type="dxa"/>
            <w:tcBorders>
              <w:top w:val="nil"/>
              <w:left w:val="nil"/>
              <w:bottom w:val="single" w:color="auto" w:sz="4" w:space="0"/>
              <w:right w:val="single" w:color="auto" w:sz="4" w:space="0"/>
            </w:tcBorders>
            <w:vAlign w:val="center"/>
          </w:tcPr>
          <w:p w14:paraId="078C11E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62A97C8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CD25DD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449FF2B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5653E69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0BFF363">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96318D2">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7118DB4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DC95AB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1DEC62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2175643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657BB00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BA3F1E9">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0D880F9B">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653" w:type="dxa"/>
            <w:tcBorders>
              <w:top w:val="nil"/>
              <w:left w:val="nil"/>
              <w:bottom w:val="single" w:color="auto" w:sz="4" w:space="0"/>
              <w:right w:val="single" w:color="auto" w:sz="4" w:space="0"/>
            </w:tcBorders>
            <w:vAlign w:val="center"/>
          </w:tcPr>
          <w:p w14:paraId="33A454D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67DA6F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7A4CA79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3E9562B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17B9204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07AA20B">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6B61E8C1">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4D8256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56918EB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0AA5F93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20" w:type="dxa"/>
            <w:tcBorders>
              <w:top w:val="nil"/>
              <w:left w:val="nil"/>
              <w:bottom w:val="single" w:color="auto" w:sz="4" w:space="0"/>
              <w:right w:val="single" w:color="auto" w:sz="4" w:space="0"/>
            </w:tcBorders>
            <w:vAlign w:val="center"/>
          </w:tcPr>
          <w:p w14:paraId="7321B6B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05" w:type="dxa"/>
            <w:tcBorders>
              <w:top w:val="nil"/>
              <w:left w:val="nil"/>
              <w:bottom w:val="single" w:color="auto" w:sz="4" w:space="0"/>
              <w:right w:val="single" w:color="auto" w:sz="4" w:space="0"/>
            </w:tcBorders>
            <w:vAlign w:val="center"/>
          </w:tcPr>
          <w:p w14:paraId="51E9270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B46A217">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01D4EF74">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653" w:type="dxa"/>
            <w:tcBorders>
              <w:top w:val="nil"/>
              <w:left w:val="nil"/>
              <w:bottom w:val="single" w:color="auto" w:sz="4" w:space="0"/>
              <w:right w:val="single" w:color="auto" w:sz="4" w:space="0"/>
            </w:tcBorders>
            <w:vAlign w:val="center"/>
          </w:tcPr>
          <w:p w14:paraId="17E6CE9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1A089C4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4B52094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20" w:type="dxa"/>
            <w:tcBorders>
              <w:top w:val="nil"/>
              <w:left w:val="nil"/>
              <w:bottom w:val="single" w:color="auto" w:sz="4" w:space="0"/>
              <w:right w:val="single" w:color="auto" w:sz="4" w:space="0"/>
            </w:tcBorders>
            <w:vAlign w:val="center"/>
          </w:tcPr>
          <w:p w14:paraId="73977BF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255F0DF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5C22FB5">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3DA7D179">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4A55E0E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3777A79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5D45C64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20" w:type="dxa"/>
            <w:tcBorders>
              <w:top w:val="nil"/>
              <w:left w:val="nil"/>
              <w:bottom w:val="single" w:color="auto" w:sz="4" w:space="0"/>
              <w:right w:val="single" w:color="auto" w:sz="4" w:space="0"/>
            </w:tcBorders>
            <w:vAlign w:val="center"/>
          </w:tcPr>
          <w:p w14:paraId="20E6E3C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05" w:type="dxa"/>
            <w:tcBorders>
              <w:top w:val="nil"/>
              <w:left w:val="nil"/>
              <w:bottom w:val="single" w:color="auto" w:sz="4" w:space="0"/>
              <w:right w:val="single" w:color="auto" w:sz="4" w:space="0"/>
            </w:tcBorders>
            <w:vAlign w:val="center"/>
          </w:tcPr>
          <w:p w14:paraId="68F9256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14AA6FE">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56127842">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653" w:type="dxa"/>
            <w:tcBorders>
              <w:top w:val="nil"/>
              <w:left w:val="nil"/>
              <w:bottom w:val="single" w:color="auto" w:sz="4" w:space="0"/>
              <w:right w:val="single" w:color="auto" w:sz="4" w:space="0"/>
            </w:tcBorders>
            <w:vAlign w:val="center"/>
          </w:tcPr>
          <w:p w14:paraId="60E9DBD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4DDD332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1385DE2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0D05599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11CAF6C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139F786">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25360038">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3EADB06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1C854B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62B0FEB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20" w:type="dxa"/>
            <w:tcBorders>
              <w:top w:val="nil"/>
              <w:left w:val="nil"/>
              <w:bottom w:val="single" w:color="auto" w:sz="4" w:space="0"/>
              <w:right w:val="single" w:color="auto" w:sz="4" w:space="0"/>
            </w:tcBorders>
            <w:vAlign w:val="center"/>
          </w:tcPr>
          <w:p w14:paraId="45D2C327">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05" w:type="dxa"/>
            <w:tcBorders>
              <w:top w:val="nil"/>
              <w:left w:val="nil"/>
              <w:bottom w:val="single" w:color="auto" w:sz="4" w:space="0"/>
              <w:right w:val="single" w:color="auto" w:sz="4" w:space="0"/>
            </w:tcBorders>
            <w:vAlign w:val="center"/>
          </w:tcPr>
          <w:p w14:paraId="411784B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0E5DF279">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661A288">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653" w:type="dxa"/>
            <w:tcBorders>
              <w:top w:val="nil"/>
              <w:left w:val="nil"/>
              <w:bottom w:val="single" w:color="auto" w:sz="4" w:space="0"/>
              <w:right w:val="single" w:color="auto" w:sz="4" w:space="0"/>
            </w:tcBorders>
            <w:vAlign w:val="center"/>
          </w:tcPr>
          <w:p w14:paraId="407E6A6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7075C967">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1323A98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20" w:type="dxa"/>
            <w:tcBorders>
              <w:top w:val="nil"/>
              <w:left w:val="nil"/>
              <w:bottom w:val="single" w:color="auto" w:sz="4" w:space="0"/>
              <w:right w:val="single" w:color="auto" w:sz="4" w:space="0"/>
            </w:tcBorders>
            <w:vAlign w:val="center"/>
          </w:tcPr>
          <w:p w14:paraId="2CB1205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05" w:type="dxa"/>
            <w:tcBorders>
              <w:top w:val="nil"/>
              <w:left w:val="nil"/>
              <w:bottom w:val="single" w:color="auto" w:sz="4" w:space="0"/>
              <w:right w:val="single" w:color="auto" w:sz="4" w:space="0"/>
            </w:tcBorders>
            <w:vAlign w:val="center"/>
          </w:tcPr>
          <w:p w14:paraId="643DFEA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FB4C974">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70E5B013">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12B350A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46054FA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3877203F">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20" w:type="dxa"/>
            <w:tcBorders>
              <w:top w:val="nil"/>
              <w:left w:val="nil"/>
              <w:bottom w:val="single" w:color="auto" w:sz="4" w:space="0"/>
              <w:right w:val="single" w:color="auto" w:sz="4" w:space="0"/>
            </w:tcBorders>
            <w:vAlign w:val="center"/>
          </w:tcPr>
          <w:p w14:paraId="7EDE49F6">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05" w:type="dxa"/>
            <w:tcBorders>
              <w:top w:val="nil"/>
              <w:left w:val="nil"/>
              <w:bottom w:val="single" w:color="auto" w:sz="4" w:space="0"/>
              <w:right w:val="single" w:color="auto" w:sz="4" w:space="0"/>
            </w:tcBorders>
            <w:vAlign w:val="center"/>
          </w:tcPr>
          <w:p w14:paraId="583202A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544BDE4E">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4188E1C3">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653" w:type="dxa"/>
            <w:tcBorders>
              <w:top w:val="nil"/>
              <w:left w:val="nil"/>
              <w:bottom w:val="single" w:color="auto" w:sz="4" w:space="0"/>
              <w:right w:val="single" w:color="auto" w:sz="4" w:space="0"/>
            </w:tcBorders>
            <w:vAlign w:val="center"/>
          </w:tcPr>
          <w:p w14:paraId="7502A61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37C08BF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3361674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20" w:type="dxa"/>
            <w:tcBorders>
              <w:top w:val="nil"/>
              <w:left w:val="nil"/>
              <w:bottom w:val="single" w:color="auto" w:sz="4" w:space="0"/>
              <w:right w:val="single" w:color="auto" w:sz="4" w:space="0"/>
            </w:tcBorders>
            <w:vAlign w:val="center"/>
          </w:tcPr>
          <w:p w14:paraId="4EBA7C6A">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05" w:type="dxa"/>
            <w:tcBorders>
              <w:top w:val="nil"/>
              <w:left w:val="nil"/>
              <w:bottom w:val="single" w:color="auto" w:sz="4" w:space="0"/>
              <w:right w:val="single" w:color="auto" w:sz="4" w:space="0"/>
            </w:tcBorders>
            <w:vAlign w:val="center"/>
          </w:tcPr>
          <w:p w14:paraId="5A2D5FE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6BC988D3">
        <w:tblPrEx>
          <w:tblCellMar>
            <w:top w:w="0" w:type="dxa"/>
            <w:left w:w="108" w:type="dxa"/>
            <w:bottom w:w="0" w:type="dxa"/>
            <w:right w:w="108" w:type="dxa"/>
          </w:tblCellMar>
        </w:tblPrEx>
        <w:trPr>
          <w:trHeight w:val="225" w:hRule="atLeast"/>
        </w:trPr>
        <w:tc>
          <w:tcPr>
            <w:tcW w:w="2033" w:type="dxa"/>
            <w:vMerge w:val="continue"/>
            <w:tcBorders>
              <w:top w:val="nil"/>
              <w:left w:val="single" w:color="auto" w:sz="4" w:space="0"/>
              <w:bottom w:val="single" w:color="auto" w:sz="4" w:space="0"/>
              <w:right w:val="single" w:color="auto" w:sz="4" w:space="0"/>
            </w:tcBorders>
            <w:vAlign w:val="center"/>
          </w:tcPr>
          <w:p w14:paraId="423AEBF7">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0A7BC885">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1091" w:type="dxa"/>
            <w:tcBorders>
              <w:top w:val="nil"/>
              <w:left w:val="nil"/>
              <w:bottom w:val="single" w:color="auto" w:sz="4" w:space="0"/>
              <w:right w:val="single" w:color="auto" w:sz="4" w:space="0"/>
            </w:tcBorders>
            <w:vAlign w:val="center"/>
          </w:tcPr>
          <w:p w14:paraId="0591F91C">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4A4815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20" w:type="dxa"/>
            <w:tcBorders>
              <w:top w:val="nil"/>
              <w:left w:val="nil"/>
              <w:bottom w:val="single" w:color="auto" w:sz="4" w:space="0"/>
              <w:right w:val="single" w:color="auto" w:sz="4" w:space="0"/>
            </w:tcBorders>
            <w:vAlign w:val="center"/>
          </w:tcPr>
          <w:p w14:paraId="74F5A42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05" w:type="dxa"/>
            <w:tcBorders>
              <w:top w:val="nil"/>
              <w:left w:val="nil"/>
              <w:bottom w:val="single" w:color="auto" w:sz="4" w:space="0"/>
              <w:right w:val="single" w:color="auto" w:sz="4" w:space="0"/>
            </w:tcBorders>
            <w:vAlign w:val="center"/>
          </w:tcPr>
          <w:p w14:paraId="4EC74BF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0336231D">
        <w:tblPrEx>
          <w:tblCellMar>
            <w:top w:w="0" w:type="dxa"/>
            <w:left w:w="108" w:type="dxa"/>
            <w:bottom w:w="0" w:type="dxa"/>
            <w:right w:w="108" w:type="dxa"/>
          </w:tblCellMar>
        </w:tblPrEx>
        <w:trPr>
          <w:trHeight w:val="225" w:hRule="atLeast"/>
        </w:trPr>
        <w:tc>
          <w:tcPr>
            <w:tcW w:w="2033" w:type="dxa"/>
            <w:vMerge w:val="restart"/>
            <w:tcBorders>
              <w:top w:val="nil"/>
              <w:left w:val="single" w:color="auto" w:sz="4" w:space="0"/>
              <w:bottom w:val="single" w:color="auto" w:sz="4" w:space="0"/>
              <w:right w:val="single" w:color="auto" w:sz="4" w:space="0"/>
            </w:tcBorders>
            <w:vAlign w:val="bottom"/>
          </w:tcPr>
          <w:p w14:paraId="757641DD">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653" w:type="dxa"/>
            <w:tcBorders>
              <w:top w:val="nil"/>
              <w:left w:val="nil"/>
              <w:bottom w:val="single" w:color="auto" w:sz="4" w:space="0"/>
              <w:right w:val="single" w:color="auto" w:sz="4" w:space="0"/>
            </w:tcBorders>
            <w:vAlign w:val="center"/>
          </w:tcPr>
          <w:p w14:paraId="00E4C610">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0734899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62E8232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5C0EF0E1">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6503508D">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4AA5477">
        <w:tblPrEx>
          <w:tblCellMar>
            <w:top w:w="0" w:type="dxa"/>
            <w:left w:w="108" w:type="dxa"/>
            <w:bottom w:w="0" w:type="dxa"/>
            <w:right w:w="108" w:type="dxa"/>
          </w:tblCellMar>
        </w:tblPrEx>
        <w:trPr>
          <w:trHeight w:val="90" w:hRule="atLeast"/>
        </w:trPr>
        <w:tc>
          <w:tcPr>
            <w:tcW w:w="2033" w:type="dxa"/>
            <w:vMerge w:val="continue"/>
            <w:tcBorders>
              <w:top w:val="nil"/>
              <w:left w:val="single" w:color="auto" w:sz="4" w:space="0"/>
              <w:bottom w:val="single" w:color="auto" w:sz="4" w:space="0"/>
              <w:right w:val="single" w:color="auto" w:sz="4" w:space="0"/>
            </w:tcBorders>
            <w:vAlign w:val="center"/>
          </w:tcPr>
          <w:p w14:paraId="36869D6D">
            <w:pPr>
              <w:pageBreakBefore w:val="0"/>
              <w:widowControl/>
              <w:wordWrap w:val="0"/>
              <w:overflowPunct/>
              <w:topLinePunct w:val="0"/>
              <w:bidi w:val="0"/>
              <w:spacing w:line="360" w:lineRule="auto"/>
              <w:jc w:val="left"/>
              <w:rPr>
                <w:rFonts w:ascii="宋体" w:hAnsi="宋体" w:cs="宋体"/>
                <w:b/>
                <w:bCs/>
                <w:color w:val="auto"/>
                <w:kern w:val="0"/>
                <w:sz w:val="18"/>
                <w:szCs w:val="18"/>
                <w:highlight w:val="none"/>
              </w:rPr>
            </w:pPr>
          </w:p>
        </w:tc>
        <w:tc>
          <w:tcPr>
            <w:tcW w:w="1653" w:type="dxa"/>
            <w:tcBorders>
              <w:top w:val="nil"/>
              <w:left w:val="nil"/>
              <w:bottom w:val="single" w:color="auto" w:sz="4" w:space="0"/>
              <w:right w:val="single" w:color="auto" w:sz="4" w:space="0"/>
            </w:tcBorders>
            <w:vAlign w:val="center"/>
          </w:tcPr>
          <w:p w14:paraId="679E24D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1091" w:type="dxa"/>
            <w:tcBorders>
              <w:top w:val="nil"/>
              <w:left w:val="nil"/>
              <w:bottom w:val="single" w:color="auto" w:sz="4" w:space="0"/>
              <w:right w:val="single" w:color="auto" w:sz="4" w:space="0"/>
            </w:tcBorders>
            <w:vAlign w:val="center"/>
          </w:tcPr>
          <w:p w14:paraId="5D11B35B">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935" w:type="dxa"/>
            <w:tcBorders>
              <w:top w:val="nil"/>
              <w:left w:val="nil"/>
              <w:bottom w:val="single" w:color="auto" w:sz="4" w:space="0"/>
              <w:right w:val="single" w:color="auto" w:sz="4" w:space="0"/>
            </w:tcBorders>
            <w:vAlign w:val="center"/>
          </w:tcPr>
          <w:p w14:paraId="2A97964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20" w:type="dxa"/>
            <w:tcBorders>
              <w:top w:val="nil"/>
              <w:left w:val="nil"/>
              <w:bottom w:val="single" w:color="auto" w:sz="4" w:space="0"/>
              <w:right w:val="single" w:color="auto" w:sz="4" w:space="0"/>
            </w:tcBorders>
            <w:vAlign w:val="center"/>
          </w:tcPr>
          <w:p w14:paraId="4727C959">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05" w:type="dxa"/>
            <w:tcBorders>
              <w:top w:val="nil"/>
              <w:left w:val="nil"/>
              <w:bottom w:val="single" w:color="auto" w:sz="4" w:space="0"/>
              <w:right w:val="single" w:color="auto" w:sz="4" w:space="0"/>
            </w:tcBorders>
            <w:vAlign w:val="center"/>
          </w:tcPr>
          <w:p w14:paraId="6E0CDB5E">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89E028E">
        <w:tblPrEx>
          <w:tblCellMar>
            <w:top w:w="0" w:type="dxa"/>
            <w:left w:w="108" w:type="dxa"/>
            <w:bottom w:w="0" w:type="dxa"/>
            <w:right w:w="108" w:type="dxa"/>
          </w:tblCellMar>
        </w:tblPrEx>
        <w:trPr>
          <w:trHeight w:val="225" w:hRule="atLeast"/>
        </w:trPr>
        <w:tc>
          <w:tcPr>
            <w:tcW w:w="2033" w:type="dxa"/>
            <w:tcBorders>
              <w:top w:val="nil"/>
              <w:left w:val="single" w:color="auto" w:sz="4" w:space="0"/>
              <w:bottom w:val="single" w:color="auto" w:sz="4" w:space="0"/>
              <w:right w:val="single" w:color="auto" w:sz="4" w:space="0"/>
            </w:tcBorders>
            <w:vAlign w:val="bottom"/>
          </w:tcPr>
          <w:p w14:paraId="7D9C07A2">
            <w:pPr>
              <w:pageBreakBefore w:val="0"/>
              <w:widowControl/>
              <w:wordWrap w:val="0"/>
              <w:overflowPunct/>
              <w:topLinePunct w:val="0"/>
              <w:bidi w:val="0"/>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653" w:type="dxa"/>
            <w:tcBorders>
              <w:top w:val="nil"/>
              <w:left w:val="nil"/>
              <w:bottom w:val="single" w:color="auto" w:sz="4" w:space="0"/>
              <w:right w:val="single" w:color="auto" w:sz="4" w:space="0"/>
            </w:tcBorders>
            <w:vAlign w:val="center"/>
          </w:tcPr>
          <w:p w14:paraId="05AE866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1091" w:type="dxa"/>
            <w:tcBorders>
              <w:top w:val="nil"/>
              <w:left w:val="nil"/>
              <w:bottom w:val="single" w:color="auto" w:sz="4" w:space="0"/>
              <w:right w:val="single" w:color="auto" w:sz="4" w:space="0"/>
            </w:tcBorders>
            <w:vAlign w:val="center"/>
          </w:tcPr>
          <w:p w14:paraId="66116288">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935" w:type="dxa"/>
            <w:tcBorders>
              <w:top w:val="nil"/>
              <w:left w:val="nil"/>
              <w:bottom w:val="single" w:color="auto" w:sz="4" w:space="0"/>
              <w:right w:val="single" w:color="auto" w:sz="4" w:space="0"/>
            </w:tcBorders>
            <w:vAlign w:val="center"/>
          </w:tcPr>
          <w:p w14:paraId="5716E5F2">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20" w:type="dxa"/>
            <w:tcBorders>
              <w:top w:val="nil"/>
              <w:left w:val="nil"/>
              <w:bottom w:val="single" w:color="auto" w:sz="4" w:space="0"/>
              <w:right w:val="single" w:color="auto" w:sz="4" w:space="0"/>
            </w:tcBorders>
            <w:vAlign w:val="center"/>
          </w:tcPr>
          <w:p w14:paraId="51997714">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05" w:type="dxa"/>
            <w:tcBorders>
              <w:top w:val="nil"/>
              <w:left w:val="nil"/>
              <w:bottom w:val="single" w:color="auto" w:sz="4" w:space="0"/>
              <w:right w:val="single" w:color="auto" w:sz="4" w:space="0"/>
            </w:tcBorders>
            <w:vAlign w:val="center"/>
          </w:tcPr>
          <w:p w14:paraId="69C16F33">
            <w:pPr>
              <w:pageBreakBefore w:val="0"/>
              <w:widowControl/>
              <w:wordWrap w:val="0"/>
              <w:overflowPunct/>
              <w:topLinePunct w:val="0"/>
              <w:bidi w:val="0"/>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B049B69">
      <w:pPr>
        <w:pageBreakBefore w:val="0"/>
        <w:wordWrap w:val="0"/>
        <w:overflowPunct/>
        <w:topLinePunct w:val="0"/>
        <w:bidi w:val="0"/>
        <w:spacing w:line="360" w:lineRule="auto"/>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8B47EE4">
      <w:pPr>
        <w:pageBreakBefore w:val="0"/>
        <w:widowControl/>
        <w:wordWrap w:val="0"/>
        <w:overflowPunct/>
        <w:topLinePunct w:val="0"/>
        <w:bidi w:val="0"/>
        <w:spacing w:line="360" w:lineRule="auto"/>
        <w:jc w:val="left"/>
        <w:rPr>
          <w:rFonts w:ascii="宋体" w:hAnsi="宋体" w:cs="宋体"/>
          <w:color w:val="auto"/>
          <w:szCs w:val="20"/>
          <w:highlight w:val="none"/>
        </w:rPr>
        <w:sectPr>
          <w:headerReference r:id="rId9" w:type="default"/>
          <w:footerReference r:id="rId10" w:type="default"/>
          <w:pgSz w:w="11906" w:h="16838"/>
          <w:pgMar w:top="1440" w:right="1080" w:bottom="1440" w:left="1080" w:header="720" w:footer="720" w:gutter="0"/>
          <w:pgNumType w:fmt="decimal"/>
          <w:cols w:space="720" w:num="1"/>
          <w:docGrid w:type="lines" w:linePitch="331" w:charSpace="0"/>
        </w:sectPr>
      </w:pPr>
    </w:p>
    <w:p w14:paraId="75F1BD84">
      <w:pPr>
        <w:pStyle w:val="12"/>
        <w:pageBreakBefore w:val="0"/>
        <w:wordWrap w:val="0"/>
        <w:overflowPunct/>
        <w:topLinePunct w:val="0"/>
        <w:bidi w:val="0"/>
        <w:spacing w:line="360" w:lineRule="auto"/>
        <w:jc w:val="center"/>
        <w:outlineLvl w:val="0"/>
        <w:rPr>
          <w:rFonts w:hAnsi="宋体" w:cs="宋体"/>
          <w:b/>
          <w:color w:val="auto"/>
          <w:sz w:val="36"/>
          <w:szCs w:val="36"/>
          <w:highlight w:val="none"/>
        </w:rPr>
      </w:pPr>
      <w:bookmarkStart w:id="157" w:name="_Toc11756"/>
      <w:bookmarkStart w:id="158" w:name="_Toc532545044"/>
      <w:r>
        <w:rPr>
          <w:rFonts w:hint="eastAsia" w:hAnsi="宋体" w:cs="宋体"/>
          <w:b/>
          <w:color w:val="auto"/>
          <w:sz w:val="36"/>
          <w:highlight w:val="none"/>
        </w:rPr>
        <w:t>第三章  投标人须知</w:t>
      </w:r>
      <w:bookmarkEnd w:id="157"/>
      <w:bookmarkEnd w:id="158"/>
    </w:p>
    <w:p w14:paraId="59C4FE12">
      <w:pPr>
        <w:pStyle w:val="12"/>
        <w:pageBreakBefore w:val="0"/>
        <w:wordWrap w:val="0"/>
        <w:overflowPunct/>
        <w:topLinePunct w:val="0"/>
        <w:bidi w:val="0"/>
        <w:spacing w:line="360" w:lineRule="auto"/>
        <w:jc w:val="center"/>
        <w:outlineLvl w:val="1"/>
        <w:rPr>
          <w:rFonts w:hAnsi="宋体" w:cs="宋体"/>
          <w:b/>
          <w:color w:val="auto"/>
          <w:sz w:val="30"/>
          <w:szCs w:val="30"/>
          <w:highlight w:val="none"/>
        </w:rPr>
      </w:pPr>
      <w:bookmarkStart w:id="159" w:name="_Toc25364"/>
      <w:r>
        <w:rPr>
          <w:rFonts w:hint="eastAsia" w:hAnsi="宋体" w:cs="宋体"/>
          <w:b/>
          <w:color w:val="auto"/>
          <w:sz w:val="30"/>
          <w:szCs w:val="30"/>
          <w:highlight w:val="none"/>
        </w:rPr>
        <w:t>第一节 投标人须知前附表</w:t>
      </w:r>
      <w:bookmarkEnd w:id="159"/>
    </w:p>
    <w:tbl>
      <w:tblPr>
        <w:tblStyle w:val="20"/>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566"/>
        <w:gridCol w:w="6999"/>
      </w:tblGrid>
      <w:tr w14:paraId="71958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1BA3EB2">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条款号</w:t>
            </w:r>
          </w:p>
        </w:tc>
        <w:tc>
          <w:tcPr>
            <w:tcW w:w="2566" w:type="dxa"/>
            <w:tcBorders>
              <w:top w:val="single" w:color="auto" w:sz="4" w:space="0"/>
              <w:left w:val="single" w:color="auto" w:sz="4" w:space="0"/>
              <w:bottom w:val="single" w:color="auto" w:sz="4" w:space="0"/>
              <w:right w:val="single" w:color="auto" w:sz="4" w:space="0"/>
            </w:tcBorders>
            <w:vAlign w:val="center"/>
          </w:tcPr>
          <w:p w14:paraId="1F7E984A">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项目内容</w:t>
            </w:r>
          </w:p>
        </w:tc>
        <w:tc>
          <w:tcPr>
            <w:tcW w:w="6999" w:type="dxa"/>
            <w:tcBorders>
              <w:top w:val="single" w:color="auto" w:sz="4" w:space="0"/>
              <w:left w:val="single" w:color="auto" w:sz="4" w:space="0"/>
              <w:bottom w:val="single" w:color="auto" w:sz="4" w:space="0"/>
              <w:right w:val="single" w:color="auto" w:sz="4" w:space="0"/>
            </w:tcBorders>
            <w:vAlign w:val="center"/>
          </w:tcPr>
          <w:p w14:paraId="48547977">
            <w:pPr>
              <w:keepLines/>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编列内容</w:t>
            </w:r>
          </w:p>
        </w:tc>
      </w:tr>
      <w:tr w14:paraId="00C82C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6AA7C0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6.1</w:t>
            </w:r>
          </w:p>
        </w:tc>
        <w:tc>
          <w:tcPr>
            <w:tcW w:w="2566" w:type="dxa"/>
            <w:tcBorders>
              <w:top w:val="single" w:color="auto" w:sz="4" w:space="0"/>
              <w:left w:val="single" w:color="auto" w:sz="4" w:space="0"/>
              <w:bottom w:val="single" w:color="auto" w:sz="4" w:space="0"/>
              <w:right w:val="single" w:color="auto" w:sz="4" w:space="0"/>
            </w:tcBorders>
            <w:vAlign w:val="center"/>
          </w:tcPr>
          <w:p w14:paraId="080DBC25">
            <w:pPr>
              <w:keepLines/>
              <w:pageBreakBefore w:val="0"/>
              <w:wordWrap w:val="0"/>
              <w:overflowPunct/>
              <w:topLinePunct w:val="0"/>
              <w:bidi w:val="0"/>
              <w:spacing w:line="360" w:lineRule="auto"/>
              <w:rPr>
                <w:rFonts w:ascii="宋体" w:hAnsi="宋体" w:cs="宋体"/>
                <w:color w:val="auto"/>
                <w:sz w:val="24"/>
                <w:highlight w:val="none"/>
              </w:rPr>
            </w:pPr>
            <w:bookmarkStart w:id="160" w:name="_8.1"/>
            <w:bookmarkEnd w:id="160"/>
            <w:bookmarkStart w:id="161" w:name="_5"/>
            <w:bookmarkEnd w:id="161"/>
            <w:bookmarkStart w:id="162" w:name="_9.2"/>
            <w:bookmarkEnd w:id="162"/>
            <w:r>
              <w:rPr>
                <w:rFonts w:hint="eastAsia" w:ascii="宋体" w:hAnsi="宋体" w:cs="宋体"/>
                <w:color w:val="auto"/>
                <w:sz w:val="24"/>
                <w:highlight w:val="none"/>
              </w:rPr>
              <w:t>是否接受联合体投标</w:t>
            </w:r>
          </w:p>
        </w:tc>
        <w:tc>
          <w:tcPr>
            <w:tcW w:w="6999" w:type="dxa"/>
            <w:tcBorders>
              <w:top w:val="single" w:color="auto" w:sz="4" w:space="0"/>
              <w:left w:val="single" w:color="auto" w:sz="4" w:space="0"/>
              <w:bottom w:val="single" w:color="auto" w:sz="4" w:space="0"/>
              <w:right w:val="single" w:color="auto" w:sz="4" w:space="0"/>
            </w:tcBorders>
            <w:vAlign w:val="center"/>
          </w:tcPr>
          <w:p w14:paraId="043AF3F9">
            <w:pPr>
              <w:pStyle w:val="8"/>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不</w:t>
            </w:r>
            <w:r>
              <w:rPr>
                <w:rFonts w:hint="eastAsia" w:ascii="宋体" w:hAnsi="宋体" w:cs="宋体"/>
                <w:color w:val="auto"/>
                <w:sz w:val="24"/>
                <w:highlight w:val="none"/>
              </w:rPr>
              <w:t>允许联合体投标</w:t>
            </w:r>
          </w:p>
        </w:tc>
      </w:tr>
      <w:tr w14:paraId="410BB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94CA509">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6.2</w:t>
            </w:r>
          </w:p>
        </w:tc>
        <w:tc>
          <w:tcPr>
            <w:tcW w:w="2566" w:type="dxa"/>
            <w:tcBorders>
              <w:top w:val="single" w:color="auto" w:sz="4" w:space="0"/>
              <w:left w:val="single" w:color="auto" w:sz="4" w:space="0"/>
              <w:bottom w:val="single" w:color="auto" w:sz="4" w:space="0"/>
              <w:right w:val="single" w:color="auto" w:sz="4" w:space="0"/>
            </w:tcBorders>
            <w:vAlign w:val="center"/>
          </w:tcPr>
          <w:p w14:paraId="14E12D96">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联合体投标要求</w:t>
            </w:r>
          </w:p>
        </w:tc>
        <w:tc>
          <w:tcPr>
            <w:tcW w:w="6999" w:type="dxa"/>
            <w:tcBorders>
              <w:top w:val="single" w:color="auto" w:sz="4" w:space="0"/>
              <w:left w:val="single" w:color="auto" w:sz="4" w:space="0"/>
              <w:bottom w:val="single" w:color="auto" w:sz="4" w:space="0"/>
              <w:right w:val="single" w:color="auto" w:sz="4" w:space="0"/>
            </w:tcBorders>
            <w:vAlign w:val="center"/>
          </w:tcPr>
          <w:p w14:paraId="109D38F1">
            <w:pPr>
              <w:pStyle w:val="8"/>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无</w:t>
            </w:r>
          </w:p>
        </w:tc>
      </w:tr>
      <w:tr w14:paraId="2EA70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FBBD6A8">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7.2</w:t>
            </w:r>
          </w:p>
        </w:tc>
        <w:tc>
          <w:tcPr>
            <w:tcW w:w="2566" w:type="dxa"/>
            <w:tcBorders>
              <w:top w:val="single" w:color="auto" w:sz="4" w:space="0"/>
              <w:left w:val="single" w:color="auto" w:sz="4" w:space="0"/>
              <w:bottom w:val="single" w:color="auto" w:sz="4" w:space="0"/>
              <w:right w:val="single" w:color="auto" w:sz="4" w:space="0"/>
            </w:tcBorders>
            <w:vAlign w:val="center"/>
          </w:tcPr>
          <w:p w14:paraId="32C75834">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是否允许转包/分包</w:t>
            </w:r>
          </w:p>
        </w:tc>
        <w:tc>
          <w:tcPr>
            <w:tcW w:w="6999" w:type="dxa"/>
            <w:tcBorders>
              <w:top w:val="single" w:color="auto" w:sz="4" w:space="0"/>
              <w:left w:val="single" w:color="auto" w:sz="4" w:space="0"/>
              <w:bottom w:val="single" w:color="auto" w:sz="4" w:space="0"/>
              <w:right w:val="single" w:color="auto" w:sz="4" w:space="0"/>
            </w:tcBorders>
            <w:vAlign w:val="center"/>
          </w:tcPr>
          <w:p w14:paraId="52EC4F45">
            <w:pPr>
              <w:pStyle w:val="8"/>
              <w:keepLines/>
              <w:pageBreakBefore w:val="0"/>
              <w:wordWrap w:val="0"/>
              <w:overflowPunct/>
              <w:topLinePunct w:val="0"/>
              <w:bidi w:val="0"/>
              <w:spacing w:line="360" w:lineRule="auto"/>
              <w:rPr>
                <w:rFonts w:ascii="宋体" w:hAnsi="宋体" w:cs="宋体"/>
                <w:color w:val="auto"/>
                <w:sz w:val="24"/>
                <w:highlight w:val="none"/>
              </w:rPr>
            </w:pPr>
            <w:bookmarkStart w:id="163" w:name="PO_3000001866_PM044"/>
            <w:r>
              <w:rPr>
                <w:rFonts w:hint="eastAsia" w:ascii="宋体" w:hAnsi="宋体" w:cs="宋体"/>
                <w:color w:val="auto"/>
                <w:sz w:val="24"/>
                <w:highlight w:val="none"/>
              </w:rPr>
              <w:t>☑不允许分包</w:t>
            </w:r>
            <w:bookmarkEnd w:id="163"/>
          </w:p>
          <w:p w14:paraId="5D8404CA">
            <w:pPr>
              <w:pStyle w:val="8"/>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□转包/分包内容：</w:t>
            </w:r>
            <w:r>
              <w:rPr>
                <w:rFonts w:hint="eastAsia" w:ascii="宋体" w:hAnsi="宋体" w:cs="宋体"/>
                <w:color w:val="auto"/>
                <w:sz w:val="24"/>
                <w:highlight w:val="none"/>
                <w:u w:val="single"/>
              </w:rPr>
              <w:t xml:space="preserve">                                     。</w:t>
            </w:r>
          </w:p>
          <w:p w14:paraId="685A02AC">
            <w:pPr>
              <w:pStyle w:val="8"/>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□转包/分包金额或者比例：</w:t>
            </w:r>
            <w:r>
              <w:rPr>
                <w:rFonts w:hint="eastAsia" w:ascii="宋体" w:hAnsi="宋体" w:cs="宋体"/>
                <w:color w:val="auto"/>
                <w:sz w:val="24"/>
                <w:highlight w:val="none"/>
                <w:u w:val="single"/>
              </w:rPr>
              <w:t xml:space="preserve">                                     。</w:t>
            </w:r>
          </w:p>
        </w:tc>
      </w:tr>
      <w:tr w14:paraId="2EAB9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CEACEB8">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11.4</w:t>
            </w:r>
          </w:p>
        </w:tc>
        <w:tc>
          <w:tcPr>
            <w:tcW w:w="2566" w:type="dxa"/>
            <w:tcBorders>
              <w:top w:val="single" w:color="auto" w:sz="4" w:space="0"/>
              <w:left w:val="single" w:color="auto" w:sz="4" w:space="0"/>
              <w:bottom w:val="single" w:color="auto" w:sz="4" w:space="0"/>
              <w:right w:val="single" w:color="auto" w:sz="4" w:space="0"/>
            </w:tcBorders>
            <w:vAlign w:val="center"/>
          </w:tcPr>
          <w:p w14:paraId="6047AC45">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媒体发布渠道</w:t>
            </w:r>
          </w:p>
        </w:tc>
        <w:tc>
          <w:tcPr>
            <w:tcW w:w="6999" w:type="dxa"/>
            <w:tcBorders>
              <w:top w:val="single" w:color="auto" w:sz="4" w:space="0"/>
              <w:left w:val="single" w:color="auto" w:sz="4" w:space="0"/>
              <w:bottom w:val="single" w:color="auto" w:sz="4" w:space="0"/>
              <w:right w:val="single" w:color="auto" w:sz="4" w:space="0"/>
            </w:tcBorders>
            <w:vAlign w:val="center"/>
          </w:tcPr>
          <w:p w14:paraId="3253E382">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与本项目相关的政府采购业务澄清、更正及与之相关的事项将在采购公告中“六、其他补充事宜”中网上查询地址上发布</w:t>
            </w:r>
            <w:r>
              <w:rPr>
                <w:rFonts w:hint="eastAsia" w:ascii="宋体" w:hAnsi="宋体" w:cs="宋体"/>
                <w:color w:val="auto"/>
                <w:kern w:val="0"/>
                <w:sz w:val="24"/>
                <w:highlight w:val="none"/>
              </w:rPr>
              <w:t>。</w:t>
            </w:r>
          </w:p>
        </w:tc>
      </w:tr>
      <w:tr w14:paraId="7A141F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C9CD91B">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11.6</w:t>
            </w:r>
          </w:p>
        </w:tc>
        <w:tc>
          <w:tcPr>
            <w:tcW w:w="2566" w:type="dxa"/>
            <w:tcBorders>
              <w:top w:val="single" w:color="auto" w:sz="4" w:space="0"/>
              <w:left w:val="single" w:color="auto" w:sz="4" w:space="0"/>
              <w:bottom w:val="single" w:color="auto" w:sz="4" w:space="0"/>
              <w:right w:val="single" w:color="auto" w:sz="4" w:space="0"/>
            </w:tcBorders>
            <w:vAlign w:val="center"/>
          </w:tcPr>
          <w:p w14:paraId="0C56EC2F">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是否组织标前答疑会</w:t>
            </w:r>
          </w:p>
        </w:tc>
        <w:tc>
          <w:tcPr>
            <w:tcW w:w="6999" w:type="dxa"/>
            <w:tcBorders>
              <w:top w:val="single" w:color="auto" w:sz="4" w:space="0"/>
              <w:left w:val="single" w:color="auto" w:sz="4" w:space="0"/>
              <w:bottom w:val="single" w:color="auto" w:sz="4" w:space="0"/>
              <w:right w:val="single" w:color="auto" w:sz="4" w:space="0"/>
            </w:tcBorders>
            <w:vAlign w:val="center"/>
          </w:tcPr>
          <w:p w14:paraId="399E92B7">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☑不组织召开开标前答疑会</w:t>
            </w:r>
          </w:p>
          <w:p w14:paraId="57D36063">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□组织召开开标前答疑会</w:t>
            </w:r>
          </w:p>
          <w:p w14:paraId="258ACDCF">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会议开始时间：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日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分</w:t>
            </w:r>
            <w:r>
              <w:rPr>
                <w:rFonts w:hint="eastAsia" w:ascii="宋体" w:hAnsi="宋体" w:cs="宋体"/>
                <w:color w:val="auto"/>
                <w:sz w:val="24"/>
                <w:highlight w:val="none"/>
              </w:rPr>
              <w:t>，逾期后果自负。会议地点：</w:t>
            </w:r>
            <w:r>
              <w:rPr>
                <w:rFonts w:hint="eastAsia" w:ascii="宋体" w:hAnsi="宋体" w:cs="宋体"/>
                <w:color w:val="auto"/>
                <w:sz w:val="24"/>
                <w:highlight w:val="none"/>
                <w:u w:val="single"/>
              </w:rPr>
              <w:t xml:space="preserve">      </w:t>
            </w:r>
          </w:p>
        </w:tc>
      </w:tr>
      <w:tr w14:paraId="368BF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1CF88B13">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13.1</w:t>
            </w:r>
          </w:p>
        </w:tc>
        <w:tc>
          <w:tcPr>
            <w:tcW w:w="2566" w:type="dxa"/>
            <w:tcBorders>
              <w:top w:val="single" w:color="auto" w:sz="4" w:space="0"/>
              <w:left w:val="single" w:color="auto" w:sz="4" w:space="0"/>
              <w:bottom w:val="single" w:color="auto" w:sz="4" w:space="0"/>
              <w:right w:val="single" w:color="auto" w:sz="4" w:space="0"/>
            </w:tcBorders>
            <w:vAlign w:val="center"/>
          </w:tcPr>
          <w:p w14:paraId="35D93E96">
            <w:pPr>
              <w:keepLines/>
              <w:pageBreakBefore w:val="0"/>
              <w:wordWrap w:val="0"/>
              <w:overflowPunct/>
              <w:topLinePunct w:val="0"/>
              <w:bidi w:val="0"/>
              <w:snapToGrid w:val="0"/>
              <w:spacing w:line="360" w:lineRule="auto"/>
              <w:jc w:val="left"/>
              <w:rPr>
                <w:rFonts w:ascii="宋体" w:hAnsi="宋体" w:cs="宋体"/>
                <w:color w:val="auto"/>
                <w:sz w:val="24"/>
                <w:highlight w:val="none"/>
              </w:rPr>
            </w:pPr>
            <w:bookmarkStart w:id="164" w:name="_13.2"/>
            <w:bookmarkEnd w:id="164"/>
            <w:r>
              <w:rPr>
                <w:rFonts w:hint="eastAsia" w:ascii="宋体" w:hAnsi="宋体" w:cs="宋体"/>
                <w:color w:val="auto"/>
                <w:sz w:val="24"/>
                <w:highlight w:val="none"/>
              </w:rPr>
              <w:t>资格证明文件组成</w:t>
            </w:r>
          </w:p>
        </w:tc>
        <w:tc>
          <w:tcPr>
            <w:tcW w:w="6999" w:type="dxa"/>
            <w:tcBorders>
              <w:top w:val="single" w:color="auto" w:sz="4" w:space="0"/>
              <w:left w:val="single" w:color="auto" w:sz="4" w:space="0"/>
              <w:bottom w:val="single" w:color="auto" w:sz="4" w:space="0"/>
              <w:right w:val="single" w:color="auto" w:sz="4" w:space="0"/>
            </w:tcBorders>
            <w:vAlign w:val="center"/>
          </w:tcPr>
          <w:p w14:paraId="2FD806BE">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1、投标人为法人或者其他组织的，提供营业执照等证明文件（如营业执照或者事业单位法人证书或者</w:t>
            </w:r>
            <w:r>
              <w:rPr>
                <w:rStyle w:val="28"/>
                <w:rFonts w:hint="eastAsia"/>
                <w:color w:val="auto"/>
                <w:sz w:val="24"/>
                <w:szCs w:val="24"/>
                <w:highlight w:val="none"/>
              </w:rPr>
              <w:t>执业许可证</w:t>
            </w:r>
            <w:r>
              <w:rPr>
                <w:rFonts w:hint="eastAsia" w:ascii="宋体" w:hAnsi="宋体" w:cs="宋体"/>
                <w:color w:val="auto"/>
                <w:sz w:val="24"/>
                <w:highlight w:val="none"/>
              </w:rPr>
              <w:t>等），投标人为自然人的，提供身份证复印件。（</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7D742A64">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2、投标人依法缴纳税收的相关材料[</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rPr>
              <w:t>月至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]任意</w:t>
            </w:r>
            <w:r>
              <w:rPr>
                <w:rFonts w:hint="eastAsia" w:ascii="宋体" w:hAnsi="宋体" w:cs="宋体"/>
                <w:color w:val="auto"/>
                <w:sz w:val="24"/>
                <w:highlight w:val="none"/>
              </w:rPr>
              <w:t>连续</w:t>
            </w:r>
            <w:r>
              <w:rPr>
                <w:rFonts w:hint="eastAsia" w:ascii="宋体" w:hAnsi="宋体" w:cs="宋体"/>
                <w:color w:val="auto"/>
                <w:sz w:val="24"/>
                <w:highlight w:val="none"/>
                <w:u w:val="single"/>
              </w:rPr>
              <w:t xml:space="preserve"> 三 </w:t>
            </w:r>
            <w:r>
              <w:rPr>
                <w:rFonts w:hint="eastAsia" w:ascii="宋体" w:hAnsi="宋体" w:cs="宋体"/>
                <w:color w:val="auto"/>
                <w:sz w:val="24"/>
                <w:highlight w:val="none"/>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1A76D948">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3、投标人依法缴纳社会保障资金的相关材料[</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rPr>
              <w:t>月至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]任意</w:t>
            </w:r>
            <w:r>
              <w:rPr>
                <w:rFonts w:hint="eastAsia" w:ascii="宋体" w:hAnsi="宋体" w:cs="宋体"/>
                <w:color w:val="auto"/>
                <w:sz w:val="24"/>
                <w:highlight w:val="none"/>
              </w:rPr>
              <w:t>连续</w:t>
            </w:r>
            <w:r>
              <w:rPr>
                <w:rFonts w:hint="eastAsia" w:ascii="宋体" w:hAnsi="宋体" w:cs="宋体"/>
                <w:color w:val="auto"/>
                <w:sz w:val="24"/>
                <w:highlight w:val="none"/>
                <w:u w:val="single"/>
              </w:rPr>
              <w:t xml:space="preserve"> 三 </w:t>
            </w:r>
            <w:r>
              <w:rPr>
                <w:rFonts w:hint="eastAsia" w:ascii="宋体" w:hAnsi="宋体" w:cs="宋体"/>
                <w:color w:val="auto"/>
                <w:sz w:val="24"/>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67C45A4D">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4、投标人财务状况报告：[</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3A7182BA">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5、投标人直接控股股东信息</w:t>
            </w:r>
            <w:r>
              <w:rPr>
                <w:rFonts w:hint="eastAsia" w:ascii="宋体" w:hAnsi="宋体" w:cs="宋体"/>
                <w:color w:val="auto"/>
                <w:sz w:val="24"/>
                <w:highlight w:val="none"/>
                <w:lang w:val="en-US" w:eastAsia="zh-CN"/>
              </w:rPr>
              <w:t>表</w:t>
            </w:r>
            <w:r>
              <w:rPr>
                <w:rFonts w:hint="eastAsia" w:ascii="宋体" w:hAnsi="宋体" w:cs="宋体"/>
                <w:color w:val="auto"/>
                <w:sz w:val="24"/>
                <w:highlight w:val="none"/>
              </w:rPr>
              <w:t>、管理关系信息表。（</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3861A131">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6、投标资格声明</w:t>
            </w:r>
            <w:r>
              <w:rPr>
                <w:rFonts w:hint="eastAsia" w:ascii="宋体" w:hAnsi="宋体" w:cs="宋体"/>
                <w:color w:val="auto"/>
                <w:sz w:val="24"/>
                <w:highlight w:val="none"/>
                <w:lang w:val="en-US" w:eastAsia="zh-CN"/>
              </w:rPr>
              <w:t>函</w:t>
            </w:r>
            <w:r>
              <w:rPr>
                <w:rFonts w:hint="eastAsia" w:ascii="宋体" w:hAnsi="宋体" w:cs="宋体"/>
                <w:color w:val="auto"/>
                <w:sz w:val="24"/>
                <w:highlight w:val="none"/>
              </w:rPr>
              <w:t>。（</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0F50920B">
            <w:pPr>
              <w:keepLines/>
              <w:pageBreakBefore w:val="0"/>
              <w:wordWrap w:val="0"/>
              <w:overflowPunct/>
              <w:topLinePunct w:val="0"/>
              <w:bidi w:val="0"/>
              <w:snapToGrid w:val="0"/>
              <w:spacing w:line="360" w:lineRule="auto"/>
              <w:jc w:val="left"/>
              <w:rPr>
                <w:rFonts w:ascii="宋体" w:hAnsi="宋体" w:cs="宋体"/>
                <w:b/>
                <w:bCs/>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联合体协议书。</w:t>
            </w:r>
            <w:r>
              <w:rPr>
                <w:rFonts w:hint="eastAsia" w:ascii="宋体" w:hAnsi="宋体" w:cs="宋体"/>
                <w:b/>
                <w:bCs/>
                <w:color w:val="auto"/>
                <w:sz w:val="24"/>
                <w:highlight w:val="none"/>
              </w:rPr>
              <w:t>（以联合体形式投标的，提供联合体协议；本项目不接受联合体投标或者投标人不以联合体形式投标的，则不需要提供）</w:t>
            </w:r>
          </w:p>
          <w:p w14:paraId="2F3B0B9C">
            <w:pPr>
              <w:keepLines/>
              <w:pageBreakBefore w:val="0"/>
              <w:wordWrap w:val="0"/>
              <w:overflowPunct/>
              <w:topLinePunct w:val="0"/>
              <w:bidi w:val="0"/>
              <w:snapToGrid w:val="0"/>
              <w:spacing w:line="360" w:lineRule="auto"/>
              <w:jc w:val="left"/>
              <w:rPr>
                <w:rFonts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、除招标文件规定必须提供以外，投标人认为需要提供的其他证明材料。</w:t>
            </w:r>
          </w:p>
          <w:p w14:paraId="4C1FAF48">
            <w:pPr>
              <w:keepLines/>
              <w:pageBreakBefore w:val="0"/>
              <w:wordWrap w:val="0"/>
              <w:overflowPunct/>
              <w:topLinePunct w:val="0"/>
              <w:bidi w:val="0"/>
              <w:snapToGrid w:val="0"/>
              <w:spacing w:line="360" w:lineRule="auto"/>
              <w:jc w:val="left"/>
              <w:rPr>
                <w:rFonts w:ascii="宋体" w:hAnsi="宋体" w:cs="宋体"/>
                <w:b/>
                <w:color w:val="auto"/>
                <w:sz w:val="24"/>
                <w:highlight w:val="none"/>
              </w:rPr>
            </w:pPr>
            <w:r>
              <w:rPr>
                <w:rFonts w:hint="eastAsia" w:ascii="宋体" w:hAnsi="宋体" w:cs="宋体"/>
                <w:b/>
                <w:bCs/>
                <w:color w:val="auto"/>
                <w:sz w:val="24"/>
                <w:highlight w:val="none"/>
              </w:rPr>
              <w:t>注：1.</w:t>
            </w:r>
            <w:r>
              <w:rPr>
                <w:rFonts w:hint="eastAsia" w:ascii="宋体" w:hAnsi="宋体" w:cs="宋体"/>
                <w:color w:val="auto"/>
                <w:sz w:val="24"/>
                <w:highlight w:val="none"/>
              </w:rPr>
              <w:t xml:space="preserve"> </w:t>
            </w:r>
            <w:r>
              <w:rPr>
                <w:rFonts w:hint="eastAsia" w:ascii="宋体" w:hAnsi="宋体" w:cs="宋体"/>
                <w:b/>
                <w:bCs/>
                <w:color w:val="auto"/>
                <w:sz w:val="24"/>
                <w:highlight w:val="none"/>
              </w:rPr>
              <w:t>以上标明“必须提供”的材料</w:t>
            </w:r>
            <w:r>
              <w:rPr>
                <w:rFonts w:hint="eastAsia" w:ascii="宋体" w:hAnsi="宋体" w:cs="宋体"/>
                <w:b/>
                <w:color w:val="auto"/>
                <w:sz w:val="24"/>
                <w:highlight w:val="none"/>
              </w:rPr>
              <w:t>属于复印件的扫描件的</w:t>
            </w:r>
            <w:r>
              <w:rPr>
                <w:rFonts w:hint="eastAsia" w:ascii="宋体" w:hAnsi="宋体" w:cs="宋体"/>
                <w:b/>
                <w:bCs/>
                <w:color w:val="auto"/>
                <w:sz w:val="24"/>
                <w:highlight w:val="none"/>
              </w:rPr>
              <w:t>，必须加盖投标人电子公章，否则</w:t>
            </w:r>
            <w:r>
              <w:rPr>
                <w:rFonts w:hint="eastAsia" w:ascii="宋体" w:hAnsi="宋体" w:cs="宋体"/>
                <w:b/>
                <w:color w:val="auto"/>
                <w:sz w:val="24"/>
                <w:highlight w:val="none"/>
              </w:rPr>
              <w:t>作无效投标处理。</w:t>
            </w:r>
          </w:p>
          <w:p w14:paraId="4EE00489">
            <w:pPr>
              <w:keepLines/>
              <w:pageBreakBefore w:val="0"/>
              <w:wordWrap w:val="0"/>
              <w:overflowPunct/>
              <w:topLinePunct w:val="0"/>
              <w:bidi w:val="0"/>
              <w:snapToGrid w:val="0"/>
              <w:spacing w:line="360" w:lineRule="auto"/>
              <w:ind w:firstLine="482" w:firstLineChars="200"/>
              <w:jc w:val="left"/>
              <w:rPr>
                <w:rFonts w:ascii="宋体" w:hAnsi="宋体" w:cs="宋体"/>
                <w:b/>
                <w:bCs/>
                <w:color w:val="auto"/>
                <w:sz w:val="24"/>
                <w:highlight w:val="none"/>
              </w:rPr>
            </w:pPr>
            <w:r>
              <w:rPr>
                <w:rFonts w:hint="eastAsia" w:ascii="宋体" w:hAnsi="宋体" w:cs="宋体"/>
                <w:b/>
                <w:color w:val="auto"/>
                <w:sz w:val="24"/>
                <w:highlight w:val="none"/>
              </w:rPr>
              <w:t>2</w:t>
            </w:r>
            <w:r>
              <w:rPr>
                <w:rFonts w:hint="eastAsia" w:ascii="宋体" w:hAnsi="宋体" w:cs="宋体"/>
                <w:b/>
                <w:bCs/>
                <w:color w:val="auto"/>
                <w:sz w:val="24"/>
                <w:highlight w:val="none"/>
              </w:rPr>
              <w:t>.联合体投标时，第1-5项资格证明文件联合体各方均必须分别提供，联合体各方分别盖章，否则投标文件按无效投标处理。</w:t>
            </w:r>
          </w:p>
        </w:tc>
      </w:tr>
      <w:tr w14:paraId="72D82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2478B564">
            <w:pPr>
              <w:keepLines/>
              <w:pageBreakBefore w:val="0"/>
              <w:wordWrap w:val="0"/>
              <w:overflowPunct/>
              <w:topLinePunct w:val="0"/>
              <w:bidi w:val="0"/>
              <w:spacing w:line="360" w:lineRule="auto"/>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022C3A84">
            <w:pPr>
              <w:keepLines/>
              <w:pageBreakBefore w:val="0"/>
              <w:wordWrap w:val="0"/>
              <w:overflowPunct/>
              <w:topLinePunct w:val="0"/>
              <w:bidi w:val="0"/>
              <w:snapToGrid w:val="0"/>
              <w:spacing w:line="360" w:lineRule="auto"/>
              <w:jc w:val="left"/>
              <w:rPr>
                <w:rFonts w:ascii="宋体" w:hAnsi="宋体" w:cs="宋体"/>
                <w:color w:val="auto"/>
                <w:sz w:val="24"/>
                <w:highlight w:val="none"/>
              </w:rPr>
            </w:pPr>
            <w:bookmarkStart w:id="165" w:name="_13.3"/>
            <w:bookmarkEnd w:id="165"/>
            <w:r>
              <w:rPr>
                <w:rFonts w:hint="eastAsia" w:ascii="宋体" w:hAnsi="宋体" w:cs="宋体"/>
                <w:color w:val="auto"/>
                <w:sz w:val="24"/>
                <w:highlight w:val="none"/>
              </w:rPr>
              <w:t>商务文件组成</w:t>
            </w:r>
          </w:p>
          <w:p w14:paraId="6E9B64E8">
            <w:pPr>
              <w:keepLines/>
              <w:pageBreakBefore w:val="0"/>
              <w:wordWrap w:val="0"/>
              <w:overflowPunct/>
              <w:topLinePunct w:val="0"/>
              <w:bidi w:val="0"/>
              <w:spacing w:line="360" w:lineRule="auto"/>
              <w:rPr>
                <w:rFonts w:ascii="宋体" w:hAnsi="宋体" w:cs="宋体"/>
                <w:color w:val="auto"/>
                <w:sz w:val="24"/>
                <w:highlight w:val="none"/>
              </w:rPr>
            </w:pPr>
          </w:p>
        </w:tc>
        <w:tc>
          <w:tcPr>
            <w:tcW w:w="6999" w:type="dxa"/>
            <w:tcBorders>
              <w:top w:val="single" w:color="auto" w:sz="4" w:space="0"/>
              <w:left w:val="single" w:color="auto" w:sz="4" w:space="0"/>
              <w:bottom w:val="single" w:color="auto" w:sz="4" w:space="0"/>
              <w:right w:val="single" w:color="auto" w:sz="4" w:space="0"/>
            </w:tcBorders>
            <w:vAlign w:val="center"/>
          </w:tcPr>
          <w:p w14:paraId="73393605">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1、无串通投标行为的承诺函；（</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503EB499">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2、法定代表人身份证明及法定代表人有效身份证正反面复印件；（</w:t>
            </w:r>
            <w:r>
              <w:rPr>
                <w:rFonts w:hint="eastAsia" w:ascii="宋体" w:hAnsi="宋体" w:cs="宋体"/>
                <w:b/>
                <w:bCs/>
                <w:color w:val="auto"/>
                <w:sz w:val="24"/>
                <w:highlight w:val="none"/>
              </w:rPr>
              <w:t>除自然人投标外</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6DACB46A">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3、法定代表人授权委托书及委托代理人有效身份证正反面复印件；（</w:t>
            </w:r>
            <w:r>
              <w:rPr>
                <w:rFonts w:hint="eastAsia" w:ascii="宋体" w:hAnsi="宋体" w:cs="宋体"/>
                <w:b/>
                <w:color w:val="auto"/>
                <w:sz w:val="24"/>
                <w:highlight w:val="none"/>
              </w:rPr>
              <w:t>委托时必须提供，否则作无效投标处理</w:t>
            </w:r>
            <w:r>
              <w:rPr>
                <w:rFonts w:hint="eastAsia" w:ascii="宋体" w:hAnsi="宋体" w:cs="宋体"/>
                <w:color w:val="auto"/>
                <w:sz w:val="24"/>
                <w:highlight w:val="none"/>
              </w:rPr>
              <w:t>）</w:t>
            </w:r>
          </w:p>
          <w:p w14:paraId="11F9A602">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4、商务条款偏离表；（</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0C6742AC">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5、投标人情况介绍；</w:t>
            </w:r>
          </w:p>
          <w:p w14:paraId="6B701A02">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6、除采购文件规定必须提供以外，投标人认为需要提供的其他证明材料。（投标人根据“第二章 采购需求”及“第四章 评标方法及评标标准”提供有关证明材料）。</w:t>
            </w:r>
          </w:p>
          <w:p w14:paraId="7403AA19">
            <w:pPr>
              <w:keepLines/>
              <w:pageBreakBefore w:val="0"/>
              <w:wordWrap w:val="0"/>
              <w:overflowPunct/>
              <w:topLinePunct w:val="0"/>
              <w:bidi w:val="0"/>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注： 1.法定代表人授权委托书必须由法定代表人及委托代理人签字</w:t>
            </w:r>
            <w:r>
              <w:rPr>
                <w:rFonts w:hint="eastAsia" w:ascii="宋体" w:hAnsi="宋体" w:cs="宋体"/>
                <w:b/>
                <w:bCs/>
                <w:color w:val="auto"/>
                <w:sz w:val="24"/>
                <w:highlight w:val="none"/>
                <w:lang w:val="en-US" w:eastAsia="zh-CN"/>
              </w:rPr>
              <w:t>或盖章</w:t>
            </w:r>
            <w:r>
              <w:rPr>
                <w:rFonts w:hint="eastAsia" w:ascii="宋体" w:hAnsi="宋体" w:cs="宋体"/>
                <w:b/>
                <w:bCs/>
                <w:color w:val="auto"/>
                <w:sz w:val="24"/>
                <w:highlight w:val="none"/>
              </w:rPr>
              <w:t>，并加盖投标人公章，否则作无效投标处理。</w:t>
            </w:r>
          </w:p>
          <w:p w14:paraId="0AAF3F41">
            <w:pPr>
              <w:keepLines/>
              <w:pageBreakBefore w:val="0"/>
              <w:wordWrap w:val="0"/>
              <w:overflowPunct/>
              <w:topLinePunct w:val="0"/>
              <w:bidi w:val="0"/>
              <w:snapToGrid w:val="0"/>
              <w:spacing w:line="360" w:lineRule="auto"/>
              <w:ind w:firstLine="482" w:firstLineChars="200"/>
              <w:jc w:val="left"/>
              <w:rPr>
                <w:rFonts w:ascii="宋体" w:hAnsi="宋体" w:cs="宋体"/>
                <w:b/>
                <w:color w:val="auto"/>
                <w:sz w:val="24"/>
                <w:highlight w:val="none"/>
              </w:rPr>
            </w:pPr>
            <w:r>
              <w:rPr>
                <w:rFonts w:hint="eastAsia" w:ascii="宋体" w:hAnsi="宋体" w:cs="宋体"/>
                <w:b/>
                <w:bCs/>
                <w:color w:val="auto"/>
                <w:sz w:val="24"/>
                <w:highlight w:val="none"/>
              </w:rPr>
              <w:t>2.</w:t>
            </w:r>
            <w:r>
              <w:rPr>
                <w:rFonts w:hint="eastAsia" w:ascii="宋体" w:hAnsi="宋体" w:cs="宋体"/>
                <w:color w:val="auto"/>
                <w:sz w:val="24"/>
                <w:highlight w:val="none"/>
              </w:rPr>
              <w:t xml:space="preserve"> </w:t>
            </w:r>
            <w:r>
              <w:rPr>
                <w:rFonts w:hint="eastAsia" w:ascii="宋体" w:hAnsi="宋体" w:cs="宋体"/>
                <w:b/>
                <w:bCs/>
                <w:color w:val="auto"/>
                <w:sz w:val="24"/>
                <w:highlight w:val="none"/>
              </w:rPr>
              <w:t>以上标明“必须提供”的材料</w:t>
            </w:r>
            <w:r>
              <w:rPr>
                <w:rFonts w:hint="eastAsia" w:ascii="宋体" w:hAnsi="宋体" w:cs="宋体"/>
                <w:b/>
                <w:color w:val="auto"/>
                <w:sz w:val="24"/>
                <w:highlight w:val="none"/>
              </w:rPr>
              <w:t>属于复印件的扫描件的</w:t>
            </w:r>
            <w:r>
              <w:rPr>
                <w:rFonts w:hint="eastAsia" w:ascii="宋体" w:hAnsi="宋体" w:cs="宋体"/>
                <w:b/>
                <w:bCs/>
                <w:color w:val="auto"/>
                <w:sz w:val="24"/>
                <w:highlight w:val="none"/>
              </w:rPr>
              <w:t>，必须加盖投标人电子公章，否则</w:t>
            </w:r>
            <w:r>
              <w:rPr>
                <w:rFonts w:hint="eastAsia" w:ascii="宋体" w:hAnsi="宋体" w:cs="宋体"/>
                <w:b/>
                <w:color w:val="auto"/>
                <w:sz w:val="24"/>
                <w:highlight w:val="none"/>
              </w:rPr>
              <w:t>作无效投标处理</w:t>
            </w:r>
            <w:r>
              <w:rPr>
                <w:rFonts w:hint="eastAsia" w:ascii="宋体" w:hAnsi="宋体" w:cs="宋体"/>
                <w:b/>
                <w:bCs/>
                <w:color w:val="auto"/>
                <w:sz w:val="24"/>
                <w:highlight w:val="none"/>
              </w:rPr>
              <w:t>。</w:t>
            </w:r>
          </w:p>
        </w:tc>
      </w:tr>
      <w:tr w14:paraId="44478B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14:paraId="5470D52E">
            <w:pPr>
              <w:keepLines/>
              <w:pageBreakBefore w:val="0"/>
              <w:wordWrap w:val="0"/>
              <w:overflowPunct/>
              <w:topLinePunct w:val="0"/>
              <w:bidi w:val="0"/>
              <w:spacing w:line="360" w:lineRule="auto"/>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542B3633">
            <w:pPr>
              <w:keepLines/>
              <w:pageBreakBefore w:val="0"/>
              <w:wordWrap w:val="0"/>
              <w:overflowPunct/>
              <w:topLinePunct w:val="0"/>
              <w:bidi w:val="0"/>
              <w:snapToGrid w:val="0"/>
              <w:spacing w:line="360" w:lineRule="auto"/>
              <w:jc w:val="left"/>
              <w:rPr>
                <w:rFonts w:ascii="宋体" w:hAnsi="宋体" w:cs="宋体"/>
                <w:color w:val="auto"/>
                <w:sz w:val="24"/>
                <w:highlight w:val="none"/>
              </w:rPr>
            </w:pPr>
            <w:bookmarkStart w:id="166" w:name="_13.4"/>
            <w:bookmarkEnd w:id="166"/>
            <w:r>
              <w:rPr>
                <w:rFonts w:hint="eastAsia" w:ascii="宋体" w:hAnsi="宋体" w:cs="宋体"/>
                <w:color w:val="auto"/>
                <w:sz w:val="24"/>
                <w:highlight w:val="none"/>
              </w:rPr>
              <w:t>技术文件组成</w:t>
            </w:r>
          </w:p>
          <w:p w14:paraId="61C108C6">
            <w:pPr>
              <w:keepLines/>
              <w:pageBreakBefore w:val="0"/>
              <w:wordWrap w:val="0"/>
              <w:overflowPunct/>
              <w:topLinePunct w:val="0"/>
              <w:bidi w:val="0"/>
              <w:spacing w:line="360" w:lineRule="auto"/>
              <w:rPr>
                <w:rFonts w:ascii="宋体" w:hAnsi="宋体" w:cs="宋体"/>
                <w:color w:val="auto"/>
                <w:sz w:val="24"/>
                <w:highlight w:val="none"/>
              </w:rPr>
            </w:pPr>
          </w:p>
        </w:tc>
        <w:tc>
          <w:tcPr>
            <w:tcW w:w="6999" w:type="dxa"/>
            <w:tcBorders>
              <w:top w:val="single" w:color="auto" w:sz="4" w:space="0"/>
              <w:left w:val="single" w:color="auto" w:sz="4" w:space="0"/>
              <w:bottom w:val="single" w:color="auto" w:sz="4" w:space="0"/>
              <w:right w:val="single" w:color="auto" w:sz="4" w:space="0"/>
            </w:tcBorders>
            <w:vAlign w:val="center"/>
          </w:tcPr>
          <w:p w14:paraId="38C00DAC">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1、服务需求、技术需求偏离表；（</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53F00916">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2、组织服务方案；（</w:t>
            </w:r>
            <w:r>
              <w:rPr>
                <w:rFonts w:hint="eastAsia" w:ascii="宋体" w:hAnsi="宋体" w:cs="宋体"/>
                <w:b/>
                <w:color w:val="auto"/>
                <w:sz w:val="24"/>
                <w:highlight w:val="none"/>
              </w:rPr>
              <w:t>如有请提供</w:t>
            </w:r>
            <w:r>
              <w:rPr>
                <w:rFonts w:hint="eastAsia" w:ascii="宋体" w:hAnsi="宋体" w:cs="宋体"/>
                <w:color w:val="auto"/>
                <w:sz w:val="24"/>
                <w:highlight w:val="none"/>
              </w:rPr>
              <w:t>）</w:t>
            </w:r>
          </w:p>
          <w:p w14:paraId="17DA5FB7">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3、售后服务方案；（</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45039CF3">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4、项目实施人员一览表；（</w:t>
            </w:r>
            <w:r>
              <w:rPr>
                <w:rFonts w:hint="eastAsia" w:ascii="宋体" w:hAnsi="宋体" w:cs="宋体"/>
                <w:b/>
                <w:color w:val="auto"/>
                <w:sz w:val="24"/>
                <w:highlight w:val="none"/>
              </w:rPr>
              <w:t>必须提供，否则作无效投标处理</w:t>
            </w:r>
            <w:r>
              <w:rPr>
                <w:rFonts w:hint="eastAsia" w:ascii="宋体" w:hAnsi="宋体" w:cs="宋体"/>
                <w:color w:val="auto"/>
                <w:sz w:val="24"/>
                <w:highlight w:val="none"/>
              </w:rPr>
              <w:t>）</w:t>
            </w:r>
          </w:p>
          <w:p w14:paraId="71E03D5E">
            <w:pPr>
              <w:keepLines/>
              <w:pageBreakBefore w:val="0"/>
              <w:wordWrap w:val="0"/>
              <w:overflowPunct/>
              <w:topLinePunct w:val="0"/>
              <w:bidi w:val="0"/>
              <w:snapToGrid w:val="0"/>
              <w:spacing w:line="360" w:lineRule="auto"/>
              <w:jc w:val="left"/>
              <w:rPr>
                <w:rFonts w:ascii="宋体" w:hAnsi="宋体" w:cs="宋体"/>
                <w:b/>
                <w:bCs/>
                <w:color w:val="auto"/>
                <w:sz w:val="24"/>
                <w:highlight w:val="none"/>
              </w:rPr>
            </w:pPr>
            <w:r>
              <w:rPr>
                <w:rFonts w:hint="eastAsia" w:ascii="宋体" w:hAnsi="宋体" w:cs="宋体"/>
                <w:color w:val="auto"/>
                <w:sz w:val="24"/>
                <w:highlight w:val="none"/>
              </w:rPr>
              <w:t>5、投标人对本项目的合理化建议和改进措施；</w:t>
            </w:r>
            <w:r>
              <w:rPr>
                <w:rFonts w:hint="eastAsia" w:ascii="宋体" w:hAnsi="宋体" w:cs="宋体"/>
                <w:b/>
                <w:bCs/>
                <w:color w:val="auto"/>
                <w:sz w:val="24"/>
                <w:highlight w:val="none"/>
              </w:rPr>
              <w:t>（如有请提供）</w:t>
            </w:r>
          </w:p>
          <w:p w14:paraId="5000B1E1">
            <w:pPr>
              <w:keepLines/>
              <w:pageBreakBefore w:val="0"/>
              <w:wordWrap w:val="0"/>
              <w:overflowPunct/>
              <w:topLinePunct w:val="0"/>
              <w:bidi w:val="0"/>
              <w:snapToGrid w:val="0"/>
              <w:spacing w:line="360" w:lineRule="auto"/>
              <w:jc w:val="left"/>
              <w:rPr>
                <w:rFonts w:ascii="宋体" w:hAnsi="宋体" w:cs="宋体"/>
                <w:bCs/>
                <w:color w:val="auto"/>
                <w:sz w:val="24"/>
                <w:highlight w:val="none"/>
              </w:rPr>
            </w:pPr>
            <w:r>
              <w:rPr>
                <w:rFonts w:hint="eastAsia" w:ascii="宋体" w:hAnsi="宋体" w:cs="宋体"/>
                <w:color w:val="auto"/>
                <w:sz w:val="24"/>
                <w:highlight w:val="none"/>
              </w:rPr>
              <w:t>6、除招标文件规定必须提供以外，投标人需要说明的其他文件和说明。</w:t>
            </w:r>
          </w:p>
          <w:p w14:paraId="49D5DF2C">
            <w:pPr>
              <w:keepLines/>
              <w:pageBreakBefore w:val="0"/>
              <w:wordWrap w:val="0"/>
              <w:overflowPunct/>
              <w:topLinePunct w:val="0"/>
              <w:bidi w:val="0"/>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注：以上标明“必须提供”的材料</w:t>
            </w:r>
            <w:r>
              <w:rPr>
                <w:rFonts w:hint="eastAsia" w:ascii="宋体" w:hAnsi="宋体" w:cs="宋体"/>
                <w:b/>
                <w:color w:val="auto"/>
                <w:sz w:val="24"/>
                <w:highlight w:val="none"/>
              </w:rPr>
              <w:t>属于复印件的扫描件的</w:t>
            </w:r>
            <w:r>
              <w:rPr>
                <w:rFonts w:hint="eastAsia" w:ascii="宋体" w:hAnsi="宋体" w:cs="宋体"/>
                <w:b/>
                <w:bCs/>
                <w:color w:val="auto"/>
                <w:sz w:val="24"/>
                <w:highlight w:val="none"/>
              </w:rPr>
              <w:t>，必须加盖投标人电子公章，否则</w:t>
            </w:r>
            <w:r>
              <w:rPr>
                <w:rFonts w:hint="eastAsia" w:ascii="宋体" w:hAnsi="宋体" w:cs="宋体"/>
                <w:b/>
                <w:color w:val="auto"/>
                <w:sz w:val="24"/>
                <w:highlight w:val="none"/>
              </w:rPr>
              <w:t>作无效投标处理</w:t>
            </w:r>
            <w:r>
              <w:rPr>
                <w:rFonts w:hint="eastAsia" w:ascii="宋体" w:hAnsi="宋体" w:cs="宋体"/>
                <w:b/>
                <w:bCs/>
                <w:color w:val="auto"/>
                <w:sz w:val="24"/>
                <w:highlight w:val="none"/>
              </w:rPr>
              <w:t>。</w:t>
            </w:r>
          </w:p>
        </w:tc>
      </w:tr>
      <w:tr w14:paraId="2D5FAE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14:paraId="57DE8BB1">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27826718">
            <w:pPr>
              <w:keepLines/>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报价文件组成</w:t>
            </w:r>
          </w:p>
        </w:tc>
        <w:tc>
          <w:tcPr>
            <w:tcW w:w="6999" w:type="dxa"/>
            <w:tcBorders>
              <w:top w:val="single" w:color="auto" w:sz="4" w:space="0"/>
              <w:left w:val="single" w:color="auto" w:sz="4" w:space="0"/>
              <w:bottom w:val="single" w:color="auto" w:sz="4" w:space="0"/>
              <w:right w:val="single" w:color="auto" w:sz="4" w:space="0"/>
            </w:tcBorders>
            <w:vAlign w:val="center"/>
          </w:tcPr>
          <w:p w14:paraId="2772BADA">
            <w:pPr>
              <w:keepLines/>
              <w:pageBreakBefore w:val="0"/>
              <w:tabs>
                <w:tab w:val="left" w:pos="459"/>
              </w:tabs>
              <w:wordWrap w:val="0"/>
              <w:overflowPunct/>
              <w:topLinePunct w:val="0"/>
              <w:bidi w:val="0"/>
              <w:snapToGrid w:val="0"/>
              <w:spacing w:line="360" w:lineRule="auto"/>
              <w:jc w:val="left"/>
              <w:rPr>
                <w:color w:val="auto"/>
                <w:sz w:val="24"/>
                <w:highlight w:val="none"/>
              </w:rPr>
            </w:pPr>
            <w:r>
              <w:rPr>
                <w:rFonts w:hint="eastAsia"/>
                <w:color w:val="auto"/>
                <w:sz w:val="24"/>
                <w:highlight w:val="none"/>
              </w:rPr>
              <w:t>1、投标函；（</w:t>
            </w:r>
            <w:r>
              <w:rPr>
                <w:rFonts w:hint="eastAsia" w:ascii="宋体" w:hAnsi="宋体" w:cs="宋体"/>
                <w:b/>
                <w:color w:val="auto"/>
                <w:sz w:val="24"/>
                <w:highlight w:val="none"/>
              </w:rPr>
              <w:t>必须提供，否则作无效投标处理</w:t>
            </w:r>
            <w:r>
              <w:rPr>
                <w:rFonts w:hint="eastAsia"/>
                <w:color w:val="auto"/>
                <w:sz w:val="24"/>
                <w:highlight w:val="none"/>
              </w:rPr>
              <w:t>）</w:t>
            </w:r>
          </w:p>
          <w:p w14:paraId="71CDFFFE">
            <w:pPr>
              <w:keepLines/>
              <w:pageBreakBefore w:val="0"/>
              <w:tabs>
                <w:tab w:val="left" w:pos="459"/>
              </w:tabs>
              <w:wordWrap w:val="0"/>
              <w:overflowPunct/>
              <w:topLinePunct w:val="0"/>
              <w:bidi w:val="0"/>
              <w:snapToGrid w:val="0"/>
              <w:spacing w:line="360" w:lineRule="auto"/>
              <w:jc w:val="left"/>
              <w:rPr>
                <w:color w:val="auto"/>
                <w:sz w:val="24"/>
                <w:highlight w:val="none"/>
              </w:rPr>
            </w:pPr>
            <w:r>
              <w:rPr>
                <w:rFonts w:hint="eastAsia"/>
                <w:color w:val="auto"/>
                <w:sz w:val="24"/>
                <w:highlight w:val="none"/>
              </w:rPr>
              <w:t>2、开标一览表；（</w:t>
            </w:r>
            <w:r>
              <w:rPr>
                <w:rFonts w:hint="eastAsia" w:ascii="宋体" w:hAnsi="宋体" w:cs="宋体"/>
                <w:b/>
                <w:color w:val="auto"/>
                <w:sz w:val="24"/>
                <w:highlight w:val="none"/>
              </w:rPr>
              <w:t>必须提供，否则作无效投标处理</w:t>
            </w:r>
            <w:r>
              <w:rPr>
                <w:rFonts w:hint="eastAsia"/>
                <w:color w:val="auto"/>
                <w:sz w:val="24"/>
                <w:highlight w:val="none"/>
              </w:rPr>
              <w:t>）</w:t>
            </w:r>
          </w:p>
          <w:p w14:paraId="6ADA5181">
            <w:pPr>
              <w:pStyle w:val="9"/>
              <w:keepLines/>
              <w:pageBreakBefore w:val="0"/>
              <w:wordWrap w:val="0"/>
              <w:overflowPunct/>
              <w:topLinePunct w:val="0"/>
              <w:bidi w:val="0"/>
              <w:spacing w:after="0" w:line="360" w:lineRule="auto"/>
              <w:rPr>
                <w:rFonts w:hint="eastAsia"/>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中小企业声明函</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w:t>
            </w:r>
            <w:r>
              <w:rPr>
                <w:rFonts w:hint="eastAsia" w:ascii="宋体" w:hAnsi="宋体" w:cs="宋体"/>
                <w:b/>
                <w:color w:val="auto"/>
                <w:sz w:val="24"/>
                <w:highlight w:val="none"/>
                <w:lang w:val="en-US" w:eastAsia="zh-CN"/>
              </w:rPr>
              <w:t>如有请提供</w:t>
            </w:r>
            <w:r>
              <w:rPr>
                <w:rFonts w:hint="eastAsia" w:ascii="宋体" w:hAnsi="宋体" w:cs="宋体"/>
                <w:color w:val="auto"/>
                <w:sz w:val="24"/>
                <w:highlight w:val="none"/>
              </w:rPr>
              <w:t>）</w:t>
            </w:r>
          </w:p>
          <w:p w14:paraId="273CD482">
            <w:pPr>
              <w:keepLines/>
              <w:pageBreakBefore w:val="0"/>
              <w:tabs>
                <w:tab w:val="left" w:pos="459"/>
              </w:tabs>
              <w:wordWrap w:val="0"/>
              <w:overflowPunct/>
              <w:topLinePunct w:val="0"/>
              <w:bidi w:val="0"/>
              <w:snapToGrid w:val="0"/>
              <w:spacing w:line="360" w:lineRule="auto"/>
              <w:jc w:val="left"/>
              <w:rPr>
                <w:color w:val="auto"/>
                <w:sz w:val="24"/>
                <w:highlight w:val="none"/>
              </w:rPr>
            </w:pPr>
            <w:r>
              <w:rPr>
                <w:rFonts w:hint="eastAsia"/>
                <w:color w:val="auto"/>
                <w:sz w:val="24"/>
                <w:highlight w:val="none"/>
                <w:lang w:val="en-US" w:eastAsia="zh-CN"/>
              </w:rPr>
              <w:t>4</w:t>
            </w:r>
            <w:r>
              <w:rPr>
                <w:rFonts w:hint="eastAsia" w:ascii="宋体" w:hAnsi="宋体"/>
                <w:color w:val="auto"/>
                <w:sz w:val="24"/>
                <w:highlight w:val="none"/>
              </w:rPr>
              <w:t>、</w:t>
            </w:r>
            <w:r>
              <w:rPr>
                <w:rFonts w:hint="eastAsia"/>
                <w:color w:val="auto"/>
                <w:sz w:val="24"/>
                <w:highlight w:val="none"/>
              </w:rPr>
              <w:t>投标人针对报价需要说明的其他文件和说明明，如《</w:t>
            </w:r>
            <w:r>
              <w:rPr>
                <w:rFonts w:hint="eastAsia" w:ascii="宋体" w:hAnsi="宋体" w:cs="宋体"/>
                <w:color w:val="auto"/>
                <w:sz w:val="24"/>
                <w:highlight w:val="none"/>
                <w:lang w:eastAsia="zh-CN"/>
              </w:rPr>
              <w:t>中小企业声明函</w:t>
            </w:r>
            <w:r>
              <w:rPr>
                <w:rFonts w:hint="eastAsia"/>
                <w:color w:val="auto"/>
                <w:sz w:val="24"/>
                <w:highlight w:val="none"/>
              </w:rPr>
              <w:t>》。</w:t>
            </w:r>
          </w:p>
        </w:tc>
      </w:tr>
      <w:tr w14:paraId="3659E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79C5FE7">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2566" w:type="dxa"/>
            <w:tcBorders>
              <w:top w:val="single" w:color="auto" w:sz="4" w:space="0"/>
              <w:left w:val="single" w:color="auto" w:sz="4" w:space="0"/>
              <w:bottom w:val="single" w:color="auto" w:sz="4" w:space="0"/>
              <w:right w:val="single" w:color="auto" w:sz="4" w:space="0"/>
            </w:tcBorders>
            <w:vAlign w:val="center"/>
          </w:tcPr>
          <w:p w14:paraId="7F229D87">
            <w:pPr>
              <w:keepLines/>
              <w:pageBreakBefore w:val="0"/>
              <w:wordWrap w:val="0"/>
              <w:overflowPunct/>
              <w:topLinePunct w:val="0"/>
              <w:bidi w:val="0"/>
              <w:spacing w:line="360" w:lineRule="auto"/>
              <w:rPr>
                <w:rFonts w:ascii="宋体" w:hAnsi="宋体" w:cs="宋体"/>
                <w:color w:val="auto"/>
                <w:sz w:val="24"/>
                <w:highlight w:val="none"/>
              </w:rPr>
            </w:pPr>
            <w:bookmarkStart w:id="167" w:name="_16.2"/>
            <w:bookmarkEnd w:id="167"/>
            <w:r>
              <w:rPr>
                <w:rFonts w:hint="eastAsia" w:ascii="宋体" w:hAnsi="宋体" w:cs="宋体"/>
                <w:color w:val="auto"/>
                <w:sz w:val="24"/>
                <w:highlight w:val="none"/>
              </w:rPr>
              <w:t>投标报价要求</w:t>
            </w:r>
          </w:p>
        </w:tc>
        <w:tc>
          <w:tcPr>
            <w:tcW w:w="6999" w:type="dxa"/>
            <w:tcBorders>
              <w:top w:val="single" w:color="auto" w:sz="4" w:space="0"/>
              <w:left w:val="single" w:color="auto" w:sz="4" w:space="0"/>
              <w:bottom w:val="single" w:color="auto" w:sz="4" w:space="0"/>
              <w:right w:val="single" w:color="auto" w:sz="4" w:space="0"/>
            </w:tcBorders>
            <w:vAlign w:val="center"/>
          </w:tcPr>
          <w:p w14:paraId="69EF2F32">
            <w:pPr>
              <w:keepLines/>
              <w:pageBreakBefore w:val="0"/>
              <w:wordWrap w:val="0"/>
              <w:overflowPunct/>
              <w:topLinePunct w:val="0"/>
              <w:bidi w:val="0"/>
              <w:snapToGrid w:val="0"/>
              <w:spacing w:line="360" w:lineRule="auto"/>
              <w:rPr>
                <w:rFonts w:ascii="宋体" w:hAnsi="宋体" w:cs="宋体"/>
                <w:b/>
                <w:color w:val="auto"/>
                <w:sz w:val="24"/>
                <w:highlight w:val="none"/>
              </w:rPr>
            </w:pPr>
            <w:r>
              <w:rPr>
                <w:rFonts w:hint="eastAsia" w:ascii="宋体" w:hAnsi="宋体" w:cs="宋体"/>
                <w:color w:val="auto"/>
                <w:sz w:val="24"/>
                <w:highlight w:val="none"/>
              </w:rPr>
              <w:t>投标报价是履行合同的最终价格，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7C1D7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06D5D90">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2566" w:type="dxa"/>
            <w:tcBorders>
              <w:top w:val="single" w:color="auto" w:sz="4" w:space="0"/>
              <w:left w:val="single" w:color="auto" w:sz="4" w:space="0"/>
              <w:bottom w:val="single" w:color="auto" w:sz="4" w:space="0"/>
              <w:right w:val="single" w:color="auto" w:sz="4" w:space="0"/>
            </w:tcBorders>
            <w:vAlign w:val="center"/>
          </w:tcPr>
          <w:p w14:paraId="6265C849">
            <w:pPr>
              <w:keepLines/>
              <w:pageBreakBefore w:val="0"/>
              <w:wordWrap w:val="0"/>
              <w:overflowPunct/>
              <w:topLinePunct w:val="0"/>
              <w:bidi w:val="0"/>
              <w:spacing w:line="360" w:lineRule="auto"/>
              <w:rPr>
                <w:rFonts w:ascii="宋体" w:hAnsi="宋体" w:cs="宋体"/>
                <w:color w:val="auto"/>
                <w:sz w:val="24"/>
                <w:highlight w:val="none"/>
              </w:rPr>
            </w:pPr>
            <w:bookmarkStart w:id="168" w:name="_17.1"/>
            <w:bookmarkEnd w:id="168"/>
            <w:r>
              <w:rPr>
                <w:rFonts w:hint="eastAsia" w:ascii="宋体" w:hAnsi="宋体" w:cs="宋体"/>
                <w:color w:val="auto"/>
                <w:sz w:val="24"/>
                <w:highlight w:val="none"/>
              </w:rPr>
              <w:t>投标有效期</w:t>
            </w:r>
          </w:p>
        </w:tc>
        <w:tc>
          <w:tcPr>
            <w:tcW w:w="6999" w:type="dxa"/>
            <w:tcBorders>
              <w:top w:val="single" w:color="auto" w:sz="4" w:space="0"/>
              <w:left w:val="single" w:color="auto" w:sz="4" w:space="0"/>
              <w:bottom w:val="single" w:color="auto" w:sz="4" w:space="0"/>
              <w:right w:val="single" w:color="auto" w:sz="4" w:space="0"/>
            </w:tcBorders>
            <w:vAlign w:val="center"/>
          </w:tcPr>
          <w:p w14:paraId="7D90D7D7">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自投标截止之日起</w:t>
            </w:r>
            <w:r>
              <w:rPr>
                <w:rFonts w:hint="eastAsia" w:ascii="宋体" w:hAnsi="宋体" w:cs="宋体"/>
                <w:color w:val="auto"/>
                <w:sz w:val="24"/>
                <w:highlight w:val="none"/>
                <w:u w:val="single"/>
              </w:rPr>
              <w:t xml:space="preserve"> </w:t>
            </w:r>
            <w:bookmarkStart w:id="169" w:name="PO_3000001866_PM046"/>
            <w:r>
              <w:rPr>
                <w:rFonts w:hint="eastAsia" w:ascii="宋体" w:hAnsi="宋体" w:cs="宋体"/>
                <w:color w:val="auto"/>
                <w:sz w:val="24"/>
                <w:highlight w:val="none"/>
                <w:u w:val="single"/>
              </w:rPr>
              <w:t>60日历天</w:t>
            </w:r>
            <w:bookmarkEnd w:id="169"/>
            <w:r>
              <w:rPr>
                <w:rFonts w:hint="eastAsia" w:ascii="宋体" w:hAnsi="宋体" w:cs="宋体"/>
                <w:color w:val="auto"/>
                <w:sz w:val="24"/>
                <w:highlight w:val="none"/>
              </w:rPr>
              <w:t>日。</w:t>
            </w:r>
          </w:p>
        </w:tc>
      </w:tr>
      <w:tr w14:paraId="31394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A4D9DA9">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18</w:t>
            </w:r>
          </w:p>
        </w:tc>
        <w:tc>
          <w:tcPr>
            <w:tcW w:w="2566" w:type="dxa"/>
            <w:tcBorders>
              <w:top w:val="single" w:color="auto" w:sz="4" w:space="0"/>
              <w:left w:val="single" w:color="auto" w:sz="4" w:space="0"/>
              <w:bottom w:val="single" w:color="auto" w:sz="4" w:space="0"/>
              <w:right w:val="single" w:color="auto" w:sz="4" w:space="0"/>
            </w:tcBorders>
            <w:vAlign w:val="center"/>
          </w:tcPr>
          <w:p w14:paraId="180B1A79">
            <w:pPr>
              <w:keepLines/>
              <w:pageBreakBefore w:val="0"/>
              <w:wordWrap w:val="0"/>
              <w:overflowPunct/>
              <w:topLinePunct w:val="0"/>
              <w:bidi w:val="0"/>
              <w:spacing w:line="360" w:lineRule="auto"/>
              <w:rPr>
                <w:rFonts w:ascii="宋体" w:hAnsi="宋体" w:cs="宋体"/>
                <w:color w:val="auto"/>
                <w:sz w:val="24"/>
                <w:highlight w:val="none"/>
              </w:rPr>
            </w:pPr>
            <w:bookmarkStart w:id="170" w:name="_18"/>
            <w:bookmarkEnd w:id="170"/>
            <w:r>
              <w:rPr>
                <w:rFonts w:hint="eastAsia" w:ascii="宋体" w:hAnsi="宋体" w:cs="宋体"/>
                <w:color w:val="auto"/>
                <w:sz w:val="24"/>
                <w:highlight w:val="none"/>
              </w:rPr>
              <w:t>投标保证金金额</w:t>
            </w:r>
          </w:p>
        </w:tc>
        <w:tc>
          <w:tcPr>
            <w:tcW w:w="6999" w:type="dxa"/>
            <w:tcBorders>
              <w:top w:val="single" w:color="auto" w:sz="4" w:space="0"/>
              <w:left w:val="single" w:color="auto" w:sz="4" w:space="0"/>
              <w:bottom w:val="single" w:color="auto" w:sz="4" w:space="0"/>
              <w:right w:val="single" w:color="auto" w:sz="4" w:space="0"/>
            </w:tcBorders>
            <w:vAlign w:val="center"/>
          </w:tcPr>
          <w:p w14:paraId="075C2BBF">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本项目不收取投标保证金。</w:t>
            </w:r>
          </w:p>
        </w:tc>
      </w:tr>
      <w:tr w14:paraId="54BA1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CF77BBA">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2566" w:type="dxa"/>
            <w:tcBorders>
              <w:top w:val="single" w:color="auto" w:sz="4" w:space="0"/>
              <w:left w:val="single" w:color="auto" w:sz="4" w:space="0"/>
              <w:bottom w:val="single" w:color="auto" w:sz="4" w:space="0"/>
              <w:right w:val="single" w:color="auto" w:sz="4" w:space="0"/>
            </w:tcBorders>
            <w:vAlign w:val="center"/>
          </w:tcPr>
          <w:p w14:paraId="44E10F56">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投标文件编制要求</w:t>
            </w:r>
          </w:p>
        </w:tc>
        <w:tc>
          <w:tcPr>
            <w:tcW w:w="6999" w:type="dxa"/>
            <w:tcBorders>
              <w:top w:val="single" w:color="auto" w:sz="4" w:space="0"/>
              <w:left w:val="single" w:color="auto" w:sz="4" w:space="0"/>
              <w:bottom w:val="single" w:color="auto" w:sz="4" w:space="0"/>
              <w:right w:val="single" w:color="auto" w:sz="4" w:space="0"/>
            </w:tcBorders>
            <w:vAlign w:val="center"/>
          </w:tcPr>
          <w:p w14:paraId="317BCFE3">
            <w:pPr>
              <w:keepLines/>
              <w:pageBreakBefore w:val="0"/>
              <w:wordWrap w:val="0"/>
              <w:overflowPunct/>
              <w:topLinePunct w:val="0"/>
              <w:bidi w:val="0"/>
              <w:spacing w:line="360" w:lineRule="auto"/>
              <w:rPr>
                <w:rFonts w:ascii="宋体" w:hAnsi="宋体" w:cs="宋体"/>
                <w:b/>
                <w:color w:val="auto"/>
                <w:sz w:val="24"/>
                <w:highlight w:val="none"/>
                <w:u w:val="single"/>
              </w:rPr>
            </w:pPr>
            <w:r>
              <w:rPr>
                <w:rFonts w:hint="eastAsia" w:ascii="宋体" w:hAnsi="宋体" w:cs="宋体"/>
                <w:color w:val="auto"/>
                <w:sz w:val="24"/>
                <w:highlight w:val="none"/>
              </w:rPr>
              <w:t>投标文件应按报价文件、资格证明文件、商务文件、技术文件分别编制，报价文件、资格证明文件商务文件</w:t>
            </w:r>
            <w:r>
              <w:rPr>
                <w:rFonts w:hint="eastAsia" w:ascii="宋体" w:hAnsi="宋体" w:cs="宋体"/>
                <w:color w:val="auto"/>
                <w:sz w:val="24"/>
                <w:highlight w:val="none"/>
                <w:lang w:eastAsia="zh-CN"/>
              </w:rPr>
              <w:t>、</w:t>
            </w:r>
            <w:r>
              <w:rPr>
                <w:rFonts w:hint="eastAsia" w:ascii="宋体" w:hAnsi="宋体" w:cs="宋体"/>
                <w:color w:val="auto"/>
                <w:sz w:val="24"/>
                <w:highlight w:val="none"/>
              </w:rPr>
              <w:t>技术文件分别生产电子文件。</w:t>
            </w:r>
            <w:r>
              <w:rPr>
                <w:rFonts w:hint="eastAsia" w:ascii="宋体" w:hAnsi="宋体" w:cs="宋体"/>
                <w:b/>
                <w:color w:val="auto"/>
                <w:sz w:val="24"/>
                <w:highlight w:val="none"/>
                <w:u w:val="single"/>
              </w:rPr>
              <w:t>电子版投标文件制作方式见招标公告附件。</w:t>
            </w:r>
          </w:p>
        </w:tc>
      </w:tr>
      <w:tr w14:paraId="78912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D6BCCAC">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20</w:t>
            </w:r>
          </w:p>
        </w:tc>
        <w:tc>
          <w:tcPr>
            <w:tcW w:w="2566" w:type="dxa"/>
            <w:tcBorders>
              <w:top w:val="single" w:color="auto" w:sz="4" w:space="0"/>
              <w:left w:val="single" w:color="auto" w:sz="4" w:space="0"/>
              <w:bottom w:val="single" w:color="auto" w:sz="4" w:space="0"/>
              <w:right w:val="single" w:color="auto" w:sz="4" w:space="0"/>
            </w:tcBorders>
            <w:vAlign w:val="center"/>
          </w:tcPr>
          <w:p w14:paraId="3044B1EF">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备份投标文件</w:t>
            </w:r>
          </w:p>
        </w:tc>
        <w:tc>
          <w:tcPr>
            <w:tcW w:w="6999" w:type="dxa"/>
            <w:tcBorders>
              <w:top w:val="single" w:color="auto" w:sz="4" w:space="0"/>
              <w:left w:val="single" w:color="auto" w:sz="4" w:space="0"/>
              <w:bottom w:val="single" w:color="auto" w:sz="4" w:space="0"/>
              <w:right w:val="single" w:color="auto" w:sz="4" w:space="0"/>
            </w:tcBorders>
            <w:vAlign w:val="center"/>
          </w:tcPr>
          <w:p w14:paraId="2DFA72F9">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本项目不接受备份投标文件。</w:t>
            </w:r>
          </w:p>
        </w:tc>
      </w:tr>
      <w:tr w14:paraId="1C423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vAlign w:val="center"/>
          </w:tcPr>
          <w:p w14:paraId="7DFC8A3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21.1</w:t>
            </w:r>
          </w:p>
        </w:tc>
        <w:tc>
          <w:tcPr>
            <w:tcW w:w="2566" w:type="dxa"/>
            <w:tcBorders>
              <w:top w:val="single" w:color="auto" w:sz="4" w:space="0"/>
              <w:left w:val="single" w:color="auto" w:sz="4" w:space="0"/>
              <w:bottom w:val="single" w:color="auto" w:sz="4" w:space="0"/>
              <w:right w:val="single" w:color="auto" w:sz="4" w:space="0"/>
            </w:tcBorders>
            <w:vAlign w:val="center"/>
          </w:tcPr>
          <w:p w14:paraId="11AB9B2F">
            <w:pPr>
              <w:keepLines/>
              <w:pageBreakBefore w:val="0"/>
              <w:wordWrap w:val="0"/>
              <w:overflowPunct/>
              <w:topLinePunct w:val="0"/>
              <w:bidi w:val="0"/>
              <w:spacing w:line="360" w:lineRule="auto"/>
              <w:rPr>
                <w:rFonts w:ascii="宋体" w:hAnsi="宋体" w:cs="宋体"/>
                <w:color w:val="auto"/>
                <w:sz w:val="24"/>
                <w:highlight w:val="none"/>
              </w:rPr>
            </w:pPr>
            <w:bookmarkStart w:id="171" w:name="_21.1"/>
            <w:bookmarkEnd w:id="171"/>
            <w:r>
              <w:rPr>
                <w:rFonts w:hint="eastAsia" w:ascii="宋体" w:hAnsi="宋体" w:cs="宋体"/>
                <w:color w:val="auto"/>
                <w:sz w:val="24"/>
                <w:highlight w:val="none"/>
              </w:rPr>
              <w:t>投标截止时间</w:t>
            </w:r>
          </w:p>
        </w:tc>
        <w:tc>
          <w:tcPr>
            <w:tcW w:w="6999" w:type="dxa"/>
            <w:tcBorders>
              <w:top w:val="single" w:color="auto" w:sz="4" w:space="0"/>
              <w:left w:val="single" w:color="auto" w:sz="4" w:space="0"/>
              <w:bottom w:val="single" w:color="auto" w:sz="4" w:space="0"/>
              <w:right w:val="single" w:color="auto" w:sz="4" w:space="0"/>
            </w:tcBorders>
            <w:vAlign w:val="center"/>
          </w:tcPr>
          <w:p w14:paraId="2E79157E">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详见招标公告</w:t>
            </w:r>
          </w:p>
        </w:tc>
      </w:tr>
      <w:tr w14:paraId="7DB35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67A9E6EF">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1F8B140B">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投标文件提交起止时间</w:t>
            </w:r>
          </w:p>
        </w:tc>
        <w:tc>
          <w:tcPr>
            <w:tcW w:w="6999" w:type="dxa"/>
            <w:tcBorders>
              <w:top w:val="single" w:color="auto" w:sz="4" w:space="0"/>
              <w:left w:val="single" w:color="auto" w:sz="4" w:space="0"/>
              <w:bottom w:val="single" w:color="auto" w:sz="4" w:space="0"/>
              <w:right w:val="single" w:color="auto" w:sz="4" w:space="0"/>
            </w:tcBorders>
            <w:vAlign w:val="center"/>
          </w:tcPr>
          <w:p w14:paraId="381B4A64">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详见招标公告</w:t>
            </w:r>
          </w:p>
        </w:tc>
      </w:tr>
      <w:tr w14:paraId="0F5216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75353ACE">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6C43E1CE">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投标地点</w:t>
            </w:r>
          </w:p>
        </w:tc>
        <w:tc>
          <w:tcPr>
            <w:tcW w:w="6999" w:type="dxa"/>
            <w:tcBorders>
              <w:top w:val="single" w:color="auto" w:sz="4" w:space="0"/>
              <w:left w:val="single" w:color="auto" w:sz="4" w:space="0"/>
              <w:bottom w:val="single" w:color="auto" w:sz="4" w:space="0"/>
              <w:right w:val="single" w:color="auto" w:sz="4" w:space="0"/>
            </w:tcBorders>
            <w:vAlign w:val="center"/>
          </w:tcPr>
          <w:p w14:paraId="1AC3F6CF">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详见招标公告</w:t>
            </w:r>
          </w:p>
        </w:tc>
      </w:tr>
      <w:tr w14:paraId="73577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6CBFC724">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0BEA365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投标人递交投标样品截止时间及地点</w:t>
            </w:r>
          </w:p>
        </w:tc>
        <w:tc>
          <w:tcPr>
            <w:tcW w:w="6999" w:type="dxa"/>
            <w:tcBorders>
              <w:top w:val="single" w:color="auto" w:sz="4" w:space="0"/>
              <w:left w:val="single" w:color="auto" w:sz="4" w:space="0"/>
              <w:bottom w:val="single" w:color="auto" w:sz="4" w:space="0"/>
              <w:right w:val="single" w:color="auto" w:sz="4" w:space="0"/>
            </w:tcBorders>
            <w:vAlign w:val="center"/>
          </w:tcPr>
          <w:p w14:paraId="291912A4">
            <w:pPr>
              <w:keepLines/>
              <w:pageBreakBefore w:val="0"/>
              <w:wordWrap w:val="0"/>
              <w:overflowPunct/>
              <w:topLinePunct w:val="0"/>
              <w:bidi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时间：</w:t>
            </w:r>
            <w:r>
              <w:rPr>
                <w:rFonts w:hint="eastAsia" w:ascii="宋体" w:hAnsi="宋体" w:cs="宋体"/>
                <w:bCs/>
                <w:color w:val="auto"/>
                <w:sz w:val="24"/>
                <w:highlight w:val="none"/>
                <w:u w:val="single"/>
              </w:rPr>
              <w:t xml:space="preserve">    /年 /月 / 日 / 时  /分</w:t>
            </w:r>
            <w:r>
              <w:rPr>
                <w:rFonts w:hint="eastAsia" w:ascii="宋体" w:hAnsi="宋体" w:cs="宋体"/>
                <w:bCs/>
                <w:color w:val="auto"/>
                <w:sz w:val="24"/>
                <w:highlight w:val="none"/>
              </w:rPr>
              <w:t>（北京时间）</w:t>
            </w:r>
          </w:p>
          <w:p w14:paraId="1B255B17">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bCs/>
                <w:color w:val="auto"/>
                <w:sz w:val="24"/>
                <w:highlight w:val="none"/>
              </w:rPr>
              <w:t>地点：</w:t>
            </w:r>
            <w:r>
              <w:rPr>
                <w:rFonts w:hint="eastAsia" w:ascii="宋体" w:hAnsi="宋体" w:cs="宋体"/>
                <w:bCs/>
                <w:color w:val="auto"/>
                <w:sz w:val="24"/>
                <w:highlight w:val="none"/>
                <w:u w:val="single"/>
              </w:rPr>
              <w:t xml:space="preserve">        /                        </w:t>
            </w:r>
          </w:p>
        </w:tc>
      </w:tr>
      <w:tr w14:paraId="579292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8AF182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23</w:t>
            </w:r>
          </w:p>
        </w:tc>
        <w:tc>
          <w:tcPr>
            <w:tcW w:w="2566" w:type="dxa"/>
            <w:tcBorders>
              <w:top w:val="single" w:color="auto" w:sz="4" w:space="0"/>
              <w:left w:val="single" w:color="auto" w:sz="4" w:space="0"/>
              <w:bottom w:val="single" w:color="auto" w:sz="4" w:space="0"/>
              <w:right w:val="single" w:color="auto" w:sz="4" w:space="0"/>
            </w:tcBorders>
            <w:vAlign w:val="center"/>
          </w:tcPr>
          <w:p w14:paraId="6398C7C1">
            <w:pPr>
              <w:keepLines/>
              <w:pageBreakBefore w:val="0"/>
              <w:wordWrap w:val="0"/>
              <w:overflowPunct/>
              <w:topLinePunct w:val="0"/>
              <w:bidi w:val="0"/>
              <w:spacing w:line="360" w:lineRule="auto"/>
              <w:rPr>
                <w:rFonts w:ascii="宋体" w:hAnsi="宋体" w:cs="宋体"/>
                <w:color w:val="auto"/>
                <w:sz w:val="24"/>
                <w:highlight w:val="none"/>
              </w:rPr>
            </w:pPr>
            <w:bookmarkStart w:id="172" w:name="_23"/>
            <w:bookmarkEnd w:id="172"/>
            <w:r>
              <w:rPr>
                <w:rFonts w:hint="eastAsia" w:ascii="宋体" w:hAnsi="宋体" w:cs="宋体"/>
                <w:color w:val="auto"/>
                <w:sz w:val="24"/>
                <w:highlight w:val="none"/>
              </w:rPr>
              <w:t>开标时间、地点</w:t>
            </w:r>
          </w:p>
        </w:tc>
        <w:tc>
          <w:tcPr>
            <w:tcW w:w="6999" w:type="dxa"/>
            <w:tcBorders>
              <w:top w:val="single" w:color="auto" w:sz="4" w:space="0"/>
              <w:left w:val="single" w:color="auto" w:sz="4" w:space="0"/>
              <w:bottom w:val="single" w:color="auto" w:sz="4" w:space="0"/>
              <w:right w:val="single" w:color="auto" w:sz="4" w:space="0"/>
            </w:tcBorders>
            <w:vAlign w:val="center"/>
          </w:tcPr>
          <w:p w14:paraId="158AD043">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详见招标公告 </w:t>
            </w:r>
          </w:p>
        </w:tc>
      </w:tr>
      <w:tr w14:paraId="6D071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39778022">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25.3（2）</w:t>
            </w:r>
          </w:p>
        </w:tc>
        <w:tc>
          <w:tcPr>
            <w:tcW w:w="2566" w:type="dxa"/>
            <w:tcBorders>
              <w:top w:val="single" w:color="auto" w:sz="4" w:space="0"/>
              <w:left w:val="single" w:color="auto" w:sz="4" w:space="0"/>
              <w:bottom w:val="single" w:color="auto" w:sz="4" w:space="0"/>
              <w:right w:val="single" w:color="auto" w:sz="4" w:space="0"/>
            </w:tcBorders>
            <w:vAlign w:val="center"/>
          </w:tcPr>
          <w:p w14:paraId="5EA9959F">
            <w:pPr>
              <w:keepLines/>
              <w:pageBreakBefore w:val="0"/>
              <w:wordWrap w:val="0"/>
              <w:overflowPunct/>
              <w:topLinePunct w:val="0"/>
              <w:bidi w:val="0"/>
              <w:spacing w:line="360" w:lineRule="auto"/>
              <w:rPr>
                <w:rFonts w:ascii="宋体" w:hAnsi="宋体" w:cs="宋体"/>
                <w:color w:val="auto"/>
                <w:sz w:val="24"/>
                <w:highlight w:val="none"/>
              </w:rPr>
            </w:pPr>
            <w:bookmarkStart w:id="173" w:name="_25.3"/>
            <w:bookmarkEnd w:id="173"/>
            <w:r>
              <w:rPr>
                <w:rFonts w:hint="eastAsia" w:ascii="宋体" w:hAnsi="宋体" w:cs="宋体"/>
                <w:color w:val="auto"/>
                <w:sz w:val="24"/>
                <w:highlight w:val="none"/>
              </w:rPr>
              <w:t>投标人信用查询渠道</w:t>
            </w:r>
          </w:p>
        </w:tc>
        <w:tc>
          <w:tcPr>
            <w:tcW w:w="6999" w:type="dxa"/>
            <w:tcBorders>
              <w:top w:val="single" w:color="auto" w:sz="4" w:space="0"/>
              <w:left w:val="single" w:color="auto" w:sz="4" w:space="0"/>
              <w:bottom w:val="single" w:color="auto" w:sz="4" w:space="0"/>
              <w:right w:val="single" w:color="auto" w:sz="4" w:space="0"/>
            </w:tcBorders>
            <w:vAlign w:val="center"/>
          </w:tcPr>
          <w:p w14:paraId="16BF1CE8">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采购人或者采购代理机构在资格审查结束前，对投标人进行信用查询。</w:t>
            </w:r>
          </w:p>
          <w:p w14:paraId="2300327D">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查询渠道：“信用中国”网站(www.creditchina.gov.cn) 、中国政府采购网(www.ccgp.gov.cn)。</w:t>
            </w:r>
          </w:p>
        </w:tc>
      </w:tr>
      <w:tr w14:paraId="77A4C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8AB995B">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54E07E23">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信用查询截止时点</w:t>
            </w:r>
          </w:p>
        </w:tc>
        <w:tc>
          <w:tcPr>
            <w:tcW w:w="6999" w:type="dxa"/>
            <w:tcBorders>
              <w:top w:val="single" w:color="auto" w:sz="4" w:space="0"/>
              <w:left w:val="single" w:color="auto" w:sz="4" w:space="0"/>
              <w:bottom w:val="single" w:color="auto" w:sz="4" w:space="0"/>
              <w:right w:val="single" w:color="auto" w:sz="4" w:space="0"/>
            </w:tcBorders>
            <w:vAlign w:val="center"/>
          </w:tcPr>
          <w:p w14:paraId="6E80E599">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资格审查结束前</w:t>
            </w:r>
          </w:p>
        </w:tc>
      </w:tr>
      <w:tr w14:paraId="2ADB3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0C5E7781">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0FDA7BF8">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查询记录和证据留存方式</w:t>
            </w:r>
          </w:p>
        </w:tc>
        <w:tc>
          <w:tcPr>
            <w:tcW w:w="6999" w:type="dxa"/>
            <w:tcBorders>
              <w:top w:val="single" w:color="auto" w:sz="4" w:space="0"/>
              <w:left w:val="single" w:color="auto" w:sz="4" w:space="0"/>
              <w:bottom w:val="single" w:color="auto" w:sz="4" w:space="0"/>
              <w:right w:val="single" w:color="auto" w:sz="4" w:space="0"/>
            </w:tcBorders>
            <w:vAlign w:val="center"/>
          </w:tcPr>
          <w:p w14:paraId="130D6EEB">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在查询网站中直接截图查询记录，截图作为在广西政府采购云平台作为附件上传保存。</w:t>
            </w:r>
          </w:p>
        </w:tc>
      </w:tr>
      <w:tr w14:paraId="50820D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6248A1DC">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35CDC17E">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信用信息使用规则</w:t>
            </w:r>
          </w:p>
        </w:tc>
        <w:tc>
          <w:tcPr>
            <w:tcW w:w="6999" w:type="dxa"/>
            <w:tcBorders>
              <w:top w:val="single" w:color="auto" w:sz="4" w:space="0"/>
              <w:left w:val="single" w:color="auto" w:sz="4" w:space="0"/>
              <w:bottom w:val="single" w:color="auto" w:sz="4" w:space="0"/>
              <w:right w:val="single" w:color="auto" w:sz="4" w:space="0"/>
            </w:tcBorders>
            <w:vAlign w:val="center"/>
          </w:tcPr>
          <w:p w14:paraId="79A63146">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对在“信用中国”网站(www.creditchina.gov.cn) 、中国政府采购网(www.ccgp.gov.cn)被列入失信被执行人、</w:t>
            </w:r>
            <w:r>
              <w:rPr>
                <w:rFonts w:hint="eastAsia" w:ascii="宋体" w:hAnsi="宋体" w:cs="宋体"/>
                <w:color w:val="auto"/>
                <w:sz w:val="24"/>
                <w:highlight w:val="none"/>
                <w:lang w:eastAsia="zh-CN"/>
              </w:rPr>
              <w:t>重大税收违法失信主体</w:t>
            </w:r>
            <w:r>
              <w:rPr>
                <w:rFonts w:hint="eastAsia" w:ascii="宋体" w:hAnsi="宋体" w:cs="宋体"/>
                <w:color w:val="auto"/>
                <w:sz w:val="24"/>
                <w:highlight w:val="none"/>
              </w:rPr>
              <w:t>、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DAFE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1F84CEB">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29.1</w:t>
            </w:r>
          </w:p>
        </w:tc>
        <w:tc>
          <w:tcPr>
            <w:tcW w:w="2566" w:type="dxa"/>
            <w:tcBorders>
              <w:top w:val="single" w:color="auto" w:sz="4" w:space="0"/>
              <w:left w:val="single" w:color="auto" w:sz="4" w:space="0"/>
              <w:bottom w:val="single" w:color="auto" w:sz="4" w:space="0"/>
              <w:right w:val="single" w:color="auto" w:sz="4" w:space="0"/>
            </w:tcBorders>
            <w:vAlign w:val="center"/>
          </w:tcPr>
          <w:p w14:paraId="1480D499">
            <w:pPr>
              <w:keepLines/>
              <w:pageBreakBefore w:val="0"/>
              <w:wordWrap w:val="0"/>
              <w:overflowPunct/>
              <w:topLinePunct w:val="0"/>
              <w:bidi w:val="0"/>
              <w:spacing w:line="360" w:lineRule="auto"/>
              <w:rPr>
                <w:rFonts w:ascii="宋体" w:hAnsi="宋体" w:cs="宋体"/>
                <w:color w:val="auto"/>
                <w:sz w:val="24"/>
                <w:highlight w:val="none"/>
              </w:rPr>
            </w:pPr>
            <w:bookmarkStart w:id="174" w:name="_28.3"/>
            <w:bookmarkEnd w:id="174"/>
            <w:bookmarkStart w:id="175" w:name="_26"/>
            <w:bookmarkEnd w:id="175"/>
            <w:r>
              <w:rPr>
                <w:rFonts w:hint="eastAsia" w:ascii="宋体" w:hAnsi="宋体" w:cs="宋体"/>
                <w:color w:val="auto"/>
                <w:sz w:val="24"/>
                <w:highlight w:val="none"/>
              </w:rPr>
              <w:t>评标方法</w:t>
            </w:r>
          </w:p>
        </w:tc>
        <w:tc>
          <w:tcPr>
            <w:tcW w:w="6999" w:type="dxa"/>
            <w:tcBorders>
              <w:top w:val="single" w:color="auto" w:sz="4" w:space="0"/>
              <w:left w:val="single" w:color="auto" w:sz="4" w:space="0"/>
              <w:bottom w:val="single" w:color="auto" w:sz="4" w:space="0"/>
              <w:right w:val="single" w:color="auto" w:sz="4" w:space="0"/>
            </w:tcBorders>
            <w:vAlign w:val="center"/>
          </w:tcPr>
          <w:p w14:paraId="4FE26408">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☑综合评分法</w:t>
            </w:r>
          </w:p>
          <w:p w14:paraId="503AB237">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□最低评标价法</w:t>
            </w:r>
          </w:p>
        </w:tc>
      </w:tr>
      <w:tr w14:paraId="2CB685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vAlign w:val="center"/>
          </w:tcPr>
          <w:p w14:paraId="45F692D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29.2</w:t>
            </w:r>
          </w:p>
        </w:tc>
        <w:tc>
          <w:tcPr>
            <w:tcW w:w="2566" w:type="dxa"/>
            <w:tcBorders>
              <w:top w:val="single" w:color="auto" w:sz="4" w:space="0"/>
              <w:left w:val="single" w:color="auto" w:sz="4" w:space="0"/>
              <w:bottom w:val="nil"/>
              <w:right w:val="single" w:color="auto" w:sz="4" w:space="0"/>
            </w:tcBorders>
            <w:vAlign w:val="center"/>
          </w:tcPr>
          <w:p w14:paraId="6BB3ED96">
            <w:pPr>
              <w:keepLines/>
              <w:pageBreakBefore w:val="0"/>
              <w:wordWrap w:val="0"/>
              <w:overflowPunct/>
              <w:topLinePunct w:val="0"/>
              <w:bidi w:val="0"/>
              <w:spacing w:line="360" w:lineRule="auto"/>
              <w:rPr>
                <w:rFonts w:ascii="宋体" w:hAnsi="宋体" w:cs="宋体"/>
                <w:color w:val="auto"/>
                <w:sz w:val="24"/>
                <w:highlight w:val="none"/>
              </w:rPr>
            </w:pPr>
            <w:bookmarkStart w:id="176" w:name="_29.2.2（2）"/>
            <w:bookmarkEnd w:id="176"/>
            <w:r>
              <w:rPr>
                <w:rFonts w:hint="eastAsia" w:ascii="宋体" w:hAnsi="宋体" w:cs="宋体"/>
                <w:color w:val="auto"/>
                <w:sz w:val="24"/>
                <w:highlight w:val="none"/>
              </w:rPr>
              <w:t>允许负偏离项</w:t>
            </w:r>
          </w:p>
        </w:tc>
        <w:tc>
          <w:tcPr>
            <w:tcW w:w="6999" w:type="dxa"/>
            <w:tcBorders>
              <w:top w:val="single" w:color="auto" w:sz="4" w:space="0"/>
              <w:left w:val="single" w:color="auto" w:sz="4" w:space="0"/>
              <w:bottom w:val="nil"/>
              <w:right w:val="single" w:color="auto" w:sz="4" w:space="0"/>
            </w:tcBorders>
            <w:vAlign w:val="center"/>
          </w:tcPr>
          <w:p w14:paraId="44540CAB">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商务条款评审中允许负偏离的条款数为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w:t>
            </w:r>
          </w:p>
          <w:p w14:paraId="4227EC0F">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技术需求评审中允许负偏离的条款数为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w:t>
            </w:r>
          </w:p>
        </w:tc>
      </w:tr>
      <w:tr w14:paraId="115908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61AE84E">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30.1</w:t>
            </w:r>
          </w:p>
        </w:tc>
        <w:tc>
          <w:tcPr>
            <w:tcW w:w="2566" w:type="dxa"/>
            <w:tcBorders>
              <w:top w:val="single" w:color="auto" w:sz="4" w:space="0"/>
              <w:left w:val="single" w:color="auto" w:sz="4" w:space="0"/>
              <w:bottom w:val="single" w:color="auto" w:sz="4" w:space="0"/>
              <w:right w:val="single" w:color="auto" w:sz="4" w:space="0"/>
            </w:tcBorders>
            <w:vAlign w:val="center"/>
          </w:tcPr>
          <w:p w14:paraId="762C37D3">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 xml:space="preserve">确定中标供应商时，出现中标候选人分数并列的情形，确定中标供应商方式 </w:t>
            </w:r>
          </w:p>
        </w:tc>
        <w:tc>
          <w:tcPr>
            <w:tcW w:w="6999" w:type="dxa"/>
            <w:tcBorders>
              <w:top w:val="single" w:color="auto" w:sz="4" w:space="0"/>
              <w:left w:val="single" w:color="auto" w:sz="4" w:space="0"/>
              <w:bottom w:val="single" w:color="auto" w:sz="4" w:space="0"/>
              <w:right w:val="single" w:color="auto" w:sz="4" w:space="0"/>
            </w:tcBorders>
            <w:vAlign w:val="center"/>
          </w:tcPr>
          <w:p w14:paraId="4BED5D95">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 xml:space="preserve">□采用最低评标价法的，投标文件满足招标文件全部实质性要求且投标报价最低的投标人为排名第一的中标候选人； </w:t>
            </w:r>
          </w:p>
          <w:p w14:paraId="43975194">
            <w:pPr>
              <w:keepLines/>
              <w:pageBreakBefore w:val="0"/>
              <w:wordWrap w:val="0"/>
              <w:overflowPunct/>
              <w:topLinePunct w:val="0"/>
              <w:autoSpaceDE w:val="0"/>
              <w:autoSpaceDN w:val="0"/>
              <w:bidi w:val="0"/>
              <w:snapToGrid w:val="0"/>
              <w:spacing w:line="360" w:lineRule="auto"/>
              <w:textAlignment w:val="bottom"/>
              <w:rPr>
                <w:rFonts w:ascii="宋体" w:hAnsi="宋体" w:cs="宋体"/>
                <w:b/>
                <w:color w:val="auto"/>
                <w:sz w:val="24"/>
                <w:highlight w:val="none"/>
              </w:rPr>
            </w:pPr>
            <w:r>
              <w:rPr>
                <w:rFonts w:hint="eastAsia" w:ascii="宋体" w:hAnsi="宋体" w:cs="宋体"/>
                <w:color w:val="auto"/>
                <w:sz w:val="24"/>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79F961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4C6CBF0B">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35</w:t>
            </w:r>
          </w:p>
        </w:tc>
        <w:tc>
          <w:tcPr>
            <w:tcW w:w="2566" w:type="dxa"/>
            <w:tcBorders>
              <w:top w:val="single" w:color="auto" w:sz="4" w:space="0"/>
              <w:left w:val="single" w:color="auto" w:sz="4" w:space="0"/>
              <w:bottom w:val="single" w:color="auto" w:sz="4" w:space="0"/>
              <w:right w:val="single" w:color="auto" w:sz="4" w:space="0"/>
            </w:tcBorders>
            <w:vAlign w:val="center"/>
          </w:tcPr>
          <w:p w14:paraId="4491E05E">
            <w:pPr>
              <w:keepLines/>
              <w:pageBreakBefore w:val="0"/>
              <w:wordWrap w:val="0"/>
              <w:overflowPunct/>
              <w:topLinePunct w:val="0"/>
              <w:bidi w:val="0"/>
              <w:spacing w:line="360" w:lineRule="auto"/>
              <w:rPr>
                <w:rFonts w:ascii="宋体" w:hAnsi="宋体" w:cs="宋体"/>
                <w:color w:val="auto"/>
                <w:sz w:val="24"/>
                <w:highlight w:val="none"/>
              </w:rPr>
            </w:pPr>
            <w:bookmarkStart w:id="177" w:name="_39.1"/>
            <w:bookmarkEnd w:id="177"/>
            <w:r>
              <w:rPr>
                <w:rFonts w:hint="eastAsia" w:ascii="宋体" w:hAnsi="宋体" w:cs="宋体"/>
                <w:color w:val="auto"/>
                <w:sz w:val="24"/>
                <w:highlight w:val="none"/>
              </w:rPr>
              <w:t>履约保证金金额</w:t>
            </w:r>
          </w:p>
        </w:tc>
        <w:tc>
          <w:tcPr>
            <w:tcW w:w="6999" w:type="dxa"/>
            <w:tcBorders>
              <w:top w:val="single" w:color="auto" w:sz="4" w:space="0"/>
              <w:left w:val="single" w:color="auto" w:sz="4" w:space="0"/>
              <w:bottom w:val="single" w:color="auto" w:sz="4" w:space="0"/>
              <w:right w:val="single" w:color="auto" w:sz="4" w:space="0"/>
            </w:tcBorders>
            <w:vAlign w:val="bottom"/>
          </w:tcPr>
          <w:p w14:paraId="638804B2">
            <w:pPr>
              <w:keepLines/>
              <w:pageBreakBefore w:val="0"/>
              <w:wordWrap w:val="0"/>
              <w:overflowPunct/>
              <w:topLinePunct w:val="0"/>
              <w:autoSpaceDE w:val="0"/>
              <w:autoSpaceDN w:val="0"/>
              <w:bidi w:val="0"/>
              <w:snapToGrid w:val="0"/>
              <w:spacing w:line="360" w:lineRule="auto"/>
              <w:jc w:val="left"/>
              <w:textAlignment w:val="bottom"/>
              <w:rPr>
                <w:rFonts w:ascii="宋体" w:hAnsi="宋体" w:cs="宋体"/>
                <w:color w:val="auto"/>
                <w:sz w:val="24"/>
                <w:highlight w:val="none"/>
              </w:rPr>
            </w:pPr>
            <w:r>
              <w:rPr>
                <w:rFonts w:hint="eastAsia" w:ascii="宋体" w:hAnsi="宋体" w:cs="宋体"/>
                <w:color w:val="auto"/>
                <w:sz w:val="24"/>
                <w:highlight w:val="none"/>
              </w:rPr>
              <w:t>本项目不收取履约保证金。</w:t>
            </w:r>
          </w:p>
        </w:tc>
      </w:tr>
      <w:tr w14:paraId="5565AC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B1B0B21">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36.1</w:t>
            </w:r>
          </w:p>
        </w:tc>
        <w:tc>
          <w:tcPr>
            <w:tcW w:w="2566" w:type="dxa"/>
            <w:tcBorders>
              <w:top w:val="single" w:color="auto" w:sz="4" w:space="0"/>
              <w:left w:val="single" w:color="auto" w:sz="4" w:space="0"/>
              <w:bottom w:val="single" w:color="auto" w:sz="4" w:space="0"/>
              <w:right w:val="single" w:color="auto" w:sz="4" w:space="0"/>
            </w:tcBorders>
            <w:vAlign w:val="center"/>
          </w:tcPr>
          <w:p w14:paraId="28A0725D">
            <w:pPr>
              <w:keepLines/>
              <w:pageBreakBefore w:val="0"/>
              <w:wordWrap w:val="0"/>
              <w:overflowPunct/>
              <w:topLinePunct w:val="0"/>
              <w:bidi w:val="0"/>
              <w:spacing w:line="360" w:lineRule="auto"/>
              <w:rPr>
                <w:rFonts w:ascii="宋体" w:hAnsi="宋体" w:cs="宋体"/>
                <w:color w:val="auto"/>
                <w:sz w:val="24"/>
                <w:highlight w:val="none"/>
              </w:rPr>
            </w:pPr>
            <w:bookmarkStart w:id="178" w:name="_40.1"/>
            <w:bookmarkEnd w:id="178"/>
            <w:r>
              <w:rPr>
                <w:rFonts w:hint="eastAsia" w:ascii="宋体" w:hAnsi="宋体" w:cs="宋体"/>
                <w:color w:val="auto"/>
                <w:sz w:val="24"/>
                <w:highlight w:val="none"/>
              </w:rPr>
              <w:t>签订电子合同携带的材料</w:t>
            </w:r>
          </w:p>
        </w:tc>
        <w:tc>
          <w:tcPr>
            <w:tcW w:w="6999" w:type="dxa"/>
            <w:tcBorders>
              <w:top w:val="single" w:color="auto" w:sz="4" w:space="0"/>
              <w:left w:val="single" w:color="auto" w:sz="4" w:space="0"/>
              <w:bottom w:val="single" w:color="auto" w:sz="4" w:space="0"/>
              <w:right w:val="single" w:color="auto" w:sz="4" w:space="0"/>
            </w:tcBorders>
            <w:vAlign w:val="center"/>
          </w:tcPr>
          <w:p w14:paraId="49D7BC49">
            <w:pPr>
              <w:keepLines/>
              <w:pageBreakBefore w:val="0"/>
              <w:wordWrap w:val="0"/>
              <w:overflowPunct/>
              <w:topLinePunct w:val="0"/>
              <w:autoSpaceDE w:val="0"/>
              <w:autoSpaceDN w:val="0"/>
              <w:bidi w:val="0"/>
              <w:snapToGrid w:val="0"/>
              <w:spacing w:line="360" w:lineRule="auto"/>
              <w:textAlignment w:val="bottom"/>
              <w:rPr>
                <w:rFonts w:ascii="宋体" w:hAnsi="宋体" w:cs="宋体"/>
                <w:color w:val="auto"/>
                <w:sz w:val="24"/>
                <w:highlight w:val="none"/>
              </w:rPr>
            </w:pPr>
            <w:r>
              <w:rPr>
                <w:rFonts w:hint="eastAsia" w:ascii="宋体" w:hAnsi="宋体" w:cs="宋体"/>
                <w:color w:val="auto"/>
                <w:sz w:val="24"/>
                <w:highlight w:val="none"/>
              </w:rPr>
              <w:t>电子采购合同需要供应商通过有效CA证书进行电子签署</w:t>
            </w:r>
          </w:p>
        </w:tc>
      </w:tr>
      <w:tr w14:paraId="71FC6C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14E63618">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38.2.1</w:t>
            </w:r>
          </w:p>
        </w:tc>
        <w:tc>
          <w:tcPr>
            <w:tcW w:w="2566" w:type="dxa"/>
            <w:tcBorders>
              <w:top w:val="single" w:color="auto" w:sz="4" w:space="0"/>
              <w:left w:val="single" w:color="auto" w:sz="4" w:space="0"/>
              <w:bottom w:val="single" w:color="auto" w:sz="4" w:space="0"/>
              <w:right w:val="single" w:color="auto" w:sz="4" w:space="0"/>
            </w:tcBorders>
            <w:vAlign w:val="center"/>
          </w:tcPr>
          <w:p w14:paraId="2EE05EA7">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接收质疑函方式</w:t>
            </w:r>
          </w:p>
        </w:tc>
        <w:tc>
          <w:tcPr>
            <w:tcW w:w="6999" w:type="dxa"/>
            <w:tcBorders>
              <w:top w:val="single" w:color="auto" w:sz="4" w:space="0"/>
              <w:left w:val="single" w:color="auto" w:sz="4" w:space="0"/>
              <w:bottom w:val="single" w:color="auto" w:sz="4" w:space="0"/>
              <w:right w:val="single" w:color="auto" w:sz="4" w:space="0"/>
            </w:tcBorders>
            <w:vAlign w:val="center"/>
          </w:tcPr>
          <w:p w14:paraId="12ADB6C1">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以书面形式</w:t>
            </w:r>
          </w:p>
        </w:tc>
      </w:tr>
      <w:tr w14:paraId="6B8FA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879012E">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42E4EB85">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质疑联系部门及联系方式</w:t>
            </w:r>
          </w:p>
        </w:tc>
        <w:tc>
          <w:tcPr>
            <w:tcW w:w="6999" w:type="dxa"/>
            <w:tcBorders>
              <w:top w:val="single" w:color="auto" w:sz="4" w:space="0"/>
              <w:left w:val="single" w:color="auto" w:sz="4" w:space="0"/>
              <w:bottom w:val="single" w:color="auto" w:sz="4" w:space="0"/>
              <w:right w:val="single" w:color="auto" w:sz="4" w:space="0"/>
            </w:tcBorders>
            <w:vAlign w:val="center"/>
          </w:tcPr>
          <w:p w14:paraId="5570BDB5">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u w:val="single"/>
              </w:rPr>
              <w:t>（1）</w:t>
            </w:r>
            <w:bookmarkStart w:id="179" w:name="PO_3000001866_PM031_3"/>
            <w:r>
              <w:rPr>
                <w:rFonts w:hint="eastAsia" w:ascii="宋体" w:hAnsi="宋体" w:cs="宋体"/>
                <w:color w:val="auto"/>
                <w:sz w:val="24"/>
                <w:highlight w:val="none"/>
                <w:u w:val="single"/>
              </w:rPr>
              <w:t>广西邕政采购代理有限公司</w:t>
            </w:r>
            <w:bookmarkEnd w:id="179"/>
            <w:r>
              <w:rPr>
                <w:rFonts w:hint="eastAsia" w:ascii="宋体" w:hAnsi="宋体" w:cs="宋体"/>
                <w:color w:val="auto"/>
                <w:sz w:val="24"/>
                <w:highlight w:val="none"/>
                <w:u w:val="single"/>
              </w:rPr>
              <w:t>；</w:t>
            </w:r>
          </w:p>
          <w:p w14:paraId="59FE19EC">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u w:val="single"/>
              </w:rPr>
              <w:t>联系电话：0771-2225338，</w:t>
            </w:r>
          </w:p>
          <w:p w14:paraId="74421D7D">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u w:val="single"/>
              </w:rPr>
              <w:t>通讯地址：南宁市青秀区民族大道180号（</w:t>
            </w:r>
            <w:r>
              <w:rPr>
                <w:rFonts w:hint="eastAsia" w:ascii="宋体" w:hAnsi="宋体" w:cs="宋体"/>
                <w:color w:val="auto"/>
                <w:sz w:val="24"/>
                <w:highlight w:val="none"/>
                <w:u w:val="single"/>
                <w:lang w:eastAsia="zh-CN"/>
              </w:rPr>
              <w:t>威壮大厦</w:t>
            </w:r>
            <w:r>
              <w:rPr>
                <w:rFonts w:hint="eastAsia" w:ascii="宋体" w:hAnsi="宋体" w:cs="宋体"/>
                <w:color w:val="auto"/>
                <w:sz w:val="24"/>
                <w:highlight w:val="none"/>
                <w:u w:val="single"/>
              </w:rPr>
              <w:t xml:space="preserve">）22层2210～2217室 </w:t>
            </w:r>
          </w:p>
          <w:p w14:paraId="42E0EE97">
            <w:pPr>
              <w:keepLines/>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u w:val="single"/>
              </w:rPr>
              <w:t>（2）</w:t>
            </w:r>
            <w:r>
              <w:rPr>
                <w:rFonts w:hint="eastAsia" w:ascii="宋体" w:hAnsi="宋体" w:cs="宋体"/>
                <w:color w:val="auto"/>
                <w:sz w:val="24"/>
                <w:highlight w:val="none"/>
                <w:u w:val="single"/>
                <w:lang w:eastAsia="zh-CN"/>
              </w:rPr>
              <w:t>南宁市绿化工程管理中心</w:t>
            </w:r>
            <w:r>
              <w:rPr>
                <w:rFonts w:hint="eastAsia" w:ascii="宋体" w:hAnsi="宋体" w:cs="宋体"/>
                <w:color w:val="auto"/>
                <w:sz w:val="24"/>
                <w:highlight w:val="none"/>
                <w:u w:val="single"/>
              </w:rPr>
              <w:t>；</w:t>
            </w:r>
          </w:p>
          <w:p w14:paraId="773A537A">
            <w:pPr>
              <w:keepLines/>
              <w:pageBreakBefore w:val="0"/>
              <w:wordWrap w:val="0"/>
              <w:overflowPunct/>
              <w:topLinePunct w:val="0"/>
              <w:bidi w:val="0"/>
              <w:snapToGrid w:val="0"/>
              <w:spacing w:line="360" w:lineRule="auto"/>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u w:val="single"/>
              </w:rPr>
              <w:t>联系电话：</w:t>
            </w:r>
            <w:r>
              <w:rPr>
                <w:rFonts w:hint="eastAsia" w:ascii="宋体" w:hAnsi="宋体" w:cs="宋体"/>
                <w:color w:val="auto"/>
                <w:sz w:val="24"/>
                <w:highlight w:val="none"/>
                <w:u w:val="single"/>
                <w:lang w:val="en-US" w:eastAsia="zh-CN"/>
              </w:rPr>
              <w:t xml:space="preserve">0771-2432524 </w:t>
            </w:r>
          </w:p>
          <w:p w14:paraId="4EF087E1">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u w:val="single"/>
              </w:rPr>
              <w:t>通讯地址：</w:t>
            </w:r>
            <w:r>
              <w:rPr>
                <w:rFonts w:hint="eastAsia" w:ascii="宋体" w:hAnsi="宋体" w:cs="Arial"/>
                <w:bCs/>
                <w:color w:val="auto"/>
                <w:kern w:val="0"/>
                <w:sz w:val="24"/>
                <w:highlight w:val="none"/>
                <w:u w:val="single"/>
                <w:lang w:eastAsia="zh-CN"/>
              </w:rPr>
              <w:t>南宁市兴宁区济南路21号</w:t>
            </w:r>
            <w:r>
              <w:rPr>
                <w:rFonts w:hint="eastAsia" w:ascii="宋体" w:hAnsi="宋体" w:cs="宋体"/>
                <w:color w:val="auto"/>
                <w:sz w:val="24"/>
                <w:highlight w:val="none"/>
              </w:rPr>
              <w:t xml:space="preserve"> </w:t>
            </w:r>
          </w:p>
        </w:tc>
      </w:tr>
      <w:tr w14:paraId="3C14D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BC97334">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38487CAD">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现场提交质疑办理业务时间</w:t>
            </w:r>
          </w:p>
        </w:tc>
        <w:tc>
          <w:tcPr>
            <w:tcW w:w="6999" w:type="dxa"/>
            <w:tcBorders>
              <w:top w:val="single" w:color="auto" w:sz="4" w:space="0"/>
              <w:left w:val="single" w:color="auto" w:sz="4" w:space="0"/>
              <w:bottom w:val="single" w:color="auto" w:sz="4" w:space="0"/>
              <w:right w:val="single" w:color="auto" w:sz="4" w:space="0"/>
            </w:tcBorders>
            <w:vAlign w:val="center"/>
          </w:tcPr>
          <w:p w14:paraId="1140BDD2">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质疑期内每个工作日</w:t>
            </w:r>
            <w:r>
              <w:rPr>
                <w:rFonts w:hint="eastAsia" w:ascii="宋体" w:hAnsi="宋体" w:cs="宋体"/>
                <w:color w:val="auto"/>
                <w:sz w:val="24"/>
                <w:highlight w:val="none"/>
                <w:u w:val="single"/>
              </w:rPr>
              <w:t xml:space="preserve"> :09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30 </w:t>
            </w:r>
            <w:r>
              <w:rPr>
                <w:rFonts w:hint="eastAsia" w:ascii="宋体" w:hAnsi="宋体" w:cs="宋体"/>
                <w:color w:val="auto"/>
                <w:sz w:val="24"/>
                <w:highlight w:val="none"/>
              </w:rPr>
              <w:t>分到</w:t>
            </w:r>
            <w:r>
              <w:rPr>
                <w:rFonts w:hint="eastAsia" w:ascii="宋体" w:hAnsi="宋体" w:cs="宋体"/>
                <w:color w:val="auto"/>
                <w:sz w:val="24"/>
                <w:highlight w:val="none"/>
                <w:u w:val="single"/>
              </w:rPr>
              <w:t xml:space="preserve"> 12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00 </w:t>
            </w:r>
            <w:r>
              <w:rPr>
                <w:rFonts w:hint="eastAsia" w:ascii="宋体" w:hAnsi="宋体" w:cs="宋体"/>
                <w:color w:val="auto"/>
                <w:sz w:val="24"/>
                <w:highlight w:val="none"/>
              </w:rPr>
              <w:t>分，</w:t>
            </w:r>
            <w:r>
              <w:rPr>
                <w:rFonts w:hint="eastAsia" w:ascii="宋体" w:hAnsi="宋体" w:cs="宋体"/>
                <w:color w:val="auto"/>
                <w:sz w:val="24"/>
                <w:highlight w:val="none"/>
                <w:u w:val="single"/>
              </w:rPr>
              <w:t xml:space="preserve"> 15</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 00 </w:t>
            </w:r>
            <w:r>
              <w:rPr>
                <w:rFonts w:hint="eastAsia" w:ascii="宋体" w:hAnsi="宋体" w:cs="宋体"/>
                <w:color w:val="auto"/>
                <w:sz w:val="24"/>
                <w:highlight w:val="none"/>
              </w:rPr>
              <w:t>分到</w:t>
            </w:r>
            <w:r>
              <w:rPr>
                <w:rFonts w:hint="eastAsia" w:ascii="宋体" w:hAnsi="宋体" w:cs="宋体"/>
                <w:color w:val="auto"/>
                <w:sz w:val="24"/>
                <w:highlight w:val="none"/>
                <w:u w:val="single"/>
              </w:rPr>
              <w:t xml:space="preserve"> 18 </w:t>
            </w:r>
            <w:r>
              <w:rPr>
                <w:rFonts w:hint="eastAsia" w:ascii="宋体" w:hAnsi="宋体" w:cs="宋体"/>
                <w:color w:val="auto"/>
                <w:sz w:val="24"/>
                <w:highlight w:val="none"/>
              </w:rPr>
              <w:t>时</w:t>
            </w:r>
            <w:r>
              <w:rPr>
                <w:rFonts w:hint="eastAsia" w:ascii="宋体" w:hAnsi="宋体" w:cs="宋体"/>
                <w:color w:val="auto"/>
                <w:sz w:val="24"/>
                <w:highlight w:val="none"/>
                <w:u w:val="single"/>
              </w:rPr>
              <w:t xml:space="preserve">00 </w:t>
            </w:r>
            <w:r>
              <w:rPr>
                <w:rFonts w:hint="eastAsia" w:ascii="宋体" w:hAnsi="宋体" w:cs="宋体"/>
                <w:color w:val="auto"/>
                <w:sz w:val="24"/>
                <w:highlight w:val="none"/>
              </w:rPr>
              <w:t>分</w:t>
            </w:r>
          </w:p>
        </w:tc>
      </w:tr>
      <w:tr w14:paraId="767DE2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vAlign w:val="center"/>
          </w:tcPr>
          <w:p w14:paraId="020668CF">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38.3.1</w:t>
            </w:r>
          </w:p>
        </w:tc>
        <w:tc>
          <w:tcPr>
            <w:tcW w:w="2566" w:type="dxa"/>
            <w:tcBorders>
              <w:top w:val="single" w:color="auto" w:sz="4" w:space="0"/>
              <w:left w:val="single" w:color="auto" w:sz="4" w:space="0"/>
              <w:bottom w:val="single" w:color="auto" w:sz="4" w:space="0"/>
              <w:right w:val="single" w:color="auto" w:sz="4" w:space="0"/>
            </w:tcBorders>
            <w:vAlign w:val="center"/>
          </w:tcPr>
          <w:p w14:paraId="253E2E3D">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投诉受理方式</w:t>
            </w:r>
          </w:p>
        </w:tc>
        <w:tc>
          <w:tcPr>
            <w:tcW w:w="6999" w:type="dxa"/>
            <w:tcBorders>
              <w:top w:val="single" w:color="auto" w:sz="4" w:space="0"/>
              <w:left w:val="single" w:color="auto" w:sz="4" w:space="0"/>
              <w:bottom w:val="single" w:color="auto" w:sz="4" w:space="0"/>
              <w:right w:val="single" w:color="auto" w:sz="4" w:space="0"/>
            </w:tcBorders>
            <w:vAlign w:val="center"/>
          </w:tcPr>
          <w:p w14:paraId="7E36F246">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1、受理方式：纸质方式受理，投诉书正、副本（经过质疑的事项才可投诉）。</w:t>
            </w:r>
          </w:p>
          <w:p w14:paraId="7B61135A">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2、邮寄地址：</w:t>
            </w:r>
          </w:p>
          <w:p w14:paraId="5A44A387">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名称：</w:t>
            </w:r>
            <w:bookmarkStart w:id="180" w:name="PO_3000001866_PM036"/>
            <w:r>
              <w:rPr>
                <w:rFonts w:hint="eastAsia" w:ascii="宋体" w:hAnsi="宋体" w:cs="宋体"/>
                <w:color w:val="auto"/>
                <w:sz w:val="24"/>
                <w:highlight w:val="none"/>
              </w:rPr>
              <w:t>南宁市财政局政府采购监督管理科</w:t>
            </w:r>
            <w:bookmarkEnd w:id="180"/>
          </w:p>
          <w:p w14:paraId="318D5372">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bookmarkStart w:id="181" w:name="PO_3000001866_PM039"/>
            <w:r>
              <w:rPr>
                <w:rFonts w:hint="eastAsia" w:ascii="宋体" w:hAnsi="宋体" w:cs="宋体"/>
                <w:color w:val="auto"/>
                <w:sz w:val="24"/>
                <w:highlight w:val="none"/>
              </w:rPr>
              <w:t xml:space="preserve">南宁市东葛路129号   </w:t>
            </w:r>
            <w:bookmarkEnd w:id="181"/>
          </w:p>
          <w:p w14:paraId="717BE1B1">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bookmarkStart w:id="182" w:name="PO_3000001866_PM038_1"/>
            <w:r>
              <w:rPr>
                <w:rFonts w:hint="eastAsia" w:ascii="宋体" w:hAnsi="宋体" w:cs="宋体"/>
                <w:color w:val="auto"/>
                <w:sz w:val="24"/>
                <w:highlight w:val="none"/>
              </w:rPr>
              <w:t>0771-2189091</w:t>
            </w:r>
            <w:bookmarkEnd w:id="182"/>
          </w:p>
        </w:tc>
      </w:tr>
      <w:tr w14:paraId="5EEB7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6DD6799E">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40</w:t>
            </w:r>
          </w:p>
        </w:tc>
        <w:tc>
          <w:tcPr>
            <w:tcW w:w="2566" w:type="dxa"/>
            <w:tcBorders>
              <w:top w:val="single" w:color="auto" w:sz="4" w:space="0"/>
              <w:left w:val="single" w:color="auto" w:sz="4" w:space="0"/>
              <w:bottom w:val="single" w:color="auto" w:sz="4" w:space="0"/>
              <w:right w:val="single" w:color="auto" w:sz="4" w:space="0"/>
            </w:tcBorders>
            <w:vAlign w:val="center"/>
          </w:tcPr>
          <w:p w14:paraId="0F16E436">
            <w:pPr>
              <w:keepLines/>
              <w:pageBreakBefore w:val="0"/>
              <w:wordWrap w:val="0"/>
              <w:overflowPunct/>
              <w:topLinePunct w:val="0"/>
              <w:bidi w:val="0"/>
              <w:spacing w:line="360" w:lineRule="auto"/>
              <w:rPr>
                <w:rFonts w:ascii="宋体" w:hAnsi="宋体" w:cs="宋体"/>
                <w:color w:val="auto"/>
                <w:sz w:val="24"/>
                <w:highlight w:val="none"/>
              </w:rPr>
            </w:pPr>
            <w:bookmarkStart w:id="183" w:name="_42"/>
            <w:bookmarkEnd w:id="183"/>
            <w:bookmarkStart w:id="184" w:name="_41"/>
            <w:bookmarkEnd w:id="184"/>
            <w:r>
              <w:rPr>
                <w:rFonts w:hint="eastAsia" w:ascii="宋体" w:hAnsi="宋体" w:cs="宋体"/>
                <w:color w:val="auto"/>
                <w:sz w:val="24"/>
                <w:highlight w:val="none"/>
              </w:rPr>
              <w:t>采购代理费支付方式</w:t>
            </w:r>
          </w:p>
        </w:tc>
        <w:tc>
          <w:tcPr>
            <w:tcW w:w="6999" w:type="dxa"/>
            <w:tcBorders>
              <w:top w:val="single" w:color="auto" w:sz="4" w:space="0"/>
              <w:left w:val="single" w:color="auto" w:sz="4" w:space="0"/>
              <w:bottom w:val="single" w:color="auto" w:sz="4" w:space="0"/>
              <w:right w:val="single" w:color="auto" w:sz="4" w:space="0"/>
            </w:tcBorders>
            <w:vAlign w:val="center"/>
          </w:tcPr>
          <w:p w14:paraId="0AA4497D">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☑本项目代理服务费由</w:t>
            </w:r>
            <w:r>
              <w:rPr>
                <w:rFonts w:hint="eastAsia" w:hAnsi="宋体" w:cs="宋体"/>
                <w:color w:val="auto"/>
                <w:sz w:val="24"/>
                <w:szCs w:val="24"/>
                <w:highlight w:val="none"/>
                <w:u w:val="single"/>
              </w:rPr>
              <w:t>中标供应商</w:t>
            </w:r>
            <w:r>
              <w:rPr>
                <w:rFonts w:hint="eastAsia" w:hAnsi="宋体" w:cs="宋体"/>
                <w:color w:val="auto"/>
                <w:sz w:val="24"/>
                <w:szCs w:val="24"/>
                <w:highlight w:val="none"/>
              </w:rPr>
              <w:t>在领取中标通知书时，一次性向采购代理机构支付。</w:t>
            </w:r>
          </w:p>
          <w:p w14:paraId="2A1D03B2">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□采购人支付。</w:t>
            </w:r>
          </w:p>
          <w:p w14:paraId="1041758B">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□本项目不收取代理服务费。</w:t>
            </w:r>
          </w:p>
        </w:tc>
      </w:tr>
      <w:tr w14:paraId="57149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B688C37">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3C35D129">
            <w:pPr>
              <w:keepLines/>
              <w:pageBreakBefore w:val="0"/>
              <w:wordWrap w:val="0"/>
              <w:overflowPunct/>
              <w:topLinePunct w:val="0"/>
              <w:bidi w:val="0"/>
              <w:spacing w:line="360" w:lineRule="auto"/>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采购代理费收取标准</w:t>
            </w:r>
          </w:p>
        </w:tc>
        <w:tc>
          <w:tcPr>
            <w:tcW w:w="6999" w:type="dxa"/>
            <w:tcBorders>
              <w:top w:val="single" w:color="auto" w:sz="4" w:space="0"/>
              <w:left w:val="single" w:color="auto" w:sz="4" w:space="0"/>
              <w:bottom w:val="single" w:color="auto" w:sz="4" w:space="0"/>
              <w:right w:val="single" w:color="auto" w:sz="4" w:space="0"/>
            </w:tcBorders>
            <w:vAlign w:val="center"/>
          </w:tcPr>
          <w:p w14:paraId="0A443C17">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1. 是否收取采购代理费：</w:t>
            </w:r>
          </w:p>
          <w:p w14:paraId="5C8F337B">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 是    □ 否</w:t>
            </w:r>
          </w:p>
          <w:p w14:paraId="1DEC7C66">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2.采购代理费支付方式：</w:t>
            </w:r>
          </w:p>
          <w:p w14:paraId="2A58EED9">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 本项目代理服务费由</w:t>
            </w:r>
            <w:r>
              <w:rPr>
                <w:rFonts w:hint="eastAsia" w:asciiTheme="minorEastAsia" w:hAnsiTheme="minorEastAsia" w:eastAsiaTheme="minorEastAsia" w:cstheme="minorEastAsia"/>
                <w:color w:val="auto"/>
                <w:kern w:val="0"/>
                <w:sz w:val="24"/>
                <w:highlight w:val="none"/>
                <w:u w:val="single"/>
                <w:lang w:bidi="ar"/>
              </w:rPr>
              <w:t>中标供应商</w:t>
            </w:r>
            <w:r>
              <w:rPr>
                <w:rFonts w:hint="eastAsia" w:asciiTheme="minorEastAsia" w:hAnsiTheme="minorEastAsia" w:eastAsiaTheme="minorEastAsia" w:cstheme="minorEastAsia"/>
                <w:color w:val="auto"/>
                <w:kern w:val="0"/>
                <w:sz w:val="24"/>
                <w:highlight w:val="none"/>
                <w:lang w:bidi="ar"/>
              </w:rPr>
              <w:t>领取成交通知书前，一次性向采购代理机构支付。</w:t>
            </w:r>
          </w:p>
          <w:p w14:paraId="7F0ABD37">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□采购人支付。</w:t>
            </w:r>
          </w:p>
          <w:p w14:paraId="49B22991">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bidi="ar"/>
              </w:rPr>
              <w:t>3.采购代理费收取标准：</w:t>
            </w:r>
          </w:p>
          <w:p w14:paraId="31076B70">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sz w:val="24"/>
                <w:highlight w:val="none"/>
                <w:lang w:bidi="ar"/>
              </w:rPr>
            </w:pPr>
            <w:r>
              <w:rPr>
                <w:rFonts w:hint="eastAsia" w:asciiTheme="minorEastAsia" w:hAnsiTheme="minorEastAsia" w:eastAsiaTheme="minorEastAsia" w:cstheme="minorEastAsia"/>
                <w:color w:val="auto"/>
                <w:sz w:val="24"/>
                <w:highlight w:val="none"/>
                <w:lang w:eastAsia="zh-CN" w:bidi="ar"/>
              </w:rPr>
              <w:t>☑</w:t>
            </w:r>
            <w:r>
              <w:rPr>
                <w:rFonts w:hint="eastAsia" w:asciiTheme="minorEastAsia" w:hAnsiTheme="minorEastAsia" w:eastAsiaTheme="minorEastAsia" w:cstheme="minorEastAsia"/>
                <w:color w:val="auto"/>
                <w:sz w:val="24"/>
                <w:highlight w:val="none"/>
                <w:lang w:bidi="ar"/>
              </w:rPr>
              <w:t>以分标（</w:t>
            </w:r>
            <w:r>
              <w:rPr>
                <w:rFonts w:hint="eastAsia" w:asciiTheme="minorEastAsia" w:hAnsiTheme="minorEastAsia" w:eastAsiaTheme="minorEastAsia" w:cstheme="minorEastAsia"/>
                <w:color w:val="auto"/>
                <w:sz w:val="24"/>
                <w:highlight w:val="none"/>
                <w:lang w:eastAsia="zh-CN" w:bidi="ar"/>
              </w:rPr>
              <w:t>☑</w:t>
            </w:r>
            <w:r>
              <w:rPr>
                <w:rFonts w:hint="eastAsia" w:asciiTheme="minorEastAsia" w:hAnsiTheme="minorEastAsia" w:eastAsiaTheme="minorEastAsia" w:cstheme="minorEastAsia"/>
                <w:color w:val="auto"/>
                <w:sz w:val="24"/>
                <w:highlight w:val="none"/>
                <w:lang w:bidi="ar"/>
              </w:rPr>
              <w:t>中标（成交）金额/</w:t>
            </w:r>
            <w:r>
              <w:rPr>
                <w:rFonts w:hint="eastAsia" w:asciiTheme="minorEastAsia" w:hAnsiTheme="minorEastAsia" w:eastAsiaTheme="minorEastAsia" w:cstheme="minorEastAsia"/>
                <w:color w:val="auto"/>
                <w:sz w:val="24"/>
                <w:highlight w:val="none"/>
                <w:lang w:bidi="ar"/>
              </w:rPr>
              <w:sym w:font="Wingdings 2" w:char="00A3"/>
            </w:r>
            <w:r>
              <w:rPr>
                <w:rFonts w:hint="eastAsia" w:asciiTheme="minorEastAsia" w:hAnsiTheme="minorEastAsia" w:eastAsiaTheme="minorEastAsia" w:cstheme="minorEastAsia"/>
                <w:color w:val="auto"/>
                <w:sz w:val="24"/>
                <w:highlight w:val="none"/>
                <w:lang w:bidi="ar"/>
              </w:rPr>
              <w:t>采购预算/□暂定成交金额/□其他</w:t>
            </w:r>
            <w:r>
              <w:rPr>
                <w:rFonts w:hint="eastAsia" w:asciiTheme="minorEastAsia" w:hAnsiTheme="minorEastAsia" w:eastAsiaTheme="minorEastAsia" w:cstheme="minorEastAsia"/>
                <w:color w:val="auto"/>
                <w:sz w:val="24"/>
                <w:highlight w:val="none"/>
                <w:u w:val="single"/>
                <w:lang w:val="en-US" w:eastAsia="zh-CN" w:bidi="ar"/>
              </w:rPr>
              <w:t xml:space="preserve">      </w:t>
            </w:r>
            <w:r>
              <w:rPr>
                <w:rFonts w:hint="eastAsia" w:asciiTheme="minorEastAsia" w:hAnsiTheme="minorEastAsia" w:eastAsiaTheme="minorEastAsia" w:cstheme="minorEastAsia"/>
                <w:color w:val="auto"/>
                <w:sz w:val="24"/>
                <w:highlight w:val="none"/>
                <w:lang w:bidi="ar"/>
              </w:rPr>
              <w:t>）为计费额，</w:t>
            </w:r>
          </w:p>
          <w:p w14:paraId="25080BED">
            <w:pPr>
              <w:keepLines/>
              <w:pageBreakBefore w:val="0"/>
              <w:wordWrap w:val="0"/>
              <w:overflowPunct/>
              <w:topLinePunct w:val="0"/>
              <w:bidi w:val="0"/>
              <w:snapToGrid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bidi="ar"/>
              </w:rPr>
              <w:t>按服务</w:t>
            </w:r>
            <w:r>
              <w:rPr>
                <w:rFonts w:hint="eastAsia" w:asciiTheme="minorEastAsia" w:hAnsiTheme="minorEastAsia" w:eastAsiaTheme="minorEastAsia" w:cstheme="minorEastAsia"/>
                <w:color w:val="auto"/>
                <w:sz w:val="24"/>
                <w:highlight w:val="none"/>
                <w:u w:val="single"/>
                <w:lang w:bidi="ar"/>
              </w:rPr>
              <w:t>类</w:t>
            </w:r>
            <w:r>
              <w:rPr>
                <w:rFonts w:hint="eastAsia" w:asciiTheme="minorEastAsia" w:hAnsiTheme="minorEastAsia" w:eastAsiaTheme="minorEastAsia" w:cstheme="minorEastAsia"/>
                <w:color w:val="auto"/>
                <w:sz w:val="24"/>
                <w:highlight w:val="none"/>
                <w:lang w:bidi="ar"/>
              </w:rPr>
              <w:t>采用差额定率累进法计算出收费基准价格，采购代理收费以（</w:t>
            </w:r>
            <w:r>
              <w:rPr>
                <w:rFonts w:hint="eastAsia" w:asciiTheme="minorEastAsia" w:hAnsiTheme="minorEastAsia" w:eastAsiaTheme="minorEastAsia" w:cstheme="minorEastAsia"/>
                <w:color w:val="auto"/>
                <w:sz w:val="24"/>
                <w:highlight w:val="none"/>
                <w:lang w:bidi="ar"/>
              </w:rPr>
              <w:sym w:font="Wingdings 2" w:char="0052"/>
            </w:r>
            <w:r>
              <w:rPr>
                <w:rFonts w:hint="eastAsia" w:asciiTheme="minorEastAsia" w:hAnsiTheme="minorEastAsia" w:eastAsiaTheme="minorEastAsia" w:cstheme="minorEastAsia"/>
                <w:color w:val="auto"/>
                <w:sz w:val="24"/>
                <w:highlight w:val="none"/>
                <w:lang w:bidi="ar"/>
              </w:rPr>
              <w:t>收费基准价格/</w:t>
            </w:r>
            <w:r>
              <w:rPr>
                <w:rFonts w:hint="eastAsia" w:asciiTheme="minorEastAsia" w:hAnsiTheme="minorEastAsia" w:eastAsiaTheme="minorEastAsia" w:cstheme="minorEastAsia"/>
                <w:color w:val="auto"/>
                <w:sz w:val="24"/>
                <w:highlight w:val="none"/>
                <w:lang w:eastAsia="zh-CN" w:bidi="ar"/>
              </w:rPr>
              <w:t>□</w:t>
            </w:r>
            <w:r>
              <w:rPr>
                <w:rFonts w:hint="eastAsia" w:asciiTheme="minorEastAsia" w:hAnsiTheme="minorEastAsia" w:eastAsiaTheme="minorEastAsia" w:cstheme="minorEastAsia"/>
                <w:color w:val="auto"/>
                <w:sz w:val="24"/>
                <w:highlight w:val="none"/>
                <w:lang w:bidi="ar"/>
              </w:rPr>
              <w:t>收费基准价下浮</w:t>
            </w:r>
            <w:r>
              <w:rPr>
                <w:rFonts w:hint="eastAsia" w:asciiTheme="minorEastAsia" w:hAnsiTheme="minorEastAsia" w:eastAsiaTheme="minorEastAsia" w:cstheme="minorEastAsia"/>
                <w:color w:val="auto"/>
                <w:sz w:val="24"/>
                <w:highlight w:val="none"/>
                <w:u w:val="single"/>
                <w:lang w:val="en-US" w:eastAsia="zh-CN" w:bidi="ar"/>
              </w:rPr>
              <w:t xml:space="preserve">      %</w:t>
            </w:r>
            <w:r>
              <w:rPr>
                <w:rFonts w:hint="eastAsia" w:asciiTheme="minorEastAsia" w:hAnsiTheme="minorEastAsia" w:eastAsiaTheme="minorEastAsia" w:cstheme="minorEastAsia"/>
                <w:color w:val="auto"/>
                <w:sz w:val="24"/>
                <w:highlight w:val="none"/>
                <w:lang w:bidi="ar"/>
              </w:rPr>
              <w:t>/□收费基准价格上浮</w:t>
            </w:r>
            <w:r>
              <w:rPr>
                <w:rFonts w:hint="eastAsia" w:asciiTheme="minorEastAsia" w:hAnsiTheme="minorEastAsia" w:eastAsiaTheme="minorEastAsia" w:cstheme="minorEastAsia"/>
                <w:color w:val="auto"/>
                <w:sz w:val="24"/>
                <w:highlight w:val="none"/>
                <w:u w:val="single"/>
                <w:lang w:bidi="ar"/>
              </w:rPr>
              <w:t xml:space="preserve"> </w:t>
            </w:r>
            <w:r>
              <w:rPr>
                <w:rFonts w:hint="eastAsia" w:asciiTheme="minorEastAsia" w:hAnsiTheme="minorEastAsia" w:eastAsiaTheme="minorEastAsia" w:cstheme="minorEastAsia"/>
                <w:color w:val="auto"/>
                <w:sz w:val="24"/>
                <w:highlight w:val="none"/>
                <w:u w:val="single"/>
                <w:lang w:val="en-US" w:eastAsia="zh-CN" w:bidi="ar"/>
              </w:rPr>
              <w:t xml:space="preserve">   </w:t>
            </w:r>
            <w:r>
              <w:rPr>
                <w:rFonts w:hint="eastAsia" w:asciiTheme="minorEastAsia" w:hAnsiTheme="minorEastAsia" w:eastAsiaTheme="minorEastAsia" w:cstheme="minorEastAsia"/>
                <w:color w:val="auto"/>
                <w:sz w:val="24"/>
                <w:highlight w:val="none"/>
                <w:u w:val="single"/>
                <w:lang w:bidi="ar"/>
              </w:rPr>
              <w:t xml:space="preserve"> %</w:t>
            </w:r>
            <w:r>
              <w:rPr>
                <w:rFonts w:hint="eastAsia" w:asciiTheme="minorEastAsia" w:hAnsiTheme="minorEastAsia" w:eastAsiaTheme="minorEastAsia" w:cstheme="minorEastAsia"/>
                <w:color w:val="auto"/>
                <w:sz w:val="24"/>
                <w:highlight w:val="none"/>
                <w:lang w:bidi="ar"/>
              </w:rPr>
              <w:t>）计算。</w:t>
            </w:r>
          </w:p>
          <w:p w14:paraId="6ED892FA">
            <w:pPr>
              <w:keepLines/>
              <w:pageBreakBefore w:val="0"/>
              <w:wordWrap w:val="0"/>
              <w:overflowPunct/>
              <w:topLinePunct w:val="0"/>
              <w:bidi w:val="0"/>
              <w:snapToGrid w:val="0"/>
              <w:spacing w:line="360" w:lineRule="auto"/>
              <w:rPr>
                <w:rFonts w:hint="eastAsia" w:asciiTheme="minorEastAsia" w:hAnsiTheme="minorEastAsia" w:eastAsiaTheme="minorEastAsia" w:cstheme="minorEastAsia"/>
                <w:color w:val="auto"/>
                <w:sz w:val="24"/>
                <w:highlight w:val="none"/>
                <w:u w:val="single"/>
                <w:lang w:bidi="ar"/>
              </w:rPr>
            </w:pPr>
            <w:r>
              <w:rPr>
                <w:rFonts w:hint="eastAsia" w:asciiTheme="minorEastAsia" w:hAnsiTheme="minorEastAsia" w:eastAsiaTheme="minorEastAsia" w:cstheme="minorEastAsia"/>
                <w:color w:val="auto"/>
                <w:kern w:val="0"/>
                <w:sz w:val="24"/>
                <w:highlight w:val="none"/>
                <w:lang w:bidi="ar"/>
              </w:rPr>
              <w:t>□</w:t>
            </w:r>
            <w:r>
              <w:rPr>
                <w:rFonts w:hint="eastAsia" w:asciiTheme="minorEastAsia" w:hAnsiTheme="minorEastAsia" w:eastAsiaTheme="minorEastAsia" w:cstheme="minorEastAsia"/>
                <w:color w:val="auto"/>
                <w:sz w:val="24"/>
                <w:highlight w:val="none"/>
                <w:lang w:bidi="ar"/>
              </w:rPr>
              <w:t>固定采购代理收费</w:t>
            </w:r>
            <w:r>
              <w:rPr>
                <w:rFonts w:hint="eastAsia" w:asciiTheme="minorEastAsia" w:hAnsiTheme="minorEastAsia" w:eastAsiaTheme="minorEastAsia" w:cstheme="minorEastAsia"/>
                <w:color w:val="auto"/>
                <w:sz w:val="24"/>
                <w:highlight w:val="none"/>
                <w:u w:val="single"/>
                <w:lang w:bidi="ar"/>
              </w:rPr>
              <w:t xml:space="preserve"> </w:t>
            </w:r>
            <w:r>
              <w:rPr>
                <w:rFonts w:hint="eastAsia" w:asciiTheme="minorEastAsia" w:hAnsiTheme="minorEastAsia" w:eastAsiaTheme="minorEastAsia" w:cstheme="minorEastAsia"/>
                <w:color w:val="auto"/>
                <w:sz w:val="24"/>
                <w:highlight w:val="none"/>
                <w:u w:val="single"/>
                <w:lang w:val="en-US" w:eastAsia="zh-CN" w:bidi="ar"/>
              </w:rPr>
              <w:t xml:space="preserve">      </w:t>
            </w:r>
            <w:r>
              <w:rPr>
                <w:rFonts w:hint="eastAsia" w:asciiTheme="minorEastAsia" w:hAnsiTheme="minorEastAsia" w:eastAsiaTheme="minorEastAsia" w:cstheme="minorEastAsia"/>
                <w:color w:val="auto"/>
                <w:sz w:val="24"/>
                <w:highlight w:val="none"/>
                <w:u w:val="single"/>
                <w:lang w:bidi="ar"/>
              </w:rPr>
              <w:t>。</w:t>
            </w:r>
          </w:p>
          <w:p w14:paraId="3CB34A76">
            <w:pPr>
              <w:keepLines/>
              <w:pageBreakBefore w:val="0"/>
              <w:wordWrap w:val="0"/>
              <w:overflowPunct/>
              <w:topLinePunct w:val="0"/>
              <w:bidi w:val="0"/>
              <w:snapToGrid w:val="0"/>
              <w:spacing w:line="360" w:lineRule="auto"/>
              <w:ind w:firstLine="482"/>
              <w:rPr>
                <w:rFonts w:asciiTheme="minorEastAsia" w:hAnsiTheme="minorEastAsia" w:eastAsiaTheme="minorEastAsia" w:cstheme="minorEastAsia"/>
                <w:b/>
                <w:color w:val="auto"/>
                <w:sz w:val="24"/>
                <w:highlight w:val="none"/>
                <w:u w:val="single"/>
                <w:lang w:bidi="ar"/>
              </w:rPr>
            </w:pPr>
            <w:r>
              <w:rPr>
                <w:rFonts w:hint="eastAsia" w:asciiTheme="minorEastAsia" w:hAnsiTheme="minorEastAsia" w:eastAsiaTheme="minorEastAsia" w:cstheme="minorEastAsia"/>
                <w:b/>
                <w:color w:val="auto"/>
                <w:sz w:val="24"/>
                <w:highlight w:val="none"/>
                <w:u w:val="single"/>
                <w:lang w:bidi="ar"/>
              </w:rPr>
              <w:t>基准价计算标准如下：</w:t>
            </w:r>
          </w:p>
          <w:p w14:paraId="3A705750">
            <w:pPr>
              <w:pStyle w:val="12"/>
              <w:keepLines/>
              <w:pageBreakBefore w:val="0"/>
              <w:wordWrap w:val="0"/>
              <w:overflowPunct/>
              <w:topLinePunct w:val="0"/>
              <w:bidi w:val="0"/>
              <w:spacing w:line="360" w:lineRule="auto"/>
              <w:ind w:firstLine="480" w:firstLineChars="200"/>
              <w:rPr>
                <w:rFonts w:asciiTheme="minorEastAsia" w:hAnsiTheme="minorEastAsia" w:eastAsiaTheme="minorEastAsia" w:cstheme="minorEastAsia"/>
                <w:color w:val="auto"/>
                <w:sz w:val="24"/>
                <w:szCs w:val="24"/>
                <w:highlight w:val="none"/>
                <w:shd w:val="clear" w:color="auto" w:fill="FFFFFF"/>
              </w:rPr>
            </w:pPr>
            <w:r>
              <w:rPr>
                <w:rFonts w:hint="eastAsia" w:asciiTheme="minorEastAsia" w:hAnsiTheme="minorEastAsia" w:eastAsiaTheme="minorEastAsia" w:cstheme="minorEastAsia"/>
                <w:color w:val="auto"/>
                <w:sz w:val="24"/>
                <w:szCs w:val="24"/>
                <w:highlight w:val="none"/>
                <w:shd w:val="clear" w:color="auto" w:fill="FFFFFF"/>
              </w:rPr>
              <w:t>参照</w:t>
            </w:r>
            <w:r>
              <w:rPr>
                <w:rFonts w:hint="eastAsia" w:ascii="宋体" w:hAnsi="宋体" w:cs="宋体"/>
                <w:color w:val="auto"/>
                <w:kern w:val="0"/>
                <w:sz w:val="24"/>
                <w:highlight w:val="none"/>
              </w:rPr>
              <w:t>国家发改委（计价格[2002]1980号）规定</w:t>
            </w:r>
            <w:r>
              <w:rPr>
                <w:rFonts w:hint="eastAsia" w:asciiTheme="minorEastAsia" w:hAnsiTheme="minorEastAsia" w:eastAsiaTheme="minorEastAsia" w:cstheme="minorEastAsia"/>
                <w:color w:val="auto"/>
                <w:sz w:val="24"/>
                <w:szCs w:val="24"/>
                <w:highlight w:val="none"/>
                <w:shd w:val="clear" w:color="auto" w:fill="FFFFFF"/>
              </w:rPr>
              <w:t>，采用差额定率累进法计算，按下表的标准计取代理服务基准价：</w:t>
            </w:r>
          </w:p>
          <w:tbl>
            <w:tblPr>
              <w:tblStyle w:val="20"/>
              <w:tblpPr w:leftFromText="180" w:rightFromText="180" w:vertAnchor="text" w:horzAnchor="margin" w:tblpXSpec="center" w:tblpY="161"/>
              <w:tblW w:w="6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414"/>
              <w:gridCol w:w="1231"/>
              <w:gridCol w:w="1211"/>
            </w:tblGrid>
            <w:tr w14:paraId="7F61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562" w:type="dxa"/>
                  <w:tcBorders>
                    <w:tl2br w:val="single" w:color="auto" w:sz="4" w:space="0"/>
                  </w:tcBorders>
                </w:tcPr>
                <w:p w14:paraId="18493CC5">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费率</w:t>
                  </w:r>
                </w:p>
                <w:p w14:paraId="71FC5EDE">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中标金额</w:t>
                  </w:r>
                </w:p>
              </w:tc>
              <w:tc>
                <w:tcPr>
                  <w:tcW w:w="1414" w:type="dxa"/>
                  <w:vAlign w:val="center"/>
                </w:tcPr>
                <w:p w14:paraId="06D7A149">
                  <w:pPr>
                    <w:keepLines/>
                    <w:pageBreakBefore w:val="0"/>
                    <w:wordWrap w:val="0"/>
                    <w:overflowPunct/>
                    <w:topLinePunct w:val="0"/>
                    <w:bidi w:val="0"/>
                    <w:spacing w:line="360" w:lineRule="auto"/>
                    <w:ind w:firstLine="120" w:firstLineChars="50"/>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货物招标</w:t>
                  </w:r>
                </w:p>
              </w:tc>
              <w:tc>
                <w:tcPr>
                  <w:tcW w:w="1231" w:type="dxa"/>
                  <w:vAlign w:val="center"/>
                </w:tcPr>
                <w:p w14:paraId="794414D8">
                  <w:pPr>
                    <w:keepLines/>
                    <w:pageBreakBefore w:val="0"/>
                    <w:wordWrap w:val="0"/>
                    <w:overflowPunct/>
                    <w:topLinePunct w:val="0"/>
                    <w:bidi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服务招标</w:t>
                  </w:r>
                </w:p>
              </w:tc>
              <w:tc>
                <w:tcPr>
                  <w:tcW w:w="1211" w:type="dxa"/>
                  <w:vAlign w:val="center"/>
                </w:tcPr>
                <w:p w14:paraId="589D1EC0">
                  <w:pPr>
                    <w:keepLines/>
                    <w:pageBreakBefore w:val="0"/>
                    <w:wordWrap w:val="0"/>
                    <w:overflowPunct/>
                    <w:topLinePunct w:val="0"/>
                    <w:bidi w:val="0"/>
                    <w:spacing w:line="360" w:lineRule="auto"/>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工程招标</w:t>
                  </w:r>
                </w:p>
              </w:tc>
            </w:tr>
            <w:tr w14:paraId="4C4F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562" w:type="dxa"/>
                </w:tcPr>
                <w:p w14:paraId="42F8E770">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100万元以下</w:t>
                  </w:r>
                </w:p>
              </w:tc>
              <w:tc>
                <w:tcPr>
                  <w:tcW w:w="1414" w:type="dxa"/>
                </w:tcPr>
                <w:p w14:paraId="44E5B900">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1.5%</w:t>
                  </w:r>
                </w:p>
              </w:tc>
              <w:tc>
                <w:tcPr>
                  <w:tcW w:w="1231" w:type="dxa"/>
                </w:tcPr>
                <w:p w14:paraId="6938B54A">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w:t>
                  </w:r>
                </w:p>
              </w:tc>
              <w:tc>
                <w:tcPr>
                  <w:tcW w:w="1211" w:type="dxa"/>
                </w:tcPr>
                <w:p w14:paraId="6334EF8E">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1.0% </w:t>
                  </w:r>
                </w:p>
              </w:tc>
            </w:tr>
            <w:tr w14:paraId="2A8E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5FDDF722">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100～500万元</w:t>
                  </w:r>
                </w:p>
              </w:tc>
              <w:tc>
                <w:tcPr>
                  <w:tcW w:w="1414" w:type="dxa"/>
                </w:tcPr>
                <w:p w14:paraId="038BBB1E">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p>
              </w:tc>
              <w:tc>
                <w:tcPr>
                  <w:tcW w:w="1231" w:type="dxa"/>
                </w:tcPr>
                <w:p w14:paraId="0C7EBBCD">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0.8%</w:t>
                  </w:r>
                </w:p>
              </w:tc>
              <w:tc>
                <w:tcPr>
                  <w:tcW w:w="1211" w:type="dxa"/>
                </w:tcPr>
                <w:p w14:paraId="1122FE64">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0.7% </w:t>
                  </w:r>
                </w:p>
              </w:tc>
            </w:tr>
            <w:tr w14:paraId="2C59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64D1E67A">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500～1000万元</w:t>
                  </w:r>
                </w:p>
              </w:tc>
              <w:tc>
                <w:tcPr>
                  <w:tcW w:w="1414" w:type="dxa"/>
                </w:tcPr>
                <w:p w14:paraId="2A467BE1">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0.8%</w:t>
                  </w:r>
                </w:p>
              </w:tc>
              <w:tc>
                <w:tcPr>
                  <w:tcW w:w="1231" w:type="dxa"/>
                </w:tcPr>
                <w:p w14:paraId="60B4012B">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0.45%</w:t>
                  </w:r>
                </w:p>
              </w:tc>
              <w:tc>
                <w:tcPr>
                  <w:tcW w:w="1211" w:type="dxa"/>
                </w:tcPr>
                <w:p w14:paraId="2C2BD8BB">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0.55%</w:t>
                  </w:r>
                </w:p>
              </w:tc>
            </w:tr>
            <w:tr w14:paraId="6114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562" w:type="dxa"/>
                </w:tcPr>
                <w:p w14:paraId="1B14D143">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1000～5000万元</w:t>
                  </w:r>
                </w:p>
              </w:tc>
              <w:tc>
                <w:tcPr>
                  <w:tcW w:w="1414" w:type="dxa"/>
                </w:tcPr>
                <w:p w14:paraId="3869E378">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0.5%</w:t>
                  </w:r>
                </w:p>
              </w:tc>
              <w:tc>
                <w:tcPr>
                  <w:tcW w:w="1231" w:type="dxa"/>
                </w:tcPr>
                <w:p w14:paraId="0ACC216F">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0.25%</w:t>
                  </w:r>
                </w:p>
              </w:tc>
              <w:tc>
                <w:tcPr>
                  <w:tcW w:w="1211" w:type="dxa"/>
                </w:tcPr>
                <w:p w14:paraId="3CFBF5AC">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0.35% </w:t>
                  </w:r>
                </w:p>
              </w:tc>
            </w:tr>
            <w:tr w14:paraId="3749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6A41C6F6">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5000万元～1亿元</w:t>
                  </w:r>
                </w:p>
              </w:tc>
              <w:tc>
                <w:tcPr>
                  <w:tcW w:w="1414" w:type="dxa"/>
                </w:tcPr>
                <w:p w14:paraId="11FD94A2">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0.25%</w:t>
                  </w:r>
                </w:p>
              </w:tc>
              <w:tc>
                <w:tcPr>
                  <w:tcW w:w="1231" w:type="dxa"/>
                </w:tcPr>
                <w:p w14:paraId="68FAF488">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0.1%</w:t>
                  </w:r>
                </w:p>
              </w:tc>
              <w:tc>
                <w:tcPr>
                  <w:tcW w:w="1211" w:type="dxa"/>
                </w:tcPr>
                <w:p w14:paraId="2837C7A7">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0.2%</w:t>
                  </w:r>
                </w:p>
              </w:tc>
            </w:tr>
            <w:tr w14:paraId="7594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4B63A0F4">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1～5亿元</w:t>
                  </w:r>
                </w:p>
              </w:tc>
              <w:tc>
                <w:tcPr>
                  <w:tcW w:w="1414" w:type="dxa"/>
                </w:tcPr>
                <w:p w14:paraId="2A505A82">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0.05%</w:t>
                  </w:r>
                </w:p>
              </w:tc>
              <w:tc>
                <w:tcPr>
                  <w:tcW w:w="1231" w:type="dxa"/>
                </w:tcPr>
                <w:p w14:paraId="6F4D2B2A">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0.05%</w:t>
                  </w:r>
                </w:p>
              </w:tc>
              <w:tc>
                <w:tcPr>
                  <w:tcW w:w="1211" w:type="dxa"/>
                </w:tcPr>
                <w:p w14:paraId="00B6FE3B">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0.05%</w:t>
                  </w:r>
                </w:p>
              </w:tc>
            </w:tr>
            <w:tr w14:paraId="72C5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25F1B0FF">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5～10亿元</w:t>
                  </w:r>
                </w:p>
              </w:tc>
              <w:tc>
                <w:tcPr>
                  <w:tcW w:w="1414" w:type="dxa"/>
                </w:tcPr>
                <w:p w14:paraId="6C199314">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0.035%</w:t>
                  </w:r>
                </w:p>
              </w:tc>
              <w:tc>
                <w:tcPr>
                  <w:tcW w:w="1231" w:type="dxa"/>
                </w:tcPr>
                <w:p w14:paraId="63F1ECF6">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0.035%</w:t>
                  </w:r>
                </w:p>
              </w:tc>
              <w:tc>
                <w:tcPr>
                  <w:tcW w:w="1211" w:type="dxa"/>
                </w:tcPr>
                <w:p w14:paraId="1CC45E7E">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0.035%</w:t>
                  </w:r>
                </w:p>
              </w:tc>
            </w:tr>
            <w:tr w14:paraId="2F0C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562" w:type="dxa"/>
                </w:tcPr>
                <w:p w14:paraId="3ED3F426">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10～50亿元</w:t>
                  </w:r>
                </w:p>
              </w:tc>
              <w:tc>
                <w:tcPr>
                  <w:tcW w:w="1414" w:type="dxa"/>
                </w:tcPr>
                <w:p w14:paraId="76691D46">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0.008%</w:t>
                  </w:r>
                </w:p>
              </w:tc>
              <w:tc>
                <w:tcPr>
                  <w:tcW w:w="1231" w:type="dxa"/>
                </w:tcPr>
                <w:p w14:paraId="517AFA0A">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0.008%</w:t>
                  </w:r>
                </w:p>
              </w:tc>
              <w:tc>
                <w:tcPr>
                  <w:tcW w:w="1211" w:type="dxa"/>
                </w:tcPr>
                <w:p w14:paraId="7FCE2815">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0.008%</w:t>
                  </w:r>
                </w:p>
              </w:tc>
            </w:tr>
            <w:tr w14:paraId="0A48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5A5D007D">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50～100亿元</w:t>
                  </w:r>
                </w:p>
              </w:tc>
              <w:tc>
                <w:tcPr>
                  <w:tcW w:w="1414" w:type="dxa"/>
                </w:tcPr>
                <w:p w14:paraId="5DB24682">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0.006%</w:t>
                  </w:r>
                </w:p>
              </w:tc>
              <w:tc>
                <w:tcPr>
                  <w:tcW w:w="1231" w:type="dxa"/>
                </w:tcPr>
                <w:p w14:paraId="21EFF78D">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0.006%</w:t>
                  </w:r>
                </w:p>
              </w:tc>
              <w:tc>
                <w:tcPr>
                  <w:tcW w:w="1211" w:type="dxa"/>
                </w:tcPr>
                <w:p w14:paraId="7BB334F1">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0.006%</w:t>
                  </w:r>
                </w:p>
              </w:tc>
            </w:tr>
            <w:tr w14:paraId="586D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Pr>
                <w:p w14:paraId="17D2A27A">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100亿以上</w:t>
                  </w:r>
                </w:p>
              </w:tc>
              <w:tc>
                <w:tcPr>
                  <w:tcW w:w="1414" w:type="dxa"/>
                </w:tcPr>
                <w:p w14:paraId="52E22B33">
                  <w:pPr>
                    <w:keepLines/>
                    <w:pageBreakBefore w:val="0"/>
                    <w:wordWrap w:val="0"/>
                    <w:overflowPunct/>
                    <w:topLinePunct w:val="0"/>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0.004%</w:t>
                  </w:r>
                </w:p>
              </w:tc>
              <w:tc>
                <w:tcPr>
                  <w:tcW w:w="1231" w:type="dxa"/>
                </w:tcPr>
                <w:p w14:paraId="381D2290">
                  <w:pPr>
                    <w:keepLines/>
                    <w:pageBreakBefore w:val="0"/>
                    <w:wordWrap w:val="0"/>
                    <w:overflowPunct/>
                    <w:topLinePunct w:val="0"/>
                    <w:bidi w:val="0"/>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0.004%</w:t>
                  </w:r>
                </w:p>
              </w:tc>
              <w:tc>
                <w:tcPr>
                  <w:tcW w:w="1211" w:type="dxa"/>
                </w:tcPr>
                <w:p w14:paraId="526D75C9">
                  <w:pPr>
                    <w:keepLines/>
                    <w:pageBreakBefore w:val="0"/>
                    <w:wordWrap w:val="0"/>
                    <w:overflowPunct/>
                    <w:topLinePunct w:val="0"/>
                    <w:bidi w:val="0"/>
                    <w:spacing w:line="360" w:lineRule="auto"/>
                    <w:ind w:firstLine="120" w:firstLineChars="5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0.004%</w:t>
                  </w:r>
                </w:p>
              </w:tc>
            </w:tr>
          </w:tbl>
          <w:p w14:paraId="4F1BBEDF">
            <w:pPr>
              <w:pStyle w:val="19"/>
              <w:pageBreakBefore w:val="0"/>
              <w:overflowPunct/>
              <w:topLinePunct w:val="0"/>
              <w:bidi w:val="0"/>
              <w:spacing w:after="0" w:afterLines="0" w:line="360" w:lineRule="auto"/>
              <w:rPr>
                <w:color w:val="auto"/>
                <w:highlight w:val="none"/>
              </w:rPr>
            </w:pPr>
          </w:p>
        </w:tc>
      </w:tr>
      <w:tr w14:paraId="30774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CF5B44C">
            <w:pPr>
              <w:keepLines/>
              <w:pageBreakBefore w:val="0"/>
              <w:widowControl/>
              <w:wordWrap w:val="0"/>
              <w:overflowPunct/>
              <w:topLinePunct w:val="0"/>
              <w:bidi w:val="0"/>
              <w:spacing w:line="360" w:lineRule="auto"/>
              <w:jc w:val="left"/>
              <w:rPr>
                <w:rFonts w:ascii="宋体" w:hAnsi="宋体" w:cs="宋体"/>
                <w:color w:val="auto"/>
                <w:sz w:val="24"/>
                <w:highlight w:val="none"/>
              </w:rPr>
            </w:pPr>
          </w:p>
        </w:tc>
        <w:tc>
          <w:tcPr>
            <w:tcW w:w="2566" w:type="dxa"/>
            <w:tcBorders>
              <w:top w:val="single" w:color="auto" w:sz="4" w:space="0"/>
              <w:left w:val="single" w:color="auto" w:sz="4" w:space="0"/>
              <w:bottom w:val="single" w:color="auto" w:sz="4" w:space="0"/>
              <w:right w:val="single" w:color="auto" w:sz="4" w:space="0"/>
            </w:tcBorders>
            <w:vAlign w:val="center"/>
          </w:tcPr>
          <w:p w14:paraId="31FC7EB4">
            <w:pPr>
              <w:keepLines/>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代理服务费收款账户信息</w:t>
            </w:r>
          </w:p>
        </w:tc>
        <w:tc>
          <w:tcPr>
            <w:tcW w:w="6999" w:type="dxa"/>
            <w:tcBorders>
              <w:top w:val="single" w:color="auto" w:sz="4" w:space="0"/>
              <w:left w:val="single" w:color="auto" w:sz="4" w:space="0"/>
              <w:bottom w:val="single" w:color="auto" w:sz="4" w:space="0"/>
              <w:right w:val="single" w:color="auto" w:sz="4" w:space="0"/>
            </w:tcBorders>
            <w:vAlign w:val="center"/>
          </w:tcPr>
          <w:p w14:paraId="5AE9E956">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账户名称：广西邕政采购代理有限公司</w:t>
            </w:r>
          </w:p>
          <w:p w14:paraId="44F1AF51">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开户银行：交通银行南宁东葛西支行</w:t>
            </w:r>
          </w:p>
          <w:p w14:paraId="5A9E1F77">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 xml:space="preserve">银行账号：4510 6070 1018 1602 32818 </w:t>
            </w:r>
          </w:p>
          <w:p w14:paraId="734044A8">
            <w:pPr>
              <w:pStyle w:val="12"/>
              <w:keepLines/>
              <w:pageBreakBefore w:val="0"/>
              <w:wordWrap w:val="0"/>
              <w:overflowPunct/>
              <w:topLinePunct w:val="0"/>
              <w:bidi w:val="0"/>
              <w:snapToGrid w:val="0"/>
              <w:spacing w:line="360" w:lineRule="auto"/>
              <w:rPr>
                <w:rFonts w:hAnsi="宋体" w:cs="宋体"/>
                <w:color w:val="auto"/>
                <w:sz w:val="24"/>
                <w:szCs w:val="24"/>
                <w:highlight w:val="none"/>
              </w:rPr>
            </w:pPr>
            <w:r>
              <w:rPr>
                <w:rFonts w:hint="eastAsia" w:hAnsi="宋体" w:cs="宋体"/>
                <w:color w:val="auto"/>
                <w:sz w:val="24"/>
                <w:szCs w:val="24"/>
                <w:highlight w:val="none"/>
              </w:rPr>
              <w:t>开户行行号：301611000718</w:t>
            </w:r>
          </w:p>
        </w:tc>
      </w:tr>
      <w:tr w14:paraId="14983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3B2714E">
            <w:pPr>
              <w:keepLines/>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41.1</w:t>
            </w:r>
          </w:p>
        </w:tc>
        <w:tc>
          <w:tcPr>
            <w:tcW w:w="2566" w:type="dxa"/>
            <w:tcBorders>
              <w:top w:val="single" w:color="auto" w:sz="4" w:space="0"/>
              <w:left w:val="single" w:color="auto" w:sz="4" w:space="0"/>
              <w:bottom w:val="single" w:color="auto" w:sz="4" w:space="0"/>
              <w:right w:val="single" w:color="auto" w:sz="4" w:space="0"/>
            </w:tcBorders>
            <w:vAlign w:val="center"/>
          </w:tcPr>
          <w:p w14:paraId="72FBEAD0">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解释</w:t>
            </w:r>
          </w:p>
        </w:tc>
        <w:tc>
          <w:tcPr>
            <w:tcW w:w="6999" w:type="dxa"/>
            <w:tcBorders>
              <w:top w:val="single" w:color="auto" w:sz="4" w:space="0"/>
              <w:left w:val="single" w:color="auto" w:sz="4" w:space="0"/>
              <w:bottom w:val="single" w:color="auto" w:sz="4" w:space="0"/>
              <w:right w:val="single" w:color="auto" w:sz="4" w:space="0"/>
            </w:tcBorders>
            <w:vAlign w:val="center"/>
          </w:tcPr>
          <w:p w14:paraId="740E75A7">
            <w:pPr>
              <w:keepLines/>
              <w:pageBreakBefore w:val="0"/>
              <w:wordWrap w:val="0"/>
              <w:overflowPunct/>
              <w:topLinePunct w:val="0"/>
              <w:bidi w:val="0"/>
              <w:snapToGrid w:val="0"/>
              <w:spacing w:line="360" w:lineRule="auto"/>
              <w:ind w:firstLine="482"/>
              <w:rPr>
                <w:rFonts w:ascii="宋体" w:hAnsi="宋体" w:cs="宋体"/>
                <w:b/>
                <w:color w:val="auto"/>
                <w:sz w:val="24"/>
                <w:highlight w:val="none"/>
              </w:rPr>
            </w:pPr>
            <w:r>
              <w:rPr>
                <w:rFonts w:hint="eastAsia" w:ascii="宋体" w:hAnsi="宋体" w:cs="宋体"/>
                <w:b/>
                <w:color w:val="auto"/>
                <w:sz w:val="24"/>
                <w:highlight w:val="none"/>
              </w:rPr>
              <w:t>解释权：</w:t>
            </w:r>
            <w:r>
              <w:rPr>
                <w:rFonts w:hint="eastAsia" w:ascii="宋体" w:hAnsi="宋体" w:cs="宋体"/>
                <w:color w:val="auto"/>
                <w:sz w:val="24"/>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color w:val="auto"/>
                <w:sz w:val="24"/>
                <w:highlight w:val="none"/>
              </w:rPr>
              <w:t>，由采购人或者采购代理机构负责解释。</w:t>
            </w:r>
          </w:p>
          <w:p w14:paraId="7F962053">
            <w:pPr>
              <w:keepLines/>
              <w:pageBreakBefore w:val="0"/>
              <w:wordWrap w:val="0"/>
              <w:overflowPunct/>
              <w:topLinePunct w:val="0"/>
              <w:bidi w:val="0"/>
              <w:snapToGrid w:val="0"/>
              <w:spacing w:line="360" w:lineRule="auto"/>
              <w:ind w:firstLine="482"/>
              <w:rPr>
                <w:rFonts w:ascii="宋体" w:hAnsi="宋体" w:cs="宋体"/>
                <w:b/>
                <w:color w:val="auto"/>
                <w:sz w:val="24"/>
                <w:highlight w:val="none"/>
              </w:rPr>
            </w:pPr>
            <w:r>
              <w:rPr>
                <w:rFonts w:hint="eastAsia" w:ascii="宋体" w:hAnsi="宋体" w:cs="宋体"/>
                <w:b/>
                <w:color w:val="auto"/>
                <w:sz w:val="24"/>
                <w:highlight w:val="none"/>
              </w:rPr>
              <w:t>法律责任：</w:t>
            </w:r>
          </w:p>
          <w:p w14:paraId="7FE8FA01">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1.本采购文件根据《中华人民共和国政府采购法》、《中华人民共和国民法典》；《中华人民共和国政府采购法实施条例》</w:t>
            </w:r>
            <w:r>
              <w:rPr>
                <w:rFonts w:hint="eastAsia" w:ascii="宋体" w:hAnsi="宋体" w:cs="宋体"/>
                <w:color w:val="auto"/>
                <w:sz w:val="24"/>
                <w:highlight w:val="none"/>
                <w:lang w:eastAsia="zh-CN"/>
              </w:rPr>
              <w:t>、</w:t>
            </w:r>
            <w:r>
              <w:rPr>
                <w:rFonts w:hint="eastAsia" w:ascii="宋体" w:hAnsi="宋体" w:cs="宋体"/>
                <w:color w:val="auto"/>
                <w:sz w:val="24"/>
                <w:highlight w:val="none"/>
              </w:rPr>
              <w:t>《政府采购货物和服务招标投 标管理办法》等有关法律、法规编制，参与本项目的各政府采购当事人依法享有上述法律法规所赋予的权利与义务。</w:t>
            </w:r>
          </w:p>
          <w:p w14:paraId="2FAEA55D">
            <w:pPr>
              <w:keepLines/>
              <w:pageBreakBefore w:val="0"/>
              <w:wordWrap w:val="0"/>
              <w:overflowPunct/>
              <w:topLinePunct w:val="0"/>
              <w:bidi w:val="0"/>
              <w:spacing w:line="360" w:lineRule="auto"/>
              <w:ind w:firstLine="482" w:firstLineChars="0"/>
              <w:rPr>
                <w:rFonts w:ascii="宋体" w:hAnsi="宋体" w:cs="宋体"/>
                <w:color w:val="auto"/>
                <w:sz w:val="24"/>
                <w:highlight w:val="none"/>
              </w:rPr>
            </w:pPr>
            <w:r>
              <w:rPr>
                <w:rFonts w:hint="eastAsia" w:ascii="宋体" w:hAnsi="宋体" w:cs="宋体"/>
                <w:b/>
                <w:color w:val="auto"/>
                <w:sz w:val="24"/>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FB40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731B4D3">
            <w:pPr>
              <w:keepLines/>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41.2</w:t>
            </w:r>
          </w:p>
        </w:tc>
        <w:tc>
          <w:tcPr>
            <w:tcW w:w="2566" w:type="dxa"/>
            <w:tcBorders>
              <w:top w:val="single" w:color="auto" w:sz="4" w:space="0"/>
              <w:left w:val="single" w:color="auto" w:sz="4" w:space="0"/>
              <w:bottom w:val="single" w:color="auto" w:sz="4" w:space="0"/>
              <w:right w:val="single" w:color="auto" w:sz="4" w:space="0"/>
            </w:tcBorders>
            <w:vAlign w:val="center"/>
          </w:tcPr>
          <w:p w14:paraId="323DE831">
            <w:pPr>
              <w:keepLines/>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其他释义</w:t>
            </w:r>
          </w:p>
        </w:tc>
        <w:tc>
          <w:tcPr>
            <w:tcW w:w="6999" w:type="dxa"/>
            <w:tcBorders>
              <w:top w:val="single" w:color="auto" w:sz="4" w:space="0"/>
              <w:left w:val="single" w:color="auto" w:sz="4" w:space="0"/>
              <w:bottom w:val="single" w:color="auto" w:sz="4" w:space="0"/>
              <w:right w:val="single" w:color="auto" w:sz="4" w:space="0"/>
            </w:tcBorders>
            <w:vAlign w:val="center"/>
          </w:tcPr>
          <w:p w14:paraId="5D3B91EA">
            <w:pPr>
              <w:pStyle w:val="12"/>
              <w:keepLines/>
              <w:pageBreakBefore w:val="0"/>
              <w:wordWrap w:val="0"/>
              <w:overflowPunct/>
              <w:topLinePunct w:val="0"/>
              <w:bidi w:val="0"/>
              <w:snapToGrid w:val="0"/>
              <w:spacing w:line="360" w:lineRule="auto"/>
              <w:ind w:firstLine="482"/>
              <w:rPr>
                <w:rFonts w:hAnsi="宋体" w:cs="宋体"/>
                <w:b/>
                <w:bCs/>
                <w:color w:val="auto"/>
                <w:sz w:val="24"/>
                <w:szCs w:val="24"/>
                <w:highlight w:val="none"/>
              </w:rPr>
            </w:pPr>
            <w:r>
              <w:rPr>
                <w:rFonts w:hint="eastAsia" w:hAnsi="宋体" w:cs="宋体"/>
                <w:b/>
                <w:bCs/>
                <w:color w:val="auto"/>
                <w:sz w:val="24"/>
                <w:szCs w:val="24"/>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EE45045">
            <w:pPr>
              <w:pStyle w:val="12"/>
              <w:keepLines/>
              <w:pageBreakBefore w:val="0"/>
              <w:wordWrap w:val="0"/>
              <w:overflowPunct/>
              <w:topLinePunct w:val="0"/>
              <w:bidi w:val="0"/>
              <w:snapToGrid w:val="0"/>
              <w:spacing w:line="360" w:lineRule="auto"/>
              <w:ind w:firstLine="482"/>
              <w:rPr>
                <w:rFonts w:hAnsi="宋体" w:cs="宋体"/>
                <w:b/>
                <w:bCs/>
                <w:color w:val="auto"/>
                <w:sz w:val="24"/>
                <w:szCs w:val="24"/>
                <w:highlight w:val="none"/>
              </w:rPr>
            </w:pPr>
            <w:r>
              <w:rPr>
                <w:rFonts w:hint="eastAsia" w:hAnsi="宋体" w:cs="宋体"/>
                <w:b/>
                <w:bCs/>
                <w:color w:val="auto"/>
                <w:sz w:val="24"/>
                <w:szCs w:val="24"/>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1C8A1EF2">
            <w:pPr>
              <w:pStyle w:val="12"/>
              <w:keepLines/>
              <w:pageBreakBefore w:val="0"/>
              <w:wordWrap w:val="0"/>
              <w:overflowPunct/>
              <w:topLinePunct w:val="0"/>
              <w:bidi w:val="0"/>
              <w:snapToGrid w:val="0"/>
              <w:spacing w:line="360" w:lineRule="auto"/>
              <w:ind w:firstLine="482"/>
              <w:rPr>
                <w:rFonts w:hAnsi="宋体" w:cs="宋体"/>
                <w:b/>
                <w:bCs/>
                <w:color w:val="auto"/>
                <w:sz w:val="24"/>
                <w:szCs w:val="24"/>
                <w:highlight w:val="none"/>
              </w:rPr>
            </w:pPr>
            <w:r>
              <w:rPr>
                <w:rFonts w:hint="eastAsia" w:hAnsi="宋体" w:cs="宋体"/>
                <w:b/>
                <w:bCs/>
                <w:color w:val="auto"/>
                <w:sz w:val="24"/>
                <w:szCs w:val="24"/>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73ADB557">
            <w:pPr>
              <w:pStyle w:val="12"/>
              <w:keepLines/>
              <w:pageBreakBefore w:val="0"/>
              <w:wordWrap w:val="0"/>
              <w:overflowPunct/>
              <w:topLinePunct w:val="0"/>
              <w:bidi w:val="0"/>
              <w:snapToGrid w:val="0"/>
              <w:spacing w:line="360" w:lineRule="auto"/>
              <w:ind w:firstLine="482"/>
              <w:rPr>
                <w:rFonts w:hAnsi="宋体" w:cs="宋体"/>
                <w:b/>
                <w:bCs/>
                <w:color w:val="auto"/>
                <w:sz w:val="24"/>
                <w:szCs w:val="24"/>
                <w:highlight w:val="none"/>
              </w:rPr>
            </w:pPr>
            <w:r>
              <w:rPr>
                <w:rFonts w:hint="eastAsia" w:hAnsi="宋体" w:cs="宋体"/>
                <w:b/>
                <w:bCs/>
                <w:color w:val="auto"/>
                <w:sz w:val="24"/>
                <w:szCs w:val="24"/>
                <w:highlight w:val="none"/>
              </w:rPr>
              <w:t>4.自然人投标的，招标文件规定盖公章处由自然人摁手指指印。</w:t>
            </w:r>
          </w:p>
          <w:p w14:paraId="3C1B922B">
            <w:pPr>
              <w:keepLines/>
              <w:pageBreakBefore w:val="0"/>
              <w:wordWrap w:val="0"/>
              <w:overflowPunct/>
              <w:topLinePunct w:val="0"/>
              <w:bidi w:val="0"/>
              <w:spacing w:line="360" w:lineRule="auto"/>
              <w:ind w:firstLine="482" w:firstLineChars="0"/>
              <w:jc w:val="left"/>
              <w:rPr>
                <w:rFonts w:ascii="宋体" w:hAnsi="宋体" w:cs="宋体"/>
                <w:color w:val="auto"/>
                <w:sz w:val="24"/>
                <w:highlight w:val="none"/>
              </w:rPr>
            </w:pPr>
            <w:r>
              <w:rPr>
                <w:rFonts w:hint="eastAsia" w:ascii="宋体" w:hAnsi="宋体" w:cs="宋体"/>
                <w:b/>
                <w:bCs/>
                <w:color w:val="auto"/>
                <w:sz w:val="24"/>
                <w:highlight w:val="none"/>
              </w:rPr>
              <w:t>5.本招标文件所称的“以上”“以下”“以内”“届满”，包括本数；所称的“不满”“超过”“以外”，不包括本数。</w:t>
            </w:r>
          </w:p>
        </w:tc>
      </w:tr>
    </w:tbl>
    <w:p w14:paraId="21AE2C12">
      <w:pPr>
        <w:pageBreakBefore w:val="0"/>
        <w:widowControl/>
        <w:wordWrap w:val="0"/>
        <w:overflowPunct/>
        <w:topLinePunct w:val="0"/>
        <w:bidi w:val="0"/>
        <w:spacing w:line="360" w:lineRule="auto"/>
        <w:jc w:val="left"/>
        <w:rPr>
          <w:rFonts w:ascii="宋体" w:hAnsi="宋体" w:cs="宋体"/>
          <w:b/>
          <w:bCs/>
          <w:color w:val="auto"/>
          <w:sz w:val="32"/>
          <w:szCs w:val="32"/>
          <w:highlight w:val="none"/>
        </w:rPr>
        <w:sectPr>
          <w:footerReference r:id="rId11" w:type="default"/>
          <w:pgSz w:w="11906" w:h="16838"/>
          <w:pgMar w:top="1440" w:right="1080" w:bottom="1440" w:left="1080" w:header="720" w:footer="720" w:gutter="0"/>
          <w:pgNumType w:fmt="decimal"/>
          <w:cols w:space="720" w:num="1"/>
          <w:docGrid w:type="lines" w:linePitch="331" w:charSpace="0"/>
        </w:sectPr>
      </w:pPr>
    </w:p>
    <w:p w14:paraId="7163B700">
      <w:pPr>
        <w:pageBreakBefore w:val="0"/>
        <w:wordWrap w:val="0"/>
        <w:overflowPunct/>
        <w:topLinePunct w:val="0"/>
        <w:bidi w:val="0"/>
        <w:spacing w:line="360" w:lineRule="auto"/>
        <w:rPr>
          <w:rFonts w:ascii="宋体" w:hAnsi="宋体" w:cs="宋体"/>
          <w:color w:val="auto"/>
          <w:highlight w:val="none"/>
        </w:rPr>
      </w:pPr>
    </w:p>
    <w:p w14:paraId="1221988D">
      <w:pPr>
        <w:pStyle w:val="3"/>
        <w:pageBreakBefore w:val="0"/>
        <w:wordWrap w:val="0"/>
        <w:overflowPunct/>
        <w:topLinePunct w:val="0"/>
        <w:bidi w:val="0"/>
        <w:spacing w:before="0" w:after="0" w:line="360" w:lineRule="auto"/>
        <w:jc w:val="center"/>
        <w:rPr>
          <w:rFonts w:ascii="宋体" w:hAnsi="宋体" w:eastAsia="宋体" w:cs="宋体"/>
          <w:color w:val="auto"/>
          <w:highlight w:val="none"/>
        </w:rPr>
      </w:pPr>
      <w:bookmarkStart w:id="185" w:name="_Toc3166"/>
      <w:r>
        <w:rPr>
          <w:rFonts w:hint="eastAsia" w:ascii="宋体" w:hAnsi="宋体" w:eastAsia="宋体" w:cs="宋体"/>
          <w:color w:val="auto"/>
          <w:highlight w:val="none"/>
        </w:rPr>
        <w:t>第二节 投标人须知正文</w:t>
      </w:r>
      <w:bookmarkEnd w:id="185"/>
    </w:p>
    <w:p w14:paraId="7D626082">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186" w:name="_Toc13364"/>
      <w:bookmarkStart w:id="187" w:name="_Toc11244"/>
      <w:r>
        <w:rPr>
          <w:rFonts w:hint="eastAsia" w:ascii="宋体" w:hAnsi="宋体" w:cs="宋体"/>
          <w:color w:val="auto"/>
          <w:highlight w:val="none"/>
        </w:rPr>
        <w:t>一、总  则</w:t>
      </w:r>
      <w:bookmarkEnd w:id="186"/>
      <w:bookmarkEnd w:id="187"/>
    </w:p>
    <w:p w14:paraId="3EAF8357">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188" w:name="_Toc254970527"/>
      <w:bookmarkStart w:id="189" w:name="_Toc254970668"/>
      <w:r>
        <w:rPr>
          <w:rFonts w:hint="eastAsia" w:ascii="宋体" w:hAnsi="宋体" w:cs="宋体"/>
          <w:color w:val="auto"/>
          <w:sz w:val="24"/>
          <w:highlight w:val="none"/>
        </w:rPr>
        <w:t>1.适用范围</w:t>
      </w:r>
      <w:bookmarkEnd w:id="188"/>
      <w:bookmarkEnd w:id="189"/>
    </w:p>
    <w:p w14:paraId="5DC0D79F">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C563CA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061E6D1A">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190" w:name="_Toc254970528"/>
      <w:bookmarkStart w:id="191" w:name="_Toc254970669"/>
      <w:r>
        <w:rPr>
          <w:rFonts w:hint="eastAsia" w:ascii="宋体" w:hAnsi="宋体" w:cs="宋体"/>
          <w:color w:val="auto"/>
          <w:sz w:val="24"/>
          <w:highlight w:val="none"/>
        </w:rPr>
        <w:t>2.定义</w:t>
      </w:r>
      <w:bookmarkEnd w:id="190"/>
      <w:bookmarkEnd w:id="191"/>
    </w:p>
    <w:p w14:paraId="34DD94C1">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2.1“采购人”是指依法进行政府采购的国家机关、事业单位、团体组织。</w:t>
      </w:r>
    </w:p>
    <w:p w14:paraId="732EAFCF">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2.2“采购代理机构” 指政府采购集中采购机构和集中采购机构以外的采购代理机构。</w:t>
      </w:r>
    </w:p>
    <w:p w14:paraId="4892499F">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2.3“供应商”是指向采购人提供货物、工程或者服务的法人、其他组织或者自然人。</w:t>
      </w:r>
    </w:p>
    <w:p w14:paraId="2E86D29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2.4“投标人”是指响应招标、参加投标竞争的法人、非法人组织或者自然人。</w:t>
      </w:r>
    </w:p>
    <w:p w14:paraId="1EEDB37B">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2.5“服务”是指除货物和工程以外的其他政府采购对象。</w:t>
      </w:r>
    </w:p>
    <w:p w14:paraId="7E9ACB79">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2.6“书面形式”是指合同书、信件和数据电文（包括电报、电传、传真、短信、电子数据交换和电子邮件）等可以有形地表现所载内容的形式。</w:t>
      </w:r>
    </w:p>
    <w:p w14:paraId="14FF2906">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2.7“实质性要求”是指招标文件中已经指明不满足则投标无效的条款，或者不能负偏离的条款，或者采购需求中带“</w:t>
      </w:r>
      <w:r>
        <w:rPr>
          <w:rFonts w:hint="eastAsia" w:ascii="宋体" w:hAnsi="宋体" w:cs="宋体"/>
          <w:b/>
          <w:bCs/>
          <w:color w:val="auto"/>
          <w:szCs w:val="21"/>
          <w:highlight w:val="none"/>
        </w:rPr>
        <w:t>▲</w:t>
      </w:r>
      <w:r>
        <w:rPr>
          <w:rFonts w:hint="eastAsia" w:ascii="宋体" w:hAnsi="宋体" w:cs="宋体"/>
          <w:b/>
          <w:color w:val="auto"/>
          <w:szCs w:val="21"/>
          <w:highlight w:val="none"/>
        </w:rPr>
        <w:t>”的条款。</w:t>
      </w:r>
    </w:p>
    <w:p w14:paraId="60BE6076">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5F203FB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296B500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192" w:name="_Toc254970670"/>
      <w:bookmarkStart w:id="193" w:name="_Toc254970529"/>
    </w:p>
    <w:p w14:paraId="100A1D7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bookmarkEnd w:id="192"/>
      <w:bookmarkEnd w:id="193"/>
      <w:r>
        <w:rPr>
          <w:rFonts w:hint="eastAsia" w:ascii="宋体" w:hAnsi="宋体" w:cs="宋体"/>
          <w:color w:val="auto"/>
          <w:sz w:val="24"/>
          <w:highlight w:val="none"/>
        </w:rPr>
        <w:t>投标人的资格要求</w:t>
      </w:r>
    </w:p>
    <w:p w14:paraId="1D563AC9">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投标人的资格要求详见“招标公告”。</w:t>
      </w:r>
    </w:p>
    <w:p w14:paraId="2EFD0248">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194" w:name="_Toc254970671"/>
      <w:bookmarkStart w:id="195" w:name="_Toc254970530"/>
      <w:r>
        <w:rPr>
          <w:rFonts w:hint="eastAsia" w:ascii="宋体" w:hAnsi="宋体" w:cs="宋体"/>
          <w:color w:val="auto"/>
          <w:sz w:val="24"/>
          <w:highlight w:val="none"/>
        </w:rPr>
        <w:t>4.投标委托</w:t>
      </w:r>
      <w:bookmarkEnd w:id="194"/>
      <w:bookmarkEnd w:id="195"/>
    </w:p>
    <w:p w14:paraId="2648720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0B4C84B1">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196" w:name="_5.投标费用"/>
      <w:bookmarkEnd w:id="196"/>
      <w:bookmarkStart w:id="197" w:name="_Toc254970531"/>
      <w:bookmarkStart w:id="198" w:name="_Toc254970672"/>
      <w:r>
        <w:rPr>
          <w:rFonts w:hint="eastAsia" w:ascii="宋体" w:hAnsi="宋体" w:cs="宋体"/>
          <w:color w:val="auto"/>
          <w:sz w:val="24"/>
          <w:highlight w:val="none"/>
        </w:rPr>
        <w:t>5.投标费用</w:t>
      </w:r>
      <w:bookmarkEnd w:id="197"/>
      <w:bookmarkEnd w:id="198"/>
    </w:p>
    <w:p w14:paraId="0BD9370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0D6F5F5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6.联合体投标</w:t>
      </w:r>
    </w:p>
    <w:p w14:paraId="3F84B28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3A10EFCB">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79CADD2E">
      <w:pPr>
        <w:pageBreakBefore w:val="0"/>
        <w:wordWrap w:val="0"/>
        <w:overflowPunct/>
        <w:topLinePunct w:val="0"/>
        <w:bidi w:val="0"/>
        <w:spacing w:line="360" w:lineRule="auto"/>
        <w:ind w:firstLine="420" w:firstLineChars="200"/>
        <w:rPr>
          <w:rFonts w:ascii="宋体" w:hAnsi="宋体" w:cs="宋体"/>
          <w:bCs/>
          <w:color w:val="auto"/>
          <w:sz w:val="24"/>
          <w:szCs w:val="21"/>
          <w:highlight w:val="none"/>
          <w:shd w:val="clear" w:color="auto" w:fill="FFFFFF"/>
        </w:rPr>
      </w:pPr>
      <w:r>
        <w:rPr>
          <w:rFonts w:hint="eastAsia" w:ascii="宋体" w:hAnsi="宋体" w:cs="宋体"/>
          <w:bCs/>
          <w:color w:val="auto"/>
          <w:szCs w:val="21"/>
          <w:highlight w:val="none"/>
        </w:rPr>
        <w:t>6.3根据《政府采购促进中小企业发展管理办法》（财库[2020]46号）第九条、</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4A345A7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7.转包与分包             </w:t>
      </w:r>
    </w:p>
    <w:p w14:paraId="6FFB257E">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39E7E648">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7.2根据《政府采购促进中小企业发展管理办法》（财库[2020]46号）第九条及、</w:t>
      </w:r>
      <w:r>
        <w:rPr>
          <w:rFonts w:hint="eastAsia" w:ascii="宋体" w:hAnsi="宋体" w:cs="宋体"/>
          <w:color w:val="auto"/>
          <w:highlight w:val="none"/>
        </w:rPr>
        <w:t>《广西壮族自治区财政厅关于贯彻落实政府采购支持中小企业发展政策的通知》（桂财采〔2022〕31号）</w:t>
      </w:r>
      <w:r>
        <w:rPr>
          <w:rFonts w:hint="eastAsia" w:ascii="宋体" w:hAnsi="宋体" w:cs="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E94BFC5">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199" w:name="_Toc254970673"/>
      <w:bookmarkStart w:id="200" w:name="_Toc254970532"/>
      <w:r>
        <w:rPr>
          <w:rFonts w:hint="eastAsia" w:ascii="宋体" w:hAnsi="宋体" w:cs="宋体"/>
          <w:color w:val="auto"/>
          <w:sz w:val="24"/>
          <w:highlight w:val="none"/>
        </w:rPr>
        <w:t>8.特别说明：</w:t>
      </w:r>
      <w:bookmarkEnd w:id="199"/>
      <w:bookmarkEnd w:id="200"/>
      <w:bookmarkStart w:id="201" w:name="_8.1提供相同品牌产品且通过资格审查、符合性审查的不同投标人参加同一合"/>
      <w:bookmarkEnd w:id="201"/>
    </w:p>
    <w:p w14:paraId="3E39EC42">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8.1如果本招标文件要求投标人提供资格、信誉、荣誉、业绩与企业认证等材料的，则投标人所提供的以上材料必须为投标人所拥有。</w:t>
      </w:r>
    </w:p>
    <w:p w14:paraId="64835716">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8.2投标人应仔细阅读招标文件的所有内容，按照招标文件的要求提交投标文件，并对所提供的全部资料的真实性承担法律责任。</w:t>
      </w:r>
    </w:p>
    <w:p w14:paraId="78081B62">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588F8E9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9.回避与串通投标</w:t>
      </w:r>
    </w:p>
    <w:p w14:paraId="3B55DB91">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9.1在政府采购活动中，采购人员及相关人员与供应商有下列利害关系之一的，应当回避：</w:t>
      </w:r>
    </w:p>
    <w:p w14:paraId="2201294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（1）参加采购活动前3年内与供应商存在劳动关系；</w:t>
      </w:r>
    </w:p>
    <w:p w14:paraId="3919FA3A">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（2）参加采购活动前3年内担任供应商的董事、监事；</w:t>
      </w:r>
    </w:p>
    <w:p w14:paraId="3286697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57328E8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290FF0A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4DD2307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63E9B4D">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9.2有下列情形之一的视为投标人相互串通投标，投标文件将被视为无效：</w:t>
      </w:r>
    </w:p>
    <w:p w14:paraId="7F407615">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（1）不同投标人的投标文件由同一单位或者个人编制；或者不同投标人报名的IP地址一致的；或者编制标书硬件设备CPU编号、硬盘编号、网卡地址一致的情况。</w:t>
      </w:r>
    </w:p>
    <w:p w14:paraId="561C8938">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（2）不同投标人委托同一单位或者个人办理投标事宜；</w:t>
      </w:r>
    </w:p>
    <w:p w14:paraId="69626A70">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（3）不同的投标人的投标文件载明的项目管理员为同一个人；</w:t>
      </w:r>
    </w:p>
    <w:p w14:paraId="544700E2">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（4）不同投标人的电子或纸质投标文件异常一致或者投标报价呈规律性差异；</w:t>
      </w:r>
    </w:p>
    <w:p w14:paraId="69752D00">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（5）不同投标人的纸质投标文件相互混装；</w:t>
      </w:r>
    </w:p>
    <w:p w14:paraId="644A7B47">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9.3供应商有下列情形之一的，属于恶意串通行为，将报同级监督管理部门：</w:t>
      </w:r>
    </w:p>
    <w:p w14:paraId="6361DCB0">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（1）供应商直接或者间接从采购人或者采购代理机构处获得其他供应商的相关信息并修改其投标文件或者投标文件；</w:t>
      </w:r>
    </w:p>
    <w:p w14:paraId="389ADDA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（2）供应商按照采购人或者采购代理机构的授意撤换、修改投标文件或者投标文件；</w:t>
      </w:r>
    </w:p>
    <w:p w14:paraId="09702B2A">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（3）供应商之间协商报价、技术方案等投标文件或者投标文件的实质性内容；</w:t>
      </w:r>
    </w:p>
    <w:p w14:paraId="3B17A601">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（4）属于同一集团、协会、商会等组织成员的供应商按照该组织要求协同参加政府采购活动；</w:t>
      </w:r>
    </w:p>
    <w:p w14:paraId="64FC98ED">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（5）供应商之间事先约定一致抬高或者压低投标报价，或者在招标项目中事先约定轮流以高价位或者低价位中标，或者事先约定由某一特定供应商中标，然后再参加投标；</w:t>
      </w:r>
    </w:p>
    <w:p w14:paraId="0E4AECDD">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（6）供应商之间商定部分供应商放弃参加政府采购活动或者放弃中标；</w:t>
      </w:r>
    </w:p>
    <w:p w14:paraId="2EE6E0E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（7）供应商与采购人或者采购代理机构之间、供应商相互之间，为谋求特定供应商中标或者排斥其他供应商的其他串通行为。</w:t>
      </w:r>
    </w:p>
    <w:p w14:paraId="2E826E99">
      <w:pPr>
        <w:pStyle w:val="12"/>
        <w:pageBreakBefore w:val="0"/>
        <w:wordWrap w:val="0"/>
        <w:overflowPunct/>
        <w:topLinePunct w:val="0"/>
        <w:bidi w:val="0"/>
        <w:snapToGrid w:val="0"/>
        <w:spacing w:line="360" w:lineRule="auto"/>
        <w:ind w:left="2" w:leftChars="1" w:firstLine="422" w:firstLineChars="200"/>
        <w:rPr>
          <w:rFonts w:hAnsi="宋体" w:cs="宋体"/>
          <w:b/>
          <w:color w:val="auto"/>
          <w:highlight w:val="none"/>
        </w:rPr>
      </w:pPr>
    </w:p>
    <w:p w14:paraId="3E77FF2E">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02" w:name="_Toc254970675"/>
      <w:bookmarkStart w:id="203" w:name="_Toc8119"/>
      <w:bookmarkStart w:id="204" w:name="_Toc254970534"/>
      <w:bookmarkStart w:id="205" w:name="_Toc23024"/>
      <w:r>
        <w:rPr>
          <w:rFonts w:hint="eastAsia" w:ascii="宋体" w:hAnsi="宋体" w:cs="宋体"/>
          <w:color w:val="auto"/>
          <w:highlight w:val="none"/>
        </w:rPr>
        <w:t>二、招标文件</w:t>
      </w:r>
      <w:bookmarkEnd w:id="202"/>
      <w:bookmarkEnd w:id="203"/>
      <w:bookmarkEnd w:id="204"/>
      <w:bookmarkEnd w:id="205"/>
    </w:p>
    <w:p w14:paraId="11C7CC8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10.招标文件的组成</w:t>
      </w:r>
    </w:p>
    <w:p w14:paraId="461DC9E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第一章 招标公告；</w:t>
      </w:r>
    </w:p>
    <w:p w14:paraId="13914D5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第二章 采购需求； </w:t>
      </w:r>
    </w:p>
    <w:p w14:paraId="0792E2CC">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第三章 投标人须知；</w:t>
      </w:r>
    </w:p>
    <w:p w14:paraId="40CDD9F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第四章 评标方法及评标标准；</w:t>
      </w:r>
    </w:p>
    <w:p w14:paraId="3507935C">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第五章 拟签订的合同文本；</w:t>
      </w:r>
    </w:p>
    <w:p w14:paraId="1D8DBC09">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第六章 投标文件格式；</w:t>
      </w:r>
    </w:p>
    <w:p w14:paraId="53F976E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第七章 质疑、投诉材料格式</w:t>
      </w:r>
    </w:p>
    <w:p w14:paraId="527B5CD7">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6B8C0B3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14:paraId="1EBE1F18">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114E56F">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11.2 投标人应认真审阅本公开招标文件，如有疑问，或发现其中有误或有要求不合理的，应在投标人须知前附表规定的</w:t>
      </w:r>
      <w:r>
        <w:rPr>
          <w:rFonts w:hint="eastAsia" w:ascii="宋体" w:hAnsi="宋体" w:cs="宋体"/>
          <w:color w:val="auto"/>
          <w:kern w:val="0"/>
          <w:szCs w:val="21"/>
          <w:highlight w:val="none"/>
        </w:rPr>
        <w:t>投标截止时间</w:t>
      </w:r>
      <w:r>
        <w:rPr>
          <w:rFonts w:hint="eastAsia" w:ascii="宋体" w:hAnsi="宋体" w:cs="宋体"/>
          <w:color w:val="auto"/>
          <w:highlight w:val="none"/>
        </w:rPr>
        <w:t>前以书面形式要求采购人或采购代理机构对招标文件予以澄清；否则，由此产生的后果由投标人自行负责。</w:t>
      </w:r>
    </w:p>
    <w:p w14:paraId="3BD3E85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color w:val="auto"/>
          <w:szCs w:val="21"/>
          <w:highlight w:val="none"/>
        </w:rPr>
        <w:t>投标人须知前附表”</w:t>
      </w:r>
      <w:r>
        <w:rPr>
          <w:rFonts w:hint="eastAsia" w:ascii="宋体" w:hAnsi="宋体" w:cs="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449C35C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11.4 采购人和采购代理机构可以视采购具体情况，变更投标截止时间和开标时间，将变更时间将在“</w:t>
      </w:r>
      <w:r>
        <w:rPr>
          <w:rFonts w:hint="eastAsia" w:ascii="宋体" w:hAnsi="宋体" w:cs="宋体"/>
          <w:color w:val="auto"/>
          <w:szCs w:val="21"/>
          <w:highlight w:val="none"/>
        </w:rPr>
        <w:t>投标人须知前附表”</w:t>
      </w:r>
      <w:r>
        <w:rPr>
          <w:rFonts w:hint="eastAsia" w:ascii="宋体" w:hAnsi="宋体" w:cs="宋体"/>
          <w:color w:val="auto"/>
          <w:kern w:val="0"/>
          <w:szCs w:val="21"/>
          <w:highlight w:val="none"/>
        </w:rPr>
        <w:t>规定的政府采购信息发布媒体上</w:t>
      </w:r>
      <w:r>
        <w:rPr>
          <w:rFonts w:hint="eastAsia" w:ascii="宋体" w:hAnsi="宋体" w:cs="宋体"/>
          <w:color w:val="auto"/>
          <w:highlight w:val="none"/>
        </w:rPr>
        <w:t>发布更正公告。</w:t>
      </w:r>
    </w:p>
    <w:p w14:paraId="62ED88D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11.</w:t>
      </w:r>
      <w:bookmarkStart w:id="206" w:name="_Hlk53134511"/>
      <w:r>
        <w:rPr>
          <w:rFonts w:hint="eastAsia" w:ascii="宋体" w:hAnsi="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206"/>
    <w:p w14:paraId="58C26EEA">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07" w:name="_Toc254970676"/>
      <w:bookmarkStart w:id="208" w:name="_Toc19720"/>
      <w:bookmarkStart w:id="209" w:name="_Toc21817"/>
      <w:bookmarkStart w:id="210" w:name="_Toc254970535"/>
      <w:r>
        <w:rPr>
          <w:rFonts w:hint="eastAsia" w:ascii="宋体" w:hAnsi="宋体" w:cs="宋体"/>
          <w:color w:val="auto"/>
          <w:highlight w:val="none"/>
        </w:rPr>
        <w:t>三、投标文件的编制</w:t>
      </w:r>
      <w:bookmarkEnd w:id="207"/>
      <w:bookmarkEnd w:id="208"/>
      <w:bookmarkEnd w:id="209"/>
      <w:bookmarkEnd w:id="210"/>
    </w:p>
    <w:p w14:paraId="2FCBEA00">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11" w:name="_Toc254970536"/>
      <w:bookmarkStart w:id="212" w:name="_Toc254970677"/>
      <w:r>
        <w:rPr>
          <w:rFonts w:hint="eastAsia" w:ascii="宋体" w:hAnsi="宋体" w:cs="宋体"/>
          <w:color w:val="auto"/>
          <w:sz w:val="24"/>
          <w:highlight w:val="none"/>
        </w:rPr>
        <w:t>12.投标文件的编制原则</w:t>
      </w:r>
    </w:p>
    <w:p w14:paraId="5B1443F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12.1投标人必须按照招标文件的要求编制投标文件。投标文件必须对招标文件提出的要求和条件作出明确响应。</w:t>
      </w:r>
    </w:p>
    <w:p w14:paraId="41A67C9D">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5908AA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13.投标文件的组成</w:t>
      </w:r>
      <w:bookmarkEnd w:id="211"/>
      <w:bookmarkEnd w:id="212"/>
    </w:p>
    <w:p w14:paraId="321D1D94">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13.1投标文件由报价文件、资格证明文件、商务文件、技术文件四部分组成。</w:t>
      </w:r>
    </w:p>
    <w:p w14:paraId="7C79997D">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13" w:name="_13.2资格证明文件：具体材料见“投标人须知前附表”。"/>
      <w:bookmarkEnd w:id="213"/>
      <w:bookmarkStart w:id="214" w:name="_13.1报价文件:_具体材料见“投标人须知前附表”。"/>
      <w:bookmarkEnd w:id="214"/>
      <w:r>
        <w:rPr>
          <w:rFonts w:hint="eastAsia" w:ascii="宋体" w:hAnsi="宋体" w:cs="宋体"/>
          <w:bCs/>
          <w:color w:val="auto"/>
          <w:szCs w:val="21"/>
          <w:highlight w:val="none"/>
        </w:rPr>
        <w:t>（1）资格证明文件：具体材料见“投标人须知前附表”。</w:t>
      </w:r>
    </w:p>
    <w:p w14:paraId="1E5BBF25">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15" w:name="_13.3商务文件:_具体材料见“投标人须知前附表”。"/>
      <w:bookmarkEnd w:id="215"/>
      <w:r>
        <w:rPr>
          <w:rFonts w:hint="eastAsia" w:ascii="宋体" w:hAnsi="宋体" w:cs="宋体"/>
          <w:bCs/>
          <w:color w:val="auto"/>
          <w:szCs w:val="21"/>
          <w:highlight w:val="none"/>
        </w:rPr>
        <w:t>（2）商务文件：具体材料见“投标人须知前附表”。</w:t>
      </w:r>
    </w:p>
    <w:p w14:paraId="7F489FEB">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16" w:name="_13.4技术文件：具体材料见“投标人须知前附表”。"/>
      <w:bookmarkEnd w:id="216"/>
      <w:r>
        <w:rPr>
          <w:rFonts w:hint="eastAsia" w:ascii="宋体" w:hAnsi="宋体" w:cs="宋体"/>
          <w:bCs/>
          <w:color w:val="auto"/>
          <w:szCs w:val="21"/>
          <w:highlight w:val="none"/>
        </w:rPr>
        <w:t xml:space="preserve">（3）技术文件：具体材料见“投标人须知前附表”。 </w:t>
      </w:r>
    </w:p>
    <w:p w14:paraId="00A58B22">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（4）报价文件： 具体材料见“投标人须知前附表”。</w:t>
      </w:r>
    </w:p>
    <w:p w14:paraId="11CAD16E">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17" w:name="_13.5投标文件电子版：具体材料见“投标人须知前附表”。"/>
      <w:bookmarkEnd w:id="217"/>
      <w:r>
        <w:rPr>
          <w:rFonts w:hint="eastAsia" w:ascii="宋体" w:hAnsi="宋体" w:cs="宋体"/>
          <w:bCs/>
          <w:color w:val="auto"/>
          <w:szCs w:val="21"/>
          <w:highlight w:val="none"/>
        </w:rPr>
        <w:t>13.2投标文件电子版：具体要求见本节19.投标文件编制。</w:t>
      </w:r>
    </w:p>
    <w:p w14:paraId="30F0DE3C">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18" w:name="_Toc254970537"/>
      <w:bookmarkStart w:id="219" w:name="_Toc254970678"/>
      <w:r>
        <w:rPr>
          <w:rFonts w:hint="eastAsia" w:ascii="宋体" w:hAnsi="宋体" w:cs="宋体"/>
          <w:color w:val="auto"/>
          <w:sz w:val="24"/>
          <w:highlight w:val="none"/>
        </w:rPr>
        <w:t>14.投标文件的语言及计量</w:t>
      </w:r>
      <w:bookmarkEnd w:id="218"/>
      <w:bookmarkEnd w:id="219"/>
    </w:p>
    <w:p w14:paraId="73CF3F19">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14.1语言文字</w:t>
      </w:r>
    </w:p>
    <w:p w14:paraId="1D629F3F">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A5D3A9F">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14.2投标计量单位</w:t>
      </w:r>
    </w:p>
    <w:p w14:paraId="6E2C6C43">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650886C5">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20" w:name="_Toc254970538"/>
      <w:bookmarkStart w:id="221" w:name="_Toc254970679"/>
      <w:r>
        <w:rPr>
          <w:rFonts w:hint="eastAsia" w:ascii="宋体" w:hAnsi="宋体" w:cs="宋体"/>
          <w:color w:val="auto"/>
          <w:sz w:val="24"/>
          <w:highlight w:val="none"/>
        </w:rPr>
        <w:t xml:space="preserve">15.投标文件提交的风险 </w:t>
      </w:r>
    </w:p>
    <w:p w14:paraId="7759CC7B">
      <w:pPr>
        <w:pageBreakBefore w:val="0"/>
        <w:wordWrap w:val="0"/>
        <w:overflowPunct/>
        <w:topLinePunct w:val="0"/>
        <w:bidi w:val="0"/>
        <w:spacing w:line="360" w:lineRule="auto"/>
        <w:ind w:firstLine="420" w:firstLineChars="200"/>
        <w:rPr>
          <w:rFonts w:ascii="宋体" w:hAnsi="宋体" w:cs="宋体"/>
          <w:bCs/>
          <w:color w:val="auto"/>
          <w:szCs w:val="20"/>
          <w:highlight w:val="none"/>
        </w:rPr>
      </w:pPr>
      <w:r>
        <w:rPr>
          <w:rFonts w:hint="eastAsia" w:ascii="宋体" w:hAnsi="宋体" w:cs="宋体"/>
          <w:bCs/>
          <w:color w:val="auto"/>
          <w:szCs w:val="20"/>
          <w:highlight w:val="none"/>
        </w:rPr>
        <w:t>投标文件分为资格文件、商务文件、技术文件、报价文件四部分（其中：商务文件与技术文件合并编辑 成一个电子文档）。各投标人在编制投标文件时请按照招标文件规定的编排格式进行，不按要求提交齐全 的文件、混乱的编排导致投标文件被误读或评标委员会查找不到有效文件是造成投标人投标文件无效的风 险。▲投标文件内容不齐全、未按规定的文件格式编制的、没有对招标文件作出实质性响应，投标无效；</w:t>
      </w:r>
    </w:p>
    <w:p w14:paraId="3FFF712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16.投标报价</w:t>
      </w:r>
      <w:bookmarkEnd w:id="220"/>
      <w:bookmarkEnd w:id="221"/>
    </w:p>
    <w:p w14:paraId="5D8381A8">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16.1投标报价应</w:t>
      </w:r>
      <w:r>
        <w:rPr>
          <w:rFonts w:hint="eastAsia" w:ascii="宋体" w:hAnsi="宋体" w:cs="宋体"/>
          <w:bCs/>
          <w:color w:val="auto"/>
          <w:szCs w:val="20"/>
          <w:highlight w:val="none"/>
        </w:rPr>
        <w:t>按“第六章　投标文件格式”中“开标一览表”格式填写。</w:t>
      </w:r>
    </w:p>
    <w:p w14:paraId="5D92FD5F">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22" w:name="_16.2投标报价具体定义见投标人须知前附表。"/>
      <w:bookmarkEnd w:id="222"/>
      <w:r>
        <w:rPr>
          <w:rFonts w:hint="eastAsia" w:ascii="宋体" w:hAnsi="宋体" w:cs="宋体"/>
          <w:bCs/>
          <w:color w:val="auto"/>
          <w:szCs w:val="21"/>
          <w:highlight w:val="none"/>
        </w:rPr>
        <w:t>16.2投标报价具体包括内容详见“投标人须知前附表”。</w:t>
      </w:r>
    </w:p>
    <w:p w14:paraId="02E586F1">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16.3投标人必须就所投每个分标的全部内容分别作完整唯一总价报价，不得存在漏项报价；投标人必须就所投分标的单项内容作唯一报价。</w:t>
      </w:r>
    </w:p>
    <w:p w14:paraId="5C4A4BE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17.投标有效期</w:t>
      </w:r>
    </w:p>
    <w:p w14:paraId="77F45D68">
      <w:pPr>
        <w:pageBreakBefore w:val="0"/>
        <w:wordWrap w:val="0"/>
        <w:overflowPunct/>
        <w:topLinePunct w:val="0"/>
        <w:bidi w:val="0"/>
        <w:spacing w:line="360" w:lineRule="auto"/>
        <w:ind w:firstLine="420" w:firstLineChars="200"/>
        <w:rPr>
          <w:rFonts w:ascii="宋体" w:hAnsi="宋体" w:cs="宋体"/>
          <w:bCs/>
          <w:color w:val="auto"/>
          <w:szCs w:val="21"/>
          <w:highlight w:val="none"/>
        </w:rPr>
      </w:pPr>
      <w:bookmarkStart w:id="223" w:name="_17.1投标有效期应按“投标人须知中的前附表”规定的期限。"/>
      <w:bookmarkEnd w:id="223"/>
      <w:r>
        <w:rPr>
          <w:rFonts w:hint="eastAsia" w:ascii="宋体" w:hAnsi="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14:paraId="53495CB6">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17.2</w:t>
      </w:r>
      <w:bookmarkStart w:id="224" w:name="_Toc254970681"/>
      <w:bookmarkStart w:id="225" w:name="_Toc254970540"/>
      <w:r>
        <w:rPr>
          <w:rFonts w:hint="eastAsia" w:ascii="宋体" w:hAnsi="宋体" w:cs="宋体"/>
          <w:bCs/>
          <w:color w:val="auto"/>
          <w:szCs w:val="21"/>
          <w:highlight w:val="none"/>
        </w:rPr>
        <w:t xml:space="preserve"> 投标有效期应按规定的期限作出承诺，具体详见“投标人须知前附表”。</w:t>
      </w:r>
    </w:p>
    <w:p w14:paraId="23C7B2EC">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17.3投标人的投标文件在投标有效期内均保持有效。</w:t>
      </w:r>
      <w:bookmarkEnd w:id="224"/>
      <w:bookmarkEnd w:id="225"/>
    </w:p>
    <w:p w14:paraId="7D85ED4B">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26" w:name="_18.投标保证金"/>
      <w:bookmarkEnd w:id="226"/>
      <w:bookmarkStart w:id="227" w:name="_Toc254970682"/>
      <w:bookmarkStart w:id="228" w:name="_Toc254970541"/>
      <w:r>
        <w:rPr>
          <w:rFonts w:hint="eastAsia" w:ascii="宋体" w:hAnsi="宋体" w:cs="宋体"/>
          <w:color w:val="auto"/>
          <w:sz w:val="24"/>
          <w:highlight w:val="none"/>
        </w:rPr>
        <w:t>18.投标保证金</w:t>
      </w:r>
      <w:bookmarkEnd w:id="227"/>
      <w:bookmarkEnd w:id="228"/>
    </w:p>
    <w:p w14:paraId="75B34DF1">
      <w:pPr>
        <w:pageBreakBefore w:val="0"/>
        <w:wordWrap w:val="0"/>
        <w:overflowPunct/>
        <w:topLinePunct w:val="0"/>
        <w:bidi w:val="0"/>
        <w:spacing w:line="360" w:lineRule="auto"/>
        <w:ind w:firstLine="420" w:firstLineChars="200"/>
        <w:rPr>
          <w:rFonts w:ascii="宋体" w:hAnsi="宋体" w:cs="宋体"/>
          <w:color w:val="auto"/>
          <w:szCs w:val="21"/>
          <w:highlight w:val="none"/>
        </w:rPr>
      </w:pPr>
      <w:bookmarkStart w:id="229" w:name="_Toc254970542"/>
      <w:bookmarkStart w:id="230" w:name="_Toc254970683"/>
      <w:r>
        <w:rPr>
          <w:rFonts w:hint="eastAsia" w:ascii="宋体" w:hAnsi="宋体" w:cs="宋体"/>
          <w:color w:val="auto"/>
          <w:szCs w:val="21"/>
          <w:highlight w:val="none"/>
        </w:rPr>
        <w:t>见“投标人须知前附表”。</w:t>
      </w:r>
    </w:p>
    <w:p w14:paraId="0F9B06D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19.投标文件的</w:t>
      </w:r>
      <w:bookmarkEnd w:id="229"/>
      <w:bookmarkEnd w:id="230"/>
      <w:r>
        <w:rPr>
          <w:rFonts w:hint="eastAsia" w:ascii="宋体" w:hAnsi="宋体" w:cs="宋体"/>
          <w:color w:val="auto"/>
          <w:sz w:val="24"/>
          <w:highlight w:val="none"/>
        </w:rPr>
        <w:t>编制</w:t>
      </w:r>
    </w:p>
    <w:p w14:paraId="03B3C002">
      <w:pPr>
        <w:pageBreakBefore w:val="0"/>
        <w:wordWrap w:val="0"/>
        <w:overflowPunct/>
        <w:topLinePunct w:val="0"/>
        <w:bidi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231" w:name="_19.2投标文件应按报价文件、资格证明文件、商务文件、技术文件分别编制"/>
      <w:bookmarkEnd w:id="231"/>
      <w:r>
        <w:rPr>
          <w:rFonts w:hint="eastAsia" w:ascii="宋体" w:hAnsi="宋体" w:cs="宋体"/>
          <w:color w:val="auto"/>
          <w:szCs w:val="21"/>
          <w:highlight w:val="none"/>
        </w:rPr>
        <w:t xml:space="preserve"> </w:t>
      </w:r>
    </w:p>
    <w:p w14:paraId="5E1E6B94">
      <w:pPr>
        <w:pStyle w:val="29"/>
        <w:pageBreakBefore w:val="0"/>
        <w:wordWrap w:val="0"/>
        <w:overflowPunct/>
        <w:topLinePunct w:val="0"/>
        <w:bidi w:val="0"/>
        <w:snapToGrid w:val="0"/>
        <w:spacing w:before="0"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19.2投标文件按照招标文件第六章格式要求在规定位置进行签署、盖章。投标人的投标文件未按照招标文件要求签署、盖章的，</w:t>
      </w:r>
      <w:r>
        <w:rPr>
          <w:rFonts w:hint="eastAsia" w:ascii="宋体" w:hAnsi="宋体" w:cs="宋体"/>
          <w:b/>
          <w:color w:val="auto"/>
          <w:sz w:val="21"/>
          <w:szCs w:val="21"/>
          <w:highlight w:val="none"/>
        </w:rPr>
        <w:t>其投标无效。</w:t>
      </w:r>
      <w:r>
        <w:rPr>
          <w:rFonts w:hint="eastAsia" w:ascii="宋体" w:hAnsi="宋体" w:cs="宋体"/>
          <w:color w:val="auto"/>
          <w:sz w:val="21"/>
          <w:szCs w:val="21"/>
          <w:highlight w:val="none"/>
        </w:rPr>
        <w:t>骑缝盖公章不视为在规定位置盖章。</w:t>
      </w:r>
    </w:p>
    <w:p w14:paraId="1A712BB8">
      <w:pPr>
        <w:pStyle w:val="29"/>
        <w:pageBreakBefore w:val="0"/>
        <w:wordWrap w:val="0"/>
        <w:overflowPunct/>
        <w:topLinePunct w:val="0"/>
        <w:bidi w:val="0"/>
        <w:snapToGrid w:val="0"/>
        <w:spacing w:before="0"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19.3为确保网上操作合法、有效和安全，投标人应当在投标截止时间前完成在广西政府采购云平台的身份认证，确保在电子投标过程中能够对相关数据电文进行加密和使用电子签名。</w:t>
      </w:r>
    </w:p>
    <w:p w14:paraId="13E63D3F">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s="宋体"/>
          <w:color w:val="auto"/>
          <w:szCs w:val="21"/>
          <w:highlight w:val="none"/>
        </w:rPr>
        <w:t>否则作无效投标处理</w:t>
      </w:r>
      <w:r>
        <w:rPr>
          <w:rFonts w:hint="eastAsia" w:ascii="宋体" w:hAnsi="宋体" w:cs="宋体"/>
          <w:b/>
          <w:color w:val="auto"/>
          <w:szCs w:val="21"/>
          <w:highlight w:val="none"/>
        </w:rPr>
        <w:t>。</w:t>
      </w:r>
    </w:p>
    <w:p w14:paraId="192E8FE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 19.5投标文件应避免涂改、行间插字或者删除，</w:t>
      </w:r>
      <w:r>
        <w:rPr>
          <w:rFonts w:hint="eastAsia" w:ascii="宋体" w:hAnsi="宋体" w:cs="宋体"/>
          <w:b/>
          <w:color w:val="auto"/>
          <w:szCs w:val="21"/>
          <w:highlight w:val="none"/>
        </w:rPr>
        <w:t>否则其投标无效。</w:t>
      </w:r>
    </w:p>
    <w:p w14:paraId="7B8750D2">
      <w:pPr>
        <w:pageBreakBefore w:val="0"/>
        <w:wordWrap w:val="0"/>
        <w:overflowPunct/>
        <w:topLinePunct w:val="0"/>
        <w:bidi w:val="0"/>
        <w:spacing w:line="360" w:lineRule="auto"/>
        <w:ind w:firstLine="525" w:firstLineChars="250"/>
        <w:rPr>
          <w:rFonts w:ascii="宋体" w:hAnsi="宋体" w:cs="宋体"/>
          <w:color w:val="auto"/>
          <w:highlight w:val="none"/>
        </w:rPr>
      </w:pPr>
      <w:r>
        <w:rPr>
          <w:rFonts w:hint="eastAsia" w:ascii="宋体" w:hAnsi="宋体" w:cs="宋体"/>
          <w:color w:val="auto"/>
          <w:highlight w:val="none"/>
        </w:rPr>
        <w:t>19.6 对招标文件的实质性要求和条件作出响应是指投标人必须对招标文件中标注为实质性要求和条件的</w:t>
      </w:r>
      <w:r>
        <w:rPr>
          <w:rFonts w:hint="eastAsia" w:ascii="宋体" w:hAnsi="宋体" w:cs="宋体"/>
          <w:color w:val="auto"/>
          <w:szCs w:val="21"/>
          <w:highlight w:val="none"/>
        </w:rPr>
        <w:t>服务内容及要求</w:t>
      </w:r>
      <w:r>
        <w:rPr>
          <w:rFonts w:hint="eastAsia" w:ascii="宋体" w:hAnsi="宋体" w:cs="宋体"/>
          <w:color w:val="auto"/>
          <w:highlight w:val="none"/>
        </w:rPr>
        <w:t>、商务条款及其它内容</w:t>
      </w:r>
      <w:r>
        <w:rPr>
          <w:rFonts w:hint="eastAsia" w:ascii="宋体" w:hAnsi="宋体" w:cs="宋体"/>
          <w:b/>
          <w:color w:val="auto"/>
          <w:highlight w:val="none"/>
        </w:rPr>
        <w:t>作出满足或者优于原要求和条件的承诺</w:t>
      </w:r>
      <w:r>
        <w:rPr>
          <w:rFonts w:hint="eastAsia" w:ascii="宋体" w:hAnsi="宋体" w:cs="宋体"/>
          <w:color w:val="auto"/>
          <w:highlight w:val="none"/>
        </w:rPr>
        <w:t>。</w:t>
      </w:r>
    </w:p>
    <w:p w14:paraId="0C27813A">
      <w:pPr>
        <w:pageBreakBefore w:val="0"/>
        <w:wordWrap w:val="0"/>
        <w:overflowPunct/>
        <w:topLinePunct w:val="0"/>
        <w:bidi w:val="0"/>
        <w:spacing w:line="360" w:lineRule="auto"/>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19.7本项目为南宁市全流程电子化项目，异常情况见“第二节 投标人须知正文”中“四、24.2开标程序。</w:t>
      </w:r>
    </w:p>
    <w:p w14:paraId="62EFDC4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20.备份投标文件</w:t>
      </w:r>
    </w:p>
    <w:p w14:paraId="0FA170A4">
      <w:pPr>
        <w:pageBreakBefore w:val="0"/>
        <w:wordWrap w:val="0"/>
        <w:overflowPunct/>
        <w:topLinePunct w:val="0"/>
        <w:bidi w:val="0"/>
        <w:spacing w:line="360" w:lineRule="auto"/>
        <w:ind w:firstLine="420" w:firstLineChars="200"/>
        <w:rPr>
          <w:rFonts w:ascii="宋体" w:hAnsi="宋体" w:cs="宋体"/>
          <w:color w:val="auto"/>
          <w:sz w:val="24"/>
          <w:highlight w:val="none"/>
        </w:rPr>
      </w:pPr>
      <w:r>
        <w:rPr>
          <w:rFonts w:hint="eastAsia" w:ascii="宋体" w:hAnsi="宋体" w:cs="宋体"/>
          <w:bCs/>
          <w:color w:val="auto"/>
          <w:szCs w:val="21"/>
          <w:highlight w:val="none"/>
        </w:rPr>
        <w:t>详见在“投标人须知前附表”。</w:t>
      </w:r>
    </w:p>
    <w:p w14:paraId="2AF20C5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21.投标文件的提交</w:t>
      </w:r>
    </w:p>
    <w:p w14:paraId="722EB7BA">
      <w:pPr>
        <w:pageBreakBefore w:val="0"/>
        <w:wordWrap w:val="0"/>
        <w:overflowPunct/>
        <w:topLinePunct w:val="0"/>
        <w:bidi w:val="0"/>
        <w:spacing w:line="360" w:lineRule="auto"/>
        <w:ind w:firstLine="420" w:firstLineChars="200"/>
        <w:rPr>
          <w:rFonts w:hint="eastAsia" w:ascii="宋体" w:hAnsi="宋体" w:cs="宋体"/>
          <w:bCs/>
          <w:color w:val="auto"/>
          <w:szCs w:val="21"/>
          <w:highlight w:val="none"/>
        </w:rPr>
      </w:pPr>
      <w:bookmarkStart w:id="232" w:name="_21.1投标人必须在“投标人须知中的前附表”规定的投标文件接收时间和投"/>
      <w:bookmarkEnd w:id="232"/>
      <w:r>
        <w:rPr>
          <w:rFonts w:hint="eastAsia" w:ascii="宋体" w:hAnsi="宋体" w:cs="宋体"/>
          <w:bCs/>
          <w:color w:val="auto"/>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bCs/>
          <w:color w:val="auto"/>
          <w:szCs w:val="21"/>
          <w:highlight w:val="none"/>
          <w:lang w:val="en-US" w:eastAsia="zh-CN"/>
        </w:rPr>
        <w:t>广西采购</w:t>
      </w:r>
      <w:r>
        <w:rPr>
          <w:rFonts w:hint="eastAsia" w:ascii="宋体" w:hAnsi="宋体" w:cs="宋体"/>
          <w:bCs/>
          <w:color w:val="auto"/>
          <w:szCs w:val="21"/>
          <w:highlight w:val="none"/>
        </w:rPr>
        <w:t>云平台”。</w:t>
      </w:r>
    </w:p>
    <w:p w14:paraId="2755F734">
      <w:pPr>
        <w:pageBreakBefore w:val="0"/>
        <w:wordWrap w:val="0"/>
        <w:overflowPunct/>
        <w:topLinePunct w:val="0"/>
        <w:bidi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21.2未在规定时间内提交或者未按照招标文件要求密封或者标记的电子投标文件，广西政府采购云平台将拒收。</w:t>
      </w:r>
    </w:p>
    <w:p w14:paraId="3CB0156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21.3电子版投标文件提交方式见“招标公告”中“四、提交投标文件截止时间、开标时间和地点”</w:t>
      </w:r>
      <w:r>
        <w:rPr>
          <w:rFonts w:hint="eastAsia" w:ascii="宋体" w:hAnsi="宋体" w:cs="宋体"/>
          <w:b/>
          <w:color w:val="auto"/>
          <w:szCs w:val="21"/>
          <w:highlight w:val="none"/>
        </w:rPr>
        <w:t xml:space="preserve"> 。</w:t>
      </w:r>
    </w:p>
    <w:p w14:paraId="63829DF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投标文件的补充、修改、撤回与退回</w:t>
      </w:r>
      <w:bookmarkStart w:id="233" w:name="_Toc254970543"/>
      <w:bookmarkStart w:id="234" w:name="_Toc254970684"/>
    </w:p>
    <w:p w14:paraId="30B9AED2">
      <w:pPr>
        <w:pageBreakBefore w:val="0"/>
        <w:wordWrap w:val="0"/>
        <w:overflowPunct/>
        <w:topLinePunct w:val="0"/>
        <w:bidi w:val="0"/>
        <w:spacing w:line="360" w:lineRule="auto"/>
        <w:ind w:firstLine="420" w:firstLineChars="200"/>
        <w:rPr>
          <w:rFonts w:ascii="宋体" w:hAnsi="宋体" w:cs="宋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bookmarkEnd w:id="233"/>
    <w:bookmarkEnd w:id="234"/>
    <w:p w14:paraId="628C2A31">
      <w:pPr>
        <w:pStyle w:val="29"/>
        <w:pageBreakBefore w:val="0"/>
        <w:wordWrap w:val="0"/>
        <w:overflowPunct/>
        <w:topLinePunct w:val="0"/>
        <w:bidi w:val="0"/>
        <w:spacing w:before="0"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p w14:paraId="16AAC12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5C8F599F">
      <w:pPr>
        <w:pStyle w:val="10"/>
        <w:pageBreakBefore w:val="0"/>
        <w:wordWrap w:val="0"/>
        <w:overflowPunct/>
        <w:topLinePunct w:val="0"/>
        <w:bidi w:val="0"/>
        <w:snapToGrid w:val="0"/>
        <w:spacing w:line="360" w:lineRule="auto"/>
        <w:ind w:firstLine="739"/>
        <w:rPr>
          <w:rFonts w:hAnsi="宋体" w:cs="宋体"/>
          <w:snapToGrid w:val="0"/>
          <w:color w:val="auto"/>
          <w:sz w:val="21"/>
          <w:szCs w:val="21"/>
          <w:highlight w:val="none"/>
        </w:rPr>
      </w:pPr>
    </w:p>
    <w:p w14:paraId="685D819E">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35" w:name="_Toc21193"/>
      <w:bookmarkStart w:id="236" w:name="_Toc254970685"/>
      <w:bookmarkStart w:id="237" w:name="_Toc19841"/>
      <w:bookmarkStart w:id="238" w:name="_Toc254970544"/>
      <w:r>
        <w:rPr>
          <w:rFonts w:hint="eastAsia" w:ascii="宋体" w:hAnsi="宋体" w:cs="宋体"/>
          <w:color w:val="auto"/>
          <w:highlight w:val="none"/>
        </w:rPr>
        <w:t>四、开    标</w:t>
      </w:r>
      <w:bookmarkEnd w:id="235"/>
      <w:bookmarkEnd w:id="236"/>
      <w:bookmarkEnd w:id="237"/>
      <w:bookmarkEnd w:id="238"/>
    </w:p>
    <w:p w14:paraId="23D5026A">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39" w:name="_23.开标时间和地点"/>
      <w:bookmarkEnd w:id="239"/>
      <w:r>
        <w:rPr>
          <w:rFonts w:hint="eastAsia" w:ascii="宋体" w:hAnsi="宋体" w:cs="宋体"/>
          <w:color w:val="auto"/>
          <w:sz w:val="24"/>
          <w:highlight w:val="none"/>
        </w:rPr>
        <w:t>23.开标时间和地点</w:t>
      </w:r>
    </w:p>
    <w:p w14:paraId="0993EE04">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23.1开标时间及地点详见“投标人须知前附表”</w:t>
      </w:r>
    </w:p>
    <w:p w14:paraId="5EA16A09">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23.2如</w:t>
      </w:r>
      <w:r>
        <w:rPr>
          <w:rFonts w:hint="eastAsia" w:ascii="宋体" w:hAnsi="宋体" w:cs="宋体"/>
          <w:bCs/>
          <w:color w:val="auto"/>
          <w:highlight w:val="none"/>
        </w:rPr>
        <w:t>投标人成功解密投标文件，但未在“</w:t>
      </w:r>
      <w:r>
        <w:rPr>
          <w:rFonts w:hint="eastAsia" w:ascii="宋体" w:hAnsi="宋体" w:cs="宋体"/>
          <w:bCs/>
          <w:color w:val="auto"/>
          <w:highlight w:val="none"/>
          <w:lang w:val="en-US" w:eastAsia="zh-CN"/>
        </w:rPr>
        <w:t>广西政府采购云平台</w:t>
      </w:r>
      <w:r>
        <w:rPr>
          <w:rFonts w:hint="eastAsia" w:ascii="宋体" w:hAnsi="宋体" w:cs="宋体"/>
          <w:bCs/>
          <w:color w:val="auto"/>
          <w:highlight w:val="none"/>
        </w:rPr>
        <w:t>”电子开标大厅参加开标的，视同认可开标过程和结果，</w:t>
      </w:r>
      <w:r>
        <w:rPr>
          <w:rFonts w:hint="eastAsia" w:ascii="宋体" w:hAnsi="宋体" w:cs="宋体"/>
          <w:color w:val="auto"/>
          <w:highlight w:val="none"/>
        </w:rPr>
        <w:t>由此产生的后果由投标人自行负责。 投标人不足3家的，不得开标。</w:t>
      </w:r>
    </w:p>
    <w:p w14:paraId="4487459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24.开标程序</w:t>
      </w:r>
    </w:p>
    <w:p w14:paraId="2CB7BA01">
      <w:pPr>
        <w:pageBreakBefore w:val="0"/>
        <w:wordWrap w:val="0"/>
        <w:overflowPunct/>
        <w:topLinePunct w:val="0"/>
        <w:autoSpaceDE w:val="0"/>
        <w:autoSpaceDN w:val="0"/>
        <w:bidi w:val="0"/>
        <w:adjustRightInd w:val="0"/>
        <w:spacing w:line="360" w:lineRule="auto"/>
        <w:ind w:firstLine="420" w:firstLineChars="200"/>
        <w:rPr>
          <w:rFonts w:ascii="宋体" w:hAnsi="宋体" w:cs="宋体"/>
          <w:color w:val="auto"/>
          <w:kern w:val="0"/>
          <w:szCs w:val="21"/>
          <w:highlight w:val="none"/>
        </w:rPr>
      </w:pPr>
      <w:r>
        <w:rPr>
          <w:rFonts w:hint="eastAsia" w:ascii="宋体" w:hAnsi="宋体" w:cs="宋体"/>
          <w:bCs/>
          <w:color w:val="auto"/>
          <w:szCs w:val="21"/>
          <w:highlight w:val="none"/>
        </w:rPr>
        <w:t>24.1</w:t>
      </w:r>
      <w:r>
        <w:rPr>
          <w:rFonts w:hint="eastAsia" w:ascii="宋体" w:hAnsi="宋体" w:cs="宋体"/>
          <w:color w:val="auto"/>
          <w:kern w:val="0"/>
          <w:szCs w:val="21"/>
          <w:highlight w:val="none"/>
        </w:rPr>
        <w:t>开标形式：</w:t>
      </w:r>
    </w:p>
    <w:p w14:paraId="326327B0">
      <w:pPr>
        <w:pageBreakBefore w:val="0"/>
        <w:wordWrap w:val="0"/>
        <w:overflowPunct/>
        <w:topLinePunct w:val="0"/>
        <w:autoSpaceDE w:val="0"/>
        <w:autoSpaceDN w:val="0"/>
        <w:bidi w:val="0"/>
        <w:adjustRightInd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4D082F75">
      <w:pPr>
        <w:pageBreakBefore w:val="0"/>
        <w:wordWrap w:val="0"/>
        <w:overflowPunct/>
        <w:topLinePunct w:val="0"/>
        <w:autoSpaceDE w:val="0"/>
        <w:autoSpaceDN w:val="0"/>
        <w:bidi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0DB913C0">
      <w:pPr>
        <w:pageBreakBefore w:val="0"/>
        <w:wordWrap w:val="0"/>
        <w:overflowPunct/>
        <w:topLinePunct w:val="0"/>
        <w:autoSpaceDE w:val="0"/>
        <w:autoSpaceDN w:val="0"/>
        <w:bidi w:val="0"/>
        <w:adjustRightIn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24.2开标程序：</w:t>
      </w:r>
    </w:p>
    <w:p w14:paraId="72202959">
      <w:pPr>
        <w:pStyle w:val="12"/>
        <w:pageBreakBefore w:val="0"/>
        <w:wordWrap w:val="0"/>
        <w:overflowPunct/>
        <w:topLinePunct w:val="0"/>
        <w:bidi w:val="0"/>
        <w:snapToGrid w:val="0"/>
        <w:spacing w:line="360" w:lineRule="auto"/>
        <w:ind w:firstLine="422" w:firstLineChars="200"/>
        <w:rPr>
          <w:rFonts w:hAnsi="宋体" w:cs="宋体"/>
          <w:color w:val="auto"/>
          <w:szCs w:val="21"/>
          <w:highlight w:val="none"/>
        </w:rPr>
      </w:pPr>
      <w:r>
        <w:rPr>
          <w:rFonts w:hint="eastAsia" w:hAnsi="宋体" w:cs="宋体"/>
          <w:b/>
          <w:color w:val="auto"/>
          <w:szCs w:val="21"/>
          <w:highlight w:val="none"/>
        </w:rPr>
        <w:t>（1）解密电子投标文件。广西政府采购云平台</w:t>
      </w:r>
      <w:r>
        <w:rPr>
          <w:rFonts w:hint="eastAsia" w:hAnsi="宋体" w:cs="宋体"/>
          <w:color w:val="auto"/>
          <w:szCs w:val="21"/>
          <w:highlight w:val="none"/>
        </w:rPr>
        <w:t>按开标时间自动提取所有投标文件。采购代理机构依托广西政府采购云平台向各投标人发出电子加密投标文件【开始解密】通知，由投标人按招标文件规定的时间内自行进行投标文件解密。投标人的法定代表人或其委托代理人</w:t>
      </w:r>
      <w:r>
        <w:rPr>
          <w:rFonts w:hint="eastAsia" w:hAnsi="宋体" w:cs="宋体"/>
          <w:b/>
          <w:color w:val="auto"/>
          <w:szCs w:val="21"/>
          <w:highlight w:val="none"/>
        </w:rPr>
        <w:t>须携带加密时所用的CA锁准时登录到广西政府采购云平台电子开标大厅签到并对电子投标文件解密</w:t>
      </w:r>
      <w:r>
        <w:rPr>
          <w:rFonts w:hint="eastAsia" w:hAnsi="宋体" w:cs="宋体"/>
          <w:color w:val="auto"/>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color w:val="auto"/>
          <w:szCs w:val="21"/>
          <w:highlight w:val="none"/>
        </w:rPr>
        <w:t>均视为无效投标。</w:t>
      </w:r>
    </w:p>
    <w:p w14:paraId="7861FFEB">
      <w:pPr>
        <w:pStyle w:val="12"/>
        <w:pageBreakBefore w:val="0"/>
        <w:wordWrap w:val="0"/>
        <w:overflowPunct/>
        <w:topLinePunct w:val="0"/>
        <w:bidi w:val="0"/>
        <w:snapToGrid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（解密</w:t>
      </w:r>
      <w:r>
        <w:rPr>
          <w:rFonts w:hint="eastAsia" w:hAnsi="宋体" w:cs="宋体"/>
          <w:bCs/>
          <w:color w:val="auto"/>
          <w:szCs w:val="21"/>
          <w:highlight w:val="none"/>
        </w:rPr>
        <w:t>异常情况处理：详见本章</w:t>
      </w:r>
      <w:r>
        <w:rPr>
          <w:rFonts w:hint="eastAsia" w:hAnsi="宋体" w:cs="宋体"/>
          <w:color w:val="auto"/>
          <w:highlight w:val="none"/>
        </w:rPr>
        <w:t>29.3 电子交易活动的中止。</w:t>
      </w:r>
      <w:r>
        <w:rPr>
          <w:rFonts w:hint="eastAsia" w:hAnsi="宋体" w:cs="宋体"/>
          <w:color w:val="auto"/>
          <w:szCs w:val="21"/>
          <w:highlight w:val="none"/>
        </w:rPr>
        <w:t>）</w:t>
      </w:r>
    </w:p>
    <w:p w14:paraId="2FB832B4">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电子唱标。</w:t>
      </w:r>
      <w:r>
        <w:rPr>
          <w:rFonts w:hint="eastAsia" w:ascii="宋体" w:hAnsi="宋体" w:cs="宋体"/>
          <w:color w:val="auto"/>
          <w:szCs w:val="21"/>
          <w:highlight w:val="none"/>
        </w:rPr>
        <w:t>投标文件解密结束，各投标人报价均在广西政府采购云平台远程不见面开标大厅展示；</w:t>
      </w:r>
    </w:p>
    <w:p w14:paraId="5339DEE6">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b/>
          <w:color w:val="auto"/>
          <w:szCs w:val="21"/>
          <w:highlight w:val="none"/>
        </w:rPr>
        <w:t>签署电子《政府采购活动现场确认声明书》。</w:t>
      </w:r>
      <w:r>
        <w:rPr>
          <w:rFonts w:hint="eastAsia" w:ascii="宋体" w:hAnsi="宋体" w:cs="宋体"/>
          <w:color w:val="auto"/>
          <w:szCs w:val="21"/>
          <w:highlight w:val="none"/>
        </w:rPr>
        <w:t>通过邮件形式在远程不见面开标大厅发送各投标人签署电子《政府采购活动现场确认声明书》。</w:t>
      </w:r>
    </w:p>
    <w:p w14:paraId="6764805A">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2FBAC646">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6CD3D70">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（6）开标结束。</w:t>
      </w:r>
    </w:p>
    <w:p w14:paraId="1ACD123A">
      <w:pPr>
        <w:pStyle w:val="12"/>
        <w:pageBreakBefore w:val="0"/>
        <w:wordWrap w:val="0"/>
        <w:overflowPunct/>
        <w:topLinePunct w:val="0"/>
        <w:bidi w:val="0"/>
        <w:snapToGrid w:val="0"/>
        <w:spacing w:line="360" w:lineRule="auto"/>
        <w:ind w:firstLine="422" w:firstLineChars="200"/>
        <w:rPr>
          <w:rFonts w:hAnsi="宋体" w:cs="宋体"/>
          <w:color w:val="auto"/>
          <w:szCs w:val="21"/>
          <w:highlight w:val="none"/>
        </w:rPr>
      </w:pPr>
      <w:r>
        <w:rPr>
          <w:rFonts w:hint="eastAsia" w:hAnsi="宋体" w:cs="宋体"/>
          <w:b/>
          <w:bCs/>
          <w:color w:val="auto"/>
          <w:szCs w:val="21"/>
          <w:highlight w:val="none"/>
        </w:rPr>
        <w:t>特别说明：</w:t>
      </w:r>
      <w:r>
        <w:rPr>
          <w:rFonts w:hint="eastAsia" w:hAnsi="宋体" w:cs="宋体"/>
          <w:color w:val="auto"/>
          <w:szCs w:val="21"/>
          <w:highlight w:val="none"/>
        </w:rPr>
        <w:t>如遇广西政府采购云平台电子化开标或评审程序调整的，按调整后执行。</w:t>
      </w:r>
    </w:p>
    <w:p w14:paraId="6EA3962F">
      <w:pPr>
        <w:pStyle w:val="12"/>
        <w:pageBreakBefore w:val="0"/>
        <w:wordWrap w:val="0"/>
        <w:overflowPunct/>
        <w:topLinePunct w:val="0"/>
        <w:bidi w:val="0"/>
        <w:snapToGrid w:val="0"/>
        <w:spacing w:line="360" w:lineRule="auto"/>
        <w:ind w:left="689" w:leftChars="228" w:hanging="210" w:hangingChars="100"/>
        <w:rPr>
          <w:rFonts w:hAnsi="宋体" w:cs="宋体"/>
          <w:color w:val="auto"/>
          <w:highlight w:val="none"/>
        </w:rPr>
      </w:pPr>
    </w:p>
    <w:p w14:paraId="28F089C4">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40" w:name="_Toc24863"/>
      <w:bookmarkStart w:id="241" w:name="_Toc25263"/>
      <w:r>
        <w:rPr>
          <w:rFonts w:hint="eastAsia" w:ascii="宋体" w:hAnsi="宋体" w:cs="宋体"/>
          <w:color w:val="auto"/>
          <w:highlight w:val="none"/>
        </w:rPr>
        <w:t>五、资格审查</w:t>
      </w:r>
      <w:bookmarkEnd w:id="240"/>
      <w:bookmarkEnd w:id="241"/>
    </w:p>
    <w:p w14:paraId="7C867DF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25.资格审查</w:t>
      </w:r>
    </w:p>
    <w:p w14:paraId="6F7599DD">
      <w:pPr>
        <w:pageBreakBefore w:val="0"/>
        <w:wordWrap w:val="0"/>
        <w:overflowPunct/>
        <w:topLinePunct w:val="0"/>
        <w:bidi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25.1开标结束后，采购人或采购机构依法通过电子投标文件对投标人的资格进行线上审查。</w:t>
      </w:r>
    </w:p>
    <w:p w14:paraId="535F4DE8">
      <w:pPr>
        <w:pageBreakBefore w:val="0"/>
        <w:wordWrap w:val="0"/>
        <w:overflowPunct/>
        <w:topLinePunct w:val="0"/>
        <w:bidi w:val="0"/>
        <w:spacing w:line="360" w:lineRule="auto"/>
        <w:ind w:firstLine="422" w:firstLineChars="200"/>
        <w:rPr>
          <w:rFonts w:ascii="宋体" w:hAnsi="宋体" w:cs="宋体"/>
          <w:b/>
          <w:bCs/>
          <w:color w:val="auto"/>
          <w:szCs w:val="20"/>
          <w:highlight w:val="none"/>
        </w:rPr>
      </w:pPr>
      <w:r>
        <w:rPr>
          <w:rFonts w:hint="eastAsia" w:ascii="宋体" w:hAnsi="宋体" w:cs="宋体"/>
          <w:b/>
          <w:bCs/>
          <w:color w:val="auto"/>
          <w:szCs w:val="20"/>
          <w:highlight w:val="none"/>
        </w:rPr>
        <w:t xml:space="preserve"> 25.2采购人或采购机构依据法律法规和招标文件的规定，对投标人的基本资格条件、特定资格条件进行审查。</w:t>
      </w:r>
    </w:p>
    <w:p w14:paraId="11BA6CA1">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6981D4A6">
      <w:pPr>
        <w:pageBreakBefore w:val="0"/>
        <w:wordWrap w:val="0"/>
        <w:overflowPunct/>
        <w:topLinePunct w:val="0"/>
        <w:bidi w:val="0"/>
        <w:spacing w:line="360" w:lineRule="auto"/>
        <w:ind w:firstLine="422" w:firstLineChars="200"/>
        <w:rPr>
          <w:rFonts w:ascii="宋体" w:hAnsi="宋体" w:cs="宋体"/>
          <w:b/>
          <w:bCs/>
          <w:color w:val="auto"/>
          <w:szCs w:val="20"/>
          <w:highlight w:val="none"/>
        </w:rPr>
      </w:pPr>
      <w:bookmarkStart w:id="242" w:name="_25.3_投标人有下列情形之一的，资格审查不通过而导致其投标无效："/>
      <w:bookmarkEnd w:id="242"/>
      <w:r>
        <w:rPr>
          <w:rFonts w:hint="eastAsia" w:ascii="宋体" w:hAnsi="宋体" w:cs="宋体"/>
          <w:b/>
          <w:bCs/>
          <w:color w:val="auto"/>
          <w:szCs w:val="20"/>
          <w:highlight w:val="none"/>
        </w:rPr>
        <w:t>25.4投标人有下列情形之一的，资格审查不通过，作无效投标处理：</w:t>
      </w:r>
    </w:p>
    <w:p w14:paraId="5B29031F">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（1）不具备招标文件中规定的资格要求的；（注：其中信用查询规则见“投标人须知前附表”，广西政府采购云平台已与“信用中国”平台做接口，审查专家可直接在线查询）</w:t>
      </w:r>
    </w:p>
    <w:p w14:paraId="2B9124E7">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（2）投标文件未提供任一项“投标人须知前附表”资格证明文件规定的“必须提供”的文件资料的；</w:t>
      </w:r>
    </w:p>
    <w:p w14:paraId="105243D1">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（3）投标文件提供的资格证明文件出现任一项不符合“投标人须知前附表”资格证明文件规定的“必须提供”的文件资料要求或者无效的。</w:t>
      </w:r>
    </w:p>
    <w:p w14:paraId="77FFB6E5">
      <w:pPr>
        <w:pageBreakBefore w:val="0"/>
        <w:wordWrap w:val="0"/>
        <w:overflowPunct/>
        <w:topLinePunct w:val="0"/>
        <w:bidi w:val="0"/>
        <w:spacing w:line="360" w:lineRule="auto"/>
        <w:ind w:firstLine="420" w:firstLineChars="200"/>
        <w:rPr>
          <w:rFonts w:ascii="宋体" w:hAnsi="宋体" w:cs="宋体"/>
          <w:color w:val="auto"/>
          <w:szCs w:val="20"/>
          <w:highlight w:val="none"/>
        </w:rPr>
      </w:pPr>
      <w:r>
        <w:rPr>
          <w:rFonts w:hint="eastAsia" w:ascii="宋体" w:hAnsi="宋体" w:cs="宋体"/>
          <w:color w:val="auto"/>
          <w:szCs w:val="20"/>
          <w:highlight w:val="none"/>
        </w:rPr>
        <w:t>25.5资格审查的合格投标人不足3家的，不得评标。</w:t>
      </w:r>
    </w:p>
    <w:p w14:paraId="11BECB0D">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43" w:name="_Toc31393"/>
      <w:bookmarkStart w:id="244" w:name="_Toc24896"/>
      <w:r>
        <w:rPr>
          <w:rFonts w:hint="eastAsia" w:ascii="宋体" w:hAnsi="宋体" w:cs="宋体"/>
          <w:color w:val="auto"/>
          <w:highlight w:val="none"/>
        </w:rPr>
        <w:t>六、评   标</w:t>
      </w:r>
      <w:bookmarkEnd w:id="243"/>
      <w:bookmarkEnd w:id="244"/>
    </w:p>
    <w:p w14:paraId="4039FF45">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45" w:name="_26.组建评标委员会"/>
      <w:bookmarkEnd w:id="245"/>
      <w:r>
        <w:rPr>
          <w:rFonts w:hint="eastAsia" w:ascii="宋体" w:hAnsi="宋体" w:cs="宋体"/>
          <w:color w:val="auto"/>
          <w:sz w:val="24"/>
          <w:highlight w:val="none"/>
        </w:rPr>
        <w:t>26.组建评标委员会</w:t>
      </w:r>
    </w:p>
    <w:p w14:paraId="0A9493FA">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评标委员会由采购人代表和评审专家组成，人数为5人以上单数，其中评审专家不得少于成员总数的三分之二。</w:t>
      </w:r>
    </w:p>
    <w:p w14:paraId="4A0D5AB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参加过采购项目前期咨询论证的专家，不得参加该采购项目的评审活动。</w:t>
      </w:r>
    </w:p>
    <w:p w14:paraId="5094E38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27.评标的依据</w:t>
      </w:r>
    </w:p>
    <w:p w14:paraId="09DE499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评标委员会以招标文件为依据对投标文件进行评审，“第四章 评标方法和评标标准”没有规定的方法、评审因素和标准，不作为评标依据。</w:t>
      </w:r>
    </w:p>
    <w:p w14:paraId="4383D04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28.评标原则</w:t>
      </w:r>
    </w:p>
    <w:p w14:paraId="0FFBD58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965E8D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246" w:name="_28.3评标方法。本项目将按须知前附表规定的评标办法进行评标，具体评标"/>
      <w:bookmarkEnd w:id="246"/>
    </w:p>
    <w:p w14:paraId="32102450">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23E381C">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28.4评标过程的监控。本项目电子评标过程实行网上留痕、全程录音、录像监控，投标人在评标过程中所进行的试图影响评标结果的不公正活动，可能导致其投标按无效处理。</w:t>
      </w:r>
    </w:p>
    <w:p w14:paraId="2A970725">
      <w:pPr>
        <w:pageBreakBefore w:val="0"/>
        <w:widowControl/>
        <w:wordWrap w:val="0"/>
        <w:overflowPunct/>
        <w:topLinePunct w:val="0"/>
        <w:bidi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77A23CF">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29.评标方法及评标标准</w:t>
      </w:r>
    </w:p>
    <w:p w14:paraId="600D8993">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29.1本项目的评标方法详见“投标人须知前附表”。</w:t>
      </w:r>
    </w:p>
    <w:p w14:paraId="0C6B23C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29.2 评标委员会按照</w:t>
      </w:r>
      <w:r>
        <w:rPr>
          <w:rFonts w:hint="eastAsia" w:ascii="宋体" w:hAnsi="宋体" w:cs="宋体"/>
          <w:b/>
          <w:color w:val="auto"/>
          <w:highlight w:val="none"/>
        </w:rPr>
        <w:t>“第四章 评标方法和评标标准”</w:t>
      </w:r>
      <w:r>
        <w:rPr>
          <w:rFonts w:hint="eastAsia" w:ascii="宋体" w:hAnsi="宋体" w:cs="宋体"/>
          <w:color w:val="auto"/>
          <w:highlight w:val="none"/>
        </w:rPr>
        <w:t>规定的方法、评审因素、标准和程序对投标文件进行评审。</w:t>
      </w:r>
    </w:p>
    <w:p w14:paraId="3B3C8228">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29.3 电子交易活动的中止。采购过程中出现以下情形，导致电子交易平台无法正常运行，或者无法保证电子交易的公平、公正和安全时，采购机构可中止电子交易活动：</w:t>
      </w:r>
    </w:p>
    <w:p w14:paraId="4E58698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5E83B1D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60E4538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63BD33D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5484598D">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（4）其他无法保证电子交易的公平、公正和安全的情况。</w:t>
      </w:r>
    </w:p>
    <w:p w14:paraId="0F531B4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D34F4DE">
      <w:pPr>
        <w:pStyle w:val="12"/>
        <w:pageBreakBefore w:val="0"/>
        <w:wordWrap w:val="0"/>
        <w:overflowPunct/>
        <w:topLinePunct w:val="0"/>
        <w:bidi w:val="0"/>
        <w:snapToGrid w:val="0"/>
        <w:spacing w:line="360" w:lineRule="auto"/>
        <w:ind w:firstLine="420" w:firstLineChars="200"/>
        <w:rPr>
          <w:rFonts w:hAnsi="宋体" w:cs="宋体"/>
          <w:color w:val="auto"/>
          <w:highlight w:val="none"/>
        </w:rPr>
      </w:pPr>
    </w:p>
    <w:p w14:paraId="2338E756">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47" w:name="_Toc254970546"/>
      <w:bookmarkStart w:id="248" w:name="_Toc254970687"/>
      <w:bookmarkStart w:id="249" w:name="_Toc19723"/>
      <w:bookmarkStart w:id="250" w:name="_Toc420"/>
      <w:r>
        <w:rPr>
          <w:rFonts w:hint="eastAsia" w:ascii="宋体" w:hAnsi="宋体" w:cs="宋体"/>
          <w:color w:val="auto"/>
          <w:highlight w:val="none"/>
        </w:rPr>
        <w:t>七、</w:t>
      </w:r>
      <w:bookmarkEnd w:id="247"/>
      <w:bookmarkEnd w:id="248"/>
      <w:r>
        <w:rPr>
          <w:rFonts w:hint="eastAsia" w:ascii="宋体" w:hAnsi="宋体" w:cs="宋体"/>
          <w:color w:val="auto"/>
          <w:highlight w:val="none"/>
        </w:rPr>
        <w:t>中标和合同</w:t>
      </w:r>
      <w:bookmarkEnd w:id="249"/>
      <w:bookmarkEnd w:id="250"/>
    </w:p>
    <w:p w14:paraId="2CB30E9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30.确定中标供应商</w:t>
      </w:r>
    </w:p>
    <w:p w14:paraId="405DF3B4">
      <w:pPr>
        <w:pageBreakBefore w:val="0"/>
        <w:wordWrap w:val="0"/>
        <w:overflowPunct/>
        <w:topLinePunct w:val="0"/>
        <w:bidi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30.1本项目授权评标委员会直接按第四章“评标方法及标准”的规定排列中标候选人顺序，并依照次序确定中标供应商。</w:t>
      </w:r>
    </w:p>
    <w:p w14:paraId="05344D6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4C3B1E21">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30.3中标供应商无正当理由拒签合同的，根据《中华人民共和国政府采购法》第七十七条第一款规定处理。</w:t>
      </w:r>
    </w:p>
    <w:p w14:paraId="23331D9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30.4根据《中华人民共和国民法典》</w:t>
      </w:r>
      <w:r>
        <w:rPr>
          <w:rFonts w:hint="eastAsia" w:ascii="宋体" w:hAnsi="宋体" w:cs="宋体"/>
          <w:color w:val="auto"/>
          <w:sz w:val="19"/>
          <w:szCs w:val="19"/>
          <w:highlight w:val="none"/>
        </w:rPr>
        <w:t>第五百六十三条</w:t>
      </w:r>
      <w:r>
        <w:rPr>
          <w:rFonts w:hint="eastAsia" w:ascii="宋体" w:hAnsi="宋体" w:cs="宋体"/>
          <w:color w:val="auto"/>
          <w:szCs w:val="21"/>
          <w:highlight w:val="none"/>
        </w:rPr>
        <w:t>，因不可抗力致使不能实现合同目的的，当事人可以解除合同。</w:t>
      </w:r>
    </w:p>
    <w:p w14:paraId="50F2A7A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结果公告</w:t>
      </w:r>
    </w:p>
    <w:p w14:paraId="7B8A502A">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31.1</w:t>
      </w:r>
      <w:r>
        <w:rPr>
          <w:rFonts w:hint="eastAsia" w:ascii="宋体" w:hAnsi="宋体" w:cs="宋体"/>
          <w:color w:val="auto"/>
          <w:highlight w:val="none"/>
        </w:rPr>
        <w:t>在中标供应商确定之日起2个工作日内，由采购代理机构</w:t>
      </w:r>
      <w:r>
        <w:rPr>
          <w:rFonts w:hint="eastAsia" w:ascii="宋体" w:hAnsi="宋体" w:cs="宋体"/>
          <w:b/>
          <w:color w:val="auto"/>
          <w:szCs w:val="21"/>
          <w:highlight w:val="none"/>
        </w:rPr>
        <w:t>在招标公告发布媒体上</w:t>
      </w:r>
      <w:r>
        <w:rPr>
          <w:rFonts w:hint="eastAsia" w:ascii="宋体" w:hAnsi="宋体" w:cs="宋体"/>
          <w:color w:val="auto"/>
          <w:highlight w:val="none"/>
        </w:rPr>
        <w:t>发布中标结果公告，中标结果公告期限为1个工作日，发布中标结果公告的同时向中标供应商发出中标通知书。</w:t>
      </w:r>
      <w:r>
        <w:rPr>
          <w:rFonts w:hint="eastAsia" w:ascii="宋体" w:hAnsi="宋体" w:cs="宋体"/>
          <w:b/>
          <w:color w:val="auto"/>
          <w:szCs w:val="21"/>
          <w:highlight w:val="none"/>
        </w:rPr>
        <w:t>采购代理机构发出中标通知书前，应当对中标供应商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供应商。</w:t>
      </w:r>
      <w:r>
        <w:rPr>
          <w:rFonts w:hint="eastAsia" w:ascii="宋体" w:hAnsi="宋体" w:cs="宋体"/>
          <w:color w:val="auto"/>
          <w:szCs w:val="21"/>
          <w:highlight w:val="none"/>
        </w:rPr>
        <w:t>排名第二的中标候选人因前款规定的同样原因被取消中标资格的，授权的评标委员会可以确定排名第三的中标候选人为中标供应商，以此类推。</w:t>
      </w:r>
    </w:p>
    <w:p w14:paraId="063D838C">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14:paraId="38D729E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A026E9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32.发出中标通知书</w:t>
      </w:r>
    </w:p>
    <w:p w14:paraId="1E83F2EA">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32.1在发布中标公告的同时，采购代理机构向中标供应商通过广西政府采购云平台发出电子中标通知书。</w:t>
      </w:r>
    </w:p>
    <w:p w14:paraId="08859C36">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32.2对未通过资格审查的投标人，采购人或采购机构应当告知其未通过的原因；采用综合评分办法评审的，采购人或采购机构还应当告知未中标供应商本人的评审得分与排序。</w:t>
      </w:r>
    </w:p>
    <w:p w14:paraId="7159248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 无义务解释未中标原因</w:t>
      </w:r>
    </w:p>
    <w:p w14:paraId="6271A7FA">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采购代理机构无义务向未中标的投标人解释未中标原因和退还投标文件。</w:t>
      </w:r>
    </w:p>
    <w:p w14:paraId="49B26C1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34.合同授予标准</w:t>
      </w:r>
    </w:p>
    <w:p w14:paraId="5361C327">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合同将授予被确定实质上响应招标文件要求，具备履行合同能力的中标供应商（招标文件另有约定多名中标供应商的除外）。</w:t>
      </w:r>
    </w:p>
    <w:p w14:paraId="7A6F8B0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35.履约保证金</w:t>
      </w:r>
    </w:p>
    <w:p w14:paraId="010D3D08">
      <w:pPr>
        <w:pageBreakBefore w:val="0"/>
        <w:wordWrap w:val="0"/>
        <w:overflowPunct/>
        <w:topLinePunct w:val="0"/>
        <w:bidi w:val="0"/>
        <w:spacing w:line="360" w:lineRule="auto"/>
        <w:ind w:firstLine="420" w:firstLineChars="200"/>
        <w:rPr>
          <w:rFonts w:ascii="宋体" w:hAnsi="宋体" w:cs="宋体"/>
          <w:color w:val="auto"/>
          <w:szCs w:val="21"/>
          <w:highlight w:val="none"/>
        </w:rPr>
      </w:pPr>
      <w:bookmarkStart w:id="251" w:name="_39.1中标人须于签订合同前按本须知前附表规定的金额转账或电汇到指定账"/>
      <w:bookmarkEnd w:id="251"/>
      <w:r>
        <w:rPr>
          <w:rFonts w:hint="eastAsia" w:ascii="宋体" w:hAnsi="宋体" w:cs="宋体"/>
          <w:color w:val="auto"/>
          <w:szCs w:val="21"/>
          <w:highlight w:val="none"/>
        </w:rPr>
        <w:t>见“投标人须知前附表”。</w:t>
      </w:r>
    </w:p>
    <w:p w14:paraId="59F2DC2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36.签订合同</w:t>
      </w:r>
    </w:p>
    <w:p w14:paraId="307FE8E9">
      <w:pPr>
        <w:pStyle w:val="29"/>
        <w:pageBreakBefore w:val="0"/>
        <w:wordWrap w:val="0"/>
        <w:overflowPunct/>
        <w:topLinePunct w:val="0"/>
        <w:bidi w:val="0"/>
        <w:snapToGrid w:val="0"/>
        <w:spacing w:before="0" w:line="360" w:lineRule="auto"/>
        <w:ind w:firstLine="422"/>
        <w:rPr>
          <w:rFonts w:ascii="宋体" w:hAnsi="宋体" w:cs="宋体"/>
          <w:color w:val="auto"/>
          <w:kern w:val="0"/>
          <w:sz w:val="21"/>
          <w:szCs w:val="21"/>
          <w:highlight w:val="none"/>
          <w:lang w:val="zh-CN"/>
        </w:rPr>
      </w:pPr>
      <w:bookmarkStart w:id="252" w:name="_40.1投标人接到中标通知书后，按须知前附表规定向采购人出示相关资格证"/>
      <w:bookmarkEnd w:id="252"/>
      <w:r>
        <w:rPr>
          <w:rFonts w:hint="eastAsia" w:ascii="宋体" w:hAnsi="宋体" w:cs="宋体"/>
          <w:b/>
          <w:color w:val="auto"/>
          <w:sz w:val="21"/>
          <w:szCs w:val="21"/>
          <w:highlight w:val="none"/>
        </w:rPr>
        <w:t xml:space="preserve"> 36.1中标供应商领取电子中标通知书后，</w:t>
      </w:r>
      <w:r>
        <w:rPr>
          <w:rFonts w:hint="eastAsia" w:ascii="宋体" w:hAnsi="宋体" w:cs="宋体"/>
          <w:color w:val="auto"/>
          <w:kern w:val="0"/>
          <w:sz w:val="21"/>
          <w:szCs w:val="21"/>
          <w:highlight w:val="none"/>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31849D0F">
      <w:pPr>
        <w:pStyle w:val="29"/>
        <w:pageBreakBefore w:val="0"/>
        <w:wordWrap w:val="0"/>
        <w:overflowPunct/>
        <w:topLinePunct w:val="0"/>
        <w:bidi w:val="0"/>
        <w:snapToGrid w:val="0"/>
        <w:spacing w:before="0" w:line="360" w:lineRule="auto"/>
        <w:ind w:firstLine="420"/>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36.2</w:t>
      </w:r>
      <w:r>
        <w:rPr>
          <w:rFonts w:hint="eastAsia" w:ascii="宋体" w:hAnsi="宋体" w:cs="宋体"/>
          <w:color w:val="auto"/>
          <w:sz w:val="21"/>
          <w:szCs w:val="21"/>
          <w:highlight w:val="none"/>
        </w:rPr>
        <w:t>采购合同由采购人与中标供应商根据招标文件、投标文件等内容通过政府采购电子交易平台在线签订，自动备案。</w:t>
      </w:r>
    </w:p>
    <w:p w14:paraId="7A17FCF2">
      <w:pPr>
        <w:pStyle w:val="29"/>
        <w:pageBreakBefore w:val="0"/>
        <w:wordWrap w:val="0"/>
        <w:overflowPunct/>
        <w:topLinePunct w:val="0"/>
        <w:bidi w:val="0"/>
        <w:snapToGrid w:val="0"/>
        <w:spacing w:before="0"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36.3签订合同时间：按中标通知书规定的时间与采购人签订合同（最长不能超过25日）。</w:t>
      </w:r>
    </w:p>
    <w:p w14:paraId="3054FCC9">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6B1C1FF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2C82686C">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339E35E4">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36.7如签订合同并生效后，供应商无故拒绝或延期，除按照合同条款处理外，将承担相应的法律责任。</w:t>
      </w:r>
    </w:p>
    <w:p w14:paraId="4E4EA7B5">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66D26645">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53" w:name="_41.政府采购合同公告"/>
      <w:bookmarkEnd w:id="253"/>
      <w:r>
        <w:rPr>
          <w:rFonts w:hint="eastAsia" w:ascii="宋体" w:hAnsi="宋体" w:cs="宋体"/>
          <w:color w:val="auto"/>
          <w:sz w:val="24"/>
          <w:highlight w:val="none"/>
        </w:rPr>
        <w:t>37.政府采购合同公告</w:t>
      </w:r>
    </w:p>
    <w:p w14:paraId="27720D28">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采购人或者受托采购代理机构应当自政府采购合同签订之日起2个工作日内，将政府采购合同</w:t>
      </w:r>
      <w:r>
        <w:rPr>
          <w:rFonts w:hint="eastAsia" w:ascii="宋体" w:hAnsi="宋体" w:cs="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ascii="宋体" w:hAnsi="宋体" w:cs="宋体"/>
          <w:color w:val="auto"/>
          <w:highlight w:val="none"/>
        </w:rPr>
        <w:t>上公告，但政府采购合同中涉及国家秘密、商业秘密的内容除外。</w:t>
      </w:r>
    </w:p>
    <w:p w14:paraId="72653E8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 询问、质疑和投诉</w:t>
      </w:r>
    </w:p>
    <w:p w14:paraId="1F23ABB5">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38.1询问</w:t>
      </w:r>
    </w:p>
    <w:p w14:paraId="51133DD4">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38.1.1供应商在开标前对政府采购活动事项有疑问的，可以向采购人或采购代理机构项目负责人提出询问。</w:t>
      </w:r>
    </w:p>
    <w:p w14:paraId="1D070926">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38.1.2采购人或采购人委托的采购代理机构自受理询问之日起3个工作日内对供应商依法提出的询问作出答复，</w:t>
      </w:r>
      <w:r>
        <w:rPr>
          <w:rFonts w:hint="eastAsia" w:ascii="宋体" w:hAnsi="宋体" w:cs="宋体"/>
          <w:color w:val="auto"/>
          <w:highlight w:val="none"/>
        </w:rPr>
        <w:t>但答复内容不得涉及商业秘密</w:t>
      </w:r>
      <w:r>
        <w:rPr>
          <w:rFonts w:hint="eastAsia" w:ascii="宋体" w:hAnsi="宋体" w:cs="宋体"/>
          <w:bCs/>
          <w:color w:val="auto"/>
          <w:szCs w:val="21"/>
          <w:highlight w:val="none"/>
        </w:rPr>
        <w:t>。</w:t>
      </w:r>
    </w:p>
    <w:p w14:paraId="35AD5DAA">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38.1.3 询问事项可能影响中标、成交结果的，采购人应当暂停签订合同，已经签订合同的，应当中止履行合同。</w:t>
      </w:r>
    </w:p>
    <w:p w14:paraId="2A12ECA9">
      <w:pPr>
        <w:pageBreakBefore w:val="0"/>
        <w:wordWrap w:val="0"/>
        <w:overflowPunct/>
        <w:topLinePunct w:val="0"/>
        <w:bidi w:val="0"/>
        <w:spacing w:line="360" w:lineRule="auto"/>
        <w:ind w:firstLine="422" w:firstLineChars="200"/>
        <w:rPr>
          <w:rFonts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38.2质疑</w:t>
      </w:r>
    </w:p>
    <w:p w14:paraId="1F29B52C">
      <w:pPr>
        <w:pageBreakBefore w:val="0"/>
        <w:wordWrap w:val="0"/>
        <w:overflowPunct/>
        <w:topLinePunct w:val="0"/>
        <w:bidi w:val="0"/>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38.2.1</w:t>
      </w:r>
      <w:r>
        <w:rPr>
          <w:rFonts w:hint="eastAsia" w:ascii="宋体" w:hAnsi="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0189E89">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374463D1">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AF43A5E">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（3）供应商认为中标或者成交结果使自己的权益受到损害的，应当在中标或者成交结果公告期限届满之日起7个工作日内提出质疑，由采购人受理并负责答复。</w:t>
      </w:r>
    </w:p>
    <w:p w14:paraId="15CED411">
      <w:pPr>
        <w:pageBreakBefore w:val="0"/>
        <w:wordWrap w:val="0"/>
        <w:overflowPunct/>
        <w:topLinePunct w:val="0"/>
        <w:bidi w:val="0"/>
        <w:spacing w:line="360" w:lineRule="auto"/>
        <w:ind w:firstLine="422" w:firstLineChars="200"/>
        <w:rPr>
          <w:rFonts w:ascii="宋体" w:hAnsi="宋体" w:cs="宋体"/>
          <w:bCs/>
          <w:color w:val="auto"/>
          <w:szCs w:val="21"/>
          <w:highlight w:val="none"/>
        </w:rPr>
      </w:pPr>
      <w:r>
        <w:rPr>
          <w:rFonts w:hint="eastAsia" w:ascii="宋体" w:hAnsi="宋体" w:cs="宋体"/>
          <w:b/>
          <w:bCs/>
          <w:color w:val="auto"/>
          <w:szCs w:val="21"/>
          <w:highlight w:val="none"/>
        </w:rPr>
        <w:t>38.2.2</w:t>
      </w:r>
      <w:r>
        <w:rPr>
          <w:rFonts w:hint="eastAsia" w:ascii="宋体" w:hAnsi="宋体" w:cs="宋体"/>
          <w:bCs/>
          <w:color w:val="auto"/>
          <w:szCs w:val="21"/>
          <w:highlight w:val="none"/>
        </w:rPr>
        <w:t>供应商质疑实行实名制，其质疑应当有具体的质疑事项及事实根据，质疑应当坚持依法依规、诚实信用原则，不得进行虚假、恶意质疑。</w:t>
      </w:r>
    </w:p>
    <w:p w14:paraId="7BAB0DF0">
      <w:pPr>
        <w:pageBreakBefore w:val="0"/>
        <w:wordWrap w:val="0"/>
        <w:overflowPunct/>
        <w:topLinePunct w:val="0"/>
        <w:bidi w:val="0"/>
        <w:spacing w:line="360" w:lineRule="auto"/>
        <w:ind w:firstLine="422" w:firstLineChars="200"/>
        <w:rPr>
          <w:rFonts w:ascii="宋体" w:hAnsi="宋体" w:cs="宋体"/>
          <w:bCs/>
          <w:color w:val="auto"/>
          <w:highlight w:val="none"/>
        </w:rPr>
      </w:pPr>
      <w:r>
        <w:rPr>
          <w:rFonts w:hint="eastAsia" w:ascii="宋体" w:hAnsi="宋体" w:cs="宋体"/>
          <w:b/>
          <w:bCs/>
          <w:color w:val="auto"/>
          <w:highlight w:val="none"/>
        </w:rPr>
        <w:t>38.2.3</w:t>
      </w:r>
      <w:r>
        <w:rPr>
          <w:rFonts w:hint="eastAsia" w:ascii="宋体" w:hAnsi="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color w:val="auto"/>
          <w:highlight w:val="none"/>
        </w:rPr>
        <w:t>。</w:t>
      </w:r>
    </w:p>
    <w:p w14:paraId="62231104">
      <w:pPr>
        <w:pageBreakBefore w:val="0"/>
        <w:wordWrap w:val="0"/>
        <w:overflowPunct/>
        <w:topLinePunct w:val="0"/>
        <w:bidi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38.2.4 质疑供应商提起质疑应当符合下列条件：</w:t>
      </w:r>
    </w:p>
    <w:p w14:paraId="3DD017E8">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（1）质疑供应商是参与所质疑</w:t>
      </w:r>
      <w:r>
        <w:rPr>
          <w:rFonts w:hint="eastAsia" w:ascii="宋体" w:hAnsi="宋体" w:cs="宋体"/>
          <w:bCs/>
          <w:color w:val="auto"/>
          <w:szCs w:val="21"/>
          <w:highlight w:val="none"/>
        </w:rPr>
        <w:t>项目</w:t>
      </w:r>
      <w:r>
        <w:rPr>
          <w:rFonts w:hint="eastAsia" w:ascii="宋体" w:hAnsi="宋体" w:cs="宋体"/>
          <w:bCs/>
          <w:color w:val="auto"/>
          <w:highlight w:val="none"/>
        </w:rPr>
        <w:t>采购活动的供应商（潜在供应商已依法获取可之一的采购文件的，可以对该采购文件质疑）；</w:t>
      </w:r>
    </w:p>
    <w:p w14:paraId="5E0F552D">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（2）质疑函内容符合本章第38.2.5项的规定；</w:t>
      </w:r>
    </w:p>
    <w:p w14:paraId="58668C29">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（3）在质疑有效期限内提起质疑；</w:t>
      </w:r>
    </w:p>
    <w:p w14:paraId="1D5C57E6">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（4）属于所质疑的采购人或采购人委托的采购代理机构组织的采购活动；</w:t>
      </w:r>
    </w:p>
    <w:p w14:paraId="58403073">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xml:space="preserve">（5）同一质疑事项未经采购人或采购人委托的采购代理机构质疑处理； </w:t>
      </w:r>
    </w:p>
    <w:p w14:paraId="72B544D2">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（6）供应商对同一采购程序环节的质疑应当在质疑有效期内一次性提出；</w:t>
      </w:r>
    </w:p>
    <w:p w14:paraId="37D2044B">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（7）供应商提交质疑应当提交必要的证明材料，证明材料应以合法手段取得；</w:t>
      </w:r>
    </w:p>
    <w:p w14:paraId="79854359">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bCs/>
          <w:color w:val="auto"/>
          <w:highlight w:val="none"/>
        </w:rPr>
        <w:t>（8）财政部门规定的其他条件。</w:t>
      </w:r>
    </w:p>
    <w:p w14:paraId="5B33B0D2">
      <w:pPr>
        <w:pageBreakBefore w:val="0"/>
        <w:wordWrap w:val="0"/>
        <w:overflowPunct/>
        <w:topLinePunct w:val="0"/>
        <w:bidi w:val="0"/>
        <w:spacing w:line="360" w:lineRule="auto"/>
        <w:ind w:firstLine="420" w:firstLineChars="200"/>
        <w:rPr>
          <w:rFonts w:ascii="宋体" w:hAnsi="宋体" w:cs="宋体"/>
          <w:b/>
          <w:color w:val="auto"/>
          <w:szCs w:val="21"/>
          <w:highlight w:val="none"/>
        </w:rPr>
      </w:pPr>
      <w:bookmarkStart w:id="254" w:name="_9.2质疑、投诉应当采用书面形式，质疑函、投诉书均应明确阐述招标文件、"/>
      <w:bookmarkEnd w:id="254"/>
      <w:r>
        <w:rPr>
          <w:rFonts w:hint="eastAsia" w:ascii="宋体" w:hAnsi="宋体" w:cs="宋体"/>
          <w:color w:val="auto"/>
          <w:szCs w:val="21"/>
          <w:highlight w:val="none"/>
        </w:rPr>
        <w:t xml:space="preserve"> 38.2.5 </w:t>
      </w:r>
      <w:r>
        <w:rPr>
          <w:rFonts w:hint="eastAsia" w:ascii="宋体" w:hAnsi="宋体" w:cs="宋体"/>
          <w:bCs/>
          <w:color w:val="auto"/>
          <w:highlight w:val="none"/>
        </w:rPr>
        <w:t>供应商提出质疑应当提交质疑函和必要的证明材料，针对同一采购程序环节的质疑必须在法定质疑期内一次性提出。质疑函应当包括下列内容（质疑函格式后附）：</w:t>
      </w:r>
    </w:p>
    <w:p w14:paraId="3C2FD8E9">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（1）供应商的姓名或者名称、地址、邮编、联系人及联系电话；</w:t>
      </w:r>
    </w:p>
    <w:p w14:paraId="78DC0872">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（2）质疑项目的名称、编号；</w:t>
      </w:r>
    </w:p>
    <w:p w14:paraId="676B4BA2">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（3）具体、明确的质疑事项和与质疑事项相关的请求；</w:t>
      </w:r>
    </w:p>
    <w:p w14:paraId="590793F8">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（4）事实依据（列明权益受到损害的事实和理由）；</w:t>
      </w:r>
    </w:p>
    <w:p w14:paraId="08A6D3F4">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（5）必要的法律依据；</w:t>
      </w:r>
    </w:p>
    <w:p w14:paraId="4BFFF4D4">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（6）提出质疑的日期。</w:t>
      </w:r>
    </w:p>
    <w:p w14:paraId="49DD87CA">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供应商为自然人的，应当由本人签字；供应商为法人或者其他组织的，应当由法定代表人、主要负责人，或者其委托代理人签字或者盖章，并加盖公章。</w:t>
      </w:r>
    </w:p>
    <w:p w14:paraId="05259A8C">
      <w:pPr>
        <w:pageBreakBefore w:val="0"/>
        <w:wordWrap w:val="0"/>
        <w:overflowPunct/>
        <w:topLinePunct w:val="0"/>
        <w:bidi w:val="0"/>
        <w:spacing w:line="360" w:lineRule="auto"/>
        <w:ind w:firstLine="422" w:firstLineChars="200"/>
        <w:rPr>
          <w:rFonts w:ascii="宋体" w:hAnsi="宋体" w:cs="宋体"/>
          <w:b/>
          <w:color w:val="auto"/>
          <w:szCs w:val="20"/>
          <w:highlight w:val="none"/>
        </w:rPr>
      </w:pPr>
      <w:r>
        <w:rPr>
          <w:rFonts w:hint="eastAsia" w:ascii="宋体" w:hAnsi="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3E36CB3">
      <w:pPr>
        <w:pageBreakBefore w:val="0"/>
        <w:wordWrap w:val="0"/>
        <w:overflowPunct/>
        <w:topLinePunct w:val="0"/>
        <w:bidi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7927ED0D">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302E89AE">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6ADE9366">
      <w:pPr>
        <w:pageBreakBefore w:val="0"/>
        <w:wordWrap w:val="0"/>
        <w:overflowPunct/>
        <w:topLinePunct w:val="0"/>
        <w:bidi w:val="0"/>
        <w:spacing w:line="360" w:lineRule="auto"/>
        <w:ind w:firstLine="420" w:firstLineChars="200"/>
        <w:rPr>
          <w:rFonts w:ascii="宋体" w:hAnsi="宋体" w:cs="宋体"/>
          <w:bCs/>
          <w:color w:val="auto"/>
          <w:highlight w:val="none"/>
        </w:rPr>
      </w:pPr>
      <w:r>
        <w:rPr>
          <w:rFonts w:hint="eastAsia" w:ascii="宋体" w:hAnsi="宋体" w:cs="宋体"/>
          <w:bCs/>
          <w:color w:val="auto"/>
          <w:highlight w:val="none"/>
        </w:rPr>
        <w:t>质疑答复导致中标结果改变的，采购人或者采购代理机构应当将有关情况书面报告本级财政部门。</w:t>
      </w:r>
    </w:p>
    <w:p w14:paraId="6287FF4E">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38.3投诉</w:t>
      </w:r>
    </w:p>
    <w:p w14:paraId="3D8DA23B">
      <w:pPr>
        <w:pageBreakBefore w:val="0"/>
        <w:wordWrap w:val="0"/>
        <w:overflowPunct/>
        <w:topLinePunct w:val="0"/>
        <w:bidi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38.3</w:t>
      </w:r>
      <w:r>
        <w:rPr>
          <w:rFonts w:hint="eastAsia" w:ascii="宋体" w:hAnsi="宋体" w:cs="宋体"/>
          <w:bCs/>
          <w:color w:val="auto"/>
          <w:highlight w:val="none"/>
        </w:rPr>
        <w:t>.</w:t>
      </w:r>
      <w:r>
        <w:rPr>
          <w:rFonts w:hint="eastAsia" w:ascii="宋体" w:hAnsi="宋体" w:cs="宋体"/>
          <w:b/>
          <w:bCs/>
          <w:color w:val="auto"/>
          <w:highlight w:val="none"/>
        </w:rPr>
        <w:t xml:space="preserve">1 </w:t>
      </w:r>
      <w:r>
        <w:rPr>
          <w:rFonts w:hint="eastAsia" w:ascii="宋体" w:hAnsi="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cs="宋体"/>
          <w:color w:val="auto"/>
          <w:highlight w:val="none"/>
        </w:rPr>
        <w:t>采购代理机构</w:t>
      </w:r>
      <w:r>
        <w:rPr>
          <w:rFonts w:hint="eastAsia" w:ascii="宋体" w:hAnsi="宋体" w:cs="宋体"/>
          <w:bCs/>
          <w:color w:val="auto"/>
          <w:highlight w:val="none"/>
        </w:rPr>
        <w:t>提出质疑。对采购人、</w:t>
      </w:r>
      <w:r>
        <w:rPr>
          <w:rFonts w:hint="eastAsia" w:ascii="宋体" w:hAnsi="宋体" w:cs="宋体"/>
          <w:color w:val="auto"/>
          <w:highlight w:val="none"/>
        </w:rPr>
        <w:t>采购代理机构</w:t>
      </w:r>
      <w:r>
        <w:rPr>
          <w:rFonts w:hint="eastAsia" w:ascii="宋体" w:hAnsi="宋体" w:cs="宋体"/>
          <w:bCs/>
          <w:color w:val="auto"/>
          <w:highlight w:val="none"/>
        </w:rPr>
        <w:t>的答复不满意，或者采购人、</w:t>
      </w:r>
      <w:r>
        <w:rPr>
          <w:rFonts w:hint="eastAsia" w:ascii="宋体" w:hAnsi="宋体" w:cs="宋体"/>
          <w:color w:val="auto"/>
          <w:highlight w:val="none"/>
        </w:rPr>
        <w:t>采购代理机构</w:t>
      </w:r>
      <w:r>
        <w:rPr>
          <w:rFonts w:hint="eastAsia" w:ascii="宋体" w:hAnsi="宋体" w:cs="宋体"/>
          <w:bCs/>
          <w:color w:val="auto"/>
          <w:highlight w:val="none"/>
        </w:rPr>
        <w:t>未在规定期限内做出答复的，供应商可以在答复期满后15个工作日内向南宁市政府采购监督管理部门提起投诉，投诉方式见“投标人须知前附表”。</w:t>
      </w:r>
    </w:p>
    <w:p w14:paraId="04654541">
      <w:pPr>
        <w:pageBreakBefore w:val="0"/>
        <w:wordWrap w:val="0"/>
        <w:overflowPunct/>
        <w:topLinePunct w:val="0"/>
        <w:bidi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38.3.2 </w:t>
      </w:r>
      <w:r>
        <w:rPr>
          <w:rFonts w:hint="eastAsia" w:ascii="宋体" w:hAnsi="宋体" w:cs="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cs="宋体"/>
          <w:color w:val="auto"/>
          <w:szCs w:val="21"/>
          <w:highlight w:val="none"/>
        </w:rPr>
        <w:t>应当包括下列主要内容</w:t>
      </w:r>
      <w:r>
        <w:rPr>
          <w:rFonts w:hint="eastAsia" w:ascii="宋体" w:hAnsi="宋体" w:cs="宋体"/>
          <w:color w:val="auto"/>
          <w:highlight w:val="none"/>
        </w:rPr>
        <w:t>（如材料中有外文资料应同时附上对应的中文译本）</w:t>
      </w:r>
      <w:r>
        <w:rPr>
          <w:rFonts w:hint="eastAsia" w:ascii="宋体" w:hAnsi="宋体" w:cs="宋体"/>
          <w:bCs/>
          <w:color w:val="auto"/>
          <w:highlight w:val="none"/>
        </w:rPr>
        <w:t>（投诉书格式后附）</w:t>
      </w:r>
      <w:r>
        <w:rPr>
          <w:rFonts w:hint="eastAsia" w:ascii="宋体" w:hAnsi="宋体" w:cs="宋体"/>
          <w:color w:val="auto"/>
          <w:szCs w:val="21"/>
          <w:highlight w:val="none"/>
        </w:rPr>
        <w:t>：</w:t>
      </w:r>
    </w:p>
    <w:p w14:paraId="6FAE478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（1）投诉人和被投诉人的名称、地址、邮编、联系人及联系电话等； </w:t>
      </w:r>
    </w:p>
    <w:p w14:paraId="0F1DF1EF">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（2）质疑和质疑答复情况及相关证明材料； </w:t>
      </w:r>
    </w:p>
    <w:p w14:paraId="68A4597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（3）具体、明确的投诉事项和与投诉事项相关的投诉请求；</w:t>
      </w:r>
    </w:p>
    <w:p w14:paraId="7ED8B2F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15D0CEC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（5）法律依据；</w:t>
      </w:r>
    </w:p>
    <w:p w14:paraId="63ED6A4F">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（6）提起投诉的日期。</w:t>
      </w:r>
    </w:p>
    <w:p w14:paraId="0C34B80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cs="宋体"/>
          <w:color w:val="auto"/>
          <w:highlight w:val="none"/>
        </w:rPr>
        <w:tab/>
      </w:r>
    </w:p>
    <w:p w14:paraId="2FE2B0F3">
      <w:pPr>
        <w:pageBreakBefore w:val="0"/>
        <w:wordWrap w:val="0"/>
        <w:overflowPunct/>
        <w:topLinePunct w:val="0"/>
        <w:bidi w:val="0"/>
        <w:spacing w:line="360" w:lineRule="auto"/>
        <w:ind w:firstLine="422" w:firstLineChars="200"/>
        <w:rPr>
          <w:rFonts w:ascii="宋体" w:hAnsi="宋体" w:cs="宋体"/>
          <w:bCs/>
          <w:color w:val="auto"/>
          <w:highlight w:val="none"/>
        </w:rPr>
      </w:pPr>
      <w:r>
        <w:rPr>
          <w:rFonts w:hint="eastAsia" w:ascii="宋体" w:hAnsi="宋体" w:cs="宋体"/>
          <w:b/>
          <w:color w:val="auto"/>
          <w:highlight w:val="none"/>
        </w:rPr>
        <w:t xml:space="preserve">38.3.3  </w:t>
      </w:r>
      <w:r>
        <w:rPr>
          <w:rFonts w:hint="eastAsia" w:ascii="宋体" w:hAnsi="宋体" w:cs="宋体"/>
          <w:color w:val="auto"/>
          <w:highlight w:val="none"/>
        </w:rPr>
        <w:t>投诉人可以委托代理人办理投诉事务。</w:t>
      </w:r>
      <w:r>
        <w:rPr>
          <w:rFonts w:hint="eastAsia" w:ascii="宋体" w:hAnsi="宋体" w:cs="宋体"/>
          <w:bCs/>
          <w:color w:val="auto"/>
          <w:highlight w:val="none"/>
        </w:rPr>
        <w:t>委托代理人应熟悉相关业务情况。</w:t>
      </w:r>
      <w:r>
        <w:rPr>
          <w:rFonts w:hint="eastAsia" w:ascii="宋体" w:hAnsi="宋体" w:cs="宋体"/>
          <w:color w:val="auto"/>
          <w:highlight w:val="none"/>
        </w:rPr>
        <w:t>代理人办理投诉事务时，除提交投诉书外，还应当提交投诉人的授权委托书和委托代理人身份证明复印件。</w:t>
      </w:r>
    </w:p>
    <w:p w14:paraId="7F97FC42">
      <w:pPr>
        <w:pageBreakBefore w:val="0"/>
        <w:wordWrap w:val="0"/>
        <w:overflowPunct/>
        <w:topLinePunct w:val="0"/>
        <w:bidi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38.3.4</w:t>
      </w:r>
      <w:r>
        <w:rPr>
          <w:rFonts w:hint="eastAsia" w:ascii="宋体" w:hAnsi="宋体" w:cs="宋体"/>
          <w:color w:val="auto"/>
          <w:highlight w:val="none"/>
        </w:rPr>
        <w:t xml:space="preserve">  投诉人提起投诉应当符合下列条件：</w:t>
      </w:r>
    </w:p>
    <w:p w14:paraId="0372916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（1）投诉人是参与所投诉政府采购活动的供应商；</w:t>
      </w:r>
    </w:p>
    <w:p w14:paraId="3C3930F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（2）提起投诉前已依法进行质疑；</w:t>
      </w:r>
    </w:p>
    <w:p w14:paraId="57A198E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（3）投诉书内容符合本章第38.3.2项的规定；</w:t>
      </w:r>
    </w:p>
    <w:p w14:paraId="7599215E">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（4）在投诉有效期限内提起投诉；</w:t>
      </w:r>
    </w:p>
    <w:p w14:paraId="7137E7A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（5）属于南宁市政府采购监督管理部门管辖；</w:t>
      </w:r>
    </w:p>
    <w:p w14:paraId="2061234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（6）同一投诉事项未经</w:t>
      </w:r>
      <w:r>
        <w:rPr>
          <w:rFonts w:hint="eastAsia" w:ascii="宋体" w:hAnsi="宋体" w:cs="宋体"/>
          <w:bCs/>
          <w:color w:val="auto"/>
          <w:highlight w:val="none"/>
        </w:rPr>
        <w:t>南宁市政府采购监督管理部门</w:t>
      </w:r>
      <w:r>
        <w:rPr>
          <w:rFonts w:hint="eastAsia" w:ascii="宋体" w:hAnsi="宋体" w:cs="宋体"/>
          <w:color w:val="auto"/>
          <w:highlight w:val="none"/>
        </w:rPr>
        <w:t>投诉处理；</w:t>
      </w:r>
    </w:p>
    <w:p w14:paraId="1D143EF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（7）国务院财政部门规定的其他条件。</w:t>
      </w:r>
    </w:p>
    <w:p w14:paraId="615B4FEB">
      <w:pPr>
        <w:pageBreakBefore w:val="0"/>
        <w:wordWrap w:val="0"/>
        <w:overflowPunct/>
        <w:topLinePunct w:val="0"/>
        <w:bidi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38.3.5</w:t>
      </w:r>
      <w:r>
        <w:rPr>
          <w:rFonts w:hint="eastAsia" w:ascii="宋体" w:hAnsi="宋体" w:cs="宋体"/>
          <w:color w:val="auto"/>
          <w:highlight w:val="none"/>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color w:val="auto"/>
          <w:kern w:val="0"/>
          <w:szCs w:val="21"/>
          <w:highlight w:val="none"/>
        </w:rPr>
        <w:t>“广西政府采购网”（http://zfcg.gxzf.gov.cn）</w:t>
      </w:r>
      <w:r>
        <w:rPr>
          <w:rFonts w:hint="eastAsia" w:ascii="宋体" w:hAnsi="宋体" w:cs="宋体"/>
          <w:color w:val="auto"/>
          <w:highlight w:val="none"/>
        </w:rPr>
        <w:t>发布。</w:t>
      </w:r>
    </w:p>
    <w:p w14:paraId="6EF0916D">
      <w:pPr>
        <w:pageBreakBefore w:val="0"/>
        <w:wordWrap w:val="0"/>
        <w:overflowPunct/>
        <w:topLinePunct w:val="0"/>
        <w:bidi w:val="0"/>
        <w:spacing w:line="360" w:lineRule="auto"/>
        <w:ind w:firstLine="422" w:firstLineChars="200"/>
        <w:rPr>
          <w:rFonts w:ascii="宋体" w:hAnsi="宋体" w:cs="宋体"/>
          <w:color w:val="auto"/>
          <w:highlight w:val="none"/>
        </w:rPr>
      </w:pPr>
      <w:r>
        <w:rPr>
          <w:rFonts w:hint="eastAsia" w:ascii="宋体" w:hAnsi="宋体" w:cs="宋体"/>
          <w:b/>
          <w:color w:val="auto"/>
          <w:highlight w:val="none"/>
        </w:rPr>
        <w:t>38.3.6</w:t>
      </w:r>
      <w:r>
        <w:rPr>
          <w:rFonts w:hint="eastAsia" w:ascii="宋体" w:hAnsi="宋体" w:cs="宋体"/>
          <w:color w:val="auto"/>
          <w:highlight w:val="none"/>
        </w:rPr>
        <w:t xml:space="preserve">  南宁市政府采购监督管理部门在处理投诉事项期间，可以视具体情况暂停采购活动。</w:t>
      </w:r>
    </w:p>
    <w:p w14:paraId="49995461">
      <w:pPr>
        <w:pageBreakBefore w:val="0"/>
        <w:wordWrap w:val="0"/>
        <w:overflowPunct/>
        <w:topLinePunct w:val="0"/>
        <w:bidi w:val="0"/>
        <w:snapToGrid w:val="0"/>
        <w:spacing w:line="360" w:lineRule="auto"/>
        <w:ind w:left="120" w:leftChars="57" w:firstLine="482" w:firstLineChars="150"/>
        <w:jc w:val="center"/>
        <w:outlineLvl w:val="9"/>
        <w:rPr>
          <w:rFonts w:hint="eastAsia" w:ascii="宋体" w:hAnsi="宋体" w:cs="宋体"/>
          <w:b/>
          <w:bCs/>
          <w:color w:val="auto"/>
          <w:sz w:val="32"/>
          <w:szCs w:val="32"/>
          <w:highlight w:val="none"/>
        </w:rPr>
      </w:pPr>
    </w:p>
    <w:p w14:paraId="0F85A120">
      <w:pPr>
        <w:pageBreakBefore w:val="0"/>
        <w:wordWrap w:val="0"/>
        <w:overflowPunct/>
        <w:topLinePunct w:val="0"/>
        <w:bidi w:val="0"/>
        <w:snapToGrid w:val="0"/>
        <w:spacing w:line="360" w:lineRule="auto"/>
        <w:ind w:left="120" w:leftChars="57" w:firstLine="482" w:firstLineChars="150"/>
        <w:jc w:val="center"/>
        <w:outlineLvl w:val="2"/>
        <w:rPr>
          <w:rFonts w:ascii="宋体" w:hAnsi="宋体" w:cs="宋体"/>
          <w:b/>
          <w:bCs/>
          <w:color w:val="auto"/>
          <w:sz w:val="32"/>
          <w:szCs w:val="32"/>
          <w:highlight w:val="none"/>
        </w:rPr>
      </w:pPr>
      <w:bookmarkStart w:id="255" w:name="_Toc6031"/>
      <w:bookmarkStart w:id="256" w:name="_Toc6519"/>
      <w:r>
        <w:rPr>
          <w:rFonts w:hint="eastAsia" w:ascii="宋体" w:hAnsi="宋体" w:cs="宋体"/>
          <w:b/>
          <w:bCs/>
          <w:color w:val="auto"/>
          <w:sz w:val="32"/>
          <w:szCs w:val="32"/>
          <w:highlight w:val="none"/>
        </w:rPr>
        <w:t>八、验收</w:t>
      </w:r>
      <w:bookmarkEnd w:id="255"/>
      <w:bookmarkEnd w:id="256"/>
    </w:p>
    <w:p w14:paraId="108FE922">
      <w:pPr>
        <w:pageBreakBefore w:val="0"/>
        <w:wordWrap w:val="0"/>
        <w:overflowPunct/>
        <w:topLinePunct w:val="0"/>
        <w:bidi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39.验收</w:t>
      </w:r>
    </w:p>
    <w:p w14:paraId="45BA050B">
      <w:pPr>
        <w:pageBreakBefore w:val="0"/>
        <w:tabs>
          <w:tab w:val="left" w:pos="0"/>
        </w:tabs>
        <w:wordWrap w:val="0"/>
        <w:overflowPunct/>
        <w:topLinePunct w:val="0"/>
        <w:bidi w:val="0"/>
        <w:spacing w:line="360" w:lineRule="auto"/>
        <w:ind w:firstLine="480"/>
        <w:rPr>
          <w:rFonts w:ascii="宋体" w:hAnsi="宋体" w:cs="宋体"/>
          <w:color w:val="auto"/>
          <w:highlight w:val="none"/>
        </w:rPr>
      </w:pPr>
      <w:r>
        <w:rPr>
          <w:rFonts w:hint="eastAsia" w:ascii="宋体" w:hAnsi="宋体" w:cs="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1405394">
      <w:pPr>
        <w:pageBreakBefore w:val="0"/>
        <w:tabs>
          <w:tab w:val="left" w:pos="0"/>
        </w:tabs>
        <w:wordWrap w:val="0"/>
        <w:overflowPunct/>
        <w:topLinePunct w:val="0"/>
        <w:bidi w:val="0"/>
        <w:spacing w:line="360" w:lineRule="auto"/>
        <w:ind w:firstLine="480"/>
        <w:rPr>
          <w:rFonts w:ascii="宋体" w:hAnsi="宋体" w:cs="宋体"/>
          <w:color w:val="auto"/>
          <w:highlight w:val="none"/>
        </w:rPr>
      </w:pPr>
      <w:r>
        <w:rPr>
          <w:rFonts w:hint="eastAsia" w:ascii="宋体" w:hAnsi="宋体" w:cs="宋体"/>
          <w:color w:val="auto"/>
          <w:highlight w:val="none"/>
        </w:rPr>
        <w:t>39.2采购人可以邀请参加本项目的其他投标人或者第三方机构参与验收。参与验收的投标人或者第三方机构的意见作为验收书的参考资料一并存档。</w:t>
      </w:r>
    </w:p>
    <w:p w14:paraId="10E47FB8">
      <w:pPr>
        <w:pageBreakBefore w:val="0"/>
        <w:tabs>
          <w:tab w:val="left" w:pos="0"/>
        </w:tabs>
        <w:wordWrap w:val="0"/>
        <w:overflowPunct/>
        <w:topLinePunct w:val="0"/>
        <w:bidi w:val="0"/>
        <w:spacing w:line="360" w:lineRule="auto"/>
        <w:ind w:firstLine="480"/>
        <w:rPr>
          <w:rFonts w:ascii="宋体" w:hAnsi="宋体" w:cs="宋体"/>
          <w:color w:val="auto"/>
          <w:highlight w:val="none"/>
        </w:rPr>
      </w:pPr>
      <w:r>
        <w:rPr>
          <w:rFonts w:hint="eastAsia" w:ascii="宋体" w:hAnsi="宋体" w:cs="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A106213">
      <w:pPr>
        <w:pageBreakBefore w:val="0"/>
        <w:tabs>
          <w:tab w:val="left" w:pos="0"/>
        </w:tabs>
        <w:wordWrap w:val="0"/>
        <w:overflowPunct/>
        <w:topLinePunct w:val="0"/>
        <w:bidi w:val="0"/>
        <w:spacing w:line="360" w:lineRule="auto"/>
        <w:ind w:firstLine="480"/>
        <w:rPr>
          <w:rFonts w:ascii="宋体" w:hAnsi="宋体" w:cs="宋体"/>
          <w:color w:val="auto"/>
          <w:highlight w:val="none"/>
        </w:rPr>
      </w:pPr>
      <w:r>
        <w:rPr>
          <w:rFonts w:hint="eastAsia" w:ascii="宋体" w:hAnsi="宋体" w:cs="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2935E12">
      <w:pPr>
        <w:pStyle w:val="12"/>
        <w:pageBreakBefore w:val="0"/>
        <w:wordWrap w:val="0"/>
        <w:overflowPunct/>
        <w:topLinePunct w:val="0"/>
        <w:bidi w:val="0"/>
        <w:snapToGrid w:val="0"/>
        <w:spacing w:line="360" w:lineRule="auto"/>
        <w:rPr>
          <w:rFonts w:hAnsi="宋体" w:cs="宋体"/>
          <w:color w:val="auto"/>
          <w:highlight w:val="none"/>
        </w:rPr>
      </w:pPr>
    </w:p>
    <w:p w14:paraId="06572D86">
      <w:pPr>
        <w:pStyle w:val="4"/>
        <w:keepNext w:val="0"/>
        <w:keepLines w:val="0"/>
        <w:pageBreakBefore w:val="0"/>
        <w:wordWrap w:val="0"/>
        <w:overflowPunct/>
        <w:topLinePunct w:val="0"/>
        <w:bidi w:val="0"/>
        <w:spacing w:line="360" w:lineRule="auto"/>
        <w:jc w:val="center"/>
        <w:rPr>
          <w:rFonts w:ascii="宋体" w:hAnsi="宋体" w:cs="宋体"/>
          <w:color w:val="auto"/>
          <w:highlight w:val="none"/>
        </w:rPr>
      </w:pPr>
      <w:bookmarkStart w:id="257" w:name="_八、其他事项"/>
      <w:bookmarkEnd w:id="257"/>
      <w:bookmarkStart w:id="258" w:name="_Toc9267"/>
      <w:bookmarkStart w:id="259" w:name="_Toc29156"/>
      <w:r>
        <w:rPr>
          <w:rFonts w:hint="eastAsia" w:ascii="宋体" w:hAnsi="宋体" w:cs="宋体"/>
          <w:color w:val="auto"/>
          <w:highlight w:val="none"/>
        </w:rPr>
        <w:t>九、其他事项</w:t>
      </w:r>
      <w:bookmarkEnd w:id="258"/>
      <w:bookmarkEnd w:id="259"/>
    </w:p>
    <w:p w14:paraId="4D2CD531">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260" w:name="_42.代理服务费"/>
      <w:bookmarkEnd w:id="260"/>
      <w:r>
        <w:rPr>
          <w:rFonts w:hint="eastAsia" w:ascii="宋体" w:hAnsi="宋体" w:cs="宋体"/>
          <w:color w:val="auto"/>
          <w:sz w:val="24"/>
          <w:highlight w:val="none"/>
        </w:rPr>
        <w:t>40.代理服务费</w:t>
      </w:r>
    </w:p>
    <w:p w14:paraId="3C978964">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代理服务收费标准及缴费账户详见“投标人须知前附表”，投标人为联合体的，可以由联合体中的一方或者多方共同交纳代理服务费。</w:t>
      </w:r>
    </w:p>
    <w:p w14:paraId="40DCAB2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 需要补充的其他内容</w:t>
      </w:r>
    </w:p>
    <w:p w14:paraId="02F829B2">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41.1本招标文件解释规则详见“投标人须知前附表”。</w:t>
      </w:r>
    </w:p>
    <w:p w14:paraId="6803562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41.2 其他事项详见“投标人须知前附表”。</w:t>
      </w:r>
    </w:p>
    <w:p w14:paraId="1F9F8247">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0E8323D0">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以联合体形式参加政府采购活动，联合体各方均为中小企业的，联合体视同中小企业。其中，联合体各方均为小微企业的，联合体视同小微企业。</w:t>
      </w:r>
    </w:p>
    <w:p w14:paraId="3316ADA8">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依据本文件规定享受扶持政策获得政府采购合同的，小微企业不得将合同分包给大中型企业，中型企业不得将合同分包给大型企业。</w:t>
      </w:r>
    </w:p>
    <w:p w14:paraId="265E154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 政采贷相关说明</w:t>
      </w:r>
    </w:p>
    <w:p w14:paraId="0B687F6F">
      <w:pPr>
        <w:pageBreakBefore w:val="0"/>
        <w:numPr>
          <w:ilvl w:val="0"/>
          <w:numId w:val="8"/>
        </w:numPr>
        <w:wordWrap w:val="0"/>
        <w:overflowPunct/>
        <w:topLinePunct w:val="0"/>
        <w:bidi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为优化政府采购营商环境，缓解供应商资金难题，南宁市政府采购试行政府采购信用融资制度，中 标供应商如有融资需求，可凭政府采购合同通过以下方式申请政府采购信用融资贷款： （1）线下渠道：在“南宁市公共资源交易中心”官网（网址： http://www.nnggzy.org.cn ）“交易信 息- 政府采购- 政府采购信用融资”中融资银行和南宁市企业融资服务中心专栏信息申请政府采购信用融资 。 （2）线上渠道：登录中征营应收账款融资服务平台（网址：https://www.crcrfsp.com，客服电话： 400-009-0001），选择相关金融产品和银行业金融机构金融融资贷款。具体操作方式见《中国人民银行南宁 中心支行广西壮族自治区财政厅关于推广线上“政采贷”融资模式的通知》（南宁银发〔2021〕258 号）文 （文件公开网址详情见：“广西政府采购网”——http://www.ccgpguangxi.gov.cn/AdministrativeRegulations/AutonomousRegion/9830442.html）</w:t>
      </w:r>
      <w:r>
        <w:rPr>
          <w:rFonts w:hint="eastAsia" w:ascii="宋体" w:hAnsi="宋体" w:cs="宋体"/>
          <w:color w:val="auto"/>
          <w:highlight w:val="none"/>
        </w:rPr>
        <w:br w:type="page"/>
      </w:r>
      <w:bookmarkStart w:id="261" w:name="_Toc532545043"/>
    </w:p>
    <w:p w14:paraId="766891E9">
      <w:pPr>
        <w:pStyle w:val="12"/>
        <w:pageBreakBefore w:val="0"/>
        <w:wordWrap w:val="0"/>
        <w:overflowPunct/>
        <w:topLinePunct w:val="0"/>
        <w:bidi w:val="0"/>
        <w:spacing w:line="360" w:lineRule="auto"/>
        <w:jc w:val="center"/>
        <w:outlineLvl w:val="0"/>
        <w:rPr>
          <w:rFonts w:hAnsi="宋体" w:cs="宋体"/>
          <w:b/>
          <w:color w:val="auto"/>
          <w:sz w:val="36"/>
          <w:highlight w:val="none"/>
        </w:rPr>
      </w:pPr>
      <w:bookmarkStart w:id="262" w:name="_Toc14347"/>
      <w:r>
        <w:rPr>
          <w:rFonts w:hint="eastAsia" w:hAnsi="宋体" w:cs="宋体"/>
          <w:b/>
          <w:color w:val="auto"/>
          <w:sz w:val="36"/>
          <w:highlight w:val="none"/>
        </w:rPr>
        <w:t>第四章  评标方法</w:t>
      </w:r>
      <w:bookmarkEnd w:id="261"/>
      <w:r>
        <w:rPr>
          <w:rFonts w:hint="eastAsia" w:hAnsi="宋体" w:cs="宋体"/>
          <w:b/>
          <w:color w:val="auto"/>
          <w:sz w:val="36"/>
          <w:highlight w:val="none"/>
        </w:rPr>
        <w:t>及评分标准</w:t>
      </w:r>
      <w:bookmarkEnd w:id="262"/>
    </w:p>
    <w:p w14:paraId="132D9ADD">
      <w:pPr>
        <w:pStyle w:val="12"/>
        <w:pageBreakBefore w:val="0"/>
        <w:wordWrap w:val="0"/>
        <w:overflowPunct/>
        <w:topLinePunct w:val="0"/>
        <w:bidi w:val="0"/>
        <w:spacing w:line="360" w:lineRule="auto"/>
        <w:jc w:val="center"/>
        <w:outlineLvl w:val="1"/>
        <w:rPr>
          <w:rFonts w:hAnsi="宋体" w:cs="宋体"/>
          <w:b/>
          <w:bCs/>
          <w:color w:val="auto"/>
          <w:sz w:val="32"/>
          <w:szCs w:val="32"/>
          <w:highlight w:val="none"/>
        </w:rPr>
      </w:pPr>
      <w:bookmarkStart w:id="263" w:name="_Toc8300"/>
      <w:r>
        <w:rPr>
          <w:rFonts w:hint="eastAsia" w:hAnsi="宋体" w:cs="宋体"/>
          <w:b/>
          <w:bCs/>
          <w:color w:val="auto"/>
          <w:sz w:val="32"/>
          <w:szCs w:val="32"/>
          <w:highlight w:val="none"/>
        </w:rPr>
        <w:t>第一节 评标方法</w:t>
      </w:r>
      <w:bookmarkEnd w:id="263"/>
    </w:p>
    <w:p w14:paraId="453629C1">
      <w:pPr>
        <w:pStyle w:val="12"/>
        <w:pageBreakBefore w:val="0"/>
        <w:tabs>
          <w:tab w:val="left" w:pos="2472"/>
        </w:tabs>
        <w:wordWrap w:val="0"/>
        <w:overflowPunct/>
        <w:topLinePunct w:val="0"/>
        <w:bidi w:val="0"/>
        <w:spacing w:line="360" w:lineRule="auto"/>
        <w:ind w:firstLine="420" w:firstLineChars="200"/>
        <w:rPr>
          <w:rFonts w:hAnsi="宋体" w:cs="宋体"/>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w:t>
      </w:r>
      <w:r>
        <w:rPr>
          <w:rFonts w:hint="eastAsia" w:hAnsi="宋体" w:cs="宋体"/>
          <w:color w:val="auto"/>
          <w:szCs w:val="21"/>
          <w:highlight w:val="none"/>
          <w:u w:val="single"/>
          <w:lang w:val="en-US" w:eastAsia="zh-CN"/>
        </w:rPr>
        <w:t xml:space="preserve">综合评分法 </w:t>
      </w:r>
      <w:r>
        <w:rPr>
          <w:rFonts w:hint="eastAsia" w:hAnsi="宋体" w:cs="宋体"/>
          <w:color w:val="auto"/>
          <w:szCs w:val="21"/>
          <w:highlight w:val="none"/>
        </w:rPr>
        <w:t>进行评审。</w:t>
      </w:r>
    </w:p>
    <w:p w14:paraId="19BD762D">
      <w:pPr>
        <w:pageBreakBefore w:val="0"/>
        <w:wordWrap w:val="0"/>
        <w:overflowPunct/>
        <w:topLinePunct w:val="0"/>
        <w:autoSpaceDE w:val="0"/>
        <w:autoSpaceDN w:val="0"/>
        <w:bidi w:val="0"/>
        <w:adjustRightInd w:val="0"/>
        <w:spacing w:line="360" w:lineRule="auto"/>
        <w:ind w:firstLine="420" w:firstLineChars="200"/>
        <w:rPr>
          <w:rFonts w:ascii="宋体" w:hAnsi="宋体" w:cs="宋体"/>
          <w:color w:val="auto"/>
          <w:sz w:val="24"/>
          <w:highlight w:val="none"/>
        </w:rPr>
      </w:pPr>
      <w:r>
        <w:rPr>
          <w:rFonts w:hint="eastAsia" w:ascii="宋体" w:hAnsi="宋体" w:cs="宋体"/>
          <w:color w:val="auto"/>
          <w:highlight w:val="none"/>
        </w:rPr>
        <w:t>综合评分法，</w:t>
      </w:r>
      <w:r>
        <w:rPr>
          <w:rFonts w:hint="eastAsia" w:ascii="宋体" w:hAnsi="宋体" w:cs="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781D2E00">
      <w:pPr>
        <w:pStyle w:val="12"/>
        <w:pageBreakBefore w:val="0"/>
        <w:wordWrap w:val="0"/>
        <w:overflowPunct/>
        <w:topLinePunct w:val="0"/>
        <w:bidi w:val="0"/>
        <w:spacing w:line="360" w:lineRule="auto"/>
        <w:ind w:firstLine="420"/>
        <w:rPr>
          <w:rFonts w:hAnsi="宋体" w:cs="宋体"/>
          <w:color w:val="auto"/>
          <w:highlight w:val="none"/>
        </w:rPr>
      </w:pPr>
    </w:p>
    <w:p w14:paraId="20635B88">
      <w:pPr>
        <w:pStyle w:val="12"/>
        <w:pageBreakBefore w:val="0"/>
        <w:tabs>
          <w:tab w:val="left" w:pos="2472"/>
        </w:tabs>
        <w:wordWrap w:val="0"/>
        <w:overflowPunct/>
        <w:topLinePunct w:val="0"/>
        <w:bidi w:val="0"/>
        <w:spacing w:line="360" w:lineRule="auto"/>
        <w:jc w:val="center"/>
        <w:outlineLvl w:val="1"/>
        <w:rPr>
          <w:rFonts w:hAnsi="宋体" w:cs="宋体"/>
          <w:b/>
          <w:bCs/>
          <w:color w:val="auto"/>
          <w:sz w:val="32"/>
          <w:szCs w:val="32"/>
          <w:highlight w:val="none"/>
        </w:rPr>
      </w:pPr>
      <w:bookmarkStart w:id="264" w:name="_Toc18432"/>
      <w:r>
        <w:rPr>
          <w:rFonts w:hint="eastAsia" w:hAnsi="宋体" w:cs="宋体"/>
          <w:b/>
          <w:bCs/>
          <w:color w:val="auto"/>
          <w:sz w:val="32"/>
          <w:szCs w:val="32"/>
          <w:highlight w:val="none"/>
        </w:rPr>
        <w:t>第二节 评标程序</w:t>
      </w:r>
      <w:bookmarkEnd w:id="264"/>
    </w:p>
    <w:p w14:paraId="304659ED">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1.符合性审查</w:t>
      </w:r>
    </w:p>
    <w:p w14:paraId="3D0577FD">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评标委员会应当对符合资格的投标人的投标文件进行投标报价、商务、技术等实质性内容符合性审查，以确定其是否满足招标文件的实质性要求。</w:t>
      </w:r>
    </w:p>
    <w:p w14:paraId="6FEB5EB7">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2.符合性审查不通过而导致投标无效的情形</w:t>
      </w:r>
    </w:p>
    <w:p w14:paraId="7059B40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投标人的投标文件中存在对招标文件的任何实质性要求和条件的负偏离，将被视为投标无效。</w:t>
      </w:r>
    </w:p>
    <w:p w14:paraId="5F4265A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2.1在报价评审时，如发现下列情形之一的，将被视为投标无效：</w:t>
      </w:r>
    </w:p>
    <w:p w14:paraId="39B2E91E">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（1）投标文件未提供“投标人须知前附表”第13.1条规定中“必须提供”的文件资料的;</w:t>
      </w:r>
    </w:p>
    <w:p w14:paraId="501E37EF">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（2）未采用人民币报价或者未按照招标文件标明的币种报价的；</w:t>
      </w:r>
    </w:p>
    <w:p w14:paraId="640B8569">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（3）报价超出招标文件规定最高限价，或者超出采购预算金额（包括分项预算）的；</w:t>
      </w:r>
    </w:p>
    <w:p w14:paraId="21646FF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314A31C0">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（5）修正后的报价，投标人不确认的；</w:t>
      </w:r>
    </w:p>
    <w:p w14:paraId="4240181C">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（6）投标人属于本章第5条第（2）项情形的。</w:t>
      </w:r>
    </w:p>
    <w:p w14:paraId="78D2706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2.2在商务评审时，如发现下列情形之一的，将被视为投标无效：</w:t>
      </w:r>
    </w:p>
    <w:p w14:paraId="6FA50B40">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（1）投标文件未按招标文件要求签署、盖章的；</w:t>
      </w:r>
    </w:p>
    <w:p w14:paraId="3BA3C9FF">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（2）委托代理人未能出具有效身份证明或者出具的身份证明与授权委托书中的信息不符的； </w:t>
      </w:r>
    </w:p>
    <w:p w14:paraId="6311961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（3）投标文件未提供“投标人须知前附表”第13.1条规定中“必须提供”或者“委托时必须提供”的文件资料的;</w:t>
      </w:r>
    </w:p>
    <w:p w14:paraId="1715A5E0">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（4）投标有效期、项目完成时间（交货时间、服务完成时间或者服务期等）、质保期、售后服务等招标文件中标“▲”的商务条款发生负偏离的；</w:t>
      </w:r>
    </w:p>
    <w:p w14:paraId="38F9412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（5）商务条款评审允许负偏离的条款数超过“投标人须知前附表”规定项数的。</w:t>
      </w:r>
    </w:p>
    <w:p w14:paraId="1EF61556">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（6）投标文件的实质性内容未使用中文表述、使用计量单位不符合招标文件要求的；</w:t>
      </w:r>
    </w:p>
    <w:p w14:paraId="0D439D3A">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（7）投标文件中的文件资料因填写不齐全或者内容虚假或者出现其他情形而导致被评标委员会认定无效的；</w:t>
      </w:r>
    </w:p>
    <w:p w14:paraId="1E7502C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（8）投标文件含有采购人不能接受的附加条件的；</w:t>
      </w:r>
    </w:p>
    <w:p w14:paraId="77E8FCB8">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（9）未响应招标文件实质性要求的；</w:t>
      </w:r>
    </w:p>
    <w:p w14:paraId="6D044C2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（10）属于投标人须知正文第9.2条情形的；</w:t>
      </w:r>
    </w:p>
    <w:p w14:paraId="0501B8C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（11）法律、法规和招标文件规定的其他无效情形。</w:t>
      </w:r>
    </w:p>
    <w:p w14:paraId="49BFE7FF">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2.3在技术评审时，如发现下列情形之一的，将被视为投标无效：</w:t>
      </w:r>
    </w:p>
    <w:p w14:paraId="2C6EA863">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（1）不满足招标文件要求的服务内容、技术要求、安全、质量标准，或者与招标文件中标“▲”的技术需求发生负偏离的；</w:t>
      </w:r>
    </w:p>
    <w:p w14:paraId="241D4FBB">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（2）技术需求评审允许负偏离的条款数超过“投标人须知前附表”规定项数的；</w:t>
      </w:r>
    </w:p>
    <w:p w14:paraId="33114456">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（3）投标文件未提供“投标人须知前附表”第13.1条规定中“必须提供”的文件资料的;</w:t>
      </w:r>
    </w:p>
    <w:p w14:paraId="4D6B0B3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（4）虚假投标，或者出现其他情形而导致被评标委员会认定无效的；</w:t>
      </w:r>
    </w:p>
    <w:p w14:paraId="470C53D6">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（5）如招标文件需要提供技术方案的，投标技术方案不明确，招标文件未允许但存在一个或者一个以上备选（替代）投标方案的。</w:t>
      </w:r>
    </w:p>
    <w:p w14:paraId="4A33F83F">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3.澄清补正、说明或者补正</w:t>
      </w:r>
    </w:p>
    <w:p w14:paraId="33018EBE">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072714C5">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4857A72">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4.投标文件修正</w:t>
      </w:r>
    </w:p>
    <w:p w14:paraId="75F4C0D4">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4.1投标文件报价出现前后不一致的，按照下列规定修正： </w:t>
      </w:r>
    </w:p>
    <w:p w14:paraId="08F970D1">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（1）报价文件中“开标一览表”内容与投标文件中相应内容不一致的，以“开标一览表”为准；</w:t>
      </w:r>
    </w:p>
    <w:p w14:paraId="02CF8F3B">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（2）大写金额和小写金额不一致的，以大写金额为准；</w:t>
      </w:r>
    </w:p>
    <w:p w14:paraId="1F418E4C">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（3）单价金额小数点或者百分比有明显错位的，以开标一览表的总价为准，并修改单价；</w:t>
      </w:r>
    </w:p>
    <w:p w14:paraId="30C71F54">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3921A76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同时出现两种以上不一致的，按照以上（1）-（4）规定的顺序修正。修正后的报价经投标人确认后产生约束力，投标人不确认的，其投标无效。</w:t>
      </w:r>
    </w:p>
    <w:p w14:paraId="76EE1F34">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4.2经投标人确认修正后的报价若超过采购预算金额或者最高限价，投标人的投标文件作无效投标处理。</w:t>
      </w:r>
    </w:p>
    <w:p w14:paraId="39D54E92">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3DDC3A47">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5.比较与评价</w:t>
      </w:r>
    </w:p>
    <w:p w14:paraId="13457035">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5.1评标委员会按照招标文件中规定的评标方法和评标标准，对符合性审查合格的投标文件进行商务和技术评估，综合比较与评价。</w:t>
      </w:r>
    </w:p>
    <w:p w14:paraId="16711EE1">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5.2评标委员会独立对每个投标人的投标文件进行评价，并汇总每个投标人的得分。</w:t>
      </w:r>
    </w:p>
    <w:p w14:paraId="4667A42A">
      <w:pPr>
        <w:pageBreakBefore w:val="0"/>
        <w:widowControl/>
        <w:numPr>
          <w:ilvl w:val="0"/>
          <w:numId w:val="9"/>
        </w:numPr>
        <w:wordWrap w:val="0"/>
        <w:overflowPunct/>
        <w:topLinePunct w:val="0"/>
        <w:bidi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0795C39">
      <w:pPr>
        <w:pageBreakBefore w:val="0"/>
        <w:widowControl/>
        <w:numPr>
          <w:ilvl w:val="0"/>
          <w:numId w:val="9"/>
        </w:numPr>
        <w:wordWrap w:val="0"/>
        <w:overflowPunct/>
        <w:topLinePunct w:val="0"/>
        <w:bidi w:val="0"/>
        <w:spacing w:line="360" w:lineRule="auto"/>
        <w:ind w:firstLine="420" w:firstLineChars="200"/>
        <w:jc w:val="left"/>
        <w:rPr>
          <w:rFonts w:ascii="宋体" w:hAnsi="宋体" w:cs="宋体"/>
          <w:color w:val="auto"/>
          <w:highlight w:val="none"/>
        </w:rPr>
      </w:pPr>
      <w:r>
        <w:rPr>
          <w:rFonts w:hint="eastAsia" w:ascii="宋体" w:hAnsi="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6A59EE3">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5.3评标委员会按照招标文件中规定的评标方法和标准计算各投标人的报价得分。在计算过程中，不得去掉最高报价或者最低报价。</w:t>
      </w:r>
    </w:p>
    <w:p w14:paraId="475DE296">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5.4各投标人的得分为所有评委的有效评分的算术平均数。</w:t>
      </w:r>
    </w:p>
    <w:p w14:paraId="3234FF43">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5.5评标委员会按照招标文件中的规定推荐中标候选人。</w:t>
      </w:r>
    </w:p>
    <w:p w14:paraId="00C3D510">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AEAA9B3">
      <w:pPr>
        <w:pageBreakBefore w:val="0"/>
        <w:wordWrap w:val="0"/>
        <w:overflowPunct/>
        <w:topLinePunct w:val="0"/>
        <w:bidi w:val="0"/>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6.评审复核</w:t>
      </w:r>
    </w:p>
    <w:p w14:paraId="3718CE91">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6.1评标报告签署前，评标委员会要对评审结果进行复核，复核意见要体现在评标报告中。</w:t>
      </w:r>
    </w:p>
    <w:p w14:paraId="54C4A4EB">
      <w:pPr>
        <w:pageBreakBefore w:val="0"/>
        <w:widowControl/>
        <w:wordWrap w:val="0"/>
        <w:overflowPunct/>
        <w:topLinePunct w:val="0"/>
        <w:bidi w:val="0"/>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6.2评标结果汇总完成后，除下列情形外，任何人不得修改评标结果：</w:t>
      </w:r>
    </w:p>
    <w:p w14:paraId="64A02381">
      <w:pPr>
        <w:pageBreakBefore w:val="0"/>
        <w:widowControl/>
        <w:wordWrap w:val="0"/>
        <w:overflowPunct/>
        <w:topLinePunct w:val="0"/>
        <w:bidi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（一）分值汇总计算错误的；</w:t>
      </w:r>
    </w:p>
    <w:p w14:paraId="7462AA62">
      <w:pPr>
        <w:pageBreakBefore w:val="0"/>
        <w:widowControl/>
        <w:wordWrap w:val="0"/>
        <w:overflowPunct/>
        <w:topLinePunct w:val="0"/>
        <w:bidi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（二）分项评分超出评分标准范围的；</w:t>
      </w:r>
    </w:p>
    <w:p w14:paraId="58504463">
      <w:pPr>
        <w:pageBreakBefore w:val="0"/>
        <w:widowControl/>
        <w:wordWrap w:val="0"/>
        <w:overflowPunct/>
        <w:topLinePunct w:val="0"/>
        <w:bidi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（三）评标委员会成员对客观评审因素评分不一致的；</w:t>
      </w:r>
    </w:p>
    <w:p w14:paraId="57D7BD10">
      <w:pPr>
        <w:pageBreakBefore w:val="0"/>
        <w:widowControl/>
        <w:wordWrap w:val="0"/>
        <w:overflowPunct/>
        <w:topLinePunct w:val="0"/>
        <w:bidi w:val="0"/>
        <w:spacing w:line="360" w:lineRule="auto"/>
        <w:jc w:val="left"/>
        <w:textAlignment w:val="baseline"/>
        <w:rPr>
          <w:rFonts w:ascii="宋体" w:hAnsi="宋体" w:cs="宋体"/>
          <w:color w:val="auto"/>
          <w:highlight w:val="none"/>
        </w:rPr>
      </w:pPr>
      <w:r>
        <w:rPr>
          <w:rFonts w:hint="eastAsia" w:ascii="宋体" w:hAnsi="宋体" w:cs="宋体"/>
          <w:color w:val="auto"/>
          <w:highlight w:val="none"/>
        </w:rPr>
        <w:t>　　（四）经评标委员会认定评分畸高、畸低的。</w:t>
      </w:r>
    </w:p>
    <w:p w14:paraId="394C4FE7">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0C584737">
      <w:pPr>
        <w:pStyle w:val="3"/>
        <w:pageBreakBefore w:val="0"/>
        <w:wordWrap w:val="0"/>
        <w:overflowPunct/>
        <w:topLinePunct w:val="0"/>
        <w:bidi w:val="0"/>
        <w:spacing w:before="0" w:after="0" w:line="360" w:lineRule="auto"/>
        <w:jc w:val="center"/>
        <w:rPr>
          <w:rFonts w:ascii="宋体" w:hAnsi="宋体" w:eastAsia="宋体" w:cs="宋体"/>
          <w:b w:val="0"/>
          <w:color w:val="auto"/>
          <w:sz w:val="30"/>
          <w:szCs w:val="30"/>
          <w:highlight w:val="none"/>
        </w:rPr>
      </w:pPr>
      <w:bookmarkStart w:id="265" w:name="_Toc2511"/>
      <w:r>
        <w:rPr>
          <w:rFonts w:hint="eastAsia" w:ascii="宋体" w:hAnsi="宋体" w:eastAsia="宋体" w:cs="宋体"/>
          <w:b w:val="0"/>
          <w:color w:val="auto"/>
          <w:sz w:val="30"/>
          <w:szCs w:val="30"/>
          <w:highlight w:val="none"/>
        </w:rPr>
        <w:t>第三节 评分标准</w:t>
      </w:r>
      <w:bookmarkEnd w:id="265"/>
    </w:p>
    <w:p w14:paraId="0E0A096E">
      <w:pPr>
        <w:pStyle w:val="12"/>
        <w:pageBreakBefore w:val="0"/>
        <w:widowControl/>
        <w:wordWrap w:val="0"/>
        <w:overflowPunct/>
        <w:topLinePunct w:val="0"/>
        <w:bidi w:val="0"/>
        <w:spacing w:line="360" w:lineRule="auto"/>
        <w:ind w:firstLine="602" w:firstLineChars="200"/>
        <w:jc w:val="center"/>
        <w:rPr>
          <w:rFonts w:hAnsi="宋体" w:cs="宋体"/>
          <w:b/>
          <w:color w:val="auto"/>
          <w:sz w:val="30"/>
          <w:szCs w:val="30"/>
          <w:highlight w:val="none"/>
        </w:rPr>
      </w:pPr>
      <w:r>
        <w:rPr>
          <w:rFonts w:hint="eastAsia" w:hAnsi="宋体" w:cs="宋体"/>
          <w:b/>
          <w:color w:val="auto"/>
          <w:sz w:val="30"/>
          <w:szCs w:val="30"/>
          <w:highlight w:val="none"/>
        </w:rPr>
        <w:t>综合评分法</w:t>
      </w:r>
    </w:p>
    <w:p w14:paraId="31A10520">
      <w:pPr>
        <w:pageBreakBefore w:val="0"/>
        <w:wordWrap w:val="0"/>
        <w:overflowPunct/>
        <w:topLinePunct w:val="0"/>
        <w:bidi w:val="0"/>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 xml:space="preserve"> </w:t>
      </w:r>
      <w:r>
        <w:rPr>
          <w:rFonts w:hint="eastAsia" w:ascii="宋体" w:hAnsi="宋体" w:cs="宋体"/>
          <w:color w:val="auto"/>
          <w:szCs w:val="21"/>
          <w:highlight w:val="none"/>
        </w:rPr>
        <w:t>注：1.计分方法按四舍五入取至百分位。</w:t>
      </w:r>
    </w:p>
    <w:p w14:paraId="31888158">
      <w:pPr>
        <w:pageBreakBefore w:val="0"/>
        <w:wordWrap w:val="0"/>
        <w:overflowPunct/>
        <w:topLinePunct w:val="0"/>
        <w:bidi w:val="0"/>
        <w:spacing w:line="360" w:lineRule="auto"/>
        <w:ind w:firstLine="1050" w:firstLineChars="500"/>
        <w:rPr>
          <w:rFonts w:ascii="宋体" w:hAnsi="宋体" w:cs="宋体"/>
          <w:color w:val="auto"/>
          <w:szCs w:val="21"/>
          <w:highlight w:val="none"/>
        </w:rPr>
      </w:pPr>
      <w:r>
        <w:rPr>
          <w:rFonts w:hint="eastAsia" w:ascii="宋体" w:hAnsi="宋体" w:cs="宋体"/>
          <w:color w:val="auto"/>
          <w:szCs w:val="21"/>
          <w:highlight w:val="none"/>
        </w:rPr>
        <w:t>总得分=报价分+技术分+商务分</w:t>
      </w:r>
    </w:p>
    <w:p w14:paraId="41ED99D1">
      <w:pPr>
        <w:pageBreakBefore w:val="0"/>
        <w:wordWrap w:val="0"/>
        <w:overflowPunct/>
        <w:topLinePunct w:val="0"/>
        <w:bidi w:val="0"/>
        <w:spacing w:line="360" w:lineRule="auto"/>
        <w:ind w:firstLine="840" w:firstLineChars="400"/>
        <w:rPr>
          <w:rFonts w:hint="eastAsia" w:ascii="宋体" w:hAnsi="宋体" w:eastAsia="宋体" w:cs="宋体"/>
          <w:b w:val="0"/>
          <w:color w:val="auto"/>
          <w:sz w:val="30"/>
          <w:szCs w:val="30"/>
          <w:highlight w:val="none"/>
        </w:rPr>
      </w:pPr>
      <w:r>
        <w:rPr>
          <w:rFonts w:hint="eastAsia" w:ascii="宋体" w:hAnsi="宋体" w:cs="宋体"/>
          <w:color w:val="auto"/>
          <w:szCs w:val="21"/>
          <w:highlight w:val="none"/>
        </w:rPr>
        <w:t>2.商务技术评审因素为客观评分项的，应在评分项目或评分标准中予以标注为‘客观分’。对投标人的客观评分项目，各评标专家评分应当一致。</w:t>
      </w:r>
    </w:p>
    <w:tbl>
      <w:tblPr>
        <w:tblStyle w:val="20"/>
        <w:tblpPr w:leftFromText="180" w:rightFromText="180" w:vertAnchor="text" w:horzAnchor="margin" w:tblpX="-238" w:tblpY="1593"/>
        <w:tblOverlap w:val="never"/>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409"/>
        <w:gridCol w:w="1332"/>
        <w:gridCol w:w="4855"/>
        <w:gridCol w:w="1493"/>
      </w:tblGrid>
      <w:tr w14:paraId="4CFE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tcBorders>
              <w:top w:val="single" w:color="auto" w:sz="4" w:space="0"/>
              <w:left w:val="single" w:color="auto" w:sz="4" w:space="0"/>
              <w:bottom w:val="single" w:color="auto" w:sz="4" w:space="0"/>
              <w:right w:val="single" w:color="auto" w:sz="4" w:space="0"/>
            </w:tcBorders>
            <w:vAlign w:val="top"/>
          </w:tcPr>
          <w:p w14:paraId="135D91D8">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序号</w:t>
            </w:r>
          </w:p>
        </w:tc>
        <w:tc>
          <w:tcPr>
            <w:tcW w:w="1409" w:type="dxa"/>
            <w:tcBorders>
              <w:top w:val="single" w:color="auto" w:sz="4" w:space="0"/>
              <w:left w:val="single" w:color="auto" w:sz="4" w:space="0"/>
              <w:bottom w:val="single" w:color="auto" w:sz="4" w:space="0"/>
              <w:right w:val="single" w:color="auto" w:sz="4" w:space="0"/>
            </w:tcBorders>
            <w:vAlign w:val="top"/>
          </w:tcPr>
          <w:p w14:paraId="0C19C815">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评分</w:t>
            </w:r>
          </w:p>
          <w:p w14:paraId="1D2931A5">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类型</w:t>
            </w:r>
          </w:p>
        </w:tc>
        <w:tc>
          <w:tcPr>
            <w:tcW w:w="6187" w:type="dxa"/>
            <w:gridSpan w:val="2"/>
            <w:tcBorders>
              <w:top w:val="single" w:color="auto" w:sz="4" w:space="0"/>
              <w:left w:val="single" w:color="auto" w:sz="4" w:space="0"/>
              <w:bottom w:val="single" w:color="auto" w:sz="4" w:space="0"/>
              <w:right w:val="single" w:color="auto" w:sz="4" w:space="0"/>
            </w:tcBorders>
            <w:vAlign w:val="top"/>
          </w:tcPr>
          <w:p w14:paraId="27B28E73">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评分标准</w:t>
            </w:r>
          </w:p>
        </w:tc>
        <w:tc>
          <w:tcPr>
            <w:tcW w:w="1493" w:type="dxa"/>
            <w:tcBorders>
              <w:top w:val="single" w:color="auto" w:sz="4" w:space="0"/>
              <w:left w:val="single" w:color="auto" w:sz="4" w:space="0"/>
              <w:bottom w:val="single" w:color="auto" w:sz="4" w:space="0"/>
              <w:right w:val="single" w:color="auto" w:sz="4" w:space="0"/>
            </w:tcBorders>
            <w:vAlign w:val="center"/>
          </w:tcPr>
          <w:p w14:paraId="70CD9800">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分值</w:t>
            </w:r>
          </w:p>
        </w:tc>
      </w:tr>
      <w:tr w14:paraId="638A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tcBorders>
              <w:top w:val="single" w:color="auto" w:sz="4" w:space="0"/>
              <w:left w:val="single" w:color="auto" w:sz="4" w:space="0"/>
              <w:bottom w:val="single" w:color="auto" w:sz="4" w:space="0"/>
              <w:right w:val="single" w:color="auto" w:sz="4" w:space="0"/>
            </w:tcBorders>
            <w:vAlign w:val="center"/>
          </w:tcPr>
          <w:p w14:paraId="158630BB">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1</w:t>
            </w:r>
          </w:p>
        </w:tc>
        <w:tc>
          <w:tcPr>
            <w:tcW w:w="1409" w:type="dxa"/>
            <w:tcBorders>
              <w:top w:val="single" w:color="auto" w:sz="4" w:space="0"/>
              <w:left w:val="single" w:color="auto" w:sz="4" w:space="0"/>
              <w:bottom w:val="single" w:color="auto" w:sz="4" w:space="0"/>
              <w:right w:val="single" w:color="auto" w:sz="4" w:space="0"/>
            </w:tcBorders>
            <w:vAlign w:val="center"/>
          </w:tcPr>
          <w:p w14:paraId="37F25B1E">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报价分</w:t>
            </w:r>
            <w:r>
              <w:rPr>
                <w:rFonts w:hint="eastAsia" w:ascii="宋体" w:hAnsi="宋体" w:eastAsia="宋体" w:cs="宋体"/>
                <w:b/>
                <w:bCs w:val="0"/>
                <w:color w:val="auto"/>
                <w:kern w:val="0"/>
                <w:sz w:val="24"/>
                <w:szCs w:val="24"/>
                <w:highlight w:val="none"/>
                <w:lang w:val="en-US" w:eastAsia="zh-CN"/>
              </w:rPr>
              <w:t>（满分</w:t>
            </w:r>
            <w:r>
              <w:rPr>
                <w:rFonts w:hint="eastAsia" w:hAnsi="宋体" w:cs="宋体"/>
                <w:b/>
                <w:bCs w:val="0"/>
                <w:color w:val="auto"/>
                <w:kern w:val="0"/>
                <w:sz w:val="24"/>
                <w:szCs w:val="24"/>
                <w:highlight w:val="none"/>
                <w:lang w:val="en-US" w:eastAsia="zh-CN"/>
              </w:rPr>
              <w:t>20</w:t>
            </w:r>
            <w:r>
              <w:rPr>
                <w:rFonts w:hint="eastAsia" w:ascii="宋体" w:hAnsi="宋体" w:eastAsia="宋体" w:cs="宋体"/>
                <w:b/>
                <w:bCs w:val="0"/>
                <w:color w:val="auto"/>
                <w:kern w:val="0"/>
                <w:sz w:val="24"/>
                <w:szCs w:val="24"/>
                <w:highlight w:val="none"/>
                <w:lang w:val="en-US" w:eastAsia="zh-CN"/>
              </w:rPr>
              <w:t>分）</w:t>
            </w:r>
          </w:p>
        </w:tc>
        <w:tc>
          <w:tcPr>
            <w:tcW w:w="6187" w:type="dxa"/>
            <w:gridSpan w:val="2"/>
            <w:tcBorders>
              <w:top w:val="single" w:color="auto" w:sz="4" w:space="0"/>
              <w:left w:val="single" w:color="auto" w:sz="4" w:space="0"/>
              <w:bottom w:val="single" w:color="auto" w:sz="4" w:space="0"/>
              <w:right w:val="single" w:color="auto" w:sz="4" w:space="0"/>
            </w:tcBorders>
            <w:vAlign w:val="center"/>
          </w:tcPr>
          <w:p w14:paraId="3B2E46A2">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cs="宋体"/>
                <w:color w:val="auto"/>
                <w:sz w:val="24"/>
                <w:highlight w:val="none"/>
              </w:rPr>
            </w:pPr>
            <w:r>
              <w:rPr>
                <w:rFonts w:hint="eastAsia" w:ascii="宋体" w:hAnsi="宋体" w:cs="宋体"/>
                <w:color w:val="auto"/>
                <w:sz w:val="24"/>
                <w:highlight w:val="none"/>
              </w:rPr>
              <w:t>本项目为非专门面向中小企业采购项目（政府采购政策性扣除计算方法）：</w:t>
            </w:r>
          </w:p>
          <w:p w14:paraId="36F5E742">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（1）评标报价为投标人的投标报价进行政策性扣除后的价格，评标报价只是作为评标时使用。最</w:t>
            </w:r>
            <w:r>
              <w:rPr>
                <w:rFonts w:hint="eastAsia" w:ascii="宋体" w:hAnsi="宋体" w:eastAsia="宋体" w:cs="宋体"/>
                <w:bCs/>
                <w:color w:val="auto"/>
                <w:sz w:val="24"/>
                <w:szCs w:val="24"/>
                <w:highlight w:val="none"/>
                <w:u w:val="none"/>
              </w:rPr>
              <w:t>终</w:t>
            </w:r>
            <w:r>
              <w:rPr>
                <w:rFonts w:hint="eastAsia" w:ascii="宋体" w:hAnsi="宋体" w:eastAsia="宋体" w:cs="宋体"/>
                <w:bCs/>
                <w:color w:val="auto"/>
                <w:sz w:val="24"/>
                <w:szCs w:val="24"/>
                <w:highlight w:val="none"/>
                <w:u w:val="none"/>
                <w:lang w:val="zh-CN"/>
              </w:rPr>
              <w:t>中标</w:t>
            </w:r>
            <w:r>
              <w:rPr>
                <w:rFonts w:hint="eastAsia" w:ascii="宋体" w:hAnsi="宋体" w:eastAsia="宋体" w:cs="宋体"/>
                <w:bCs/>
                <w:color w:val="auto"/>
                <w:sz w:val="24"/>
                <w:szCs w:val="24"/>
                <w:highlight w:val="none"/>
                <w:u w:val="none"/>
                <w:lang w:val="en-US" w:eastAsia="zh-CN"/>
              </w:rPr>
              <w:t>供应商</w:t>
            </w:r>
            <w:r>
              <w:rPr>
                <w:rFonts w:hint="eastAsia" w:ascii="宋体" w:hAnsi="宋体" w:eastAsia="宋体" w:cs="宋体"/>
                <w:bCs/>
                <w:color w:val="auto"/>
                <w:sz w:val="24"/>
                <w:szCs w:val="24"/>
                <w:highlight w:val="none"/>
                <w:u w:val="none"/>
              </w:rPr>
              <w:t>的</w:t>
            </w:r>
            <w:r>
              <w:rPr>
                <w:rFonts w:hint="eastAsia" w:ascii="宋体" w:hAnsi="宋体" w:eastAsia="宋体" w:cs="宋体"/>
                <w:bCs/>
                <w:color w:val="auto"/>
                <w:sz w:val="24"/>
                <w:szCs w:val="24"/>
                <w:highlight w:val="none"/>
              </w:rPr>
              <w:t>中标金额等于投标报价。</w:t>
            </w:r>
          </w:p>
          <w:p w14:paraId="0C8B0E8C">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rPr>
              <w:t>（2）按照《政府采购促进中小企业发展管理办法》（财库〔2020〕46号）的规定，投标人在其投标文件中提供《</w:t>
            </w:r>
            <w:r>
              <w:rPr>
                <w:rFonts w:hint="eastAsia" w:ascii="宋体" w:hAnsi="宋体" w:eastAsia="宋体" w:cs="宋体"/>
                <w:bCs/>
                <w:color w:val="auto"/>
                <w:sz w:val="24"/>
                <w:szCs w:val="24"/>
                <w:highlight w:val="none"/>
                <w:lang w:val="en-US" w:eastAsia="zh-CN"/>
              </w:rPr>
              <w:t>中小企业声明函</w:t>
            </w:r>
            <w:r>
              <w:rPr>
                <w:rFonts w:hint="eastAsia" w:ascii="宋体" w:hAnsi="宋体" w:eastAsia="宋体" w:cs="宋体"/>
                <w:bCs/>
                <w:color w:val="auto"/>
                <w:sz w:val="24"/>
                <w:szCs w:val="24"/>
                <w:highlight w:val="none"/>
              </w:rPr>
              <w:t>》，且其服务为小型和微型企业承接的，对其最后报价给予</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%的扣除。</w:t>
            </w:r>
          </w:p>
          <w:p w14:paraId="1FE7E2CB">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eastAsia="宋体" w:cs="宋体"/>
                <w:color w:val="auto"/>
                <w:sz w:val="24"/>
                <w:szCs w:val="24"/>
                <w:highlight w:val="none"/>
              </w:rPr>
              <w:t>监狱企业参加政府采购活动时，应当提供由省级以上监狱管理局、戒毒管理局(含新疆生产建设兵团)出具的属于监狱企业的证明文件。</w:t>
            </w:r>
            <w:r>
              <w:rPr>
                <w:rFonts w:hint="eastAsia" w:ascii="宋体" w:hAnsi="宋体" w:eastAsia="宋体" w:cs="宋体"/>
                <w:bCs/>
                <w:color w:val="auto"/>
                <w:sz w:val="24"/>
                <w:szCs w:val="24"/>
                <w:highlight w:val="none"/>
              </w:rPr>
              <w:t>不重复享受政策。</w:t>
            </w:r>
          </w:p>
          <w:p w14:paraId="0AC1A8E8">
            <w:pPr>
              <w:pStyle w:val="12"/>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（4）按照</w:t>
            </w:r>
            <w:r>
              <w:rPr>
                <w:rFonts w:hint="eastAsia" w:ascii="宋体" w:hAnsi="宋体" w:eastAsia="宋体" w:cs="宋体"/>
                <w:bCs/>
                <w:color w:val="auto"/>
                <w:sz w:val="24"/>
                <w:szCs w:val="24"/>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eastAsia="宋体" w:cs="宋体"/>
                <w:color w:val="auto"/>
                <w:sz w:val="24"/>
                <w:szCs w:val="24"/>
                <w:highlight w:val="none"/>
              </w:rPr>
              <w:t>残疾人福利性单位参加政府采购活动时，应当提供该通知规定的《残疾人福利性单位声明函》，并对声明的真实性负责。</w:t>
            </w:r>
            <w:r>
              <w:rPr>
                <w:rFonts w:hint="eastAsia" w:ascii="宋体" w:hAnsi="宋体" w:eastAsia="宋体" w:cs="宋体"/>
                <w:bCs/>
                <w:color w:val="auto"/>
                <w:sz w:val="24"/>
                <w:szCs w:val="24"/>
                <w:highlight w:val="none"/>
              </w:rPr>
              <w:t>残疾人福利性单位属于小型、微型企业的，不重复享受政策。</w:t>
            </w:r>
          </w:p>
          <w:p w14:paraId="625D3375">
            <w:pPr>
              <w:keepNext w:val="0"/>
              <w:keepLines w:val="0"/>
              <w:pageBreakBefore w:val="0"/>
              <w:kinsoku/>
              <w:wordWrap/>
              <w:overflowPunct/>
              <w:topLinePunct w:val="0"/>
              <w:autoSpaceDE/>
              <w:autoSpaceDN/>
              <w:bidi w:val="0"/>
              <w:adjustRightInd/>
              <w:snapToGrid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（5）政策性扣除计算方法</w:t>
            </w:r>
          </w:p>
          <w:p w14:paraId="0383162C">
            <w:pPr>
              <w:pStyle w:val="12"/>
              <w:keepNext w:val="0"/>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在服务采购项目中，服务由小微企业承接；对符合上述要求的投标人的投标报价给予</w:t>
            </w:r>
            <w:r>
              <w:rPr>
                <w:rFonts w:hint="eastAsia"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的扣除，扣除后的价格为评标报价，即评标报价=投标报价×（1-</w:t>
            </w:r>
            <w:r>
              <w:rPr>
                <w:rFonts w:hint="eastAsia"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（范围为</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%）的扣除，用扣除后的价格参加评审，扣除后的价格为评标报价，即评标报价=投标报价×（1-</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%）。除上述情况外，评标报价=投标报价。</w:t>
            </w:r>
          </w:p>
          <w:p w14:paraId="0AB2439F">
            <w:pPr>
              <w:keepNext w:val="0"/>
              <w:keepLines w:val="0"/>
              <w:pageBreakBefore w:val="0"/>
              <w:kinsoku/>
              <w:wordWrap/>
              <w:overflowPunct/>
              <w:topLinePunct w:val="0"/>
              <w:autoSpaceDE/>
              <w:autoSpaceDN/>
              <w:bidi w:val="0"/>
              <w:adjustRightInd/>
              <w:snapToGrid w:val="0"/>
              <w:spacing w:line="360" w:lineRule="auto"/>
              <w:ind w:firstLine="266" w:firstLineChars="111"/>
              <w:textAlignment w:val="auto"/>
              <w:rPr>
                <w:rFonts w:hint="eastAsia" w:ascii="宋体" w:hAnsi="宋体" w:eastAsia="宋体" w:cs="宋体"/>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w:t>
            </w:r>
            <w:r>
              <w:rPr>
                <w:rFonts w:hint="eastAsia" w:ascii="宋体" w:hAnsi="宋体" w:eastAsia="宋体" w:cs="宋体"/>
                <w:bCs/>
                <w:color w:val="auto"/>
                <w:sz w:val="24"/>
                <w:szCs w:val="24"/>
                <w:highlight w:val="none"/>
              </w:rPr>
              <w:t>满足招标文件要求且评标报价最低的评标报价为评标基准价，其价格分为满分。</w:t>
            </w:r>
          </w:p>
          <w:p w14:paraId="4A7EF932">
            <w:pPr>
              <w:keepNext w:val="0"/>
              <w:keepLines w:val="0"/>
              <w:pageBreakBefore w:val="0"/>
              <w:kinsoku/>
              <w:wordWrap/>
              <w:overflowPunct/>
              <w:topLinePunct w:val="0"/>
              <w:autoSpaceDE/>
              <w:autoSpaceDN/>
              <w:bidi w:val="0"/>
              <w:adjustRightInd/>
              <w:spacing w:line="360" w:lineRule="auto"/>
              <w:ind w:firstLine="266" w:firstLineChars="111"/>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 xml:space="preserve">）价格分计算公式：        </w:t>
            </w:r>
          </w:p>
          <w:p w14:paraId="5BBB8D17">
            <w:pPr>
              <w:pStyle w:val="12"/>
              <w:keepNext w:val="0"/>
              <w:keepLines w:val="0"/>
              <w:pageBreakBefore w:val="0"/>
              <w:widowControl/>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价格分=(评标基准价／评标报价)×</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20</w:t>
            </w:r>
            <w:r>
              <w:rPr>
                <w:rFonts w:hint="eastAsia" w:ascii="宋体" w:hAnsi="宋体" w:eastAsia="宋体" w:cs="宋体"/>
                <w:bCs/>
                <w:color w:val="auto"/>
                <w:sz w:val="24"/>
                <w:szCs w:val="24"/>
                <w:highlight w:val="none"/>
              </w:rPr>
              <w:t>分</w:t>
            </w:r>
          </w:p>
        </w:tc>
        <w:tc>
          <w:tcPr>
            <w:tcW w:w="1493" w:type="dxa"/>
            <w:tcBorders>
              <w:top w:val="single" w:color="auto" w:sz="4" w:space="0"/>
              <w:left w:val="single" w:color="auto" w:sz="4" w:space="0"/>
              <w:bottom w:val="single" w:color="auto" w:sz="4" w:space="0"/>
              <w:right w:val="single" w:color="auto" w:sz="4" w:space="0"/>
            </w:tcBorders>
            <w:vAlign w:val="center"/>
          </w:tcPr>
          <w:p w14:paraId="6DC32EC4">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20</w:t>
            </w:r>
            <w:r>
              <w:rPr>
                <w:rFonts w:hint="eastAsia" w:ascii="宋体" w:hAnsi="宋体" w:eastAsia="宋体" w:cs="宋体"/>
                <w:bCs/>
                <w:color w:val="auto"/>
                <w:sz w:val="24"/>
                <w:szCs w:val="24"/>
                <w:highlight w:val="none"/>
              </w:rPr>
              <w:t>分</w:t>
            </w:r>
          </w:p>
        </w:tc>
      </w:tr>
      <w:tr w14:paraId="45A6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restart"/>
            <w:tcBorders>
              <w:top w:val="single" w:color="auto" w:sz="4" w:space="0"/>
              <w:left w:val="single" w:color="auto" w:sz="4" w:space="0"/>
              <w:right w:val="single" w:color="auto" w:sz="4" w:space="0"/>
            </w:tcBorders>
            <w:vAlign w:val="center"/>
          </w:tcPr>
          <w:p w14:paraId="38DEC887">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2</w:t>
            </w:r>
          </w:p>
        </w:tc>
        <w:tc>
          <w:tcPr>
            <w:tcW w:w="1409" w:type="dxa"/>
            <w:vMerge w:val="restart"/>
            <w:tcBorders>
              <w:top w:val="single" w:color="auto" w:sz="4" w:space="0"/>
              <w:left w:val="single" w:color="auto" w:sz="4" w:space="0"/>
              <w:right w:val="single" w:color="auto" w:sz="4" w:space="0"/>
            </w:tcBorders>
            <w:vAlign w:val="center"/>
          </w:tcPr>
          <w:p w14:paraId="1343C61B">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技术分（满分</w:t>
            </w:r>
            <w:r>
              <w:rPr>
                <w:rFonts w:hint="eastAsia" w:ascii="宋体" w:hAnsi="宋体" w:cs="宋体"/>
                <w:b/>
                <w:bCs w:val="0"/>
                <w:color w:val="auto"/>
                <w:kern w:val="0"/>
                <w:sz w:val="24"/>
                <w:szCs w:val="24"/>
                <w:highlight w:val="none"/>
                <w:lang w:val="en-US" w:eastAsia="zh-CN"/>
              </w:rPr>
              <w:t>78</w:t>
            </w:r>
            <w:r>
              <w:rPr>
                <w:rFonts w:hint="eastAsia" w:ascii="宋体" w:hAnsi="宋体" w:eastAsia="宋体" w:cs="宋体"/>
                <w:b/>
                <w:bCs w:val="0"/>
                <w:color w:val="auto"/>
                <w:kern w:val="0"/>
                <w:sz w:val="24"/>
                <w:szCs w:val="24"/>
                <w:highlight w:val="none"/>
                <w:lang w:val="en-US" w:eastAsia="zh-CN"/>
              </w:rPr>
              <w:t>分）</w:t>
            </w:r>
          </w:p>
        </w:tc>
        <w:tc>
          <w:tcPr>
            <w:tcW w:w="6187" w:type="dxa"/>
            <w:gridSpan w:val="2"/>
            <w:tcBorders>
              <w:top w:val="single" w:color="auto" w:sz="4" w:space="0"/>
              <w:left w:val="single" w:color="auto" w:sz="4" w:space="0"/>
              <w:bottom w:val="single" w:color="auto" w:sz="4" w:space="0"/>
              <w:right w:val="single" w:color="auto" w:sz="4" w:space="0"/>
            </w:tcBorders>
            <w:vAlign w:val="top"/>
          </w:tcPr>
          <w:p w14:paraId="4C846482">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评审因素</w:t>
            </w:r>
          </w:p>
        </w:tc>
        <w:tc>
          <w:tcPr>
            <w:tcW w:w="1493" w:type="dxa"/>
            <w:tcBorders>
              <w:top w:val="single" w:color="auto" w:sz="4" w:space="0"/>
              <w:left w:val="single" w:color="auto" w:sz="4" w:space="0"/>
              <w:bottom w:val="single" w:color="auto" w:sz="4" w:space="0"/>
              <w:right w:val="single" w:color="auto" w:sz="4" w:space="0"/>
            </w:tcBorders>
            <w:vAlign w:val="top"/>
          </w:tcPr>
          <w:p w14:paraId="0005D5CE">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分值</w:t>
            </w:r>
          </w:p>
        </w:tc>
      </w:tr>
      <w:tr w14:paraId="0802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45" w:type="dxa"/>
            <w:vMerge w:val="continue"/>
            <w:tcBorders>
              <w:left w:val="single" w:color="auto" w:sz="4" w:space="0"/>
              <w:right w:val="single" w:color="auto" w:sz="4" w:space="0"/>
            </w:tcBorders>
            <w:vAlign w:val="top"/>
          </w:tcPr>
          <w:p w14:paraId="6A912296">
            <w:pPr>
              <w:pStyle w:val="12"/>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60B34C0B">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val="en-US" w:eastAsia="zh-CN"/>
              </w:rPr>
            </w:pPr>
          </w:p>
        </w:tc>
        <w:tc>
          <w:tcPr>
            <w:tcW w:w="1332" w:type="dxa"/>
            <w:tcBorders>
              <w:top w:val="single" w:color="auto" w:sz="4" w:space="0"/>
              <w:left w:val="single" w:color="auto" w:sz="4" w:space="0"/>
              <w:bottom w:val="single" w:color="auto" w:sz="4" w:space="0"/>
              <w:right w:val="single" w:color="auto" w:sz="4" w:space="0"/>
            </w:tcBorders>
            <w:vAlign w:val="center"/>
          </w:tcPr>
          <w:p w14:paraId="0C0CA82B">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sz w:val="24"/>
                <w:szCs w:val="24"/>
                <w:highlight w:val="none"/>
              </w:rPr>
              <w:t>（1）养护方案（</w:t>
            </w:r>
            <w:r>
              <w:rPr>
                <w:rFonts w:hint="eastAsia" w:ascii="宋体" w:hAnsi="宋体" w:cs="宋体"/>
                <w:bCs/>
                <w:color w:val="auto"/>
                <w:sz w:val="24"/>
                <w:szCs w:val="24"/>
                <w:highlight w:val="none"/>
                <w:lang w:val="en-US" w:eastAsia="zh-CN"/>
              </w:rPr>
              <w:t>11</w:t>
            </w:r>
            <w:r>
              <w:rPr>
                <w:rFonts w:hint="eastAsia" w:ascii="宋体" w:hAnsi="宋体" w:eastAsia="宋体" w:cs="宋体"/>
                <w:bCs/>
                <w:color w:val="auto"/>
                <w:sz w:val="24"/>
                <w:szCs w:val="24"/>
                <w:highlight w:val="none"/>
              </w:rPr>
              <w:t>分）</w:t>
            </w:r>
          </w:p>
        </w:tc>
        <w:tc>
          <w:tcPr>
            <w:tcW w:w="4855" w:type="dxa"/>
            <w:tcBorders>
              <w:top w:val="single" w:color="auto" w:sz="4" w:space="0"/>
              <w:left w:val="single" w:color="auto" w:sz="4" w:space="0"/>
              <w:bottom w:val="single" w:color="auto" w:sz="4" w:space="0"/>
              <w:right w:val="single" w:color="auto" w:sz="4" w:space="0"/>
            </w:tcBorders>
            <w:vAlign w:val="center"/>
          </w:tcPr>
          <w:p w14:paraId="16638EBF">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由评委根据供应商提供的养护方案进行独立打分，包括：</w:t>
            </w:r>
            <w:r>
              <w:rPr>
                <w:rFonts w:hint="eastAsia" w:ascii="宋体" w:hAnsi="宋体" w:eastAsia="宋体" w:cs="宋体"/>
                <w:color w:val="auto"/>
                <w:sz w:val="24"/>
                <w:szCs w:val="24"/>
                <w:highlight w:val="none"/>
              </w:rPr>
              <w:t>结合项目实际情况</w:t>
            </w:r>
            <w:r>
              <w:rPr>
                <w:rFonts w:hint="eastAsia" w:ascii="宋体" w:hAnsi="宋体" w:eastAsia="宋体" w:cs="宋体"/>
                <w:bCs/>
                <w:color w:val="auto"/>
                <w:sz w:val="24"/>
                <w:szCs w:val="24"/>
                <w:highlight w:val="none"/>
              </w:rPr>
              <w:t>拟采取</w:t>
            </w:r>
            <w:r>
              <w:rPr>
                <w:rFonts w:hint="eastAsia" w:ascii="宋体" w:hAnsi="宋体" w:eastAsia="宋体" w:cs="宋体"/>
                <w:color w:val="auto"/>
                <w:sz w:val="24"/>
                <w:szCs w:val="24"/>
                <w:highlight w:val="none"/>
              </w:rPr>
              <w:t>的</w:t>
            </w:r>
            <w:r>
              <w:rPr>
                <w:rFonts w:hint="eastAsia" w:ascii="宋体" w:hAnsi="宋体" w:eastAsia="宋体" w:cs="宋体"/>
                <w:bCs/>
                <w:color w:val="auto"/>
                <w:sz w:val="24"/>
                <w:szCs w:val="24"/>
                <w:highlight w:val="none"/>
              </w:rPr>
              <w:t>具体的养护计划、绿化养护措施、预期达到的养护效果等</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rPr>
              <w:t>不提供方案</w:t>
            </w:r>
            <w:r>
              <w:rPr>
                <w:rFonts w:hint="eastAsia" w:ascii="宋体" w:hAnsi="宋体" w:cs="宋体"/>
                <w:color w:val="auto"/>
                <w:sz w:val="24"/>
                <w:szCs w:val="24"/>
                <w:highlight w:val="none"/>
                <w:lang w:val="en-US" w:eastAsia="zh-CN"/>
              </w:rPr>
              <w:t>或</w:t>
            </w:r>
            <w:r>
              <w:rPr>
                <w:rFonts w:hint="eastAsia" w:ascii="宋体" w:hAnsi="宋体" w:eastAsia="宋体" w:cs="宋体"/>
                <w:bCs/>
                <w:color w:val="auto"/>
                <w:sz w:val="24"/>
                <w:szCs w:val="24"/>
                <w:highlight w:val="none"/>
              </w:rPr>
              <w:t>不能满足本项目实际需求</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cs="宋体"/>
                <w:color w:val="auto"/>
                <w:sz w:val="24"/>
                <w:szCs w:val="24"/>
                <w:highlight w:val="none"/>
                <w:lang w:eastAsia="zh-CN"/>
              </w:rPr>
              <w:t>。</w:t>
            </w:r>
          </w:p>
          <w:p w14:paraId="2172BAE3">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r>
              <w:rPr>
                <w:rFonts w:hint="eastAsia" w:ascii="宋体" w:hAnsi="宋体" w:eastAsia="宋体" w:cs="宋体"/>
                <w:color w:val="auto"/>
                <w:sz w:val="24"/>
                <w:szCs w:val="24"/>
                <w:highlight w:val="none"/>
              </w:rPr>
              <w:t>基本满足招标要求。能针对本项目植物品种及本地气候特点提供日常养护方案（非专项园林绿化工程施工方案）；</w:t>
            </w:r>
          </w:p>
          <w:p w14:paraId="6F90D5B6">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档（</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分）：在满足</w:t>
            </w: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rPr>
              <w:t>档的基础上，能提供可执行的1-12月每月全面、具体且符合实际的养护组织计划、方案等（含行道树整形修剪、水肥管理、病虫害防治、开花植物应时开花等方案）；</w:t>
            </w:r>
          </w:p>
          <w:p w14:paraId="60F967C5">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档（</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分）：在满足</w:t>
            </w:r>
            <w:r>
              <w:rPr>
                <w:rFonts w:hint="eastAsia" w:ascii="宋体" w:hAnsi="宋体" w:cs="宋体"/>
                <w:color w:val="auto"/>
                <w:sz w:val="24"/>
                <w:szCs w:val="24"/>
                <w:highlight w:val="none"/>
                <w:lang w:eastAsia="zh-CN"/>
              </w:rPr>
              <w:t>二</w:t>
            </w:r>
            <w:r>
              <w:rPr>
                <w:rFonts w:hint="eastAsia" w:ascii="宋体" w:hAnsi="宋体" w:eastAsia="宋体" w:cs="宋体"/>
                <w:color w:val="auto"/>
                <w:sz w:val="24"/>
                <w:szCs w:val="24"/>
                <w:highlight w:val="none"/>
              </w:rPr>
              <w:t>档的基础上，计划、方案科学合理、具体，有节假日、重大活动迎检等有针对性、突出重点的养护组织计划及方案，切合实际、可执行性强、针对性强。</w:t>
            </w:r>
          </w:p>
        </w:tc>
        <w:tc>
          <w:tcPr>
            <w:tcW w:w="1493" w:type="dxa"/>
            <w:tcBorders>
              <w:top w:val="single" w:color="auto" w:sz="4" w:space="0"/>
              <w:left w:val="single" w:color="auto" w:sz="4" w:space="0"/>
              <w:bottom w:val="single" w:color="auto" w:sz="4" w:space="0"/>
              <w:right w:val="single" w:color="auto" w:sz="4" w:space="0"/>
            </w:tcBorders>
            <w:vAlign w:val="center"/>
          </w:tcPr>
          <w:p w14:paraId="39C6F675">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sz w:val="24"/>
                <w:szCs w:val="24"/>
                <w:highlight w:val="none"/>
                <w:lang w:bidi="ar-SA"/>
              </w:rPr>
            </w:pPr>
            <w:r>
              <w:rPr>
                <w:rFonts w:hint="eastAsia" w:ascii="宋体" w:hAnsi="宋体" w:eastAsia="宋体" w:cs="宋体"/>
                <w:bCs/>
                <w:color w:val="auto"/>
                <w:sz w:val="24"/>
                <w:szCs w:val="24"/>
                <w:highlight w:val="none"/>
              </w:rPr>
              <w:t>0~</w:t>
            </w:r>
            <w:r>
              <w:rPr>
                <w:rFonts w:hint="eastAsia" w:ascii="宋体" w:hAnsi="宋体" w:cs="宋体"/>
                <w:bCs/>
                <w:color w:val="auto"/>
                <w:sz w:val="24"/>
                <w:szCs w:val="24"/>
                <w:highlight w:val="none"/>
                <w:lang w:val="en-US" w:eastAsia="zh-CN"/>
              </w:rPr>
              <w:t>11</w:t>
            </w:r>
            <w:r>
              <w:rPr>
                <w:rFonts w:hint="eastAsia" w:ascii="宋体" w:hAnsi="宋体" w:eastAsia="宋体" w:cs="宋体"/>
                <w:bCs/>
                <w:color w:val="auto"/>
                <w:sz w:val="24"/>
                <w:szCs w:val="24"/>
                <w:highlight w:val="none"/>
                <w:lang w:val="en-US" w:eastAsia="zh-CN"/>
              </w:rPr>
              <w:t>分</w:t>
            </w:r>
          </w:p>
        </w:tc>
      </w:tr>
      <w:tr w14:paraId="16EC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65CDFF41">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5E35A9CC">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12FA70B3">
            <w:pPr>
              <w:keepNext w:val="0"/>
              <w:keepLines w:val="0"/>
              <w:pageBreakBefore w:val="0"/>
              <w:kinsoku/>
              <w:wordWrap/>
              <w:overflowPunct/>
              <w:topLinePunct w:val="0"/>
              <w:autoSpaceDE/>
              <w:autoSpaceDN/>
              <w:bidi w:val="0"/>
              <w:snapToGrid w:val="0"/>
              <w:spacing w:line="360" w:lineRule="auto"/>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sz w:val="24"/>
                <w:szCs w:val="24"/>
                <w:highlight w:val="none"/>
              </w:rPr>
              <w:t>（2）桥体三角梅养护专业服务方案（</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w:t>
            </w:r>
          </w:p>
        </w:tc>
        <w:tc>
          <w:tcPr>
            <w:tcW w:w="4855" w:type="dxa"/>
            <w:tcBorders>
              <w:top w:val="single" w:color="auto" w:sz="4" w:space="0"/>
              <w:left w:val="single" w:color="auto" w:sz="4" w:space="0"/>
              <w:right w:val="single" w:color="auto" w:sz="4" w:space="0"/>
            </w:tcBorders>
            <w:vAlign w:val="center"/>
          </w:tcPr>
          <w:p w14:paraId="66E9EBDE">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由评委根据供应商提供的桥体三角梅养护专业服务方案进行独立打分，包括</w:t>
            </w:r>
            <w:r>
              <w:rPr>
                <w:rFonts w:hint="eastAsia" w:ascii="宋体" w:hAnsi="宋体" w:eastAsia="宋体" w:cs="宋体"/>
                <w:color w:val="auto"/>
                <w:sz w:val="24"/>
                <w:szCs w:val="24"/>
                <w:highlight w:val="none"/>
              </w:rPr>
              <w:t>结合项目实际情况拟采取的</w:t>
            </w:r>
            <w:r>
              <w:rPr>
                <w:rFonts w:hint="eastAsia" w:ascii="宋体" w:hAnsi="宋体" w:eastAsia="宋体" w:cs="宋体"/>
                <w:bCs/>
                <w:color w:val="auto"/>
                <w:sz w:val="24"/>
                <w:szCs w:val="24"/>
                <w:highlight w:val="none"/>
              </w:rPr>
              <w:t>立交桥、人行天桥种植环境的特殊性及对应时开花效果的要求，方案须列明项目的专项养护计划、技术、基质土配比、肥料配比等内容；针对招标范围内环境特点，辖区内的工作难度、重点，须列明关键施工技术措施</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rPr>
              <w:t>不提供方案</w:t>
            </w:r>
            <w:r>
              <w:rPr>
                <w:rFonts w:hint="eastAsia" w:ascii="宋体" w:hAnsi="宋体" w:cs="宋体"/>
                <w:color w:val="auto"/>
                <w:sz w:val="24"/>
                <w:szCs w:val="24"/>
                <w:highlight w:val="none"/>
                <w:lang w:val="en-US" w:eastAsia="zh-CN"/>
              </w:rPr>
              <w:t>或</w:t>
            </w:r>
            <w:r>
              <w:rPr>
                <w:rFonts w:hint="eastAsia" w:ascii="宋体" w:hAnsi="宋体" w:eastAsia="宋体" w:cs="宋体"/>
                <w:bCs/>
                <w:color w:val="auto"/>
                <w:sz w:val="24"/>
                <w:szCs w:val="24"/>
                <w:highlight w:val="none"/>
              </w:rPr>
              <w:t>不能满足本项目实际需求</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434EBEB8">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分）：基本满足招标要求，有较为详尽的应时开花方案等；</w:t>
            </w:r>
          </w:p>
          <w:p w14:paraId="12665E0A">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kern w:val="0"/>
                <w:sz w:val="24"/>
                <w:szCs w:val="24"/>
                <w:highlight w:val="none"/>
                <w:lang w:eastAsia="zh-CN"/>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档基础上，计划、方案专业、科学合理、具体，有切合实际、可执行、突出重点的养护组织计划及方案，针对性强。</w:t>
            </w:r>
          </w:p>
        </w:tc>
        <w:tc>
          <w:tcPr>
            <w:tcW w:w="1493" w:type="dxa"/>
            <w:tcBorders>
              <w:top w:val="single" w:color="auto" w:sz="4" w:space="0"/>
              <w:left w:val="single" w:color="auto" w:sz="4" w:space="0"/>
              <w:right w:val="single" w:color="auto" w:sz="4" w:space="0"/>
            </w:tcBorders>
            <w:vAlign w:val="center"/>
          </w:tcPr>
          <w:p w14:paraId="20E02669">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sz w:val="24"/>
                <w:szCs w:val="24"/>
                <w:highlight w:val="none"/>
                <w:lang w:val="en-US" w:bidi="ar-SA"/>
              </w:rPr>
            </w:pPr>
            <w:r>
              <w:rPr>
                <w:rFonts w:hint="eastAsia" w:ascii="宋体" w:hAnsi="宋体" w:eastAsia="宋体" w:cs="宋体"/>
                <w:bCs/>
                <w:color w:val="auto"/>
                <w:sz w:val="24"/>
                <w:szCs w:val="24"/>
                <w:highlight w:val="none"/>
              </w:rPr>
              <w:t>0~</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lang w:val="en-US" w:eastAsia="zh-CN"/>
              </w:rPr>
              <w:t>分</w:t>
            </w:r>
          </w:p>
        </w:tc>
      </w:tr>
      <w:tr w14:paraId="51CC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07A5F985">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5F58F9CC">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6AB22989">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（3）对临时性、突击性应急任务响应、承诺及人员保障（</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p w14:paraId="5E6966C3">
            <w:pPr>
              <w:keepNext w:val="0"/>
              <w:keepLines w:val="0"/>
              <w:pageBreakBefore w:val="0"/>
              <w:widowControl/>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1B3E4E05">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由评委根据供应商提供的对临时性、突击性应急任务响应、承诺及人员保障进行独立打分</w:t>
            </w:r>
            <w:r>
              <w:rPr>
                <w:rFonts w:hint="eastAsia" w:ascii="宋体" w:hAnsi="宋体" w:cs="宋体"/>
                <w:bCs/>
                <w:color w:val="auto"/>
                <w:sz w:val="24"/>
                <w:szCs w:val="24"/>
                <w:highlight w:val="none"/>
                <w:lang w:eastAsia="zh-CN"/>
              </w:rPr>
              <w:t>，</w:t>
            </w:r>
            <w:r>
              <w:rPr>
                <w:rFonts w:hint="eastAsia" w:ascii="宋体" w:hAnsi="宋体" w:cs="宋体"/>
                <w:color w:val="auto"/>
                <w:sz w:val="24"/>
                <w:szCs w:val="24"/>
                <w:highlight w:val="none"/>
                <w:lang w:val="en-US" w:eastAsia="zh-CN"/>
              </w:rPr>
              <w:t>没有相关承诺或方案不符合本项目要求</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24ECAF81">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分）：有对恶劣气候、突发事件及重大活动等针对性的方案，且基本合理；</w:t>
            </w:r>
          </w:p>
          <w:p w14:paraId="17B1C29C">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档的基础上，</w:t>
            </w:r>
            <w:r>
              <w:rPr>
                <w:rFonts w:hint="eastAsia" w:ascii="宋体" w:hAnsi="宋体" w:cs="宋体"/>
                <w:bCs/>
                <w:color w:val="auto"/>
                <w:sz w:val="24"/>
                <w:szCs w:val="24"/>
                <w:highlight w:val="none"/>
                <w:lang w:val="en-US" w:eastAsia="zh-CN"/>
              </w:rPr>
              <w:t>有</w:t>
            </w:r>
            <w:r>
              <w:rPr>
                <w:rFonts w:hint="eastAsia" w:ascii="宋体" w:hAnsi="宋体" w:eastAsia="宋体" w:cs="宋体"/>
                <w:bCs/>
                <w:color w:val="auto"/>
                <w:sz w:val="24"/>
                <w:szCs w:val="24"/>
                <w:highlight w:val="none"/>
              </w:rPr>
              <w:t>对临时性、突击性应急任务响应</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有</w:t>
            </w:r>
            <w:r>
              <w:rPr>
                <w:rFonts w:hint="eastAsia" w:ascii="宋体" w:hAnsi="宋体" w:eastAsia="宋体" w:cs="宋体"/>
                <w:bCs/>
                <w:color w:val="auto"/>
                <w:sz w:val="24"/>
                <w:szCs w:val="24"/>
                <w:highlight w:val="none"/>
              </w:rPr>
              <w:t>承诺</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rPr>
              <w:t>人员保障方案；</w:t>
            </w:r>
          </w:p>
          <w:p w14:paraId="226AB0C3">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二</w:t>
            </w:r>
            <w:r>
              <w:rPr>
                <w:rFonts w:hint="eastAsia" w:ascii="宋体" w:hAnsi="宋体" w:eastAsia="宋体" w:cs="宋体"/>
                <w:bCs/>
                <w:color w:val="auto"/>
                <w:sz w:val="24"/>
                <w:szCs w:val="24"/>
                <w:highlight w:val="none"/>
              </w:rPr>
              <w:t>档的基础上，对临时性、突击性应急任务响应</w:t>
            </w:r>
            <w:r>
              <w:rPr>
                <w:rFonts w:hint="eastAsia" w:ascii="宋体" w:hAnsi="宋体" w:cs="宋体"/>
                <w:bCs/>
                <w:color w:val="auto"/>
                <w:sz w:val="24"/>
                <w:szCs w:val="24"/>
                <w:highlight w:val="none"/>
                <w:lang w:val="en-US" w:eastAsia="zh-CN"/>
              </w:rPr>
              <w:t>时效</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各部门各环节配合程度，</w:t>
            </w:r>
            <w:r>
              <w:rPr>
                <w:rFonts w:hint="eastAsia" w:ascii="宋体" w:hAnsi="宋体" w:eastAsia="宋体" w:cs="宋体"/>
                <w:bCs/>
                <w:color w:val="auto"/>
                <w:sz w:val="24"/>
                <w:szCs w:val="24"/>
                <w:highlight w:val="none"/>
              </w:rPr>
              <w:t>承诺</w:t>
            </w:r>
            <w:r>
              <w:rPr>
                <w:rFonts w:hint="eastAsia" w:ascii="宋体" w:hAnsi="宋体" w:cs="宋体"/>
                <w:bCs/>
                <w:color w:val="auto"/>
                <w:sz w:val="24"/>
                <w:szCs w:val="24"/>
                <w:highlight w:val="none"/>
                <w:lang w:val="en-US" w:eastAsia="zh-CN"/>
              </w:rPr>
              <w:t>具体事项</w:t>
            </w:r>
            <w:r>
              <w:rPr>
                <w:rFonts w:hint="eastAsia" w:ascii="宋体" w:hAnsi="宋体" w:eastAsia="宋体" w:cs="宋体"/>
                <w:bCs/>
                <w:color w:val="auto"/>
                <w:sz w:val="24"/>
                <w:szCs w:val="24"/>
                <w:highlight w:val="none"/>
              </w:rPr>
              <w:t>及人员</w:t>
            </w:r>
            <w:r>
              <w:rPr>
                <w:rFonts w:hint="eastAsia" w:ascii="宋体" w:hAnsi="宋体" w:cs="宋体"/>
                <w:bCs/>
                <w:color w:val="auto"/>
                <w:sz w:val="24"/>
                <w:szCs w:val="24"/>
                <w:highlight w:val="none"/>
                <w:lang w:val="en-US" w:eastAsia="zh-CN"/>
              </w:rPr>
              <w:t>安排分工明确等整体</w:t>
            </w:r>
            <w:r>
              <w:rPr>
                <w:rFonts w:hint="eastAsia" w:ascii="宋体" w:hAnsi="宋体" w:eastAsia="宋体" w:cs="宋体"/>
                <w:bCs/>
                <w:color w:val="auto"/>
                <w:sz w:val="24"/>
                <w:szCs w:val="24"/>
                <w:highlight w:val="none"/>
              </w:rPr>
              <w:t>保障方案科学合理、内容全面详细，切合实际，针对性强。</w:t>
            </w:r>
          </w:p>
        </w:tc>
        <w:tc>
          <w:tcPr>
            <w:tcW w:w="1493" w:type="dxa"/>
            <w:tcBorders>
              <w:top w:val="single" w:color="auto" w:sz="4" w:space="0"/>
              <w:left w:val="single" w:color="auto" w:sz="4" w:space="0"/>
              <w:right w:val="single" w:color="auto" w:sz="4" w:space="0"/>
            </w:tcBorders>
            <w:vAlign w:val="center"/>
          </w:tcPr>
          <w:p w14:paraId="504CD64C">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0~</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分</w:t>
            </w:r>
          </w:p>
        </w:tc>
      </w:tr>
      <w:tr w14:paraId="7052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713830CF">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2BCCA2A7">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396E336A">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（4）针对本项目特点制定的内部管理制度（</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p w14:paraId="01C5D564">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7C4CADCF">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由评委根据供应商提供的针对本项目特点制定的内部管理制度进行独立打分，包括：</w:t>
            </w:r>
            <w:r>
              <w:rPr>
                <w:rFonts w:hint="eastAsia" w:ascii="宋体" w:hAnsi="宋体" w:eastAsia="宋体" w:cs="宋体"/>
                <w:color w:val="auto"/>
                <w:sz w:val="24"/>
                <w:szCs w:val="24"/>
                <w:highlight w:val="none"/>
              </w:rPr>
              <w:t>结合项目实际情况</w:t>
            </w:r>
            <w:r>
              <w:rPr>
                <w:rFonts w:hint="eastAsia" w:ascii="宋体" w:hAnsi="宋体" w:eastAsia="宋体" w:cs="宋体"/>
                <w:bCs/>
                <w:color w:val="auto"/>
                <w:sz w:val="24"/>
                <w:szCs w:val="24"/>
                <w:highlight w:val="none"/>
              </w:rPr>
              <w:t>拟采取的管理方式，内部管理构架、管理运作机制、激励机制、监督机制、自我约束机制、信息反馈处理机制等</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不提供内部管理制度</w:t>
            </w:r>
            <w:r>
              <w:rPr>
                <w:rFonts w:hint="eastAsia" w:ascii="宋体" w:hAnsi="宋体" w:cs="宋体"/>
                <w:color w:val="auto"/>
                <w:sz w:val="24"/>
                <w:szCs w:val="24"/>
                <w:highlight w:val="none"/>
                <w:lang w:val="en-US" w:eastAsia="zh-CN"/>
              </w:rPr>
              <w:t>或</w:t>
            </w:r>
            <w:r>
              <w:rPr>
                <w:rFonts w:hint="eastAsia" w:ascii="宋体" w:hAnsi="宋体" w:eastAsia="宋体" w:cs="宋体"/>
                <w:bCs/>
                <w:color w:val="auto"/>
                <w:sz w:val="24"/>
                <w:szCs w:val="24"/>
                <w:highlight w:val="none"/>
              </w:rPr>
              <w:t>不能满足本项目</w:t>
            </w:r>
            <w:r>
              <w:rPr>
                <w:rFonts w:hint="eastAsia" w:ascii="宋体" w:hAnsi="宋体" w:cs="宋体"/>
                <w:bCs/>
                <w:color w:val="auto"/>
                <w:sz w:val="24"/>
                <w:szCs w:val="24"/>
                <w:highlight w:val="none"/>
                <w:lang w:val="en-US" w:eastAsia="zh-CN"/>
              </w:rPr>
              <w:t>要求</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7E2351A3">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分）：内部管理制度基本满足本项目管理要求；</w:t>
            </w:r>
          </w:p>
          <w:p w14:paraId="575E80F2">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档的基础上，管理体系较完善，能满足病虫害防治、高空作业、极端天气防范及对临时性、突击性应急任务等特殊需要；</w:t>
            </w:r>
          </w:p>
          <w:p w14:paraId="0D7A9C69">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二</w:t>
            </w:r>
            <w:r>
              <w:rPr>
                <w:rFonts w:hint="eastAsia" w:ascii="宋体" w:hAnsi="宋体" w:eastAsia="宋体" w:cs="宋体"/>
                <w:bCs/>
                <w:color w:val="auto"/>
                <w:sz w:val="24"/>
                <w:szCs w:val="24"/>
                <w:highlight w:val="none"/>
              </w:rPr>
              <w:t>档的基础上，</w:t>
            </w:r>
            <w:r>
              <w:rPr>
                <w:rFonts w:hint="eastAsia" w:ascii="宋体" w:hAnsi="宋体" w:cs="宋体"/>
                <w:bCs/>
                <w:color w:val="auto"/>
                <w:sz w:val="24"/>
                <w:szCs w:val="24"/>
                <w:highlight w:val="none"/>
                <w:lang w:val="en-US" w:eastAsia="zh-CN"/>
              </w:rPr>
              <w:t>提供</w:t>
            </w:r>
            <w:r>
              <w:rPr>
                <w:rFonts w:hint="eastAsia" w:ascii="宋体" w:hAnsi="宋体" w:eastAsia="宋体" w:cs="宋体"/>
                <w:bCs/>
                <w:color w:val="auto"/>
                <w:sz w:val="24"/>
                <w:szCs w:val="24"/>
                <w:highlight w:val="none"/>
                <w:lang w:val="en-US" w:eastAsia="zh-CN"/>
              </w:rPr>
              <w:t>的内部管理制度（包括：惩处、淘汰机制、工人组织机制、先锋组织机制</w:t>
            </w:r>
            <w:r>
              <w:rPr>
                <w:rFonts w:hint="eastAsia" w:ascii="宋体" w:hAnsi="宋体" w:cs="宋体"/>
                <w:bCs/>
                <w:color w:val="auto"/>
                <w:sz w:val="24"/>
                <w:szCs w:val="24"/>
                <w:highlight w:val="none"/>
                <w:lang w:val="en-US" w:eastAsia="zh-CN"/>
              </w:rPr>
              <w:t>、培训管理制度、安全管理制度、保密制度</w:t>
            </w:r>
            <w:r>
              <w:rPr>
                <w:rFonts w:hint="eastAsia" w:ascii="宋体" w:hAnsi="宋体" w:eastAsia="宋体" w:cs="宋体"/>
                <w:bCs/>
                <w:color w:val="auto"/>
                <w:sz w:val="24"/>
                <w:szCs w:val="24"/>
                <w:highlight w:val="none"/>
                <w:lang w:val="en-US" w:eastAsia="zh-CN"/>
              </w:rPr>
              <w:t>等）</w:t>
            </w:r>
            <w:r>
              <w:rPr>
                <w:rFonts w:hint="eastAsia" w:ascii="宋体" w:hAnsi="宋体" w:eastAsia="宋体" w:cs="宋体"/>
                <w:bCs/>
                <w:color w:val="auto"/>
                <w:sz w:val="24"/>
                <w:szCs w:val="24"/>
                <w:highlight w:val="none"/>
              </w:rPr>
              <w:t>科学合理、内容全面详细，切合实际，针对性强，有相应的保障措施。</w:t>
            </w:r>
          </w:p>
        </w:tc>
        <w:tc>
          <w:tcPr>
            <w:tcW w:w="1493" w:type="dxa"/>
            <w:tcBorders>
              <w:top w:val="single" w:color="auto" w:sz="4" w:space="0"/>
              <w:left w:val="single" w:color="auto" w:sz="4" w:space="0"/>
              <w:right w:val="single" w:color="auto" w:sz="4" w:space="0"/>
            </w:tcBorders>
            <w:vAlign w:val="center"/>
          </w:tcPr>
          <w:p w14:paraId="3F700819">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分</w:t>
            </w:r>
          </w:p>
        </w:tc>
      </w:tr>
      <w:tr w14:paraId="1796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42A13EAC">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23699723">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7CBCB151">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（5）安全、文明施工、环保措施（</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p w14:paraId="3FEA5192">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5C974681">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安全、文明施工、环保措施进行独立打分。包括：结合项目的实际情况拟采取的安全、文明、环保等生产管理措施和保证方案等，包括：安全生产管理机构、安全管理人员的配备情况，安全生产考核办法、安全生产操作规程、应急抢险预案、安全生产事故处理预案、安全生产培训方案、文明施工、环保措施等</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rPr>
              <w:t>无管理措施或者不符合本项目要求或不符合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47C187C5">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分）：管理措施基本满足本项目管理要求；</w:t>
            </w:r>
          </w:p>
          <w:p w14:paraId="57ECB771">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档的基础上，管理措施较科学合理、内容全面详细，切合实际，针对性较强。</w:t>
            </w:r>
          </w:p>
          <w:p w14:paraId="0A2C6690">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分）：在满足</w:t>
            </w:r>
            <w:r>
              <w:rPr>
                <w:rFonts w:hint="eastAsia" w:ascii="宋体" w:hAnsi="宋体" w:cs="宋体"/>
                <w:bCs/>
                <w:color w:val="auto"/>
                <w:sz w:val="24"/>
                <w:szCs w:val="24"/>
                <w:highlight w:val="none"/>
                <w:lang w:eastAsia="zh-CN"/>
              </w:rPr>
              <w:t>二</w:t>
            </w:r>
            <w:r>
              <w:rPr>
                <w:rFonts w:hint="eastAsia" w:ascii="宋体" w:hAnsi="宋体" w:eastAsia="宋体" w:cs="宋体"/>
                <w:bCs/>
                <w:color w:val="auto"/>
                <w:sz w:val="24"/>
                <w:szCs w:val="24"/>
                <w:highlight w:val="none"/>
              </w:rPr>
              <w:t>档的基础上，</w:t>
            </w:r>
            <w:r>
              <w:rPr>
                <w:rFonts w:hint="eastAsia" w:ascii="宋体" w:hAnsi="宋体" w:cs="宋体"/>
                <w:bCs/>
                <w:color w:val="auto"/>
                <w:sz w:val="24"/>
                <w:szCs w:val="24"/>
                <w:highlight w:val="none"/>
                <w:lang w:val="en-US" w:eastAsia="zh-CN"/>
              </w:rPr>
              <w:t>具有特殊路段、特殊作业场景、特殊养护类型等</w:t>
            </w:r>
            <w:r>
              <w:rPr>
                <w:rFonts w:hint="eastAsia" w:ascii="宋体" w:hAnsi="宋体" w:eastAsia="宋体" w:cs="宋体"/>
                <w:bCs/>
                <w:color w:val="auto"/>
                <w:sz w:val="24"/>
                <w:szCs w:val="24"/>
                <w:highlight w:val="none"/>
              </w:rPr>
              <w:t>科学合理</w:t>
            </w:r>
            <w:r>
              <w:rPr>
                <w:rFonts w:hint="eastAsia" w:ascii="宋体" w:hAnsi="宋体" w:cs="宋体"/>
                <w:bCs/>
                <w:color w:val="auto"/>
                <w:sz w:val="24"/>
                <w:szCs w:val="24"/>
                <w:highlight w:val="none"/>
                <w:lang w:val="en-US" w:eastAsia="zh-CN"/>
              </w:rPr>
              <w:t>的</w:t>
            </w:r>
            <w:r>
              <w:rPr>
                <w:rFonts w:hint="eastAsia" w:ascii="宋体" w:hAnsi="宋体" w:eastAsia="宋体" w:cs="宋体"/>
                <w:bCs/>
                <w:color w:val="auto"/>
                <w:sz w:val="24"/>
                <w:szCs w:val="24"/>
                <w:highlight w:val="none"/>
              </w:rPr>
              <w:t>管理措施、内容全面详细，切合实际，针对性强。</w:t>
            </w:r>
          </w:p>
        </w:tc>
        <w:tc>
          <w:tcPr>
            <w:tcW w:w="1493" w:type="dxa"/>
            <w:tcBorders>
              <w:top w:val="single" w:color="auto" w:sz="4" w:space="0"/>
              <w:left w:val="single" w:color="auto" w:sz="4" w:space="0"/>
              <w:right w:val="single" w:color="auto" w:sz="4" w:space="0"/>
            </w:tcBorders>
            <w:vAlign w:val="center"/>
          </w:tcPr>
          <w:p w14:paraId="38FADBC2">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分</w:t>
            </w:r>
          </w:p>
        </w:tc>
      </w:tr>
      <w:tr w14:paraId="1AF1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013C7032">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5E9C6278">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70E52978">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（6）拟为本项目投入日常一线养护作业人员（9分）</w:t>
            </w:r>
          </w:p>
          <w:p w14:paraId="7D268412">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top"/>
          </w:tcPr>
          <w:p w14:paraId="0C074BDE">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由评委根据供应商提供的拟为本项目投入日常一线养护作业人员承诺进行独立打分</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投入日常养护作业人数达到人员配置最低要求但承诺不合理</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color w:val="auto"/>
                <w:sz w:val="24"/>
                <w:szCs w:val="24"/>
                <w:highlight w:val="none"/>
              </w:rPr>
              <w:t>。</w:t>
            </w:r>
          </w:p>
          <w:p w14:paraId="1EEA80F6">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分）：承诺投入日常养护作业人数达到人员配置最低要求，且结构配置较合理；</w:t>
            </w:r>
          </w:p>
          <w:p w14:paraId="3D8C0C64">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档（7分）：在满足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档的基础上，承诺投入日常养护作业人数达到人员配置最低要求，结构配置科学合理，且</w:t>
            </w:r>
            <w:r>
              <w:rPr>
                <w:rFonts w:hint="eastAsia" w:ascii="宋体" w:hAnsi="宋体" w:cs="宋体"/>
                <w:bCs/>
                <w:color w:val="auto"/>
                <w:sz w:val="24"/>
                <w:szCs w:val="24"/>
                <w:highlight w:val="none"/>
                <w:lang w:val="en-US" w:eastAsia="zh-CN"/>
              </w:rPr>
              <w:t>所配司机与投入车辆数量匹配度较高，</w:t>
            </w:r>
            <w:r>
              <w:rPr>
                <w:rFonts w:hint="eastAsia" w:ascii="宋体" w:hAnsi="宋体" w:eastAsia="宋体" w:cs="宋体"/>
                <w:bCs/>
                <w:color w:val="auto"/>
                <w:sz w:val="24"/>
                <w:szCs w:val="24"/>
                <w:highlight w:val="none"/>
              </w:rPr>
              <w:t>较切合实际；</w:t>
            </w:r>
          </w:p>
          <w:p w14:paraId="116A8F8D">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档（9分）：在满足</w:t>
            </w:r>
            <w:r>
              <w:rPr>
                <w:rFonts w:hint="eastAsia" w:ascii="宋体" w:hAnsi="宋体" w:cs="宋体"/>
                <w:bCs/>
                <w:color w:val="auto"/>
                <w:sz w:val="24"/>
                <w:szCs w:val="24"/>
                <w:highlight w:val="none"/>
                <w:lang w:eastAsia="zh-CN"/>
              </w:rPr>
              <w:t>二</w:t>
            </w:r>
            <w:r>
              <w:rPr>
                <w:rFonts w:hint="eastAsia" w:ascii="宋体" w:hAnsi="宋体" w:eastAsia="宋体" w:cs="宋体"/>
                <w:bCs/>
                <w:color w:val="auto"/>
                <w:sz w:val="24"/>
                <w:szCs w:val="24"/>
                <w:highlight w:val="none"/>
              </w:rPr>
              <w:t>档的基础上，承诺投入日常养护作业人数超过人员配置最低要求，且结构配置科学合理、内容全面详细，切合实际，符合本项目达到良好养护效果要求。</w:t>
            </w:r>
          </w:p>
        </w:tc>
        <w:tc>
          <w:tcPr>
            <w:tcW w:w="1493" w:type="dxa"/>
            <w:tcBorders>
              <w:top w:val="single" w:color="auto" w:sz="4" w:space="0"/>
              <w:left w:val="single" w:color="auto" w:sz="4" w:space="0"/>
              <w:right w:val="single" w:color="auto" w:sz="4" w:space="0"/>
            </w:tcBorders>
            <w:vAlign w:val="center"/>
          </w:tcPr>
          <w:p w14:paraId="1ED5FD35">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分</w:t>
            </w:r>
          </w:p>
        </w:tc>
      </w:tr>
      <w:tr w14:paraId="29CE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053CBFCF">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01C542F0">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326CA059">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（7）拟为本项目投入项目管理人员、技术力量（8分）</w:t>
            </w:r>
          </w:p>
          <w:p w14:paraId="14FFFC70">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6481829A">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由评委根据供应商提供的拟为本项目投入项目管理人员、技术力量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指：现场负责人、技术管理员、施工安全员、植物保护专业技术人员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进行独立打分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承诺人员配备及岗位设置不合理或不符合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color w:val="auto"/>
                <w:sz w:val="24"/>
                <w:szCs w:val="24"/>
                <w:highlight w:val="none"/>
              </w:rPr>
              <w:t>。</w:t>
            </w:r>
          </w:p>
          <w:p w14:paraId="70F85EF2">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rPr>
              <w:t>档（4分）：人员配备及岗位设置基本合理，拟投入本项目的管理人员及技术力量达到项目服务最低需求；</w:t>
            </w:r>
          </w:p>
          <w:p w14:paraId="479640B5">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档（</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分）：在满足</w:t>
            </w: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rPr>
              <w:t>档的基础上，人员配备及岗位设置合理，拟投入本项目的管理人员及技术力量</w:t>
            </w:r>
            <w:r>
              <w:rPr>
                <w:rFonts w:hint="eastAsia" w:ascii="宋体" w:hAnsi="宋体" w:cs="宋体"/>
                <w:color w:val="auto"/>
                <w:sz w:val="24"/>
                <w:szCs w:val="24"/>
                <w:highlight w:val="none"/>
                <w:lang w:val="en-US" w:eastAsia="zh-CN"/>
              </w:rPr>
              <w:t>优于</w:t>
            </w:r>
            <w:r>
              <w:rPr>
                <w:rFonts w:hint="eastAsia" w:ascii="宋体" w:hAnsi="宋体" w:eastAsia="宋体" w:cs="宋体"/>
                <w:color w:val="auto"/>
                <w:sz w:val="24"/>
                <w:szCs w:val="24"/>
                <w:highlight w:val="none"/>
              </w:rPr>
              <w:t>项目服务最低需求</w:t>
            </w:r>
            <w:r>
              <w:rPr>
                <w:rFonts w:hint="eastAsia" w:ascii="宋体" w:hAnsi="宋体" w:cs="宋体"/>
                <w:color w:val="auto"/>
                <w:sz w:val="24"/>
                <w:szCs w:val="24"/>
                <w:highlight w:val="none"/>
                <w:lang w:val="en-US" w:eastAsia="zh-CN"/>
              </w:rPr>
              <w:t>2-3</w:t>
            </w:r>
            <w:r>
              <w:rPr>
                <w:rFonts w:hint="eastAsia" w:ascii="宋体" w:hAnsi="宋体" w:eastAsia="宋体" w:cs="宋体"/>
                <w:color w:val="auto"/>
                <w:sz w:val="24"/>
                <w:szCs w:val="24"/>
                <w:highlight w:val="none"/>
              </w:rPr>
              <w:t>人</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w:t>
            </w:r>
          </w:p>
          <w:p w14:paraId="177D4D32">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rPr>
              <w:t>档（8分）：在满足</w:t>
            </w:r>
            <w:r>
              <w:rPr>
                <w:rFonts w:hint="eastAsia" w:ascii="宋体" w:hAnsi="宋体" w:cs="宋体"/>
                <w:color w:val="auto"/>
                <w:sz w:val="24"/>
                <w:szCs w:val="24"/>
                <w:highlight w:val="none"/>
                <w:lang w:eastAsia="zh-CN"/>
              </w:rPr>
              <w:t>二</w:t>
            </w:r>
            <w:r>
              <w:rPr>
                <w:rFonts w:hint="eastAsia" w:ascii="宋体" w:hAnsi="宋体" w:eastAsia="宋体" w:cs="宋体"/>
                <w:color w:val="auto"/>
                <w:sz w:val="24"/>
                <w:szCs w:val="24"/>
                <w:highlight w:val="none"/>
              </w:rPr>
              <w:t>档的基础上，岗位设置科学合理，人员配备优于项目服务最低需求</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以上</w:t>
            </w:r>
            <w:r>
              <w:rPr>
                <w:rFonts w:hint="eastAsia" w:ascii="宋体" w:hAnsi="宋体" w:cs="宋体"/>
                <w:color w:val="auto"/>
                <w:sz w:val="24"/>
                <w:szCs w:val="24"/>
                <w:highlight w:val="none"/>
                <w:lang w:val="en-US" w:eastAsia="zh-CN"/>
              </w:rPr>
              <w:t>的。</w:t>
            </w:r>
          </w:p>
        </w:tc>
        <w:tc>
          <w:tcPr>
            <w:tcW w:w="1493" w:type="dxa"/>
            <w:tcBorders>
              <w:top w:val="single" w:color="auto" w:sz="4" w:space="0"/>
              <w:left w:val="single" w:color="auto" w:sz="4" w:space="0"/>
              <w:right w:val="single" w:color="auto" w:sz="4" w:space="0"/>
            </w:tcBorders>
            <w:vAlign w:val="center"/>
          </w:tcPr>
          <w:p w14:paraId="6A34B81B">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分</w:t>
            </w:r>
          </w:p>
        </w:tc>
      </w:tr>
      <w:tr w14:paraId="7D2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690D7AF3">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30EFDB68">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5E850802">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（8）拟为本项目投入生产、管理用车（</w:t>
            </w:r>
            <w:r>
              <w:rPr>
                <w:rFonts w:hint="eastAsia" w:ascii="宋体" w:hAnsi="宋体" w:cs="宋体"/>
                <w:bCs/>
                <w:color w:val="auto"/>
                <w:sz w:val="24"/>
                <w:szCs w:val="24"/>
                <w:highlight w:val="none"/>
                <w:lang w:val="en-US" w:eastAsia="zh-CN"/>
              </w:rPr>
              <w:t>9</w:t>
            </w:r>
            <w:r>
              <w:rPr>
                <w:rFonts w:hint="eastAsia" w:ascii="宋体" w:hAnsi="宋体" w:eastAsia="宋体" w:cs="宋体"/>
                <w:bCs/>
                <w:color w:val="auto"/>
                <w:sz w:val="24"/>
                <w:szCs w:val="24"/>
                <w:highlight w:val="none"/>
              </w:rPr>
              <w:t>分）</w:t>
            </w:r>
          </w:p>
          <w:p w14:paraId="3CCA875A">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053968C1">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由评委根据供应商提供的拟为本项目投入生产、管理用车进行独立打分</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投入数量达到技术参数配置最低要求但配置不合理</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color w:val="auto"/>
                <w:sz w:val="24"/>
                <w:szCs w:val="24"/>
                <w:highlight w:val="none"/>
              </w:rPr>
              <w:t>。</w:t>
            </w:r>
          </w:p>
          <w:p w14:paraId="0D0FC39F">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档（5分）：投入</w:t>
            </w:r>
            <w:r>
              <w:rPr>
                <w:rFonts w:hint="eastAsia" w:ascii="宋体" w:hAnsi="宋体" w:cs="宋体"/>
                <w:bCs/>
                <w:color w:val="auto"/>
                <w:sz w:val="24"/>
                <w:szCs w:val="24"/>
                <w:highlight w:val="none"/>
                <w:lang w:val="en-US" w:eastAsia="zh-CN"/>
              </w:rPr>
              <w:t>车辆</w:t>
            </w:r>
            <w:r>
              <w:rPr>
                <w:rFonts w:hint="eastAsia" w:ascii="宋体" w:hAnsi="宋体" w:eastAsia="宋体" w:cs="宋体"/>
                <w:bCs/>
                <w:color w:val="auto"/>
                <w:sz w:val="24"/>
                <w:szCs w:val="24"/>
                <w:highlight w:val="none"/>
              </w:rPr>
              <w:t>数量达到技术参数配置最低要求，配置</w:t>
            </w:r>
            <w:r>
              <w:rPr>
                <w:rFonts w:hint="eastAsia" w:ascii="宋体" w:hAnsi="宋体" w:cs="宋体"/>
                <w:color w:val="auto"/>
                <w:sz w:val="24"/>
                <w:szCs w:val="24"/>
                <w:highlight w:val="none"/>
                <w:lang w:val="en-US" w:eastAsia="zh-CN"/>
              </w:rPr>
              <w:t>方案</w:t>
            </w:r>
            <w:r>
              <w:rPr>
                <w:rFonts w:hint="eastAsia" w:ascii="宋体" w:hAnsi="宋体" w:eastAsia="宋体" w:cs="宋体"/>
                <w:bCs/>
                <w:color w:val="auto"/>
                <w:sz w:val="24"/>
                <w:szCs w:val="24"/>
                <w:highlight w:val="none"/>
              </w:rPr>
              <w:t>合理。</w:t>
            </w:r>
          </w:p>
          <w:p w14:paraId="3EEE23BC">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档（7分）：投入</w:t>
            </w:r>
            <w:r>
              <w:rPr>
                <w:rFonts w:hint="eastAsia" w:ascii="宋体" w:hAnsi="宋体" w:cs="宋体"/>
                <w:bCs/>
                <w:color w:val="auto"/>
                <w:sz w:val="24"/>
                <w:szCs w:val="24"/>
                <w:highlight w:val="none"/>
                <w:lang w:val="en-US" w:eastAsia="zh-CN"/>
              </w:rPr>
              <w:t>车辆</w:t>
            </w:r>
            <w:r>
              <w:rPr>
                <w:rFonts w:hint="eastAsia" w:ascii="宋体" w:hAnsi="宋体" w:eastAsia="宋体" w:cs="宋体"/>
                <w:bCs/>
                <w:color w:val="auto"/>
                <w:sz w:val="24"/>
                <w:szCs w:val="24"/>
                <w:highlight w:val="none"/>
              </w:rPr>
              <w:t>数量达到技术参数配置最低要求</w:t>
            </w:r>
            <w:r>
              <w:rPr>
                <w:rFonts w:hint="eastAsia" w:ascii="宋体" w:hAnsi="宋体" w:cs="宋体"/>
                <w:bCs/>
                <w:color w:val="auto"/>
                <w:sz w:val="24"/>
                <w:szCs w:val="24"/>
                <w:highlight w:val="none"/>
                <w:lang w:val="en-US" w:eastAsia="zh-CN"/>
              </w:rPr>
              <w:t>的基础上多加5-9辆淋水车</w:t>
            </w:r>
            <w:r>
              <w:rPr>
                <w:rFonts w:hint="eastAsia" w:ascii="宋体" w:hAnsi="宋体" w:eastAsia="宋体" w:cs="宋体"/>
                <w:bCs/>
                <w:color w:val="auto"/>
                <w:sz w:val="24"/>
                <w:szCs w:val="24"/>
                <w:highlight w:val="none"/>
              </w:rPr>
              <w:t>，配置合理。</w:t>
            </w:r>
          </w:p>
          <w:p w14:paraId="73A58144">
            <w:pPr>
              <w:keepNext w:val="0"/>
              <w:keepLines w:val="0"/>
              <w:pageBreakBefore w:val="0"/>
              <w:kinsoku/>
              <w:wordWrap/>
              <w:overflowPunct/>
              <w:topLinePunct w:val="0"/>
              <w:autoSpaceDE/>
              <w:autoSpaceDN/>
              <w:bidi w:val="0"/>
              <w:spacing w:line="360" w:lineRule="auto"/>
              <w:ind w:firstLine="480" w:firstLineChars="200"/>
              <w:rPr>
                <w:rFonts w:hint="eastAsia"/>
                <w:color w:val="auto"/>
                <w:highlight w:val="none"/>
                <w:lang w:eastAsia="zh-CN"/>
              </w:rPr>
            </w:pPr>
            <w:r>
              <w:rPr>
                <w:rFonts w:hint="eastAsia" w:ascii="宋体" w:hAnsi="宋体" w:cs="宋体"/>
                <w:bCs/>
                <w:color w:val="auto"/>
                <w:sz w:val="24"/>
                <w:szCs w:val="24"/>
                <w:highlight w:val="none"/>
                <w:lang w:val="en-US" w:eastAsia="zh-CN"/>
              </w:rPr>
              <w:t>三</w:t>
            </w:r>
            <w:r>
              <w:rPr>
                <w:rFonts w:hint="eastAsia" w:ascii="宋体" w:hAnsi="宋体" w:eastAsia="宋体" w:cs="宋体"/>
                <w:bCs/>
                <w:color w:val="auto"/>
                <w:sz w:val="24"/>
                <w:szCs w:val="24"/>
                <w:highlight w:val="none"/>
              </w:rPr>
              <w:t>档（9分）：投入</w:t>
            </w:r>
            <w:r>
              <w:rPr>
                <w:rFonts w:hint="eastAsia" w:ascii="宋体" w:hAnsi="宋体" w:cs="宋体"/>
                <w:bCs/>
                <w:color w:val="auto"/>
                <w:sz w:val="24"/>
                <w:szCs w:val="24"/>
                <w:highlight w:val="none"/>
                <w:lang w:val="en-US" w:eastAsia="zh-CN"/>
              </w:rPr>
              <w:t>车辆</w:t>
            </w:r>
            <w:r>
              <w:rPr>
                <w:rFonts w:hint="eastAsia" w:ascii="宋体" w:hAnsi="宋体" w:eastAsia="宋体" w:cs="宋体"/>
                <w:bCs/>
                <w:color w:val="auto"/>
                <w:sz w:val="24"/>
                <w:szCs w:val="24"/>
                <w:highlight w:val="none"/>
              </w:rPr>
              <w:t>数量达到技术参数配置最低要求</w:t>
            </w:r>
            <w:r>
              <w:rPr>
                <w:rFonts w:hint="eastAsia" w:ascii="宋体" w:hAnsi="宋体" w:cs="宋体"/>
                <w:bCs/>
                <w:color w:val="auto"/>
                <w:sz w:val="24"/>
                <w:szCs w:val="24"/>
                <w:highlight w:val="none"/>
                <w:lang w:val="en-US" w:eastAsia="zh-CN"/>
              </w:rPr>
              <w:t>的基础上多加10辆（含）以上淋水车，</w:t>
            </w:r>
            <w:r>
              <w:rPr>
                <w:rFonts w:hint="eastAsia" w:ascii="宋体" w:hAnsi="宋体" w:eastAsia="宋体" w:cs="宋体"/>
                <w:bCs/>
                <w:color w:val="auto"/>
                <w:sz w:val="24"/>
                <w:szCs w:val="24"/>
                <w:highlight w:val="none"/>
              </w:rPr>
              <w:t>配置合理。</w:t>
            </w:r>
          </w:p>
        </w:tc>
        <w:tc>
          <w:tcPr>
            <w:tcW w:w="1493" w:type="dxa"/>
            <w:tcBorders>
              <w:top w:val="single" w:color="auto" w:sz="4" w:space="0"/>
              <w:left w:val="single" w:color="auto" w:sz="4" w:space="0"/>
              <w:right w:val="single" w:color="auto" w:sz="4" w:space="0"/>
            </w:tcBorders>
            <w:vAlign w:val="center"/>
          </w:tcPr>
          <w:p w14:paraId="441DDDDC">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分</w:t>
            </w:r>
          </w:p>
        </w:tc>
      </w:tr>
      <w:tr w14:paraId="729A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71A2AB22">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1D012053">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550B76CD">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（9）拟为本项目投入园林机械配置（</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分）</w:t>
            </w:r>
          </w:p>
          <w:p w14:paraId="1248C59E">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708714AD">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由评委根据供应商提供的拟为本项目投入园林机械配置进行独立打分</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达到技术参数配置最低要求但</w:t>
            </w:r>
            <w:r>
              <w:rPr>
                <w:rFonts w:hint="eastAsia" w:ascii="宋体" w:hAnsi="宋体" w:eastAsia="宋体" w:cs="宋体"/>
                <w:color w:val="auto"/>
                <w:sz w:val="24"/>
                <w:szCs w:val="24"/>
                <w:highlight w:val="none"/>
              </w:rPr>
              <w:t>配置不合理或不符合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color w:val="auto"/>
                <w:sz w:val="24"/>
                <w:szCs w:val="24"/>
                <w:highlight w:val="none"/>
              </w:rPr>
              <w:t>。</w:t>
            </w:r>
          </w:p>
          <w:p w14:paraId="3EC65233">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rPr>
              <w:t>档（</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rPr>
              <w:t>达到技术参数配置最低要求，</w:t>
            </w:r>
            <w:r>
              <w:rPr>
                <w:rFonts w:hint="eastAsia" w:ascii="宋体" w:hAnsi="宋体" w:eastAsia="宋体" w:cs="宋体"/>
                <w:color w:val="auto"/>
                <w:sz w:val="24"/>
                <w:szCs w:val="24"/>
                <w:highlight w:val="none"/>
              </w:rPr>
              <w:t>配置</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rPr>
              <w:t>合理；</w:t>
            </w:r>
          </w:p>
          <w:p w14:paraId="6A6AE3D0">
            <w:pPr>
              <w:keepNext w:val="0"/>
              <w:keepLines w:val="0"/>
              <w:pageBreakBefore w:val="0"/>
              <w:kinsoku/>
              <w:wordWrap/>
              <w:overflowPunct/>
              <w:topLinePunct w:val="0"/>
              <w:autoSpaceDE/>
              <w:autoSpaceDN/>
              <w:bidi w:val="0"/>
              <w:spacing w:line="360" w:lineRule="auto"/>
              <w:ind w:firstLine="480" w:firstLineChars="200"/>
              <w:rPr>
                <w:rFonts w:hint="eastAsia"/>
                <w:color w:val="auto"/>
                <w:highlight w:val="none"/>
                <w:lang w:eastAsia="zh-CN"/>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档（</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分）：在满足</w:t>
            </w: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rPr>
              <w:t>档的基础上，所有机械类型的数量均超过配置要求，且拥有本项目需求表园林机械设备配置要求以外的其他园林机械类别。</w:t>
            </w:r>
          </w:p>
        </w:tc>
        <w:tc>
          <w:tcPr>
            <w:tcW w:w="1493" w:type="dxa"/>
            <w:tcBorders>
              <w:top w:val="single" w:color="auto" w:sz="4" w:space="0"/>
              <w:left w:val="single" w:color="auto" w:sz="4" w:space="0"/>
              <w:right w:val="single" w:color="auto" w:sz="4" w:space="0"/>
            </w:tcBorders>
            <w:vAlign w:val="center"/>
          </w:tcPr>
          <w:p w14:paraId="203FFD2B">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tc>
      </w:tr>
      <w:tr w14:paraId="285E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0EAFAA8D">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40F18BBD">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72BE732E">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sz w:val="24"/>
                <w:szCs w:val="24"/>
                <w:highlight w:val="none"/>
              </w:rPr>
              <w:t>（10）拟为本项目投入必要的生产工具及安全设施配置（2分）</w:t>
            </w:r>
          </w:p>
        </w:tc>
        <w:tc>
          <w:tcPr>
            <w:tcW w:w="4855" w:type="dxa"/>
            <w:tcBorders>
              <w:top w:val="single" w:color="auto" w:sz="4" w:space="0"/>
              <w:left w:val="single" w:color="auto" w:sz="4" w:space="0"/>
              <w:right w:val="single" w:color="auto" w:sz="4" w:space="0"/>
            </w:tcBorders>
            <w:vAlign w:val="center"/>
          </w:tcPr>
          <w:p w14:paraId="186E39F6">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由评委根据供应商提供的拟为本项目投入必要的生产工具及安全设施配置进行独立打分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达到最低配置要求但配置不合理或不符合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color w:val="auto"/>
                <w:sz w:val="24"/>
                <w:szCs w:val="24"/>
                <w:highlight w:val="none"/>
              </w:rPr>
              <w:t>。</w:t>
            </w:r>
          </w:p>
          <w:p w14:paraId="0A3E8F20">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rPr>
              <w:t>档（1分）：达到最低配置要求，配置</w:t>
            </w:r>
            <w:r>
              <w:rPr>
                <w:rFonts w:hint="eastAsia" w:ascii="宋体" w:hAnsi="宋体" w:cs="宋体"/>
                <w:color w:val="auto"/>
                <w:sz w:val="24"/>
                <w:szCs w:val="24"/>
                <w:highlight w:val="none"/>
                <w:lang w:val="en-US" w:eastAsia="zh-CN"/>
              </w:rPr>
              <w:t>方案</w:t>
            </w:r>
            <w:r>
              <w:rPr>
                <w:rFonts w:hint="eastAsia" w:ascii="宋体" w:hAnsi="宋体" w:eastAsia="宋体" w:cs="宋体"/>
                <w:color w:val="auto"/>
                <w:sz w:val="24"/>
                <w:szCs w:val="24"/>
                <w:highlight w:val="none"/>
              </w:rPr>
              <w:t>合理；</w:t>
            </w:r>
          </w:p>
          <w:p w14:paraId="2A4F1715">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二</w:t>
            </w:r>
            <w:r>
              <w:rPr>
                <w:rFonts w:hint="eastAsia" w:ascii="宋体" w:hAnsi="宋体" w:eastAsia="宋体" w:cs="宋体"/>
                <w:color w:val="auto"/>
                <w:sz w:val="24"/>
                <w:szCs w:val="24"/>
                <w:highlight w:val="none"/>
              </w:rPr>
              <w:t>档（2分）：在满足</w:t>
            </w:r>
            <w:r>
              <w:rPr>
                <w:rFonts w:hint="eastAsia" w:ascii="宋体" w:hAnsi="宋体" w:cs="宋体"/>
                <w:color w:val="auto"/>
                <w:sz w:val="24"/>
                <w:szCs w:val="24"/>
                <w:highlight w:val="none"/>
                <w:lang w:eastAsia="zh-CN"/>
              </w:rPr>
              <w:t>一</w:t>
            </w:r>
            <w:r>
              <w:rPr>
                <w:rFonts w:hint="eastAsia" w:ascii="宋体" w:hAnsi="宋体" w:eastAsia="宋体" w:cs="宋体"/>
                <w:color w:val="auto"/>
                <w:sz w:val="24"/>
                <w:szCs w:val="24"/>
                <w:highlight w:val="none"/>
              </w:rPr>
              <w:t>档的基础上，数量、品种类别均超过（高于）采购要求标准。</w:t>
            </w:r>
          </w:p>
        </w:tc>
        <w:tc>
          <w:tcPr>
            <w:tcW w:w="1493" w:type="dxa"/>
            <w:tcBorders>
              <w:top w:val="single" w:color="auto" w:sz="4" w:space="0"/>
              <w:left w:val="single" w:color="auto" w:sz="4" w:space="0"/>
              <w:right w:val="single" w:color="auto" w:sz="4" w:space="0"/>
            </w:tcBorders>
            <w:vAlign w:val="center"/>
          </w:tcPr>
          <w:p w14:paraId="47C73253">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分</w:t>
            </w:r>
          </w:p>
        </w:tc>
      </w:tr>
      <w:tr w14:paraId="24BC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3E36656A">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257E348E">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7A38A4EA">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（11）拟为本项目投入必要数量及质量的肥料（3分）</w:t>
            </w:r>
          </w:p>
          <w:p w14:paraId="35FD4B54">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bCs/>
                <w:color w:val="auto"/>
                <w:kern w:val="0"/>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0D95BEA7">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由评委根据供应商提供的拟为本项目投入必要数量及质量的肥料进行独立打分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承诺不合理</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633EEDE9">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2分）：常规绿化养护承诺投入的肥料费用≥常规绿化年养护费用的2.5%、桥体三角梅专项年养护费用6%＞桥体三角梅专项养护承诺投入的肥料费用≥桥体三角梅专项年养护费用5%，且肥料有效成分符合园林绿化使用；</w:t>
            </w:r>
          </w:p>
          <w:p w14:paraId="1D45BE8D">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二</w:t>
            </w:r>
            <w:r>
              <w:rPr>
                <w:rFonts w:hint="eastAsia" w:ascii="宋体" w:hAnsi="宋体" w:eastAsia="宋体" w:cs="宋体"/>
                <w:bCs/>
                <w:color w:val="auto"/>
                <w:sz w:val="24"/>
                <w:szCs w:val="24"/>
                <w:highlight w:val="none"/>
              </w:rPr>
              <w:t>档（3分）：在满足</w:t>
            </w:r>
            <w:r>
              <w:rPr>
                <w:rFonts w:hint="eastAsia" w:ascii="宋体" w:hAnsi="宋体" w:cs="宋体"/>
                <w:bCs/>
                <w:color w:val="auto"/>
                <w:sz w:val="24"/>
                <w:szCs w:val="24"/>
                <w:highlight w:val="none"/>
                <w:lang w:eastAsia="zh-CN"/>
              </w:rPr>
              <w:t>一</w:t>
            </w:r>
            <w:r>
              <w:rPr>
                <w:rFonts w:hint="eastAsia" w:ascii="宋体" w:hAnsi="宋体" w:eastAsia="宋体" w:cs="宋体"/>
                <w:bCs/>
                <w:color w:val="auto"/>
                <w:sz w:val="24"/>
                <w:szCs w:val="24"/>
                <w:highlight w:val="none"/>
              </w:rPr>
              <w:t>档的基础上，投入使用肥料含有机肥等优于园林绿化使用肥料，并列明拟施用的有机肥种类等信息。</w:t>
            </w:r>
          </w:p>
          <w:p w14:paraId="2BD9D6DC">
            <w:pPr>
              <w:keepNext w:val="0"/>
              <w:keepLines w:val="0"/>
              <w:pageBreakBefore w:val="0"/>
              <w:kinsoku/>
              <w:wordWrap/>
              <w:overflowPunct/>
              <w:topLinePunct w:val="0"/>
              <w:autoSpaceDE/>
              <w:autoSpaceDN/>
              <w:bidi w:val="0"/>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注：</w:t>
            </w:r>
            <w:r>
              <w:rPr>
                <w:rFonts w:hint="eastAsia" w:ascii="宋体" w:hAnsi="宋体" w:cs="宋体"/>
                <w:color w:val="auto"/>
                <w:sz w:val="24"/>
                <w:szCs w:val="24"/>
                <w:highlight w:val="none"/>
                <w:lang w:val="en-US" w:eastAsia="zh-CN"/>
              </w:rPr>
              <w:t>投标时需提供承诺书且</w:t>
            </w:r>
            <w:r>
              <w:rPr>
                <w:rFonts w:hint="eastAsia" w:ascii="宋体" w:hAnsi="宋体" w:eastAsia="宋体" w:cs="宋体"/>
                <w:color w:val="auto"/>
                <w:sz w:val="24"/>
                <w:szCs w:val="24"/>
                <w:highlight w:val="none"/>
              </w:rPr>
              <w:t>需明确承诺投入肥料费用的具体比例数值、肥料有效成分及有机肥含量配比</w:t>
            </w:r>
            <w:r>
              <w:rPr>
                <w:rFonts w:hint="eastAsia" w:ascii="宋体" w:hAnsi="宋体" w:cs="宋体"/>
                <w:color w:val="auto"/>
                <w:sz w:val="24"/>
                <w:szCs w:val="24"/>
                <w:highlight w:val="none"/>
                <w:lang w:eastAsia="zh-CN"/>
              </w:rPr>
              <w:t>。</w:t>
            </w:r>
          </w:p>
        </w:tc>
        <w:tc>
          <w:tcPr>
            <w:tcW w:w="1493" w:type="dxa"/>
            <w:tcBorders>
              <w:top w:val="single" w:color="auto" w:sz="4" w:space="0"/>
              <w:left w:val="single" w:color="auto" w:sz="4" w:space="0"/>
              <w:right w:val="single" w:color="auto" w:sz="4" w:space="0"/>
            </w:tcBorders>
            <w:vAlign w:val="center"/>
          </w:tcPr>
          <w:p w14:paraId="56AD364B">
            <w:pPr>
              <w:keepNext w:val="0"/>
              <w:keepLines w:val="0"/>
              <w:pageBreakBefore w:val="0"/>
              <w:kinsoku/>
              <w:wordWrap/>
              <w:overflowPunct/>
              <w:topLinePunct w:val="0"/>
              <w:autoSpaceDE/>
              <w:autoSpaceDN/>
              <w:bidi w:val="0"/>
              <w:adjustRightInd w:val="0"/>
              <w:spacing w:line="360" w:lineRule="auto"/>
              <w:jc w:val="center"/>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分</w:t>
            </w:r>
          </w:p>
        </w:tc>
      </w:tr>
      <w:tr w14:paraId="5018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continue"/>
            <w:tcBorders>
              <w:left w:val="single" w:color="auto" w:sz="4" w:space="0"/>
              <w:right w:val="single" w:color="auto" w:sz="4" w:space="0"/>
            </w:tcBorders>
            <w:vAlign w:val="top"/>
          </w:tcPr>
          <w:p w14:paraId="316901EC">
            <w:pPr>
              <w:pStyle w:val="12"/>
              <w:keepNext w:val="0"/>
              <w:keepLines w:val="0"/>
              <w:pageBreakBefore w:val="0"/>
              <w:widowControl/>
              <w:kinsoku/>
              <w:wordWrap/>
              <w:overflowPunct/>
              <w:topLinePunct w:val="0"/>
              <w:autoSpaceDE/>
              <w:autoSpaceDN/>
              <w:bidi w:val="0"/>
              <w:adjustRightInd/>
              <w:spacing w:line="360" w:lineRule="auto"/>
              <w:textAlignment w:val="auto"/>
              <w:rPr>
                <w:rFonts w:hint="eastAsia" w:ascii="宋体" w:hAnsi="宋体" w:eastAsia="宋体" w:cs="宋体"/>
                <w:bCs/>
                <w:color w:val="auto"/>
                <w:sz w:val="24"/>
                <w:szCs w:val="24"/>
                <w:highlight w:val="none"/>
              </w:rPr>
            </w:pPr>
          </w:p>
        </w:tc>
        <w:tc>
          <w:tcPr>
            <w:tcW w:w="1409" w:type="dxa"/>
            <w:vMerge w:val="continue"/>
            <w:tcBorders>
              <w:left w:val="single" w:color="auto" w:sz="4" w:space="0"/>
              <w:right w:val="single" w:color="auto" w:sz="4" w:space="0"/>
            </w:tcBorders>
            <w:vAlign w:val="center"/>
          </w:tcPr>
          <w:p w14:paraId="0559D14A">
            <w:pPr>
              <w:keepNext w:val="0"/>
              <w:keepLines w:val="0"/>
              <w:pageBreakBefore w:val="0"/>
              <w:kinsoku/>
              <w:wordWrap/>
              <w:overflowPunct/>
              <w:topLinePunct w:val="0"/>
              <w:autoSpaceDE/>
              <w:autoSpaceDN/>
              <w:bidi w:val="0"/>
              <w:adjustRightInd w:val="0"/>
              <w:spacing w:line="360" w:lineRule="auto"/>
              <w:jc w:val="both"/>
              <w:textAlignment w:val="baseline"/>
              <w:rPr>
                <w:rFonts w:hint="eastAsia" w:ascii="宋体" w:hAnsi="宋体" w:eastAsia="宋体" w:cs="宋体"/>
                <w:bCs/>
                <w:color w:val="auto"/>
                <w:kern w:val="0"/>
                <w:sz w:val="24"/>
                <w:szCs w:val="24"/>
                <w:highlight w:val="none"/>
                <w:lang w:eastAsia="zh-CN"/>
              </w:rPr>
            </w:pPr>
          </w:p>
        </w:tc>
        <w:tc>
          <w:tcPr>
            <w:tcW w:w="1332" w:type="dxa"/>
            <w:tcBorders>
              <w:top w:val="single" w:color="auto" w:sz="4" w:space="0"/>
              <w:left w:val="single" w:color="auto" w:sz="4" w:space="0"/>
              <w:right w:val="single" w:color="auto" w:sz="4" w:space="0"/>
            </w:tcBorders>
            <w:vAlign w:val="center"/>
          </w:tcPr>
          <w:p w14:paraId="3A799D8A">
            <w:pPr>
              <w:keepNext w:val="0"/>
              <w:keepLines w:val="0"/>
              <w:pageBreakBefore w:val="0"/>
              <w:kinsoku/>
              <w:wordWrap/>
              <w:overflowPunct/>
              <w:topLinePunct w:val="0"/>
              <w:autoSpaceDE/>
              <w:autoSpaceDN/>
              <w:bidi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（12）拟为本项目建立道路绿化养护智慧化管理平台（</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p w14:paraId="2077B1F9">
            <w:pPr>
              <w:keepNext w:val="0"/>
              <w:keepLines w:val="0"/>
              <w:pageBreakBefore w:val="0"/>
              <w:kinsoku/>
              <w:wordWrap/>
              <w:overflowPunct/>
              <w:topLinePunct w:val="0"/>
              <w:autoSpaceDE/>
              <w:autoSpaceDN/>
              <w:bidi w:val="0"/>
              <w:snapToGrid w:val="0"/>
              <w:spacing w:line="360" w:lineRule="auto"/>
              <w:jc w:val="center"/>
              <w:rPr>
                <w:rFonts w:hint="eastAsia" w:ascii="宋体" w:hAnsi="宋体" w:eastAsia="宋体" w:cs="宋体"/>
                <w:color w:val="auto"/>
                <w:sz w:val="24"/>
                <w:szCs w:val="24"/>
                <w:highlight w:val="none"/>
                <w:lang w:eastAsia="zh-CN"/>
              </w:rPr>
            </w:pPr>
          </w:p>
        </w:tc>
        <w:tc>
          <w:tcPr>
            <w:tcW w:w="4855" w:type="dxa"/>
            <w:tcBorders>
              <w:top w:val="single" w:color="auto" w:sz="4" w:space="0"/>
              <w:left w:val="single" w:color="auto" w:sz="4" w:space="0"/>
              <w:right w:val="single" w:color="auto" w:sz="4" w:space="0"/>
            </w:tcBorders>
            <w:vAlign w:val="center"/>
          </w:tcPr>
          <w:p w14:paraId="45B42B31">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由评委根据供应商提供的拟为本项目建立道路绿化养护智慧化管理平台的具体情况进行独立打分</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u w:val="none"/>
              </w:rPr>
              <w:t>承诺有道路绿化养护智慧化管理平台</w:t>
            </w:r>
            <w:r>
              <w:rPr>
                <w:rFonts w:hint="eastAsia" w:ascii="宋体" w:hAnsi="宋体" w:eastAsia="宋体" w:cs="宋体"/>
                <w:bCs/>
                <w:color w:val="auto"/>
                <w:sz w:val="24"/>
                <w:szCs w:val="24"/>
                <w:highlight w:val="none"/>
              </w:rPr>
              <w:t>不合理</w:t>
            </w:r>
            <w:r>
              <w:rPr>
                <w:rFonts w:hint="eastAsia" w:ascii="宋体" w:hAnsi="宋体" w:eastAsia="宋体" w:cs="宋体"/>
                <w:color w:val="auto"/>
                <w:sz w:val="24"/>
                <w:szCs w:val="24"/>
                <w:highlight w:val="none"/>
              </w:rPr>
              <w:t>或不符合</w:t>
            </w:r>
            <w:r>
              <w:rPr>
                <w:rFonts w:hint="eastAsia" w:ascii="宋体" w:hAnsi="宋体" w:cs="宋体"/>
                <w:color w:val="auto"/>
                <w:sz w:val="24"/>
                <w:szCs w:val="24"/>
                <w:highlight w:val="none"/>
                <w:lang w:val="en-US" w:eastAsia="zh-CN"/>
              </w:rPr>
              <w:t>一档</w:t>
            </w:r>
            <w:r>
              <w:rPr>
                <w:rFonts w:hint="eastAsia" w:ascii="宋体" w:hAnsi="宋体" w:eastAsia="宋体" w:cs="宋体"/>
                <w:color w:val="auto"/>
                <w:sz w:val="24"/>
                <w:szCs w:val="24"/>
                <w:highlight w:val="none"/>
              </w:rPr>
              <w:t>要求</w:t>
            </w:r>
            <w:r>
              <w:rPr>
                <w:rFonts w:hint="eastAsia" w:ascii="宋体" w:hAnsi="宋体" w:cs="宋体"/>
                <w:color w:val="auto"/>
                <w:sz w:val="24"/>
                <w:szCs w:val="24"/>
                <w:highlight w:val="none"/>
                <w:lang w:val="en-US" w:eastAsia="zh-CN"/>
              </w:rPr>
              <w:t>的为0分</w:t>
            </w:r>
            <w:r>
              <w:rPr>
                <w:rFonts w:hint="eastAsia" w:ascii="宋体" w:hAnsi="宋体" w:eastAsia="宋体" w:cs="宋体"/>
                <w:bCs/>
                <w:color w:val="auto"/>
                <w:sz w:val="24"/>
                <w:szCs w:val="24"/>
                <w:highlight w:val="none"/>
              </w:rPr>
              <w:t>。</w:t>
            </w:r>
          </w:p>
          <w:p w14:paraId="241D381D">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u w:val="none"/>
              </w:rPr>
            </w:pPr>
            <w:r>
              <w:rPr>
                <w:rFonts w:hint="eastAsia" w:ascii="宋体" w:hAnsi="宋体" w:cs="宋体"/>
                <w:bCs/>
                <w:color w:val="auto"/>
                <w:sz w:val="24"/>
                <w:szCs w:val="24"/>
                <w:highlight w:val="none"/>
                <w:lang w:val="en-US" w:eastAsia="zh-CN"/>
              </w:rPr>
              <w:t>一</w:t>
            </w:r>
            <w:r>
              <w:rPr>
                <w:rFonts w:hint="eastAsia" w:ascii="宋体" w:hAnsi="宋体" w:eastAsia="宋体" w:cs="宋体"/>
                <w:bCs/>
                <w:color w:val="auto"/>
                <w:sz w:val="24"/>
                <w:szCs w:val="24"/>
                <w:highlight w:val="none"/>
              </w:rPr>
              <w:t>档</w:t>
            </w:r>
            <w:r>
              <w:rPr>
                <w:rFonts w:hint="eastAsia" w:ascii="宋体" w:hAnsi="宋体" w:eastAsia="宋体" w:cs="宋体"/>
                <w:bCs/>
                <w:color w:val="auto"/>
                <w:sz w:val="24"/>
                <w:szCs w:val="24"/>
                <w:highlight w:val="none"/>
                <w:u w:val="none"/>
              </w:rPr>
              <w:t>（</w:t>
            </w:r>
            <w:r>
              <w:rPr>
                <w:rFonts w:hint="eastAsia" w:ascii="宋体" w:hAnsi="宋体" w:cs="宋体"/>
                <w:bCs/>
                <w:color w:val="auto"/>
                <w:sz w:val="24"/>
                <w:szCs w:val="24"/>
                <w:highlight w:val="none"/>
                <w:u w:val="none"/>
                <w:lang w:val="en-US" w:eastAsia="zh-CN"/>
              </w:rPr>
              <w:t>3</w:t>
            </w:r>
            <w:r>
              <w:rPr>
                <w:rFonts w:hint="eastAsia" w:ascii="宋体" w:hAnsi="宋体" w:eastAsia="宋体" w:cs="宋体"/>
                <w:bCs/>
                <w:color w:val="auto"/>
                <w:sz w:val="24"/>
                <w:szCs w:val="24"/>
                <w:highlight w:val="none"/>
                <w:u w:val="none"/>
              </w:rPr>
              <w:t>分）：承诺有道路绿化养护智慧化管理平台，且符合（招标服务需求一览表三、配置要求第7点）要求，能实现养护管理、植物生长及环境监测、自动灌溉、树木安全检测等功能；</w:t>
            </w:r>
          </w:p>
          <w:p w14:paraId="60342957">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Cs/>
                <w:color w:val="auto"/>
                <w:sz w:val="24"/>
                <w:szCs w:val="24"/>
                <w:highlight w:val="none"/>
                <w:u w:val="none"/>
              </w:rPr>
            </w:pPr>
            <w:r>
              <w:rPr>
                <w:rFonts w:hint="eastAsia" w:ascii="宋体" w:hAnsi="宋体" w:cs="宋体"/>
                <w:bCs/>
                <w:color w:val="auto"/>
                <w:sz w:val="24"/>
                <w:szCs w:val="24"/>
                <w:highlight w:val="none"/>
                <w:u w:val="none"/>
                <w:lang w:val="en-US" w:eastAsia="zh-CN"/>
              </w:rPr>
              <w:t>二</w:t>
            </w:r>
            <w:r>
              <w:rPr>
                <w:rFonts w:hint="eastAsia" w:ascii="宋体" w:hAnsi="宋体" w:eastAsia="宋体" w:cs="宋体"/>
                <w:bCs/>
                <w:color w:val="auto"/>
                <w:sz w:val="24"/>
                <w:szCs w:val="24"/>
                <w:highlight w:val="none"/>
                <w:u w:val="none"/>
              </w:rPr>
              <w:t>档（</w:t>
            </w:r>
            <w:r>
              <w:rPr>
                <w:rFonts w:hint="eastAsia" w:ascii="宋体" w:hAnsi="宋体" w:cs="宋体"/>
                <w:bCs/>
                <w:color w:val="auto"/>
                <w:sz w:val="24"/>
                <w:szCs w:val="24"/>
                <w:highlight w:val="none"/>
                <w:u w:val="none"/>
                <w:lang w:val="en-US" w:eastAsia="zh-CN"/>
              </w:rPr>
              <w:t>5</w:t>
            </w:r>
            <w:r>
              <w:rPr>
                <w:rFonts w:hint="eastAsia" w:ascii="宋体" w:hAnsi="宋体" w:eastAsia="宋体" w:cs="宋体"/>
                <w:bCs/>
                <w:color w:val="auto"/>
                <w:sz w:val="24"/>
                <w:szCs w:val="24"/>
                <w:highlight w:val="none"/>
                <w:u w:val="none"/>
              </w:rPr>
              <w:t>分）：在满足</w:t>
            </w:r>
            <w:r>
              <w:rPr>
                <w:rFonts w:hint="eastAsia" w:ascii="宋体" w:hAnsi="宋体" w:cs="宋体"/>
                <w:bCs/>
                <w:color w:val="auto"/>
                <w:sz w:val="24"/>
                <w:szCs w:val="24"/>
                <w:highlight w:val="none"/>
                <w:u w:val="none"/>
                <w:lang w:val="en-US" w:eastAsia="zh-CN"/>
              </w:rPr>
              <w:t>一</w:t>
            </w:r>
            <w:r>
              <w:rPr>
                <w:rFonts w:hint="eastAsia" w:ascii="宋体" w:hAnsi="宋体" w:eastAsia="宋体" w:cs="宋体"/>
                <w:bCs/>
                <w:color w:val="auto"/>
                <w:sz w:val="24"/>
                <w:szCs w:val="24"/>
                <w:highlight w:val="none"/>
                <w:u w:val="none"/>
              </w:rPr>
              <w:t>档的基础上，承诺</w:t>
            </w:r>
            <w:r>
              <w:rPr>
                <w:rFonts w:hint="eastAsia" w:ascii="宋体" w:hAnsi="宋体" w:cs="宋体"/>
                <w:bCs/>
                <w:color w:val="auto"/>
                <w:sz w:val="24"/>
                <w:szCs w:val="24"/>
                <w:highlight w:val="none"/>
                <w:u w:val="none"/>
                <w:lang w:eastAsia="zh-CN"/>
              </w:rPr>
              <w:t>将</w:t>
            </w:r>
            <w:r>
              <w:rPr>
                <w:rFonts w:hint="eastAsia" w:ascii="宋体" w:hAnsi="宋体" w:eastAsia="宋体" w:cs="宋体"/>
                <w:bCs/>
                <w:color w:val="auto"/>
                <w:sz w:val="24"/>
                <w:szCs w:val="24"/>
                <w:highlight w:val="none"/>
                <w:u w:val="none"/>
              </w:rPr>
              <w:t>树木安全检测</w:t>
            </w:r>
            <w:r>
              <w:rPr>
                <w:rFonts w:hint="eastAsia" w:ascii="宋体" w:hAnsi="宋体" w:cs="宋体"/>
                <w:bCs/>
                <w:color w:val="auto"/>
                <w:sz w:val="24"/>
                <w:szCs w:val="24"/>
                <w:highlight w:val="none"/>
                <w:u w:val="none"/>
                <w:lang w:eastAsia="zh-CN"/>
              </w:rPr>
              <w:t>仪器升级为树干横断面应力波探测仪，并提供</w:t>
            </w:r>
            <w:r>
              <w:rPr>
                <w:rFonts w:hint="eastAsia" w:ascii="宋体" w:hAnsi="宋体" w:eastAsia="宋体" w:cs="宋体"/>
                <w:bCs/>
                <w:color w:val="auto"/>
                <w:sz w:val="24"/>
                <w:szCs w:val="24"/>
                <w:highlight w:val="none"/>
                <w:u w:val="none"/>
              </w:rPr>
              <w:t>无人机巡查。</w:t>
            </w:r>
          </w:p>
          <w:p w14:paraId="11F61210">
            <w:pPr>
              <w:keepNext w:val="0"/>
              <w:keepLines w:val="0"/>
              <w:pageBreakBefore w:val="0"/>
              <w:kinsoku/>
              <w:wordWrap/>
              <w:overflowPunct/>
              <w:topLinePunct w:val="0"/>
              <w:autoSpaceDE/>
              <w:autoSpaceDN/>
              <w:bidi w:val="0"/>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cs="宋体"/>
                <w:bCs/>
                <w:color w:val="auto"/>
                <w:sz w:val="24"/>
                <w:szCs w:val="24"/>
                <w:highlight w:val="none"/>
                <w:u w:val="none"/>
                <w:lang w:val="en-US" w:eastAsia="zh-CN"/>
              </w:rPr>
              <w:t>三</w:t>
            </w:r>
            <w:r>
              <w:rPr>
                <w:rFonts w:hint="eastAsia" w:ascii="宋体" w:hAnsi="宋体" w:eastAsia="宋体" w:cs="宋体"/>
                <w:bCs/>
                <w:color w:val="auto"/>
                <w:sz w:val="24"/>
                <w:szCs w:val="24"/>
                <w:highlight w:val="none"/>
                <w:u w:val="none"/>
              </w:rPr>
              <w:t>档（</w:t>
            </w:r>
            <w:r>
              <w:rPr>
                <w:rFonts w:hint="eastAsia" w:ascii="宋体" w:hAnsi="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rPr>
              <w:t>分）：在满足</w:t>
            </w:r>
            <w:r>
              <w:rPr>
                <w:rFonts w:hint="eastAsia" w:ascii="宋体" w:hAnsi="宋体" w:cs="宋体"/>
                <w:bCs/>
                <w:color w:val="auto"/>
                <w:sz w:val="24"/>
                <w:szCs w:val="24"/>
                <w:highlight w:val="none"/>
                <w:u w:val="none"/>
                <w:lang w:val="en-US" w:eastAsia="zh-CN"/>
              </w:rPr>
              <w:t>二</w:t>
            </w:r>
            <w:r>
              <w:rPr>
                <w:rFonts w:hint="eastAsia" w:ascii="宋体" w:hAnsi="宋体" w:eastAsia="宋体" w:cs="宋体"/>
                <w:bCs/>
                <w:color w:val="auto"/>
                <w:sz w:val="24"/>
                <w:szCs w:val="24"/>
                <w:highlight w:val="none"/>
                <w:u w:val="none"/>
              </w:rPr>
              <w:t>档的基础上，承诺安装的双层土壤水分温度测定仪和自动灌溉系统数量超过最低要求的20%，</w:t>
            </w:r>
            <w:r>
              <w:rPr>
                <w:rFonts w:hint="eastAsia" w:ascii="宋体" w:hAnsi="宋体" w:cs="宋体"/>
                <w:bCs/>
                <w:color w:val="auto"/>
                <w:sz w:val="24"/>
                <w:szCs w:val="24"/>
                <w:highlight w:val="none"/>
                <w:u w:val="none"/>
                <w:lang w:val="en-US" w:eastAsia="zh-CN"/>
              </w:rPr>
              <w:t>并提供</w:t>
            </w:r>
            <w:r>
              <w:rPr>
                <w:rFonts w:hint="eastAsia" w:ascii="宋体" w:hAnsi="宋体" w:eastAsia="宋体" w:cs="宋体"/>
                <w:bCs/>
                <w:color w:val="auto"/>
                <w:sz w:val="24"/>
                <w:szCs w:val="24"/>
                <w:highlight w:val="none"/>
                <w:u w:val="none"/>
              </w:rPr>
              <w:t>他智慧化管理措施</w:t>
            </w:r>
            <w:r>
              <w:rPr>
                <w:rFonts w:hint="eastAsia" w:ascii="宋体" w:hAnsi="宋体" w:cs="宋体"/>
                <w:bCs/>
                <w:color w:val="auto"/>
                <w:sz w:val="24"/>
                <w:szCs w:val="24"/>
                <w:highlight w:val="none"/>
                <w:u w:val="none"/>
                <w:lang w:eastAsia="zh-CN"/>
              </w:rPr>
              <w:t>，如病虫害自动识别等。</w:t>
            </w:r>
          </w:p>
        </w:tc>
        <w:tc>
          <w:tcPr>
            <w:tcW w:w="1493" w:type="dxa"/>
            <w:tcBorders>
              <w:top w:val="single" w:color="auto" w:sz="4" w:space="0"/>
              <w:left w:val="single" w:color="auto" w:sz="4" w:space="0"/>
              <w:right w:val="single" w:color="auto" w:sz="4" w:space="0"/>
            </w:tcBorders>
            <w:vAlign w:val="center"/>
          </w:tcPr>
          <w:p w14:paraId="51AC174D">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0~</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分</w:t>
            </w:r>
          </w:p>
        </w:tc>
      </w:tr>
      <w:tr w14:paraId="0A60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45" w:type="dxa"/>
            <w:vMerge w:val="restart"/>
            <w:tcBorders>
              <w:left w:val="single" w:color="auto" w:sz="4" w:space="0"/>
              <w:right w:val="single" w:color="auto" w:sz="4" w:space="0"/>
            </w:tcBorders>
            <w:vAlign w:val="center"/>
          </w:tcPr>
          <w:p w14:paraId="2B8E360D">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rPr>
              <w:t>3</w:t>
            </w:r>
          </w:p>
        </w:tc>
        <w:tc>
          <w:tcPr>
            <w:tcW w:w="1409" w:type="dxa"/>
            <w:vMerge w:val="restart"/>
            <w:tcBorders>
              <w:top w:val="single" w:color="auto" w:sz="4" w:space="0"/>
              <w:left w:val="single" w:color="auto" w:sz="4" w:space="0"/>
              <w:right w:val="single" w:color="auto" w:sz="4" w:space="0"/>
            </w:tcBorders>
            <w:vAlign w:val="center"/>
          </w:tcPr>
          <w:p w14:paraId="457F8495">
            <w:pPr>
              <w:pStyle w:val="12"/>
              <w:keepNext w:val="0"/>
              <w:keepLines w:val="0"/>
              <w:pageBreakBefore w:val="0"/>
              <w:kinsoku/>
              <w:wordWrap/>
              <w:overflowPunct/>
              <w:topLinePunct w:val="0"/>
              <w:autoSpaceDE/>
              <w:autoSpaceDN/>
              <w:bidi w:val="0"/>
              <w:spacing w:line="360"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
                <w:bCs w:val="0"/>
                <w:color w:val="auto"/>
                <w:sz w:val="24"/>
                <w:szCs w:val="24"/>
                <w:highlight w:val="none"/>
                <w:lang w:val="en-US" w:eastAsia="zh-CN"/>
              </w:rPr>
              <w:t>商务</w:t>
            </w:r>
            <w:r>
              <w:rPr>
                <w:rFonts w:hint="eastAsia" w:ascii="宋体" w:hAnsi="宋体" w:eastAsia="宋体" w:cs="宋体"/>
                <w:b/>
                <w:bCs w:val="0"/>
                <w:color w:val="auto"/>
                <w:sz w:val="24"/>
                <w:szCs w:val="24"/>
                <w:highlight w:val="none"/>
              </w:rPr>
              <w:t>分</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满分</w:t>
            </w:r>
            <w:r>
              <w:rPr>
                <w:rFonts w:hint="eastAsia" w:hAnsi="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lang w:val="en-US" w:eastAsia="zh-CN"/>
              </w:rPr>
              <w:t>分</w:t>
            </w:r>
            <w:r>
              <w:rPr>
                <w:rFonts w:hint="eastAsia" w:ascii="宋体" w:hAnsi="宋体" w:eastAsia="宋体" w:cs="宋体"/>
                <w:b/>
                <w:bCs w:val="0"/>
                <w:color w:val="auto"/>
                <w:sz w:val="24"/>
                <w:szCs w:val="24"/>
                <w:highlight w:val="none"/>
                <w:lang w:eastAsia="zh-CN"/>
              </w:rPr>
              <w:t>）</w:t>
            </w:r>
          </w:p>
        </w:tc>
        <w:tc>
          <w:tcPr>
            <w:tcW w:w="6187" w:type="dxa"/>
            <w:gridSpan w:val="2"/>
            <w:tcBorders>
              <w:top w:val="single" w:color="auto" w:sz="4" w:space="0"/>
              <w:left w:val="single" w:color="auto" w:sz="4" w:space="0"/>
              <w:right w:val="single" w:color="auto" w:sz="4" w:space="0"/>
            </w:tcBorders>
            <w:vAlign w:val="top"/>
          </w:tcPr>
          <w:p w14:paraId="0979B21F">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kern w:val="0"/>
                <w:sz w:val="24"/>
                <w:szCs w:val="24"/>
                <w:highlight w:val="none"/>
                <w:lang w:eastAsia="zh-CN"/>
              </w:rPr>
            </w:pPr>
            <w:r>
              <w:rPr>
                <w:rFonts w:hint="eastAsia" w:ascii="宋体" w:hAnsi="宋体" w:eastAsia="宋体" w:cs="宋体"/>
                <w:b/>
                <w:bCs w:val="0"/>
                <w:color w:val="auto"/>
                <w:sz w:val="24"/>
                <w:szCs w:val="24"/>
                <w:highlight w:val="none"/>
              </w:rPr>
              <w:t>评审因素</w:t>
            </w:r>
          </w:p>
        </w:tc>
        <w:tc>
          <w:tcPr>
            <w:tcW w:w="1493" w:type="dxa"/>
            <w:tcBorders>
              <w:left w:val="single" w:color="auto" w:sz="4" w:space="0"/>
              <w:right w:val="single" w:color="auto" w:sz="4" w:space="0"/>
            </w:tcBorders>
            <w:vAlign w:val="top"/>
          </w:tcPr>
          <w:p w14:paraId="1405AE80">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4"/>
                <w:szCs w:val="24"/>
                <w:highlight w:val="none"/>
                <w:lang w:bidi="ar-SA"/>
              </w:rPr>
            </w:pPr>
            <w:r>
              <w:rPr>
                <w:rFonts w:hint="eastAsia" w:ascii="宋体" w:hAnsi="宋体" w:eastAsia="宋体" w:cs="宋体"/>
                <w:b/>
                <w:bCs w:val="0"/>
                <w:color w:val="auto"/>
                <w:sz w:val="24"/>
                <w:szCs w:val="24"/>
                <w:highlight w:val="none"/>
              </w:rPr>
              <w:t>分值</w:t>
            </w:r>
          </w:p>
        </w:tc>
      </w:tr>
      <w:tr w14:paraId="3EA9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45" w:type="dxa"/>
            <w:vMerge w:val="continue"/>
            <w:tcBorders>
              <w:left w:val="single" w:color="auto" w:sz="4" w:space="0"/>
              <w:right w:val="single" w:color="auto" w:sz="4" w:space="0"/>
            </w:tcBorders>
            <w:vAlign w:val="center"/>
          </w:tcPr>
          <w:p w14:paraId="46793093">
            <w:pPr>
              <w:pStyle w:val="12"/>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b w:val="0"/>
                <w:bCs w:val="0"/>
                <w:color w:val="auto"/>
                <w:kern w:val="0"/>
                <w:sz w:val="24"/>
                <w:szCs w:val="24"/>
                <w:highlight w:val="none"/>
                <w:lang w:eastAsia="zh-CN" w:bidi="ar"/>
              </w:rPr>
            </w:pPr>
          </w:p>
        </w:tc>
        <w:tc>
          <w:tcPr>
            <w:tcW w:w="1409" w:type="dxa"/>
            <w:vMerge w:val="continue"/>
            <w:tcBorders>
              <w:left w:val="single" w:color="auto" w:sz="4" w:space="0"/>
              <w:right w:val="single" w:color="auto" w:sz="4" w:space="0"/>
            </w:tcBorders>
            <w:vAlign w:val="center"/>
          </w:tcPr>
          <w:p w14:paraId="19E83878">
            <w:pPr>
              <w:pStyle w:val="12"/>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eastAsia="宋体" w:cs="宋体"/>
                <w:b w:val="0"/>
                <w:bCs w:val="0"/>
                <w:color w:val="auto"/>
                <w:kern w:val="0"/>
                <w:sz w:val="24"/>
                <w:szCs w:val="24"/>
                <w:highlight w:val="none"/>
                <w:lang w:eastAsia="zh-CN" w:bidi="ar"/>
              </w:rPr>
            </w:pPr>
          </w:p>
        </w:tc>
        <w:tc>
          <w:tcPr>
            <w:tcW w:w="1332" w:type="dxa"/>
            <w:tcBorders>
              <w:left w:val="single" w:color="auto" w:sz="4" w:space="0"/>
              <w:right w:val="single" w:color="auto" w:sz="4" w:space="0"/>
            </w:tcBorders>
            <w:vAlign w:val="center"/>
          </w:tcPr>
          <w:p w14:paraId="0B8440E6">
            <w:pPr>
              <w:keepNext w:val="0"/>
              <w:keepLines w:val="0"/>
              <w:pageBreakBefore w:val="0"/>
              <w:numPr>
                <w:ilvl w:val="0"/>
                <w:numId w:val="0"/>
              </w:numPr>
              <w:kinsoku/>
              <w:wordWrap/>
              <w:overflowPunct/>
              <w:topLinePunct w:val="0"/>
              <w:autoSpaceDE/>
              <w:autoSpaceDN/>
              <w:bidi w:val="0"/>
              <w:spacing w:line="360" w:lineRule="auto"/>
              <w:ind w:left="0" w:leftChars="0"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业绩分（</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分）</w:t>
            </w:r>
          </w:p>
        </w:tc>
        <w:tc>
          <w:tcPr>
            <w:tcW w:w="4855" w:type="dxa"/>
            <w:tcBorders>
              <w:left w:val="single" w:color="auto" w:sz="4" w:space="0"/>
              <w:right w:val="single" w:color="auto" w:sz="4" w:space="0"/>
            </w:tcBorders>
            <w:vAlign w:val="center"/>
          </w:tcPr>
          <w:p w14:paraId="383F31F4">
            <w:pPr>
              <w:keepNext w:val="0"/>
              <w:keepLines w:val="0"/>
              <w:pageBreakBefore w:val="0"/>
              <w:numPr>
                <w:ilvl w:val="0"/>
                <w:numId w:val="0"/>
              </w:numPr>
              <w:kinsoku/>
              <w:wordWrap/>
              <w:overflowPunct/>
              <w:topLinePunct w:val="0"/>
              <w:autoSpaceDE/>
              <w:autoSpaceDN/>
              <w:bidi w:val="0"/>
              <w:spacing w:line="360" w:lineRule="auto"/>
              <w:ind w:left="0" w:leftChars="0"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eastAsia="zh-CN"/>
              </w:rPr>
              <w:t>供应商自2022年</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lang w:eastAsia="zh-CN"/>
              </w:rPr>
              <w:t>月（含）以来取得</w:t>
            </w:r>
            <w:r>
              <w:rPr>
                <w:rFonts w:hint="eastAsia" w:ascii="宋体" w:hAnsi="宋体" w:eastAsia="宋体" w:cs="宋体"/>
                <w:bCs/>
                <w:color w:val="auto"/>
                <w:sz w:val="24"/>
                <w:szCs w:val="24"/>
                <w:highlight w:val="none"/>
                <w:lang w:val="en-US" w:eastAsia="zh-CN"/>
              </w:rPr>
              <w:t>同类</w:t>
            </w:r>
            <w:r>
              <w:rPr>
                <w:rFonts w:hint="eastAsia" w:ascii="宋体" w:hAnsi="宋体" w:cs="宋体"/>
                <w:bCs/>
                <w:color w:val="auto"/>
                <w:sz w:val="24"/>
                <w:szCs w:val="24"/>
                <w:highlight w:val="none"/>
                <w:lang w:val="en-US" w:eastAsia="zh-CN"/>
              </w:rPr>
              <w:t>（绿化养护项目）</w:t>
            </w:r>
            <w:r>
              <w:rPr>
                <w:rFonts w:hint="eastAsia" w:ascii="宋体" w:hAnsi="宋体" w:eastAsia="宋体" w:cs="宋体"/>
                <w:bCs/>
                <w:color w:val="auto"/>
                <w:sz w:val="24"/>
                <w:szCs w:val="24"/>
                <w:highlight w:val="none"/>
                <w:lang w:eastAsia="zh-CN"/>
              </w:rPr>
              <w:t>业绩，每个业绩得</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分，续签项目可按另一业绩计算得分，满分</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lang w:eastAsia="zh-CN"/>
              </w:rPr>
              <w:t>分。</w:t>
            </w:r>
          </w:p>
          <w:p w14:paraId="2E5E98A8">
            <w:pPr>
              <w:keepNext w:val="0"/>
              <w:keepLines w:val="0"/>
              <w:pageBreakBefore w:val="0"/>
              <w:numPr>
                <w:ilvl w:val="0"/>
                <w:numId w:val="0"/>
              </w:numPr>
              <w:kinsoku/>
              <w:wordWrap/>
              <w:overflowPunct/>
              <w:topLinePunct w:val="0"/>
              <w:autoSpaceDE/>
              <w:autoSpaceDN/>
              <w:bidi w:val="0"/>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eastAsia="zh-CN"/>
              </w:rPr>
              <w:t>（业绩须列表注明，所有业绩均需提供</w:t>
            </w:r>
            <w:r>
              <w:rPr>
                <w:rFonts w:hint="eastAsia" w:ascii="宋体" w:hAnsi="宋体" w:eastAsia="宋体" w:cs="宋体"/>
                <w:bCs/>
                <w:color w:val="auto"/>
                <w:sz w:val="24"/>
                <w:szCs w:val="24"/>
                <w:highlight w:val="none"/>
                <w:lang w:val="en-US" w:eastAsia="zh-CN"/>
              </w:rPr>
              <w:t>中标（成交）通知书或</w:t>
            </w:r>
            <w:r>
              <w:rPr>
                <w:rFonts w:hint="eastAsia" w:ascii="宋体" w:hAnsi="宋体" w:eastAsia="宋体" w:cs="宋体"/>
                <w:bCs/>
                <w:color w:val="auto"/>
                <w:sz w:val="24"/>
                <w:szCs w:val="24"/>
                <w:highlight w:val="none"/>
                <w:lang w:eastAsia="zh-CN"/>
              </w:rPr>
              <w:t>合同复印件，没有在表格中列明或无法提供相关证明材料的按无效处理。有效业绩证明材料时间以</w:t>
            </w:r>
            <w:r>
              <w:rPr>
                <w:rFonts w:hint="eastAsia" w:ascii="宋体" w:hAnsi="宋体" w:eastAsia="宋体" w:cs="宋体"/>
                <w:bCs/>
                <w:color w:val="auto"/>
                <w:sz w:val="24"/>
                <w:szCs w:val="24"/>
                <w:highlight w:val="none"/>
                <w:lang w:val="en-US" w:eastAsia="zh-CN"/>
              </w:rPr>
              <w:t>中标（成交）通知书或</w:t>
            </w:r>
            <w:r>
              <w:rPr>
                <w:rFonts w:hint="eastAsia" w:ascii="宋体" w:hAnsi="宋体" w:eastAsia="宋体" w:cs="宋体"/>
                <w:bCs/>
                <w:color w:val="auto"/>
                <w:sz w:val="24"/>
                <w:szCs w:val="24"/>
                <w:highlight w:val="none"/>
                <w:lang w:eastAsia="zh-CN"/>
              </w:rPr>
              <w:t>合同服务期为准。）</w:t>
            </w:r>
          </w:p>
        </w:tc>
        <w:tc>
          <w:tcPr>
            <w:tcW w:w="1493" w:type="dxa"/>
            <w:tcBorders>
              <w:top w:val="single" w:color="auto" w:sz="4" w:space="0"/>
              <w:left w:val="single" w:color="auto" w:sz="4" w:space="0"/>
              <w:bottom w:val="single" w:color="auto" w:sz="4" w:space="0"/>
              <w:right w:val="single" w:color="auto" w:sz="4" w:space="0"/>
            </w:tcBorders>
            <w:vAlign w:val="center"/>
          </w:tcPr>
          <w:p w14:paraId="1BE07990">
            <w:pPr>
              <w:pStyle w:val="12"/>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0~</w:t>
            </w:r>
            <w:r>
              <w:rPr>
                <w:rFonts w:hint="eastAsia"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分（客观分）</w:t>
            </w:r>
          </w:p>
        </w:tc>
      </w:tr>
    </w:tbl>
    <w:p w14:paraId="7CE1BB31">
      <w:pPr>
        <w:rPr>
          <w:rFonts w:hint="eastAsia"/>
          <w:color w:val="auto"/>
          <w:highlight w:val="none"/>
        </w:rPr>
        <w:sectPr>
          <w:pgSz w:w="11906" w:h="16838"/>
          <w:pgMar w:top="1440" w:right="1080" w:bottom="1440" w:left="1080" w:header="720" w:footer="720" w:gutter="0"/>
          <w:pgNumType w:fmt="decimal"/>
          <w:cols w:space="720" w:num="1"/>
          <w:docGrid w:type="lines" w:linePitch="331" w:charSpace="0"/>
        </w:sectPr>
      </w:pPr>
    </w:p>
    <w:p w14:paraId="7FC98D69">
      <w:pPr>
        <w:pStyle w:val="3"/>
        <w:pageBreakBefore w:val="0"/>
        <w:wordWrap w:val="0"/>
        <w:overflowPunct/>
        <w:topLinePunct w:val="0"/>
        <w:bidi w:val="0"/>
        <w:spacing w:before="0" w:after="0" w:line="360" w:lineRule="auto"/>
        <w:jc w:val="center"/>
        <w:rPr>
          <w:rFonts w:ascii="宋体" w:hAnsi="宋体" w:eastAsia="宋体" w:cs="宋体"/>
          <w:b w:val="0"/>
          <w:color w:val="auto"/>
          <w:sz w:val="30"/>
          <w:szCs w:val="30"/>
          <w:highlight w:val="none"/>
        </w:rPr>
      </w:pPr>
      <w:bookmarkStart w:id="266" w:name="_Toc19118"/>
      <w:r>
        <w:rPr>
          <w:rFonts w:hint="eastAsia" w:ascii="宋体" w:hAnsi="宋体" w:eastAsia="宋体" w:cs="宋体"/>
          <w:b w:val="0"/>
          <w:color w:val="auto"/>
          <w:sz w:val="30"/>
          <w:szCs w:val="30"/>
          <w:highlight w:val="none"/>
        </w:rPr>
        <w:t>第四节 中标候选人推荐原则</w:t>
      </w:r>
      <w:bookmarkEnd w:id="266"/>
    </w:p>
    <w:p w14:paraId="41812771">
      <w:pPr>
        <w:pStyle w:val="12"/>
        <w:pageBreakBefore w:val="0"/>
        <w:numPr>
          <w:ilvl w:val="0"/>
          <w:numId w:val="10"/>
        </w:numPr>
        <w:wordWrap w:val="0"/>
        <w:overflowPunct/>
        <w:topLinePunct w:val="0"/>
        <w:bidi w:val="0"/>
        <w:spacing w:line="360" w:lineRule="auto"/>
        <w:contextualSpacing/>
        <w:rPr>
          <w:rFonts w:hAnsi="宋体" w:cs="宋体"/>
          <w:b/>
          <w:bCs/>
          <w:color w:val="auto"/>
          <w:sz w:val="24"/>
          <w:szCs w:val="24"/>
          <w:highlight w:val="none"/>
        </w:rPr>
      </w:pPr>
      <w:r>
        <w:rPr>
          <w:rFonts w:hint="eastAsia" w:hAnsi="宋体" w:cs="宋体"/>
          <w:b/>
          <w:bCs/>
          <w:color w:val="auto"/>
          <w:sz w:val="24"/>
          <w:szCs w:val="24"/>
          <w:highlight w:val="none"/>
        </w:rPr>
        <w:t>综合评分法</w:t>
      </w:r>
    </w:p>
    <w:p w14:paraId="03BCE39F">
      <w:pPr>
        <w:pStyle w:val="12"/>
        <w:pageBreakBefore w:val="0"/>
        <w:wordWrap w:val="0"/>
        <w:overflowPunct/>
        <w:topLinePunct w:val="0"/>
        <w:bidi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A7D9756">
      <w:pPr>
        <w:pStyle w:val="3"/>
        <w:pageBreakBefore w:val="0"/>
        <w:wordWrap w:val="0"/>
        <w:overflowPunct/>
        <w:topLinePunct w:val="0"/>
        <w:bidi w:val="0"/>
        <w:spacing w:before="0" w:after="0" w:line="360" w:lineRule="auto"/>
        <w:ind w:firstLine="600" w:firstLineChars="200"/>
        <w:jc w:val="center"/>
        <w:rPr>
          <w:rFonts w:ascii="宋体" w:hAnsi="宋体" w:eastAsia="宋体" w:cs="宋体"/>
          <w:b w:val="0"/>
          <w:color w:val="auto"/>
          <w:sz w:val="30"/>
          <w:szCs w:val="30"/>
          <w:highlight w:val="none"/>
        </w:rPr>
      </w:pPr>
      <w:bookmarkStart w:id="267" w:name="_Toc9559"/>
      <w:r>
        <w:rPr>
          <w:rFonts w:hint="eastAsia" w:ascii="宋体" w:hAnsi="宋体" w:eastAsia="宋体" w:cs="宋体"/>
          <w:b w:val="0"/>
          <w:color w:val="auto"/>
          <w:sz w:val="30"/>
          <w:szCs w:val="30"/>
          <w:highlight w:val="none"/>
        </w:rPr>
        <w:t>第五节 评标报告</w:t>
      </w:r>
      <w:bookmarkEnd w:id="267"/>
    </w:p>
    <w:p w14:paraId="4F196DDF">
      <w:pPr>
        <w:pStyle w:val="29"/>
        <w:pageBreakBefore w:val="0"/>
        <w:wordWrap w:val="0"/>
        <w:overflowPunct/>
        <w:topLinePunct w:val="0"/>
        <w:bidi w:val="0"/>
        <w:spacing w:before="0" w:line="360" w:lineRule="auto"/>
        <w:ind w:firstLine="482"/>
        <w:rPr>
          <w:rFonts w:ascii="宋体" w:hAnsi="宋体" w:cs="宋体"/>
          <w:b/>
          <w:bCs/>
          <w:color w:val="auto"/>
          <w:szCs w:val="24"/>
          <w:highlight w:val="none"/>
        </w:rPr>
      </w:pPr>
      <w:r>
        <w:rPr>
          <w:rFonts w:hint="eastAsia" w:ascii="宋体" w:hAnsi="宋体" w:cs="宋体"/>
          <w:b/>
          <w:bCs/>
          <w:color w:val="auto"/>
          <w:szCs w:val="24"/>
          <w:highlight w:val="none"/>
        </w:rPr>
        <w:t>（一）评标报告与推荐中标候选人</w:t>
      </w:r>
    </w:p>
    <w:p w14:paraId="60055FFA">
      <w:pPr>
        <w:pStyle w:val="12"/>
        <w:pageBreakBefore w:val="0"/>
        <w:tabs>
          <w:tab w:val="left" w:pos="2472"/>
        </w:tabs>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评标委员会根据原始评标记录和评标结果编写评标报告，并通过电子交易平台向采购人、采购代理机构提交。</w:t>
      </w:r>
    </w:p>
    <w:p w14:paraId="1934FAB4">
      <w:pPr>
        <w:pageBreakBefore w:val="0"/>
        <w:widowControl/>
        <w:wordWrap w:val="0"/>
        <w:overflowPunct/>
        <w:topLinePunct w:val="0"/>
        <w:bidi w:val="0"/>
        <w:spacing w:line="360" w:lineRule="auto"/>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（二）评标争议事项处理</w:t>
      </w:r>
    </w:p>
    <w:p w14:paraId="23F03F98">
      <w:pPr>
        <w:pStyle w:val="12"/>
        <w:pageBreakBefore w:val="0"/>
        <w:tabs>
          <w:tab w:val="left" w:pos="2472"/>
        </w:tabs>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28A940C1">
      <w:pPr>
        <w:pageBreakBefore w:val="0"/>
        <w:widowControl/>
        <w:wordWrap w:val="0"/>
        <w:overflowPunct/>
        <w:topLinePunct w:val="0"/>
        <w:bidi w:val="0"/>
        <w:spacing w:line="360" w:lineRule="auto"/>
        <w:jc w:val="left"/>
        <w:rPr>
          <w:rFonts w:ascii="宋体" w:hAnsi="宋体" w:cs="宋体"/>
          <w:b/>
          <w:color w:val="auto"/>
          <w:sz w:val="36"/>
          <w:szCs w:val="20"/>
          <w:highlight w:val="none"/>
        </w:rPr>
        <w:sectPr>
          <w:pgSz w:w="11906" w:h="16838"/>
          <w:pgMar w:top="1440" w:right="1080" w:bottom="1440" w:left="1080" w:header="720" w:footer="720" w:gutter="0"/>
          <w:pgNumType w:fmt="decimal"/>
          <w:cols w:space="720" w:num="1"/>
          <w:docGrid w:type="lines" w:linePitch="331" w:charSpace="0"/>
        </w:sectPr>
      </w:pPr>
    </w:p>
    <w:p w14:paraId="5D43F068">
      <w:pPr>
        <w:pStyle w:val="12"/>
        <w:pageBreakBefore w:val="0"/>
        <w:tabs>
          <w:tab w:val="left" w:pos="2472"/>
        </w:tabs>
        <w:wordWrap w:val="0"/>
        <w:overflowPunct/>
        <w:topLinePunct w:val="0"/>
        <w:bidi w:val="0"/>
        <w:spacing w:line="360" w:lineRule="auto"/>
        <w:jc w:val="both"/>
        <w:rPr>
          <w:rFonts w:hAnsi="宋体" w:cs="宋体"/>
          <w:b/>
          <w:color w:val="auto"/>
          <w:sz w:val="36"/>
          <w:highlight w:val="none"/>
        </w:rPr>
      </w:pPr>
    </w:p>
    <w:p w14:paraId="034FF672">
      <w:pPr>
        <w:pStyle w:val="6"/>
        <w:pageBreakBefore w:val="0"/>
        <w:overflowPunct/>
        <w:topLinePunct w:val="0"/>
        <w:bidi w:val="0"/>
        <w:spacing w:line="360" w:lineRule="auto"/>
        <w:rPr>
          <w:rFonts w:hAnsi="宋体" w:cs="宋体"/>
          <w:b/>
          <w:color w:val="auto"/>
          <w:sz w:val="36"/>
          <w:highlight w:val="none"/>
        </w:rPr>
      </w:pPr>
    </w:p>
    <w:p w14:paraId="2EB1BC03">
      <w:pPr>
        <w:pageBreakBefore w:val="0"/>
        <w:overflowPunct/>
        <w:topLinePunct w:val="0"/>
        <w:bidi w:val="0"/>
        <w:spacing w:line="360" w:lineRule="auto"/>
        <w:rPr>
          <w:rFonts w:hAnsi="宋体" w:cs="宋体"/>
          <w:b/>
          <w:color w:val="auto"/>
          <w:sz w:val="36"/>
          <w:highlight w:val="none"/>
        </w:rPr>
      </w:pPr>
    </w:p>
    <w:p w14:paraId="3E73B691">
      <w:pPr>
        <w:pageBreakBefore w:val="0"/>
        <w:overflowPunct/>
        <w:topLinePunct w:val="0"/>
        <w:bidi w:val="0"/>
        <w:spacing w:line="360" w:lineRule="auto"/>
        <w:outlineLvl w:val="9"/>
        <w:rPr>
          <w:rFonts w:hAnsi="宋体" w:cs="宋体"/>
          <w:b/>
          <w:color w:val="auto"/>
          <w:sz w:val="36"/>
          <w:highlight w:val="none"/>
        </w:rPr>
      </w:pPr>
    </w:p>
    <w:p w14:paraId="26F56708">
      <w:pPr>
        <w:pageBreakBefore w:val="0"/>
        <w:overflowPunct/>
        <w:topLinePunct w:val="0"/>
        <w:bidi w:val="0"/>
        <w:spacing w:line="360" w:lineRule="auto"/>
        <w:rPr>
          <w:rFonts w:hAnsi="宋体" w:cs="宋体"/>
          <w:b/>
          <w:color w:val="auto"/>
          <w:sz w:val="36"/>
          <w:highlight w:val="none"/>
        </w:rPr>
      </w:pPr>
    </w:p>
    <w:p w14:paraId="50B38E59">
      <w:pPr>
        <w:pageBreakBefore w:val="0"/>
        <w:overflowPunct/>
        <w:topLinePunct w:val="0"/>
        <w:bidi w:val="0"/>
        <w:spacing w:line="360" w:lineRule="auto"/>
        <w:outlineLvl w:val="9"/>
        <w:rPr>
          <w:rFonts w:hAnsi="宋体" w:cs="宋体"/>
          <w:b/>
          <w:color w:val="auto"/>
          <w:sz w:val="36"/>
          <w:highlight w:val="none"/>
        </w:rPr>
      </w:pPr>
    </w:p>
    <w:p w14:paraId="7CE027B9">
      <w:pPr>
        <w:pageBreakBefore w:val="0"/>
        <w:overflowPunct/>
        <w:topLinePunct w:val="0"/>
        <w:bidi w:val="0"/>
        <w:spacing w:line="360" w:lineRule="auto"/>
        <w:rPr>
          <w:color w:val="auto"/>
          <w:highlight w:val="none"/>
        </w:rPr>
      </w:pPr>
    </w:p>
    <w:p w14:paraId="527F7CE3">
      <w:pPr>
        <w:pStyle w:val="12"/>
        <w:pageBreakBefore w:val="0"/>
        <w:tabs>
          <w:tab w:val="left" w:pos="2472"/>
        </w:tabs>
        <w:wordWrap w:val="0"/>
        <w:overflowPunct/>
        <w:topLinePunct w:val="0"/>
        <w:bidi w:val="0"/>
        <w:spacing w:line="360" w:lineRule="auto"/>
        <w:jc w:val="center"/>
        <w:outlineLvl w:val="0"/>
        <w:rPr>
          <w:rFonts w:ascii="宋体" w:hAnsi="宋体" w:cs="宋体"/>
          <w:bCs/>
          <w:color w:val="auto"/>
          <w:szCs w:val="20"/>
          <w:highlight w:val="none"/>
        </w:rPr>
        <w:sectPr>
          <w:pgSz w:w="11906" w:h="16838"/>
          <w:pgMar w:top="1440" w:right="1080" w:bottom="1440" w:left="1080" w:header="720" w:footer="720" w:gutter="0"/>
          <w:pgNumType w:fmt="decimal"/>
          <w:cols w:space="720" w:num="1"/>
          <w:docGrid w:type="lines" w:linePitch="331" w:charSpace="0"/>
        </w:sectPr>
      </w:pPr>
      <w:bookmarkStart w:id="268" w:name="_Toc27903"/>
      <w:r>
        <w:rPr>
          <w:rFonts w:hint="eastAsia" w:hAnsi="宋体" w:cs="宋体"/>
          <w:b/>
          <w:color w:val="auto"/>
          <w:sz w:val="36"/>
          <w:highlight w:val="none"/>
        </w:rPr>
        <w:t>第五章 拟签订的合同文本</w:t>
      </w:r>
      <w:bookmarkEnd w:id="268"/>
    </w:p>
    <w:p w14:paraId="06465EE3">
      <w:pPr>
        <w:pageBreakBefore w:val="0"/>
        <w:wordWrap w:val="0"/>
        <w:overflowPunct/>
        <w:topLinePunct w:val="0"/>
        <w:bidi w:val="0"/>
        <w:spacing w:line="360" w:lineRule="auto"/>
        <w:rPr>
          <w:rFonts w:ascii="宋体" w:hAnsi="宋体" w:cs="宋体"/>
          <w:color w:val="auto"/>
          <w:sz w:val="24"/>
          <w:highlight w:val="none"/>
          <w:u w:val="single"/>
        </w:rPr>
      </w:pPr>
      <w:r>
        <w:rPr>
          <w:rFonts w:hint="eastAsia" w:ascii="宋体" w:hAnsi="宋体" w:cs="宋体"/>
          <w:color w:val="auto"/>
          <w:sz w:val="24"/>
          <w:highlight w:val="none"/>
        </w:rPr>
        <w:t>广西政府采购云平台合同编号：</w:t>
      </w:r>
      <w:r>
        <w:rPr>
          <w:rFonts w:hint="eastAsia" w:ascii="宋体" w:hAnsi="宋体" w:cs="宋体"/>
          <w:color w:val="auto"/>
          <w:sz w:val="24"/>
          <w:highlight w:val="none"/>
          <w:u w:val="single"/>
        </w:rPr>
        <w:t xml:space="preserve">           </w:t>
      </w:r>
    </w:p>
    <w:p w14:paraId="034DD255">
      <w:pPr>
        <w:pageBreakBefore w:val="0"/>
        <w:wordWrap w:val="0"/>
        <w:overflowPunct/>
        <w:topLinePunct w:val="0"/>
        <w:bidi w:val="0"/>
        <w:spacing w:line="360" w:lineRule="auto"/>
        <w:jc w:val="center"/>
        <w:rPr>
          <w:rFonts w:ascii="宋体" w:hAnsi="宋体" w:cs="宋体"/>
          <w:b/>
          <w:bCs/>
          <w:color w:val="auto"/>
          <w:sz w:val="52"/>
          <w:highlight w:val="none"/>
        </w:rPr>
      </w:pPr>
    </w:p>
    <w:p w14:paraId="208E0BD7">
      <w:pPr>
        <w:pageBreakBefore w:val="0"/>
        <w:wordWrap w:val="0"/>
        <w:overflowPunct/>
        <w:topLinePunct w:val="0"/>
        <w:bidi w:val="0"/>
        <w:spacing w:line="360" w:lineRule="auto"/>
        <w:jc w:val="center"/>
        <w:rPr>
          <w:rFonts w:ascii="宋体" w:hAnsi="宋体" w:cs="宋体"/>
          <w:b/>
          <w:bCs/>
          <w:color w:val="auto"/>
          <w:sz w:val="52"/>
          <w:highlight w:val="none"/>
        </w:rPr>
      </w:pPr>
    </w:p>
    <w:p w14:paraId="39EB0FC9">
      <w:pPr>
        <w:pageBreakBefore w:val="0"/>
        <w:wordWrap w:val="0"/>
        <w:overflowPunct/>
        <w:topLinePunct w:val="0"/>
        <w:bidi w:val="0"/>
        <w:spacing w:line="360" w:lineRule="auto"/>
        <w:jc w:val="center"/>
        <w:rPr>
          <w:rFonts w:ascii="宋体" w:hAnsi="宋体" w:cs="宋体"/>
          <w:b/>
          <w:bCs/>
          <w:color w:val="auto"/>
          <w:sz w:val="52"/>
          <w:highlight w:val="none"/>
        </w:rPr>
      </w:pPr>
      <w:r>
        <w:rPr>
          <w:rFonts w:hint="eastAsia" w:ascii="宋体" w:hAnsi="宋体" w:cs="宋体"/>
          <w:b/>
          <w:bCs/>
          <w:color w:val="auto"/>
          <w:sz w:val="52"/>
          <w:highlight w:val="none"/>
        </w:rPr>
        <w:t>南 宁 市 政 府 采 购</w:t>
      </w:r>
    </w:p>
    <w:p w14:paraId="4DB85871">
      <w:pPr>
        <w:pageBreakBefore w:val="0"/>
        <w:wordWrap w:val="0"/>
        <w:overflowPunct/>
        <w:topLinePunct w:val="0"/>
        <w:bidi w:val="0"/>
        <w:spacing w:line="360" w:lineRule="auto"/>
        <w:ind w:firstLine="420" w:firstLineChars="200"/>
        <w:rPr>
          <w:rFonts w:ascii="宋体" w:hAnsi="宋体" w:cs="宋体"/>
          <w:color w:val="auto"/>
          <w:highlight w:val="none"/>
        </w:rPr>
      </w:pPr>
    </w:p>
    <w:p w14:paraId="55062153">
      <w:pPr>
        <w:pageBreakBefore w:val="0"/>
        <w:wordWrap w:val="0"/>
        <w:overflowPunct/>
        <w:topLinePunct w:val="0"/>
        <w:bidi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                                                 </w:t>
      </w:r>
    </w:p>
    <w:p w14:paraId="6ED883FF">
      <w:pPr>
        <w:pageBreakBefore w:val="0"/>
        <w:wordWrap w:val="0"/>
        <w:overflowPunct/>
        <w:topLinePunct w:val="0"/>
        <w:bidi w:val="0"/>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w:t>
      </w:r>
      <w:r>
        <w:rPr>
          <w:rFonts w:hint="eastAsia" w:ascii="宋体" w:hAnsi="宋体" w:cs="宋体"/>
          <w:b/>
          <w:bCs/>
          <w:color w:val="auto"/>
          <w:sz w:val="44"/>
          <w:highlight w:val="none"/>
        </w:rPr>
        <w:t>合同</w:t>
      </w:r>
    </w:p>
    <w:p w14:paraId="57716543">
      <w:pPr>
        <w:pageBreakBefore w:val="0"/>
        <w:wordWrap w:val="0"/>
        <w:overflowPunct/>
        <w:topLinePunct w:val="0"/>
        <w:bidi w:val="0"/>
        <w:spacing w:line="360" w:lineRule="auto"/>
        <w:ind w:firstLine="3507" w:firstLineChars="794"/>
        <w:rPr>
          <w:rFonts w:ascii="宋体" w:hAnsi="宋体" w:cs="宋体"/>
          <w:b/>
          <w:bCs/>
          <w:color w:val="auto"/>
          <w:sz w:val="44"/>
          <w:highlight w:val="none"/>
        </w:rPr>
      </w:pPr>
    </w:p>
    <w:p w14:paraId="26B2AC7E">
      <w:pPr>
        <w:pageBreakBefore w:val="0"/>
        <w:wordWrap w:val="0"/>
        <w:overflowPunct/>
        <w:topLinePunct w:val="0"/>
        <w:bidi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 xml:space="preserve">项目编号：   </w:t>
      </w:r>
    </w:p>
    <w:p w14:paraId="2CC1C512">
      <w:pPr>
        <w:pageBreakBefore w:val="0"/>
        <w:wordWrap w:val="0"/>
        <w:overflowPunct/>
        <w:topLinePunct w:val="0"/>
        <w:bidi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计划编号：</w:t>
      </w:r>
    </w:p>
    <w:p w14:paraId="60EEBCC4">
      <w:pPr>
        <w:pageBreakBefore w:val="0"/>
        <w:tabs>
          <w:tab w:val="left" w:pos="7200"/>
        </w:tabs>
        <w:wordWrap w:val="0"/>
        <w:overflowPunct/>
        <w:topLinePunct w:val="0"/>
        <w:bidi w:val="0"/>
        <w:spacing w:line="360" w:lineRule="auto"/>
        <w:ind w:firstLine="1995" w:firstLineChars="552"/>
        <w:rPr>
          <w:rFonts w:ascii="宋体" w:hAnsi="宋体" w:cs="宋体"/>
          <w:b/>
          <w:color w:val="auto"/>
          <w:sz w:val="36"/>
          <w:szCs w:val="36"/>
          <w:highlight w:val="none"/>
        </w:rPr>
      </w:pPr>
    </w:p>
    <w:p w14:paraId="1AA4F0DE">
      <w:pPr>
        <w:pStyle w:val="9"/>
        <w:pageBreakBefore w:val="0"/>
        <w:overflowPunct/>
        <w:topLinePunct w:val="0"/>
        <w:bidi w:val="0"/>
        <w:spacing w:after="0" w:line="360" w:lineRule="auto"/>
        <w:rPr>
          <w:color w:val="auto"/>
          <w:highlight w:val="none"/>
        </w:rPr>
      </w:pPr>
    </w:p>
    <w:p w14:paraId="487C6812">
      <w:pPr>
        <w:pageBreakBefore w:val="0"/>
        <w:tabs>
          <w:tab w:val="left" w:pos="7200"/>
        </w:tabs>
        <w:wordWrap w:val="0"/>
        <w:overflowPunct/>
        <w:topLinePunct w:val="0"/>
        <w:bidi w:val="0"/>
        <w:spacing w:line="360" w:lineRule="auto"/>
        <w:ind w:firstLine="1995" w:firstLineChars="552"/>
        <w:rPr>
          <w:rFonts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p>
    <w:p w14:paraId="1523B114">
      <w:pPr>
        <w:pageBreakBefore w:val="0"/>
        <w:tabs>
          <w:tab w:val="left" w:pos="7380"/>
        </w:tabs>
        <w:wordWrap w:val="0"/>
        <w:overflowPunct/>
        <w:topLinePunct w:val="0"/>
        <w:bidi w:val="0"/>
        <w:spacing w:line="360" w:lineRule="auto"/>
        <w:ind w:firstLine="1995" w:firstLineChars="552"/>
        <w:rPr>
          <w:rFonts w:ascii="宋体" w:hAnsi="宋体" w:cs="宋体"/>
          <w:b/>
          <w:bCs/>
          <w:color w:val="auto"/>
          <w:sz w:val="44"/>
          <w:highlight w:val="none"/>
        </w:rPr>
      </w:pPr>
      <w:r>
        <w:rPr>
          <w:rFonts w:hint="eastAsia" w:ascii="宋体" w:hAnsi="宋体" w:cs="宋体"/>
          <w:b/>
          <w:color w:val="auto"/>
          <w:sz w:val="36"/>
          <w:szCs w:val="36"/>
          <w:highlight w:val="none"/>
        </w:rPr>
        <w:t>中标供应商：</w:t>
      </w:r>
      <w:r>
        <w:rPr>
          <w:rFonts w:hint="eastAsia" w:ascii="宋体" w:hAnsi="宋体" w:cs="宋体"/>
          <w:b/>
          <w:color w:val="auto"/>
          <w:sz w:val="36"/>
          <w:szCs w:val="36"/>
          <w:highlight w:val="none"/>
          <w:u w:val="single"/>
        </w:rPr>
        <w:t xml:space="preserve">                   </w:t>
      </w:r>
    </w:p>
    <w:p w14:paraId="1A1E7345">
      <w:pPr>
        <w:pageBreakBefore w:val="0"/>
        <w:tabs>
          <w:tab w:val="left" w:pos="7380"/>
        </w:tabs>
        <w:wordWrap w:val="0"/>
        <w:overflowPunct/>
        <w:topLinePunct w:val="0"/>
        <w:bidi w:val="0"/>
        <w:spacing w:line="360" w:lineRule="auto"/>
        <w:rPr>
          <w:rFonts w:ascii="宋体" w:hAnsi="宋体" w:cs="宋体"/>
          <w:b/>
          <w:bCs/>
          <w:color w:val="auto"/>
          <w:sz w:val="44"/>
          <w:highlight w:val="none"/>
        </w:rPr>
      </w:pPr>
    </w:p>
    <w:p w14:paraId="1BD836BF">
      <w:pPr>
        <w:pageBreakBefore w:val="0"/>
        <w:wordWrap w:val="0"/>
        <w:overflowPunct/>
        <w:topLinePunct w:val="0"/>
        <w:bidi w:val="0"/>
        <w:spacing w:line="360" w:lineRule="auto"/>
        <w:rPr>
          <w:rFonts w:ascii="宋体" w:hAnsi="宋体" w:cs="宋体"/>
          <w:color w:val="auto"/>
          <w:sz w:val="24"/>
          <w:highlight w:val="none"/>
        </w:rPr>
      </w:pPr>
    </w:p>
    <w:p w14:paraId="7D3239B6">
      <w:pPr>
        <w:pageBreakBefore w:val="0"/>
        <w:wordWrap w:val="0"/>
        <w:overflowPunct/>
        <w:topLinePunct w:val="0"/>
        <w:bidi w:val="0"/>
        <w:spacing w:line="360" w:lineRule="auto"/>
        <w:ind w:firstLine="2280" w:firstLineChars="950"/>
        <w:rPr>
          <w:rFonts w:ascii="宋体" w:hAnsi="宋体" w:cs="宋体"/>
          <w:b/>
          <w:bCs/>
          <w:color w:val="auto"/>
          <w:sz w:val="4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F18F2C9">
      <w:pPr>
        <w:pageBreakBefore w:val="0"/>
        <w:wordWrap w:val="0"/>
        <w:overflowPunct/>
        <w:topLinePunct w:val="0"/>
        <w:bidi w:val="0"/>
        <w:snapToGrid w:val="0"/>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rPr>
        <w:br w:type="page"/>
      </w:r>
    </w:p>
    <w:p w14:paraId="0AACE9D2">
      <w:pPr>
        <w:pageBreakBefore w:val="0"/>
        <w:wordWrap w:val="0"/>
        <w:overflowPunct/>
        <w:topLinePunct w:val="0"/>
        <w:bidi w:val="0"/>
        <w:snapToGrid w:val="0"/>
        <w:spacing w:line="360" w:lineRule="auto"/>
        <w:jc w:val="center"/>
        <w:rPr>
          <w:rFonts w:ascii="宋体" w:hAnsi="宋体" w:cs="宋体"/>
          <w:b/>
          <w:bCs/>
          <w:color w:val="auto"/>
          <w:sz w:val="44"/>
          <w:highlight w:val="none"/>
        </w:rPr>
      </w:pPr>
    </w:p>
    <w:p w14:paraId="140BF1D5">
      <w:pPr>
        <w:pageBreakBefore w:val="0"/>
        <w:wordWrap w:val="0"/>
        <w:overflowPunct/>
        <w:topLinePunct w:val="0"/>
        <w:bidi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合同目录</w:t>
      </w:r>
    </w:p>
    <w:p w14:paraId="348C5E33">
      <w:pPr>
        <w:pageBreakBefore w:val="0"/>
        <w:wordWrap w:val="0"/>
        <w:overflowPunct/>
        <w:topLinePunct w:val="0"/>
        <w:bidi w:val="0"/>
        <w:snapToGrid w:val="0"/>
        <w:spacing w:line="360" w:lineRule="auto"/>
        <w:jc w:val="center"/>
        <w:rPr>
          <w:rFonts w:ascii="宋体" w:hAnsi="宋体" w:cs="宋体"/>
          <w:b/>
          <w:bCs/>
          <w:color w:val="auto"/>
          <w:sz w:val="44"/>
          <w:highlight w:val="none"/>
        </w:rPr>
      </w:pPr>
    </w:p>
    <w:p w14:paraId="08BCD924">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03F8563B">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77140EFA">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70896815">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194908D8">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4.1中标通知书 …………………………………………………………………（页码）</w:t>
      </w:r>
    </w:p>
    <w:p w14:paraId="60CE30CC">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4.2招标文件服务需求一览表 …………………………………………………（页码）</w:t>
      </w:r>
    </w:p>
    <w:p w14:paraId="057FC3C6">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01CACC06">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4.4投标函 ………………………………………………………………………（页码）</w:t>
      </w:r>
    </w:p>
    <w:p w14:paraId="4B04C863">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4.5报价表 ………………………………………………………………………（页码）</w:t>
      </w:r>
    </w:p>
    <w:p w14:paraId="118BC4CE">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4.6投标服务技术资料表 ………………………………………………………（页码）</w:t>
      </w:r>
    </w:p>
    <w:p w14:paraId="2B024E99">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74CEB357">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4.8中标供应商澄清函（如有请提供） ………………………………………（页码）</w:t>
      </w:r>
    </w:p>
    <w:p w14:paraId="74F4D0E3">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0FF448E7">
      <w:pPr>
        <w:pageBreakBefore w:val="0"/>
        <w:wordWrap w:val="0"/>
        <w:overflowPunct/>
        <w:topLinePunct w:val="0"/>
        <w:bidi w:val="0"/>
        <w:snapToGrid w:val="0"/>
        <w:spacing w:line="360" w:lineRule="auto"/>
        <w:rPr>
          <w:rFonts w:ascii="宋体" w:hAnsi="宋体" w:cs="宋体"/>
          <w:color w:val="auto"/>
          <w:kern w:val="0"/>
          <w:sz w:val="24"/>
          <w:highlight w:val="none"/>
        </w:rPr>
      </w:pPr>
    </w:p>
    <w:p w14:paraId="5409880B">
      <w:pPr>
        <w:pageBreakBefore w:val="0"/>
        <w:widowControl/>
        <w:wordWrap w:val="0"/>
        <w:overflowPunct/>
        <w:topLinePunct w:val="0"/>
        <w:bidi w:val="0"/>
        <w:spacing w:line="360" w:lineRule="auto"/>
        <w:jc w:val="left"/>
        <w:rPr>
          <w:rFonts w:ascii="宋体" w:hAnsi="宋体" w:cs="宋体"/>
          <w:color w:val="auto"/>
          <w:spacing w:val="-4"/>
          <w:sz w:val="18"/>
          <w:szCs w:val="20"/>
          <w:highlight w:val="none"/>
        </w:rPr>
        <w:sectPr>
          <w:pgSz w:w="11906" w:h="16838"/>
          <w:pgMar w:top="1440" w:right="1080" w:bottom="1440" w:left="1080" w:header="720" w:footer="720" w:gutter="0"/>
          <w:pgNumType w:fmt="decimal"/>
          <w:cols w:space="720" w:num="1"/>
          <w:docGrid w:type="lines" w:linePitch="331" w:charSpace="0"/>
        </w:sectPr>
      </w:pPr>
    </w:p>
    <w:p w14:paraId="672F348A">
      <w:pPr>
        <w:pStyle w:val="30"/>
        <w:pageBreakBefore w:val="0"/>
        <w:wordWrap w:val="0"/>
        <w:overflowPunct/>
        <w:topLinePunct w:val="0"/>
        <w:bidi w:val="0"/>
        <w:spacing w:after="0" w:line="360" w:lineRule="auto"/>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第一部分 合同书</w:t>
      </w:r>
    </w:p>
    <w:p w14:paraId="673B349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南宁市绿化工程管理中心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公开招标方式  </w:t>
      </w:r>
      <w:r>
        <w:rPr>
          <w:rFonts w:hint="eastAsia" w:ascii="宋体" w:hAnsi="宋体" w:cs="宋体"/>
          <w:color w:val="auto"/>
          <w:sz w:val="24"/>
          <w:highlight w:val="none"/>
        </w:rPr>
        <w:t>对</w:t>
      </w:r>
      <w:r>
        <w:rPr>
          <w:rFonts w:hint="eastAsia" w:ascii="宋体" w:hAnsi="宋体" w:cs="宋体"/>
          <w:color w:val="auto"/>
          <w:sz w:val="24"/>
          <w:highlight w:val="none"/>
          <w:u w:val="single"/>
          <w:lang w:eastAsia="zh-CN"/>
        </w:rPr>
        <w:t>2025年南宁市道路绿化养护服务政府采购项目</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评标委员会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rPr>
        <w:t>为该项目中标供应商。现于中标通知书发出之日起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日内（根据项目实际情况填写，不能超过25日），按照采购文件确定的事项签订本合同。</w:t>
      </w:r>
    </w:p>
    <w:p w14:paraId="006EE19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3691476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69" w:name="_Toc3029"/>
      <w:bookmarkStart w:id="270" w:name="_Toc24059"/>
      <w:bookmarkStart w:id="271" w:name="_Toc2232"/>
      <w:r>
        <w:rPr>
          <w:rFonts w:hint="eastAsia" w:ascii="宋体" w:hAnsi="宋体" w:cs="宋体"/>
          <w:b/>
          <w:color w:val="auto"/>
          <w:sz w:val="24"/>
          <w:highlight w:val="none"/>
        </w:rPr>
        <w:t>1.1 合同组成部分</w:t>
      </w:r>
      <w:bookmarkEnd w:id="269"/>
      <w:bookmarkEnd w:id="270"/>
      <w:bookmarkEnd w:id="271"/>
    </w:p>
    <w:p w14:paraId="73CDFBF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549F938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737382C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14:paraId="1908F63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投标文件及“投标报价”（含澄清或者说明文件）；</w:t>
      </w:r>
    </w:p>
    <w:p w14:paraId="526EF95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14:paraId="47F52C2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4C4114FB">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72" w:name="_Toc27126"/>
      <w:bookmarkStart w:id="273" w:name="_Toc21295"/>
      <w:bookmarkStart w:id="274" w:name="_Toc24300"/>
      <w:r>
        <w:rPr>
          <w:rFonts w:hint="eastAsia" w:ascii="宋体" w:hAnsi="宋体" w:cs="宋体"/>
          <w:b/>
          <w:color w:val="auto"/>
          <w:sz w:val="24"/>
          <w:highlight w:val="none"/>
        </w:rPr>
        <w:t>1.2 标的物</w:t>
      </w:r>
      <w:bookmarkEnd w:id="272"/>
      <w:bookmarkEnd w:id="273"/>
      <w:bookmarkEnd w:id="274"/>
    </w:p>
    <w:p w14:paraId="19A72BD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 标的物1信息</w:t>
      </w:r>
    </w:p>
    <w:p w14:paraId="76004880">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1.2.1.1名称：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B931C71">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1.2.1.2数量：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FE85ACF">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1.2.1.3质量：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539340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43B0846B">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75" w:name="_Toc21631"/>
      <w:bookmarkStart w:id="276" w:name="_Toc21551"/>
      <w:bookmarkStart w:id="277" w:name="_Toc23292"/>
      <w:r>
        <w:rPr>
          <w:rFonts w:hint="eastAsia" w:ascii="宋体" w:hAnsi="宋体" w:cs="宋体"/>
          <w:b/>
          <w:color w:val="auto"/>
          <w:sz w:val="24"/>
          <w:highlight w:val="none"/>
        </w:rPr>
        <w:t>1.3 价款</w:t>
      </w:r>
      <w:bookmarkEnd w:id="275"/>
      <w:bookmarkEnd w:id="276"/>
      <w:bookmarkEnd w:id="277"/>
    </w:p>
    <w:p w14:paraId="69AE7729">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，含税）。</w:t>
      </w:r>
      <w:bookmarkStart w:id="278" w:name="_Toc10340"/>
      <w:bookmarkStart w:id="279" w:name="_Toc1814"/>
      <w:bookmarkStart w:id="280" w:name="_Toc22618"/>
    </w:p>
    <w:p w14:paraId="61C355DB">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1.4 付款方式和发票开具方式</w:t>
      </w:r>
      <w:bookmarkEnd w:id="278"/>
      <w:bookmarkEnd w:id="279"/>
      <w:bookmarkEnd w:id="280"/>
    </w:p>
    <w:p w14:paraId="6EBF5FD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1.4.1 付款方式：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7735AE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 发票开具方式：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26CDF6B">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81" w:name="_Toc32071"/>
      <w:bookmarkStart w:id="282" w:name="_Toc19304"/>
      <w:bookmarkStart w:id="283" w:name="_Toc2846"/>
      <w:r>
        <w:rPr>
          <w:rFonts w:hint="eastAsia" w:ascii="宋体" w:hAnsi="宋体" w:cs="宋体"/>
          <w:b/>
          <w:color w:val="auto"/>
          <w:sz w:val="24"/>
          <w:highlight w:val="none"/>
        </w:rPr>
        <w:t>1.5 标的物交付期限、地点、方式</w:t>
      </w:r>
      <w:bookmarkEnd w:id="281"/>
      <w:bookmarkEnd w:id="282"/>
      <w:bookmarkEnd w:id="283"/>
      <w:r>
        <w:rPr>
          <w:rFonts w:hint="eastAsia" w:ascii="宋体" w:hAnsi="宋体" w:cs="宋体"/>
          <w:b/>
          <w:color w:val="auto"/>
          <w:sz w:val="24"/>
          <w:highlight w:val="none"/>
        </w:rPr>
        <w:t>和服务期限</w:t>
      </w:r>
    </w:p>
    <w:p w14:paraId="63873EAF">
      <w:pPr>
        <w:pageBreakBefore w:val="0"/>
        <w:wordWrap w:val="0"/>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1.5.1 </w:t>
      </w:r>
      <w:r>
        <w:rPr>
          <w:rFonts w:hint="eastAsia" w:ascii="宋体" w:hAnsi="宋体" w:eastAsia="宋体" w:cs="宋体"/>
          <w:bCs/>
          <w:color w:val="auto"/>
          <w:sz w:val="24"/>
          <w:szCs w:val="24"/>
          <w:highlight w:val="none"/>
        </w:rPr>
        <w:t>提交服务成果时间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476C66B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szCs w:val="24"/>
          <w:highlight w:val="none"/>
        </w:rPr>
        <w:t xml:space="preserve">1.5.2 </w:t>
      </w:r>
      <w:r>
        <w:rPr>
          <w:rFonts w:hint="eastAsia" w:ascii="宋体" w:hAnsi="宋体" w:eastAsia="宋体" w:cs="宋体"/>
          <w:bCs/>
          <w:color w:val="auto"/>
          <w:sz w:val="24"/>
          <w:szCs w:val="24"/>
          <w:highlight w:val="none"/>
        </w:rPr>
        <w:t>提交服务成果</w:t>
      </w:r>
      <w:r>
        <w:rPr>
          <w:rFonts w:hint="eastAsia" w:ascii="宋体" w:hAnsi="宋体" w:eastAsia="宋体" w:cs="宋体"/>
          <w:color w:val="auto"/>
          <w:sz w:val="24"/>
          <w:szCs w:val="24"/>
          <w:highlight w:val="none"/>
        </w:rPr>
        <w:t>地点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DCEA8F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B36AC1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1.5.4 服务及质保期限：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CC0F79B">
      <w:pPr>
        <w:pageBreakBefore w:val="0"/>
        <w:wordWrap w:val="0"/>
        <w:overflowPunct/>
        <w:topLinePunct w:val="0"/>
        <w:bidi w:val="0"/>
        <w:spacing w:line="360" w:lineRule="auto"/>
        <w:ind w:firstLine="480" w:firstLineChars="200"/>
        <w:rPr>
          <w:rFonts w:hint="eastAsia" w:ascii="宋体" w:hAnsi="宋体" w:eastAsia="宋体" w:cs="Times New Roman"/>
          <w:color w:val="auto"/>
          <w:sz w:val="24"/>
          <w:szCs w:val="24"/>
          <w:highlight w:val="none"/>
        </w:rPr>
      </w:pPr>
      <w:bookmarkStart w:id="284" w:name="_Toc21423"/>
      <w:bookmarkStart w:id="285" w:name="_Toc27250"/>
      <w:bookmarkStart w:id="286" w:name="_Toc19554"/>
      <w:r>
        <w:rPr>
          <w:rFonts w:hint="eastAsia" w:ascii="宋体" w:hAnsi="宋体" w:cs="Times New Roman"/>
          <w:color w:val="auto"/>
          <w:sz w:val="24"/>
          <w:szCs w:val="24"/>
          <w:highlight w:val="none"/>
          <w:lang w:val="en-US" w:eastAsia="zh-CN"/>
        </w:rPr>
        <w:t xml:space="preserve">1.5.5 </w:t>
      </w:r>
      <w:r>
        <w:rPr>
          <w:rFonts w:hint="eastAsia" w:ascii="宋体" w:hAnsi="宋体" w:eastAsia="宋体" w:cs="宋体"/>
          <w:color w:val="auto"/>
          <w:sz w:val="24"/>
          <w:szCs w:val="24"/>
          <w:highlight w:val="none"/>
          <w:lang w:eastAsia="zh-CN"/>
        </w:rPr>
        <w:t>合同延续年限、条件和方式：在合同期内未出现考核结果（含12次养护月度考核和4次养护效果考核）不合格的情况，且被评定为良好或以上等级至少10次，可提出续签合同申请，经</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同意可按照相关要求办理续签合同，最多可续签2次。</w:t>
      </w:r>
    </w:p>
    <w:p w14:paraId="28BE34FA">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1.6 违约责任</w:t>
      </w:r>
      <w:bookmarkEnd w:id="284"/>
      <w:bookmarkEnd w:id="285"/>
      <w:bookmarkEnd w:id="286"/>
    </w:p>
    <w:p w14:paraId="5879B308">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bookmarkStart w:id="287" w:name="_Toc15583"/>
      <w:bookmarkStart w:id="288" w:name="_Toc28375"/>
      <w:bookmarkStart w:id="289" w:name="_Toc16021"/>
      <w:r>
        <w:rPr>
          <w:rFonts w:hint="eastAsia" w:ascii="宋体" w:hAnsi="宋体" w:cs="宋体"/>
          <w:color w:val="auto"/>
          <w:sz w:val="24"/>
          <w:highlight w:val="none"/>
        </w:rPr>
        <w:t>1.6.1 除不可抗力或本合同另有约定外，如果乙方没有按照本合同约定的期限、地点和方式交付标的物，甲方可要求乙方支付违约金，违约金按每迟延交付标的物一日的合同总价的</w:t>
      </w:r>
      <w:r>
        <w:rPr>
          <w:rFonts w:hint="eastAsia" w:ascii="宋体" w:hAnsi="宋体" w:cs="宋体"/>
          <w:color w:val="auto"/>
          <w:sz w:val="24"/>
          <w:highlight w:val="none"/>
          <w:u w:val="single"/>
        </w:rPr>
        <w:t>万分之五</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20%</w:t>
      </w:r>
      <w:r>
        <w:rPr>
          <w:rFonts w:hint="eastAsia" w:ascii="宋体" w:hAnsi="宋体" w:cs="宋体"/>
          <w:color w:val="auto"/>
          <w:sz w:val="24"/>
          <w:highlight w:val="none"/>
        </w:rPr>
        <w:t>；迟延超过</w:t>
      </w:r>
      <w:r>
        <w:rPr>
          <w:rFonts w:hint="eastAsia" w:ascii="宋体" w:hAnsi="宋体" w:cs="宋体"/>
          <w:color w:val="auto"/>
          <w:sz w:val="24"/>
          <w:highlight w:val="none"/>
          <w:u w:val="single"/>
        </w:rPr>
        <w:t>10</w:t>
      </w:r>
      <w:r>
        <w:rPr>
          <w:rFonts w:hint="eastAsia" w:ascii="宋体" w:hAnsi="宋体" w:cs="宋体"/>
          <w:color w:val="auto"/>
          <w:sz w:val="24"/>
          <w:highlight w:val="none"/>
        </w:rPr>
        <w:t>日的，甲方有权书面通知乙方解除本合同；</w:t>
      </w:r>
    </w:p>
    <w:p w14:paraId="327BB1F0">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1.6.2 除不可抗力或本合同另有约定外，如果甲方没有按照本合同约定的付款方式付款，乙方可要求甲方支付违约金，违约金按每迟延付款一日的应付而未付款的</w:t>
      </w:r>
      <w:r>
        <w:rPr>
          <w:rFonts w:hint="eastAsia" w:ascii="宋体" w:hAnsi="宋体" w:cs="宋体"/>
          <w:color w:val="auto"/>
          <w:sz w:val="24"/>
          <w:highlight w:val="none"/>
          <w:u w:val="single"/>
        </w:rPr>
        <w:t>万分之五</w:t>
      </w:r>
      <w:r>
        <w:rPr>
          <w:rFonts w:hint="eastAsia" w:ascii="宋体" w:hAnsi="宋体" w:cs="宋体"/>
          <w:color w:val="auto"/>
          <w:sz w:val="24"/>
          <w:highlight w:val="none"/>
        </w:rPr>
        <w:t>计算，最高限额为欠付金额的</w:t>
      </w:r>
      <w:r>
        <w:rPr>
          <w:rFonts w:hint="eastAsia" w:ascii="宋体" w:hAnsi="宋体" w:cs="宋体"/>
          <w:color w:val="auto"/>
          <w:sz w:val="24"/>
          <w:highlight w:val="none"/>
          <w:u w:val="single"/>
        </w:rPr>
        <w:t>20%</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09F43CF5">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1.6.3 除不可抗力或本合同另有约定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7A9A77">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A225FEB">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1.6.5 除前述约定和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8372A49">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64C07B3">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1.6.7 没有甲方事先书面同意，乙方不得将由甲方提供的有关合同或任何合同条文、规格、计划或资料提供给与履行本合同无关的任何其他人。即使向履行本合同有关的人员提供，也应注意保密并限于履行合同的必需范围。乙方未履行保密义务给甲方造成损失的，应承担赔偿责任。本合同终止保密条款继续有效。</w:t>
      </w:r>
    </w:p>
    <w:p w14:paraId="529D2DF6">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1.6.8乙方提供的服务或标的物如侵犯了第三方合法权益而引发的任何纠纷或诉讼，均由乙方负责交涉并承担全部责任。如因此造成甲方损失，乙方应赔偿甲方全部经济损失。  </w:t>
      </w:r>
    </w:p>
    <w:p w14:paraId="3B82A5B5">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1.6.9乙方所提供的服务或标的物质量、数量、服务项目要求(技术参数需求)等不符合招投标文件、国家有关质量标准或本合同约定的，甲方有权拒绝接受。如因此造成逾期提供相关服务或标的物的，则按第1.6.1款约定承担逾期违约责任。因特殊情况甲方同意接收不符合招投标文件、国家有关质量标准或本合同约定的服务或标的物的，乙方除承担逾期违约责任外，还应向甲方支付合同总价</w:t>
      </w:r>
      <w:r>
        <w:rPr>
          <w:rFonts w:hint="eastAsia" w:ascii="宋体" w:hAnsi="宋体" w:cs="宋体"/>
          <w:color w:val="auto"/>
          <w:sz w:val="24"/>
          <w:highlight w:val="none"/>
          <w:u w:val="single"/>
        </w:rPr>
        <w:t xml:space="preserve"> 5% </w:t>
      </w:r>
      <w:r>
        <w:rPr>
          <w:rFonts w:hint="eastAsia" w:ascii="宋体" w:hAnsi="宋体" w:cs="宋体"/>
          <w:color w:val="auto"/>
          <w:sz w:val="24"/>
          <w:highlight w:val="none"/>
        </w:rPr>
        <w:t>违约金。因乙方无法提供符合招投标文件、国家有关质量标准或本合同约定的服务或标的物的，甲方有权解除合同。</w:t>
      </w:r>
    </w:p>
    <w:p w14:paraId="4622D529">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1.6.10 乙方有其它违约行为的，每发生一次按合同总价</w:t>
      </w:r>
      <w:r>
        <w:rPr>
          <w:rFonts w:hint="eastAsia" w:ascii="宋体" w:hAnsi="宋体" w:cs="宋体"/>
          <w:color w:val="auto"/>
          <w:sz w:val="24"/>
          <w:highlight w:val="none"/>
          <w:u w:val="single"/>
        </w:rPr>
        <w:t xml:space="preserve"> 5% </w:t>
      </w:r>
      <w:r>
        <w:rPr>
          <w:rFonts w:hint="eastAsia" w:ascii="宋体" w:hAnsi="宋体" w:cs="宋体"/>
          <w:color w:val="auto"/>
          <w:sz w:val="24"/>
          <w:highlight w:val="none"/>
        </w:rPr>
        <w:t>收取违约金。</w:t>
      </w:r>
    </w:p>
    <w:p w14:paraId="09E8AF90">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1.6.11 甲方根据本合同约定而解除合同的，有权不予支付任何款项给乙方，已经支付的，乙方应当自甲方要求返还之日起5日内予以返还，除合同有其他约定外，乙方还应支付合同总价</w:t>
      </w:r>
      <w:r>
        <w:rPr>
          <w:rFonts w:hint="eastAsia" w:ascii="宋体" w:hAnsi="宋体" w:cs="宋体"/>
          <w:color w:val="auto"/>
          <w:sz w:val="24"/>
          <w:highlight w:val="none"/>
          <w:u w:val="single"/>
        </w:rPr>
        <w:t>20%</w:t>
      </w:r>
      <w:r>
        <w:rPr>
          <w:rFonts w:hint="eastAsia" w:ascii="宋体" w:hAnsi="宋体" w:cs="宋体"/>
          <w:color w:val="auto"/>
          <w:sz w:val="24"/>
          <w:highlight w:val="none"/>
        </w:rPr>
        <w:t>的违约金。</w:t>
      </w:r>
    </w:p>
    <w:p w14:paraId="03882CD5">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1.6.12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14:paraId="2D34AC5D">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1.7 合同争议的解决</w:t>
      </w:r>
      <w:bookmarkEnd w:id="287"/>
      <w:bookmarkEnd w:id="288"/>
      <w:bookmarkEnd w:id="289"/>
    </w:p>
    <w:p w14:paraId="0176A58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种方式解决：</w:t>
      </w:r>
    </w:p>
    <w:p w14:paraId="408066E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color w:val="auto"/>
          <w:sz w:val="24"/>
          <w:highlight w:val="none"/>
          <w:u w:val="single"/>
        </w:rPr>
        <w:t>南宁市</w:t>
      </w:r>
      <w:r>
        <w:rPr>
          <w:rFonts w:hint="eastAsia" w:ascii="宋体" w:hAnsi="宋体" w:cs="宋体"/>
          <w:color w:val="auto"/>
          <w:sz w:val="24"/>
          <w:highlight w:val="none"/>
        </w:rPr>
        <w:t>仲裁委员会依申请仲裁时其现行有效的仲裁规则裁决；</w:t>
      </w:r>
    </w:p>
    <w:p w14:paraId="5E54932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color w:val="auto"/>
          <w:sz w:val="24"/>
          <w:highlight w:val="none"/>
          <w:u w:val="single"/>
        </w:rPr>
        <w:t xml:space="preserve">   甲方所在地    有管辖权的</w:t>
      </w:r>
      <w:r>
        <w:rPr>
          <w:rFonts w:hint="eastAsia" w:ascii="宋体" w:hAnsi="宋体" w:cs="宋体"/>
          <w:color w:val="auto"/>
          <w:sz w:val="24"/>
          <w:highlight w:val="none"/>
        </w:rPr>
        <w:t>人民法院起诉，甲方所在地为南宁市兴宁区。</w:t>
      </w:r>
    </w:p>
    <w:p w14:paraId="3A17069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90" w:name="_Toc15322"/>
      <w:bookmarkStart w:id="291" w:name="_Toc11173"/>
      <w:bookmarkStart w:id="292" w:name="_Toc7245"/>
      <w:r>
        <w:rPr>
          <w:rFonts w:hint="eastAsia" w:ascii="宋体" w:hAnsi="宋体" w:cs="宋体"/>
          <w:b/>
          <w:color w:val="auto"/>
          <w:sz w:val="24"/>
          <w:highlight w:val="none"/>
        </w:rPr>
        <w:t>1.8 合同生效</w:t>
      </w:r>
      <w:bookmarkEnd w:id="290"/>
      <w:bookmarkEnd w:id="291"/>
      <w:bookmarkEnd w:id="292"/>
    </w:p>
    <w:p w14:paraId="34AB0FD2">
      <w:pPr>
        <w:pageBreakBefore w:val="0"/>
        <w:wordWrap w:val="0"/>
        <w:overflowPunct/>
        <w:topLinePunct w:val="0"/>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本合同自双方法定代表人或授权代表签字并加盖双方单位有效公章时生效。</w:t>
      </w:r>
    </w:p>
    <w:p w14:paraId="2BF5BF2A">
      <w:pPr>
        <w:pageBreakBefore w:val="0"/>
        <w:wordWrap w:val="0"/>
        <w:overflowPunct/>
        <w:topLinePunct w:val="0"/>
        <w:bidi w:val="0"/>
        <w:spacing w:line="360" w:lineRule="auto"/>
        <w:ind w:firstLine="200"/>
        <w:rPr>
          <w:rFonts w:hint="eastAsia" w:ascii="宋体" w:hAnsi="宋体" w:cs="宋体"/>
          <w:color w:val="auto"/>
          <w:sz w:val="24"/>
          <w:highlight w:val="none"/>
          <w:lang w:val="zh-CN"/>
        </w:rPr>
      </w:pPr>
    </w:p>
    <w:p w14:paraId="6C6CC417">
      <w:pPr>
        <w:pageBreakBefore w:val="0"/>
        <w:wordWrap w:val="0"/>
        <w:overflowPunct/>
        <w:topLinePunct w:val="0"/>
        <w:bidi w:val="0"/>
        <w:spacing w:line="360" w:lineRule="auto"/>
        <w:ind w:firstLine="200"/>
        <w:rPr>
          <w:rFonts w:hint="eastAsia" w:ascii="宋体" w:hAnsi="宋体" w:cs="宋体"/>
          <w:color w:val="auto"/>
          <w:sz w:val="24"/>
          <w:highlight w:val="none"/>
          <w:lang w:val="zh-CN"/>
        </w:rPr>
      </w:pPr>
    </w:p>
    <w:p w14:paraId="25827246">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甲方：                                  乙方：</w:t>
      </w:r>
    </w:p>
    <w:p w14:paraId="6D0B9872">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7083B713">
      <w:pPr>
        <w:pageBreakBefore w:val="0"/>
        <w:wordWrap w:val="0"/>
        <w:overflowPunct/>
        <w:topLinePunct w:val="0"/>
        <w:bidi w:val="0"/>
        <w:spacing w:line="360" w:lineRule="auto"/>
        <w:ind w:firstLine="200"/>
        <w:rPr>
          <w:rFonts w:ascii="宋体" w:hAnsi="宋体" w:cs="宋体"/>
          <w:color w:val="auto"/>
          <w:sz w:val="24"/>
          <w:highlight w:val="none"/>
          <w:lang w:val="zh-CN"/>
        </w:rPr>
      </w:pPr>
    </w:p>
    <w:p w14:paraId="4C052D55">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18BCFD22">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0EEC85A2">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1DD81DEB">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1C43AB38">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207478F4">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569430A5">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77ADEEB0">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75161998">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1C866236">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0A711410">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67B91B4A">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03180934">
      <w:pPr>
        <w:pageBreakBefore w:val="0"/>
        <w:wordWrap w:val="0"/>
        <w:overflowPunct/>
        <w:topLinePunct w:val="0"/>
        <w:bidi w:val="0"/>
        <w:spacing w:line="360" w:lineRule="auto"/>
        <w:ind w:firstLine="200"/>
        <w:jc w:val="center"/>
        <w:rPr>
          <w:rFonts w:ascii="宋体" w:hAnsi="宋体" w:cs="宋体"/>
          <w:b/>
          <w:color w:val="auto"/>
          <w:sz w:val="28"/>
          <w:szCs w:val="28"/>
          <w:highlight w:val="none"/>
        </w:rPr>
      </w:pPr>
      <w:r>
        <w:rPr>
          <w:rFonts w:hint="eastAsia" w:ascii="宋体" w:hAnsi="宋体" w:cs="宋体"/>
          <w:b/>
          <w:color w:val="auto"/>
          <w:highlight w:val="none"/>
        </w:rPr>
        <w:br w:type="page"/>
      </w:r>
      <w:bookmarkStart w:id="293" w:name="_Toc331685783"/>
      <w:r>
        <w:rPr>
          <w:rFonts w:hint="eastAsia" w:ascii="宋体" w:hAnsi="宋体" w:cs="宋体"/>
          <w:b/>
          <w:color w:val="auto"/>
          <w:sz w:val="28"/>
          <w:szCs w:val="28"/>
          <w:highlight w:val="none"/>
        </w:rPr>
        <w:t>第二部分 合同一般条款</w:t>
      </w:r>
      <w:bookmarkEnd w:id="293"/>
    </w:p>
    <w:p w14:paraId="55D685CA">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294" w:name="_Ref467379225"/>
      <w:bookmarkStart w:id="295" w:name="_Toc259093669"/>
      <w:bookmarkStart w:id="296" w:name="_Ref467379214"/>
      <w:bookmarkStart w:id="297" w:name="_Toc279701240"/>
      <w:bookmarkStart w:id="298" w:name="_Toc16917"/>
      <w:bookmarkStart w:id="299" w:name="_Ref467378499"/>
      <w:bookmarkStart w:id="300" w:name="_Ref467379094"/>
      <w:bookmarkStart w:id="301" w:name="_Toc28763"/>
      <w:bookmarkStart w:id="302" w:name="_Toc19614"/>
      <w:bookmarkStart w:id="303" w:name="_Ref467378404"/>
      <w:bookmarkStart w:id="304" w:name="_Ref467379109"/>
      <w:bookmarkStart w:id="305" w:name="_Ref467379195"/>
      <w:bookmarkStart w:id="306" w:name="_Ref467379101"/>
      <w:bookmarkStart w:id="307" w:name="_Ref467378463"/>
      <w:bookmarkStart w:id="308" w:name="_Ref467379205"/>
      <w:bookmarkStart w:id="309" w:name="_Toc487900349"/>
      <w:r>
        <w:rPr>
          <w:rFonts w:hint="eastAsia" w:ascii="宋体" w:hAnsi="宋体" w:cs="宋体"/>
          <w:b/>
          <w:color w:val="auto"/>
          <w:sz w:val="24"/>
          <w:highlight w:val="none"/>
        </w:rPr>
        <w:t>2.1 定义</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6E144A8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25A0CD0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“合同”系指采购人和中标供应商签订的载明双方当事人所达成的协议，并包括所有的附件、附录和构成合同的其他文件。</w:t>
      </w:r>
    </w:p>
    <w:p w14:paraId="1BAEEB7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“合同价”系指根据合同约定，中标供应商在完全履行合同义务后，采购人应支付给中标供应商的价格。</w:t>
      </w:r>
    </w:p>
    <w:p w14:paraId="162281E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14:paraId="1ACC1C4C">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310" w:name="_Ref467378840"/>
      <w:r>
        <w:rPr>
          <w:rFonts w:hint="eastAsia" w:ascii="宋体" w:hAnsi="宋体" w:cs="宋体"/>
          <w:color w:val="auto"/>
          <w:sz w:val="24"/>
          <w:highlight w:val="none"/>
        </w:rPr>
        <w:t>2.1.4 “甲方”系指与中标供应商签署合同的采购人</w:t>
      </w:r>
      <w:bookmarkEnd w:id="310"/>
      <w:r>
        <w:rPr>
          <w:rFonts w:hint="eastAsia" w:ascii="宋体" w:hAnsi="宋体" w:cs="宋体"/>
          <w:color w:val="auto"/>
          <w:sz w:val="24"/>
          <w:highlight w:val="none"/>
        </w:rPr>
        <w:t>；采购人委托采购机构代表其与乙方签订合同的，采购人的授权委托书作为合同附件。</w:t>
      </w:r>
    </w:p>
    <w:p w14:paraId="31B37818">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311" w:name="_Ref467379400"/>
      <w:r>
        <w:rPr>
          <w:rFonts w:hint="eastAsia" w:ascii="宋体" w:hAnsi="宋体" w:cs="宋体"/>
          <w:color w:val="auto"/>
          <w:sz w:val="24"/>
          <w:highlight w:val="none"/>
        </w:rPr>
        <w:t>2.1.5 “乙方”系指根据合同约定交付标的物的</w:t>
      </w:r>
      <w:bookmarkEnd w:id="311"/>
      <w:r>
        <w:rPr>
          <w:rFonts w:hint="eastAsia" w:ascii="宋体" w:hAnsi="宋体" w:cs="宋体"/>
          <w:color w:val="auto"/>
          <w:sz w:val="24"/>
          <w:highlight w:val="none"/>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2B4E60">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312" w:name="_Ref467379436"/>
      <w:r>
        <w:rPr>
          <w:rFonts w:hint="eastAsia" w:ascii="宋体" w:hAnsi="宋体" w:cs="宋体"/>
          <w:color w:val="auto"/>
          <w:sz w:val="24"/>
          <w:highlight w:val="none"/>
        </w:rPr>
        <w:t>2.1.6 “现场”系指合同约定标的物将要运至或者实施或者安装的地点。</w:t>
      </w:r>
      <w:bookmarkEnd w:id="312"/>
    </w:p>
    <w:p w14:paraId="56ACB647">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13" w:name="_Toc13336"/>
      <w:bookmarkStart w:id="314" w:name="_Toc279701241"/>
      <w:bookmarkStart w:id="315" w:name="_Toc27635"/>
      <w:bookmarkStart w:id="316" w:name="_Toc32504"/>
      <w:bookmarkStart w:id="317" w:name="_Toc259093670"/>
      <w:bookmarkStart w:id="318" w:name="_Toc487900350"/>
      <w:r>
        <w:rPr>
          <w:rFonts w:hint="eastAsia" w:ascii="宋体" w:hAnsi="宋体" w:cs="宋体"/>
          <w:b/>
          <w:color w:val="auto"/>
          <w:sz w:val="24"/>
          <w:highlight w:val="none"/>
        </w:rPr>
        <w:t>2.2 技术规范</w:t>
      </w:r>
      <w:bookmarkEnd w:id="313"/>
      <w:bookmarkEnd w:id="314"/>
      <w:bookmarkEnd w:id="315"/>
      <w:bookmarkEnd w:id="316"/>
      <w:bookmarkEnd w:id="317"/>
      <w:bookmarkEnd w:id="318"/>
    </w:p>
    <w:p w14:paraId="59D9514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FFBA62F">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19" w:name="_Toc27853"/>
      <w:bookmarkStart w:id="320" w:name="_Toc31634"/>
      <w:bookmarkStart w:id="321" w:name="_Toc487900351"/>
      <w:bookmarkStart w:id="322" w:name="_Toc9829"/>
      <w:bookmarkStart w:id="323" w:name="_Toc279701242"/>
      <w:bookmarkStart w:id="324" w:name="_Toc259093671"/>
      <w:r>
        <w:rPr>
          <w:rFonts w:hint="eastAsia" w:ascii="宋体" w:hAnsi="宋体" w:cs="宋体"/>
          <w:b/>
          <w:color w:val="auto"/>
          <w:sz w:val="24"/>
          <w:highlight w:val="none"/>
        </w:rPr>
        <w:t>2.3 知识产权</w:t>
      </w:r>
      <w:bookmarkEnd w:id="319"/>
      <w:bookmarkEnd w:id="320"/>
      <w:bookmarkEnd w:id="321"/>
      <w:bookmarkEnd w:id="322"/>
      <w:bookmarkEnd w:id="323"/>
      <w:bookmarkEnd w:id="324"/>
    </w:p>
    <w:p w14:paraId="7D74DB8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7DA7533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2.3.2具有知识产权的计算机软件等标的物的知识产权归属，详见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A54851A">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25" w:name="_Ref467379542"/>
      <w:bookmarkStart w:id="326" w:name="_Toc279701245"/>
      <w:bookmarkStart w:id="327" w:name="_Toc259093674"/>
      <w:bookmarkStart w:id="328" w:name="_Ref467379536"/>
      <w:bookmarkStart w:id="329" w:name="_Ref467378541"/>
      <w:bookmarkStart w:id="330" w:name="_Toc487900354"/>
      <w:bookmarkStart w:id="331" w:name="_Ref467378591"/>
      <w:bookmarkStart w:id="332" w:name="_Ref467379527"/>
      <w:bookmarkStart w:id="333" w:name="_Toc30272"/>
      <w:bookmarkStart w:id="334" w:name="_Toc19074"/>
      <w:bookmarkStart w:id="335" w:name="_Toc26182"/>
      <w:r>
        <w:rPr>
          <w:rFonts w:hint="eastAsia" w:ascii="宋体" w:hAnsi="宋体" w:cs="宋体"/>
          <w:b/>
          <w:color w:val="auto"/>
          <w:sz w:val="24"/>
          <w:highlight w:val="none"/>
        </w:rPr>
        <w:t>2.</w:t>
      </w:r>
      <w:bookmarkEnd w:id="325"/>
      <w:bookmarkEnd w:id="326"/>
      <w:bookmarkEnd w:id="327"/>
      <w:bookmarkEnd w:id="328"/>
      <w:bookmarkEnd w:id="329"/>
      <w:bookmarkEnd w:id="330"/>
      <w:bookmarkEnd w:id="331"/>
      <w:bookmarkEnd w:id="332"/>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 xml:space="preserve"> 履约检查和问题反馈</w:t>
      </w:r>
      <w:bookmarkEnd w:id="333"/>
      <w:bookmarkEnd w:id="334"/>
      <w:bookmarkEnd w:id="335"/>
    </w:p>
    <w:p w14:paraId="63FC74FD">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336" w:name="_Ref467379657"/>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.1</w:t>
      </w:r>
      <w:bookmarkEnd w:id="336"/>
      <w:bookmarkStart w:id="337" w:name="_Toc186431854"/>
      <w:bookmarkStart w:id="338" w:name="_Ref467379793"/>
      <w:bookmarkStart w:id="339" w:name="_Ref467379807"/>
      <w:bookmarkStart w:id="340" w:name="_Toc259093676"/>
      <w:bookmarkStart w:id="341" w:name="_Toc487900357"/>
      <w:bookmarkStart w:id="342" w:name="_Toc279701247"/>
      <w:r>
        <w:rPr>
          <w:rFonts w:hint="eastAsia" w:ascii="宋体" w:hAnsi="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42F7EF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.2 合同履行期间，甲方有权将履行过程中出现的问题反馈给乙方，双方当事人应以书面形式约定需要完善和改进的内容</w:t>
      </w:r>
      <w:bookmarkEnd w:id="337"/>
      <w:bookmarkStart w:id="343" w:name="_Toc186431855"/>
      <w:r>
        <w:rPr>
          <w:rFonts w:hint="eastAsia" w:ascii="宋体" w:hAnsi="宋体" w:cs="宋体"/>
          <w:color w:val="auto"/>
          <w:sz w:val="24"/>
          <w:highlight w:val="none"/>
        </w:rPr>
        <w:t>。</w:t>
      </w:r>
    </w:p>
    <w:bookmarkEnd w:id="343"/>
    <w:p w14:paraId="309C5034">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44" w:name="_Toc28451"/>
      <w:bookmarkStart w:id="345" w:name="_Toc7836"/>
      <w:bookmarkStart w:id="346" w:name="_Toc19219"/>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 xml:space="preserve"> 结算方式和付款条件</w:t>
      </w:r>
      <w:bookmarkEnd w:id="338"/>
      <w:bookmarkEnd w:id="339"/>
      <w:bookmarkEnd w:id="340"/>
      <w:bookmarkEnd w:id="341"/>
      <w:bookmarkEnd w:id="342"/>
      <w:bookmarkEnd w:id="344"/>
      <w:bookmarkEnd w:id="345"/>
      <w:bookmarkEnd w:id="346"/>
    </w:p>
    <w:p w14:paraId="6170718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02B3B42">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47" w:name="_Ref467379863"/>
      <w:bookmarkStart w:id="348" w:name="_Toc279701248"/>
      <w:bookmarkStart w:id="349" w:name="_Toc259093677"/>
      <w:bookmarkStart w:id="350" w:name="_Ref467379852"/>
      <w:bookmarkStart w:id="351" w:name="_Toc487900358"/>
      <w:bookmarkStart w:id="352" w:name="_Ref467379923"/>
      <w:bookmarkStart w:id="353" w:name="_Toc16110"/>
      <w:bookmarkStart w:id="354" w:name="_Toc774"/>
      <w:bookmarkStart w:id="355" w:name="_Toc3225"/>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 xml:space="preserve"> 技术资料</w:t>
      </w:r>
      <w:bookmarkEnd w:id="347"/>
      <w:bookmarkEnd w:id="348"/>
      <w:bookmarkEnd w:id="349"/>
      <w:bookmarkEnd w:id="350"/>
      <w:bookmarkEnd w:id="351"/>
      <w:bookmarkEnd w:id="352"/>
      <w:r>
        <w:rPr>
          <w:rFonts w:hint="eastAsia" w:ascii="宋体" w:hAnsi="宋体" w:cs="宋体"/>
          <w:b/>
          <w:color w:val="auto"/>
          <w:sz w:val="24"/>
          <w:highlight w:val="none"/>
        </w:rPr>
        <w:t>和保密义务</w:t>
      </w:r>
      <w:bookmarkEnd w:id="353"/>
      <w:bookmarkEnd w:id="354"/>
      <w:bookmarkEnd w:id="355"/>
    </w:p>
    <w:p w14:paraId="60C4CF1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 乙方有权依据合同约定和项目需要，向甲方了解有关情况，调阅有关资料等，甲方应予积极配合；</w:t>
      </w:r>
    </w:p>
    <w:p w14:paraId="6001CDF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 乙方有义务妥善保管和保护由甲方提供的前款信息和资料等；</w:t>
      </w:r>
    </w:p>
    <w:p w14:paraId="77CD7AA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61F3FE3">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56" w:name="_Toc7860"/>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 xml:space="preserve"> 质量保证</w:t>
      </w:r>
      <w:bookmarkEnd w:id="356"/>
    </w:p>
    <w:p w14:paraId="68DB585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.1 乙方应建立和完善履行合同的内部质量保证体系，并提供相关内部规章制度给甲方，以便甲方进行监督检查；</w:t>
      </w:r>
    </w:p>
    <w:p w14:paraId="2A9F9C0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.2 乙方应保证履行合同的人员数量和素质、软件和硬件设备的配置、场地、环境和设施等满足全面履行合同的要求，并应接受甲方的监督检查。</w:t>
      </w:r>
    </w:p>
    <w:p w14:paraId="3D5B6983">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.3乙方应确保项目技术人员的数量和水平与投标文件一致。未经甲方书面同意，乙方不得擅自更换投标文件中注明的项目经理和技术负责人。否则</w:t>
      </w:r>
      <w:r>
        <w:rPr>
          <w:rFonts w:hint="eastAsia" w:ascii="宋体" w:hAnsi="宋体" w:cs="宋体"/>
          <w:color w:val="auto"/>
          <w:kern w:val="0"/>
          <w:sz w:val="24"/>
          <w:highlight w:val="none"/>
        </w:rPr>
        <w:t>甲方有权放弃或终止合同，并没收履约保证金。</w:t>
      </w:r>
    </w:p>
    <w:p w14:paraId="66BB3BE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.4因乙方原因造成甲方其他系统不能正常运行，酿成重大事故（工作日系统中断一天以上）的，乙方应承担全部法律责任，并赔偿经济损失，赔偿金额为项目总价的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（根据项目实际情况填写，一般为30%）。</w:t>
      </w:r>
    </w:p>
    <w:p w14:paraId="5B2E912E">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57" w:name="_Toc17244"/>
      <w:bookmarkStart w:id="358" w:name="_Toc279701252"/>
      <w:bookmarkStart w:id="359" w:name="_Toc259093681"/>
      <w:bookmarkStart w:id="360" w:name="_Toc487900362"/>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 xml:space="preserve"> 标的物的风险负担</w:t>
      </w:r>
      <w:bookmarkEnd w:id="357"/>
    </w:p>
    <w:p w14:paraId="553581F0">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b w:val="0"/>
          <w:i w:val="0"/>
          <w:color w:val="auto"/>
          <w:sz w:val="24"/>
          <w:highlight w:val="none"/>
          <w:u w:val="none"/>
        </w:rPr>
        <w:t>标的物在合同服务期限内毁损、灭失的风险负担详见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4EC2717">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61" w:name="_Toc14055"/>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9</w:t>
      </w:r>
      <w:r>
        <w:rPr>
          <w:rFonts w:hint="eastAsia" w:ascii="宋体" w:hAnsi="宋体" w:cs="宋体"/>
          <w:b/>
          <w:color w:val="auto"/>
          <w:sz w:val="24"/>
          <w:highlight w:val="none"/>
        </w:rPr>
        <w:t xml:space="preserve"> 延迟交货</w:t>
      </w:r>
      <w:bookmarkEnd w:id="358"/>
      <w:bookmarkEnd w:id="359"/>
      <w:bookmarkEnd w:id="360"/>
      <w:bookmarkEnd w:id="361"/>
      <w:r>
        <w:rPr>
          <w:rFonts w:hint="eastAsia" w:ascii="宋体" w:hAnsi="宋体" w:cs="宋体"/>
          <w:b/>
          <w:color w:val="auto"/>
          <w:sz w:val="24"/>
          <w:highlight w:val="none"/>
        </w:rPr>
        <w:t>/交付</w:t>
      </w:r>
    </w:p>
    <w:p w14:paraId="0F7B9A5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CD6E3A2">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62" w:name="_Toc7502"/>
      <w:bookmarkStart w:id="363" w:name="_Toc487900364"/>
      <w:bookmarkStart w:id="364" w:name="_Toc279701254"/>
      <w:bookmarkStart w:id="365" w:name="_Toc259093683"/>
      <w:bookmarkStart w:id="366" w:name="_Ref467378121"/>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 xml:space="preserve"> 合同变更</w:t>
      </w:r>
      <w:bookmarkEnd w:id="362"/>
    </w:p>
    <w:p w14:paraId="5F1274B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CC3075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.2 合同继续履行将损害国家利益和社会公共利益的，双方当事人应当以书面形式变更合同。有过错的一方应当承担赔偿责任，双方当事人都有过错的，各自承担相应的责任。</w:t>
      </w:r>
      <w:bookmarkStart w:id="367" w:name="_Toc487900369"/>
      <w:bookmarkStart w:id="368" w:name="_Toc279701259"/>
      <w:bookmarkStart w:id="369" w:name="_Toc259093688"/>
    </w:p>
    <w:p w14:paraId="56F044EB">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70" w:name="_Toc22955"/>
      <w:bookmarkStart w:id="371" w:name="_Toc15237"/>
      <w:bookmarkStart w:id="372" w:name="_Toc10366"/>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 xml:space="preserve"> 合同转让</w:t>
      </w:r>
      <w:bookmarkEnd w:id="367"/>
      <w:bookmarkEnd w:id="368"/>
      <w:bookmarkEnd w:id="369"/>
      <w:r>
        <w:rPr>
          <w:rFonts w:hint="eastAsia" w:ascii="宋体" w:hAnsi="宋体" w:cs="宋体"/>
          <w:b/>
          <w:color w:val="auto"/>
          <w:sz w:val="24"/>
          <w:highlight w:val="none"/>
        </w:rPr>
        <w:t>和分包</w:t>
      </w:r>
      <w:bookmarkEnd w:id="370"/>
      <w:bookmarkEnd w:id="371"/>
      <w:bookmarkEnd w:id="372"/>
    </w:p>
    <w:p w14:paraId="09B69FF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3508B69">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73" w:name="_Toc14066"/>
      <w:bookmarkStart w:id="374" w:name="_Toc16508"/>
      <w:bookmarkStart w:id="375" w:name="_Toc13566"/>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 xml:space="preserve"> 不可抗力</w:t>
      </w:r>
      <w:bookmarkEnd w:id="373"/>
      <w:bookmarkEnd w:id="374"/>
      <w:bookmarkEnd w:id="375"/>
    </w:p>
    <w:p w14:paraId="37EBB17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.1如果任何一方遭遇法律规定的不可抗力，致使合同履行受阻时，履行合同的期限应予延长，延长的期限应相当于不可抗力所影响的时间；</w:t>
      </w:r>
    </w:p>
    <w:p w14:paraId="71C5803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.2受不可抗力影响的一方在不可抗力发生后，应在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602B0D7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.3 因不可抗力致使不能实现合同目的的，当事人可以解除合同；</w:t>
      </w:r>
    </w:p>
    <w:p w14:paraId="75177F3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.4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58A5AA6C">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76" w:name="_Toc279701255"/>
      <w:bookmarkStart w:id="377" w:name="_Toc689"/>
      <w:bookmarkStart w:id="378" w:name="_Toc30676"/>
      <w:bookmarkStart w:id="379" w:name="_Toc487900365"/>
      <w:bookmarkStart w:id="380" w:name="_Toc259093684"/>
      <w:bookmarkStart w:id="381" w:name="_Toc6969"/>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 xml:space="preserve"> 税费</w:t>
      </w:r>
      <w:bookmarkEnd w:id="376"/>
      <w:bookmarkEnd w:id="377"/>
      <w:bookmarkEnd w:id="378"/>
      <w:bookmarkEnd w:id="379"/>
      <w:bookmarkEnd w:id="380"/>
      <w:bookmarkEnd w:id="381"/>
    </w:p>
    <w:p w14:paraId="6CC299C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与合同有关的一切税费，均按照中华人民共和国法律的相关规定执行。</w:t>
      </w:r>
    </w:p>
    <w:p w14:paraId="54FA57B6">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82" w:name="_Toc8298"/>
      <w:bookmarkStart w:id="383" w:name="_Toc16959"/>
      <w:bookmarkStart w:id="384" w:name="_Toc487900368"/>
      <w:bookmarkStart w:id="385" w:name="_Toc7102"/>
      <w:bookmarkStart w:id="386" w:name="_Toc279701258"/>
      <w:bookmarkStart w:id="387" w:name="_Toc259093687"/>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 xml:space="preserve"> 乙方破产</w:t>
      </w:r>
      <w:bookmarkEnd w:id="382"/>
      <w:bookmarkEnd w:id="383"/>
      <w:bookmarkEnd w:id="384"/>
      <w:bookmarkEnd w:id="385"/>
      <w:bookmarkEnd w:id="386"/>
      <w:bookmarkEnd w:id="387"/>
    </w:p>
    <w:p w14:paraId="01CEE6D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B68FE39">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88" w:name="_Toc6134"/>
      <w:bookmarkStart w:id="389" w:name="_Toc15387"/>
      <w:bookmarkStart w:id="390" w:name="_Toc29333"/>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 xml:space="preserve"> 合同中止、终止</w:t>
      </w:r>
      <w:bookmarkEnd w:id="388"/>
      <w:bookmarkEnd w:id="389"/>
      <w:bookmarkEnd w:id="390"/>
    </w:p>
    <w:p w14:paraId="1A3AB4A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.1 双方当事人不得擅自中止或者终止合同；</w:t>
      </w:r>
    </w:p>
    <w:p w14:paraId="5F834FD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79080BE4">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91" w:name="_Toc6596"/>
      <w:bookmarkStart w:id="392" w:name="_Toc1125"/>
      <w:bookmarkStart w:id="393" w:name="_Toc14563"/>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 xml:space="preserve"> 检验和验收</w:t>
      </w:r>
      <w:bookmarkEnd w:id="391"/>
      <w:bookmarkEnd w:id="392"/>
      <w:bookmarkEnd w:id="393"/>
    </w:p>
    <w:p w14:paraId="4672349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.1标的物交付前，乙方应对标的物的质量、数量等方面进行详细、全面的检验，并向甲方出具证明标的物符合合同约定的文件；标的物交付时，乙方在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58D4BCA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6E0EBF8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 检验和验收标准、程序等具体内容以及前述验收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363"/>
    <w:bookmarkEnd w:id="364"/>
    <w:bookmarkEnd w:id="365"/>
    <w:bookmarkEnd w:id="366"/>
    <w:p w14:paraId="19E1506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394" w:name="_Toc259093690"/>
      <w:bookmarkStart w:id="395" w:name="_Toc279701261"/>
      <w:bookmarkStart w:id="396" w:name="_Toc487900371"/>
      <w:bookmarkStart w:id="397" w:name="_Toc25182"/>
      <w:bookmarkStart w:id="398" w:name="_Toc11284"/>
      <w:bookmarkStart w:id="399" w:name="_Toc19604"/>
      <w:r>
        <w:rPr>
          <w:rFonts w:hint="eastAsia" w:ascii="宋体" w:hAnsi="宋体" w:cs="宋体"/>
          <w:b/>
          <w:color w:val="auto"/>
          <w:sz w:val="24"/>
          <w:highlight w:val="none"/>
        </w:rPr>
        <w:t>2.18 通知</w:t>
      </w:r>
      <w:bookmarkEnd w:id="394"/>
      <w:bookmarkEnd w:id="395"/>
      <w:bookmarkEnd w:id="396"/>
      <w:r>
        <w:rPr>
          <w:rFonts w:hint="eastAsia" w:ascii="宋体" w:hAnsi="宋体" w:cs="宋体"/>
          <w:b/>
          <w:color w:val="auto"/>
          <w:sz w:val="24"/>
          <w:highlight w:val="none"/>
        </w:rPr>
        <w:t>和送达</w:t>
      </w:r>
      <w:bookmarkEnd w:id="397"/>
      <w:bookmarkEnd w:id="398"/>
      <w:bookmarkEnd w:id="399"/>
    </w:p>
    <w:p w14:paraId="3055E3E9">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400" w:name="_Toc6698"/>
      <w:bookmarkStart w:id="401" w:name="_Toc3135"/>
      <w:bookmarkStart w:id="402" w:name="_Toc487900372"/>
      <w:bookmarkStart w:id="403" w:name="_Toc279701262"/>
      <w:bookmarkStart w:id="404" w:name="_Toc259093691"/>
      <w:r>
        <w:rPr>
          <w:rFonts w:hint="eastAsia" w:ascii="宋体" w:hAnsi="宋体" w:cs="宋体"/>
          <w:color w:val="auto"/>
          <w:sz w:val="24"/>
          <w:highlight w:val="none"/>
        </w:rPr>
        <w:t>2.18.1 任何一方因履行合同而以合同第一部分尾部所列明的</w:t>
      </w:r>
      <w:r>
        <w:rPr>
          <w:rFonts w:hint="eastAsia" w:ascii="宋体" w:hAnsi="宋体" w:cs="宋体"/>
          <w:color w:val="auto"/>
          <w:sz w:val="24"/>
          <w:highlight w:val="none"/>
          <w:u w:val="single"/>
        </w:rPr>
        <w:t>“约定送达地址”</w:t>
      </w:r>
      <w:r>
        <w:rPr>
          <w:rFonts w:hint="eastAsia" w:ascii="宋体" w:hAnsi="宋体" w:cs="宋体"/>
          <w:color w:val="auto"/>
          <w:sz w:val="24"/>
          <w:highlight w:val="none"/>
        </w:rPr>
        <w:t>为收件地址的所有通知、文件、材料，均视为已向对方当事人送达；任何一方变更上述送达方式或者地址的，应于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五</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个工作日（根据项目实际情况填写）内书面通知对方当事人，在对方当事人收到有关变更通知之前，变更前的约定送达方式或者地址仍视为有效。</w:t>
      </w:r>
      <w:bookmarkEnd w:id="400"/>
      <w:bookmarkEnd w:id="401"/>
    </w:p>
    <w:p w14:paraId="3145B4FF">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405" w:name="_Toc23128"/>
      <w:bookmarkStart w:id="406" w:name="_Toc23294"/>
      <w:r>
        <w:rPr>
          <w:rFonts w:hint="eastAsia" w:ascii="宋体" w:hAnsi="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405"/>
      <w:bookmarkEnd w:id="406"/>
    </w:p>
    <w:p w14:paraId="5AEBF96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407" w:name="_Toc18540"/>
      <w:bookmarkStart w:id="408" w:name="_Toc4355"/>
      <w:bookmarkStart w:id="409" w:name="_Toc30599"/>
      <w:r>
        <w:rPr>
          <w:rFonts w:hint="eastAsia" w:ascii="宋体" w:hAnsi="宋体" w:cs="宋体"/>
          <w:b/>
          <w:color w:val="auto"/>
          <w:sz w:val="24"/>
          <w:highlight w:val="none"/>
        </w:rPr>
        <w:t>2.19 计量单位</w:t>
      </w:r>
      <w:bookmarkEnd w:id="402"/>
      <w:bookmarkEnd w:id="403"/>
      <w:bookmarkEnd w:id="404"/>
      <w:bookmarkEnd w:id="407"/>
      <w:bookmarkEnd w:id="408"/>
      <w:bookmarkEnd w:id="409"/>
    </w:p>
    <w:p w14:paraId="61C1969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7E6355C9">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410" w:name="_Toc259093692"/>
      <w:bookmarkStart w:id="411" w:name="_Toc10330"/>
      <w:bookmarkStart w:id="412" w:name="_Toc487900373"/>
      <w:bookmarkStart w:id="413" w:name="_Toc279701263"/>
      <w:bookmarkStart w:id="414" w:name="_Toc12773"/>
      <w:bookmarkStart w:id="415" w:name="_Toc18567"/>
      <w:r>
        <w:rPr>
          <w:rFonts w:hint="eastAsia" w:ascii="宋体" w:hAnsi="宋体" w:cs="宋体"/>
          <w:b/>
          <w:color w:val="auto"/>
          <w:sz w:val="24"/>
          <w:highlight w:val="none"/>
        </w:rPr>
        <w:t>2.20 合同使用的文字和适用的法律</w:t>
      </w:r>
      <w:bookmarkEnd w:id="410"/>
      <w:bookmarkEnd w:id="411"/>
      <w:bookmarkEnd w:id="412"/>
      <w:bookmarkEnd w:id="413"/>
      <w:bookmarkEnd w:id="414"/>
      <w:bookmarkEnd w:id="415"/>
    </w:p>
    <w:p w14:paraId="1B9E620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2.20.1 合同使用汉语书就、变更和解释；</w:t>
      </w:r>
    </w:p>
    <w:p w14:paraId="5499C67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2.20.2 合同适用中华人民共和国法律。</w:t>
      </w:r>
    </w:p>
    <w:p w14:paraId="37C05A24">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416" w:name="_Toc3148"/>
      <w:bookmarkStart w:id="417" w:name="_Toc16673"/>
      <w:bookmarkStart w:id="418" w:name="_Toc12004"/>
      <w:bookmarkStart w:id="419" w:name="_Toc259093693"/>
      <w:bookmarkStart w:id="420" w:name="_Toc279701264"/>
      <w:bookmarkStart w:id="421" w:name="_Toc487900374"/>
      <w:r>
        <w:rPr>
          <w:rFonts w:hint="eastAsia" w:ascii="宋体" w:hAnsi="宋体" w:cs="宋体"/>
          <w:b/>
          <w:color w:val="auto"/>
          <w:sz w:val="24"/>
          <w:highlight w:val="none"/>
        </w:rPr>
        <w:t>2.21 履约保证金</w:t>
      </w:r>
      <w:bookmarkEnd w:id="416"/>
      <w:bookmarkEnd w:id="417"/>
      <w:bookmarkEnd w:id="418"/>
      <w:bookmarkEnd w:id="419"/>
      <w:bookmarkEnd w:id="420"/>
    </w:p>
    <w:p w14:paraId="1813E145">
      <w:pPr>
        <w:pageBreakBefore w:val="0"/>
        <w:wordWrap w:val="0"/>
        <w:overflowPunct/>
        <w:topLinePunct w:val="0"/>
        <w:bidi w:val="0"/>
        <w:spacing w:line="360" w:lineRule="auto"/>
        <w:ind w:firstLine="480" w:firstLineChars="200"/>
        <w:rPr>
          <w:rFonts w:hint="eastAsia" w:ascii="宋体" w:hAnsi="宋体" w:eastAsia="宋体" w:cs="宋体"/>
          <w:snapToGrid w:val="0"/>
          <w:color w:val="auto"/>
          <w:kern w:val="0"/>
          <w:sz w:val="24"/>
          <w:highlight w:val="none"/>
          <w:lang w:eastAsia="zh-CN"/>
        </w:rPr>
      </w:pPr>
      <w:r>
        <w:rPr>
          <w:rFonts w:hint="eastAsia" w:ascii="宋体" w:hAnsi="宋体" w:cs="宋体"/>
          <w:color w:val="auto"/>
          <w:sz w:val="24"/>
          <w:highlight w:val="none"/>
        </w:rPr>
        <w:t>本项目不收取履约保证金</w:t>
      </w:r>
      <w:r>
        <w:rPr>
          <w:rFonts w:hint="eastAsia" w:ascii="宋体" w:hAnsi="宋体" w:cs="宋体"/>
          <w:color w:val="auto"/>
          <w:sz w:val="24"/>
          <w:highlight w:val="none"/>
          <w:lang w:eastAsia="zh-CN"/>
        </w:rPr>
        <w:t>。</w:t>
      </w:r>
    </w:p>
    <w:p w14:paraId="32134DE0">
      <w:pPr>
        <w:pageBreakBefore w:val="0"/>
        <w:wordWrap w:val="0"/>
        <w:overflowPunct/>
        <w:topLinePunct w:val="0"/>
        <w:bidi w:val="0"/>
        <w:spacing w:line="360" w:lineRule="auto"/>
        <w:ind w:firstLine="482" w:firstLineChars="200"/>
        <w:rPr>
          <w:rFonts w:ascii="宋体" w:hAnsi="宋体" w:cs="宋体"/>
          <w:color w:val="auto"/>
          <w:kern w:val="0"/>
          <w:sz w:val="24"/>
          <w:highlight w:val="none"/>
          <w:lang w:val="zh-CN"/>
        </w:rPr>
      </w:pPr>
      <w:r>
        <w:rPr>
          <w:rFonts w:hint="eastAsia" w:ascii="宋体" w:hAnsi="宋体" w:cs="宋体"/>
          <w:b/>
          <w:color w:val="auto"/>
          <w:sz w:val="24"/>
          <w:highlight w:val="none"/>
        </w:rPr>
        <w:t xml:space="preserve">2.22 </w:t>
      </w:r>
      <w:r>
        <w:rPr>
          <w:rFonts w:hint="eastAsia" w:ascii="宋体" w:hAnsi="宋体" w:cs="宋体"/>
          <w:b/>
          <w:color w:val="auto"/>
          <w:sz w:val="24"/>
          <w:highlight w:val="none"/>
          <w:lang w:eastAsia="zh-CN"/>
        </w:rPr>
        <w:t>小微</w:t>
      </w:r>
      <w:r>
        <w:rPr>
          <w:rFonts w:hint="eastAsia" w:ascii="宋体" w:hAnsi="宋体" w:cs="宋体"/>
          <w:b/>
          <w:color w:val="auto"/>
          <w:sz w:val="24"/>
          <w:highlight w:val="none"/>
        </w:rPr>
        <w:t>企业政策</w:t>
      </w:r>
    </w:p>
    <w:p w14:paraId="473A059A">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2.22.1本合同（□是  □否）为</w:t>
      </w:r>
      <w:r>
        <w:rPr>
          <w:rFonts w:hint="eastAsia" w:ascii="宋体" w:hAnsi="宋体" w:cs="宋体"/>
          <w:color w:val="auto"/>
          <w:kern w:val="0"/>
          <w:sz w:val="24"/>
          <w:highlight w:val="none"/>
          <w:lang w:val="zh-CN" w:eastAsia="zh-CN"/>
        </w:rPr>
        <w:t>小微</w:t>
      </w:r>
      <w:r>
        <w:rPr>
          <w:rFonts w:hint="eastAsia" w:ascii="宋体" w:hAnsi="宋体" w:cs="宋体"/>
          <w:color w:val="auto"/>
          <w:kern w:val="0"/>
          <w:sz w:val="24"/>
          <w:highlight w:val="none"/>
          <w:lang w:val="zh-CN"/>
        </w:rPr>
        <w:t>企业“政采贷”可融资合同，关于中小企业信用融资事项见采购文件“投标人须知正文”。</w:t>
      </w:r>
    </w:p>
    <w:p w14:paraId="70CBF64A">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2.22.2本合同（□是  □否）为</w:t>
      </w:r>
      <w:r>
        <w:rPr>
          <w:rFonts w:hint="eastAsia" w:ascii="宋体" w:hAnsi="宋体" w:cs="宋体"/>
          <w:color w:val="auto"/>
          <w:kern w:val="0"/>
          <w:sz w:val="24"/>
          <w:highlight w:val="none"/>
          <w:lang w:val="zh-CN" w:eastAsia="zh-CN"/>
        </w:rPr>
        <w:t>小微</w:t>
      </w:r>
      <w:r>
        <w:rPr>
          <w:rFonts w:hint="eastAsia" w:ascii="宋体" w:hAnsi="宋体" w:cs="宋体"/>
          <w:color w:val="auto"/>
          <w:kern w:val="0"/>
          <w:sz w:val="24"/>
          <w:highlight w:val="none"/>
          <w:lang w:val="zh-CN"/>
        </w:rPr>
        <w:t>企业预留合同。</w:t>
      </w:r>
    </w:p>
    <w:bookmarkEnd w:id="421"/>
    <w:p w14:paraId="14083623">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422" w:name="_Toc19890"/>
      <w:bookmarkStart w:id="423" w:name="_Toc6885"/>
      <w:bookmarkStart w:id="424" w:name="_Toc14001"/>
      <w:r>
        <w:rPr>
          <w:rFonts w:hint="eastAsia" w:ascii="宋体" w:hAnsi="宋体" w:cs="宋体"/>
          <w:b/>
          <w:color w:val="auto"/>
          <w:sz w:val="24"/>
          <w:highlight w:val="none"/>
        </w:rPr>
        <w:t>2.23 合同份数</w:t>
      </w:r>
      <w:bookmarkEnd w:id="422"/>
      <w:bookmarkEnd w:id="423"/>
      <w:bookmarkEnd w:id="424"/>
    </w:p>
    <w:p w14:paraId="21DFC09F">
      <w:pPr>
        <w:pageBreakBefore w:val="0"/>
        <w:wordWrap w:val="0"/>
        <w:overflowPunct/>
        <w:topLinePunct w:val="0"/>
        <w:bidi w:val="0"/>
        <w:spacing w:line="360" w:lineRule="auto"/>
        <w:jc w:val="center"/>
        <w:rPr>
          <w:rFonts w:ascii="宋体" w:hAnsi="宋体" w:cs="宋体"/>
          <w:b/>
          <w:color w:val="auto"/>
          <w:sz w:val="28"/>
          <w:szCs w:val="28"/>
          <w:highlight w:val="none"/>
        </w:rPr>
      </w:pPr>
      <w:r>
        <w:rPr>
          <w:rFonts w:hint="eastAsia" w:ascii="宋体" w:hAnsi="宋体"/>
          <w:color w:val="auto"/>
          <w:sz w:val="24"/>
          <w:highlight w:val="none"/>
        </w:rPr>
        <w:t>本合同壹式</w:t>
      </w:r>
      <w:r>
        <w:rPr>
          <w:rFonts w:hint="eastAsia" w:ascii="宋体" w:hAnsi="宋体"/>
          <w:color w:val="auto"/>
          <w:sz w:val="24"/>
          <w:highlight w:val="none"/>
          <w:u w:val="single"/>
        </w:rPr>
        <w:t xml:space="preserve">   </w:t>
      </w:r>
      <w:r>
        <w:rPr>
          <w:rFonts w:hint="eastAsia" w:ascii="宋体" w:hAnsi="宋体"/>
          <w:color w:val="auto"/>
          <w:sz w:val="24"/>
          <w:highlight w:val="none"/>
        </w:rPr>
        <w:t>份，甲方执</w:t>
      </w:r>
      <w:r>
        <w:rPr>
          <w:rFonts w:hint="eastAsia" w:ascii="宋体" w:hAnsi="宋体"/>
          <w:color w:val="auto"/>
          <w:sz w:val="24"/>
          <w:highlight w:val="none"/>
          <w:u w:val="single"/>
        </w:rPr>
        <w:t xml:space="preserve">   </w:t>
      </w:r>
      <w:r>
        <w:rPr>
          <w:rFonts w:hint="eastAsia" w:ascii="宋体" w:hAnsi="宋体"/>
          <w:color w:val="auto"/>
          <w:sz w:val="24"/>
          <w:highlight w:val="none"/>
        </w:rPr>
        <w:t>份，乙方执</w:t>
      </w:r>
      <w:r>
        <w:rPr>
          <w:rFonts w:hint="eastAsia" w:ascii="宋体" w:hAnsi="宋体"/>
          <w:color w:val="auto"/>
          <w:sz w:val="24"/>
          <w:highlight w:val="none"/>
          <w:u w:val="single"/>
        </w:rPr>
        <w:t xml:space="preserve">   </w:t>
      </w:r>
      <w:r>
        <w:rPr>
          <w:rFonts w:hint="eastAsia" w:ascii="宋体" w:hAnsi="宋体"/>
          <w:color w:val="auto"/>
          <w:sz w:val="24"/>
          <w:highlight w:val="none"/>
        </w:rPr>
        <w:t>份，代理机构执</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份。每份均具有同等法律效力。</w:t>
      </w:r>
      <w:r>
        <w:rPr>
          <w:rFonts w:hint="eastAsia" w:ascii="宋体" w:hAnsi="宋体" w:cs="宋体"/>
          <w:color w:val="auto"/>
          <w:highlight w:val="none"/>
        </w:rPr>
        <w:br w:type="page"/>
      </w:r>
      <w:bookmarkStart w:id="425" w:name="_Toc331685784"/>
      <w:r>
        <w:rPr>
          <w:rFonts w:hint="eastAsia" w:ascii="宋体" w:hAnsi="宋体" w:cs="宋体"/>
          <w:b/>
          <w:color w:val="auto"/>
          <w:sz w:val="28"/>
          <w:szCs w:val="28"/>
          <w:highlight w:val="none"/>
        </w:rPr>
        <w:t>第三部分  合同专用条款</w:t>
      </w:r>
      <w:bookmarkEnd w:id="425"/>
    </w:p>
    <w:p w14:paraId="4301AC8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7FFDE419">
      <w:pPr>
        <w:pageBreakBefore w:val="0"/>
        <w:wordWrap w:val="0"/>
        <w:overflowPunct/>
        <w:topLinePunct w:val="0"/>
        <w:bidi w:val="0"/>
        <w:spacing w:line="360" w:lineRule="auto"/>
        <w:ind w:firstLine="480" w:firstLineChars="200"/>
        <w:rPr>
          <w:rFonts w:hint="eastAsia" w:ascii="宋体" w:hAnsi="宋体" w:cs="宋体"/>
          <w:color w:val="auto"/>
          <w:kern w:val="0"/>
          <w:sz w:val="24"/>
          <w:highlight w:val="none"/>
          <w:u w:val="single"/>
        </w:rPr>
      </w:pPr>
      <w:r>
        <w:rPr>
          <w:rFonts w:hint="eastAsia" w:ascii="宋体" w:hAnsi="宋体" w:cs="宋体"/>
          <w:color w:val="auto"/>
          <w:sz w:val="24"/>
          <w:highlight w:val="none"/>
        </w:rPr>
        <w:t>3.1具有知识产权的标的物知识产权归属：</w:t>
      </w:r>
      <w:r>
        <w:rPr>
          <w:rFonts w:hint="eastAsia" w:ascii="宋体" w:hAnsi="宋体" w:cs="宋体"/>
          <w:color w:val="auto"/>
          <w:kern w:val="0"/>
          <w:sz w:val="24"/>
          <w:highlight w:val="none"/>
          <w:u w:val="single"/>
        </w:rPr>
        <w:t xml:space="preserve">                         </w:t>
      </w:r>
    </w:p>
    <w:p w14:paraId="4263EC77">
      <w:pPr>
        <w:pageBreakBefore w:val="0"/>
        <w:wordWrap w:val="0"/>
        <w:overflowPunct/>
        <w:topLinePunct w:val="0"/>
        <w:bidi w:val="0"/>
        <w:spacing w:line="360" w:lineRule="auto"/>
        <w:ind w:firstLine="480" w:firstLineChars="200"/>
        <w:rPr>
          <w:rFonts w:hint="eastAsia" w:ascii="宋体" w:hAnsi="宋体" w:cs="宋体"/>
          <w:color w:val="auto"/>
          <w:kern w:val="0"/>
          <w:sz w:val="24"/>
          <w:highlight w:val="none"/>
          <w:u w:val="single"/>
        </w:rPr>
      </w:pPr>
      <w:r>
        <w:rPr>
          <w:rFonts w:hint="eastAsia" w:ascii="宋体" w:hAnsi="宋体" w:cs="宋体"/>
          <w:color w:val="auto"/>
          <w:sz w:val="24"/>
          <w:highlight w:val="none"/>
        </w:rPr>
        <w:t>3.2包装和装运专用条款（如果有）：</w:t>
      </w:r>
      <w:r>
        <w:rPr>
          <w:rFonts w:hint="eastAsia" w:ascii="宋体" w:hAnsi="宋体" w:cs="宋体"/>
          <w:color w:val="auto"/>
          <w:kern w:val="0"/>
          <w:sz w:val="24"/>
          <w:highlight w:val="none"/>
          <w:u w:val="single"/>
        </w:rPr>
        <w:t xml:space="preserve">                              </w:t>
      </w:r>
    </w:p>
    <w:p w14:paraId="4DAF63A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3.3装运标的物的要求和通知：</w:t>
      </w:r>
      <w:r>
        <w:rPr>
          <w:rFonts w:hint="eastAsia" w:ascii="宋体" w:hAnsi="宋体" w:cs="宋体"/>
          <w:color w:val="auto"/>
          <w:kern w:val="0"/>
          <w:sz w:val="24"/>
          <w:highlight w:val="none"/>
          <w:u w:val="single"/>
        </w:rPr>
        <w:t xml:space="preserve">                                   </w:t>
      </w:r>
    </w:p>
    <w:p w14:paraId="0F4F7CA0">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3.4</w:t>
      </w:r>
      <w:r>
        <w:rPr>
          <w:rFonts w:hint="eastAsia" w:ascii="宋体" w:hAnsi="宋体" w:cs="宋体"/>
          <w:b/>
          <w:color w:val="auto"/>
          <w:sz w:val="24"/>
          <w:highlight w:val="none"/>
        </w:rPr>
        <w:t>结算方式和付款条件</w:t>
      </w:r>
    </w:p>
    <w:p w14:paraId="328BC8DC">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本次项目合同总价为大写人民币</w:t>
      </w:r>
      <w:r>
        <w:rPr>
          <w:rFonts w:hint="eastAsia" w:ascii="宋体" w:hAnsi="宋体" w:cs="宋体"/>
          <w:color w:val="auto"/>
          <w:kern w:val="0"/>
          <w:sz w:val="24"/>
          <w:highlight w:val="none"/>
          <w:u w:val="single"/>
          <w:lang w:val="zh-CN"/>
        </w:rPr>
        <w:t xml:space="preserve">            （</w:t>
      </w:r>
      <w:r>
        <w:rPr>
          <w:rFonts w:hint="eastAsia" w:ascii="仿宋_GB2312" w:hAnsi="Times New Roman" w:eastAsia="仿宋_GB2312" w:cs="仿宋_GB2312"/>
          <w:color w:val="auto"/>
          <w:sz w:val="24"/>
          <w:szCs w:val="24"/>
          <w:highlight w:val="none"/>
          <w:lang w:val="zh-CN"/>
        </w:rPr>
        <w:t>¥</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）。本项目采用以下勾选结算方式进行支付：</w:t>
      </w:r>
    </w:p>
    <w:p w14:paraId="56006191">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□采用一次性支付方式，付款条件为：</w:t>
      </w:r>
      <w:r>
        <w:rPr>
          <w:rFonts w:hint="eastAsia" w:ascii="宋体" w:hAnsi="宋体" w:cs="宋体"/>
          <w:color w:val="auto"/>
          <w:kern w:val="0"/>
          <w:sz w:val="24"/>
          <w:highlight w:val="none"/>
          <w:u w:val="single"/>
        </w:rPr>
        <w:t xml:space="preserve">           </w:t>
      </w:r>
    </w:p>
    <w:p w14:paraId="5BE136BC">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□采用分期付款方式，付款条件为</w:t>
      </w:r>
      <w:r>
        <w:rPr>
          <w:rFonts w:hint="eastAsia" w:ascii="宋体" w:hAnsi="宋体" w:cs="宋体"/>
          <w:color w:val="auto"/>
          <w:kern w:val="0"/>
          <w:sz w:val="24"/>
          <w:highlight w:val="none"/>
        </w:rPr>
        <w:t>：</w:t>
      </w:r>
    </w:p>
    <w:p w14:paraId="258EDE1F">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第一期付款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44722FB2">
      <w:pPr>
        <w:pageBreakBefore w:val="0"/>
        <w:wordWrap w:val="0"/>
        <w:overflowPunct/>
        <w:topLinePunct w:val="0"/>
        <w:bidi w:val="0"/>
        <w:spacing w:line="360" w:lineRule="auto"/>
        <w:ind w:firstLine="480" w:firstLineChars="200"/>
        <w:rPr>
          <w:rFonts w:ascii="宋体" w:hAnsi="宋体" w:cs="宋体"/>
          <w:color w:val="auto"/>
          <w:kern w:val="0"/>
          <w:sz w:val="24"/>
          <w:highlight w:val="none"/>
          <w:u w:val="single"/>
        </w:rPr>
      </w:pPr>
      <w:r>
        <w:rPr>
          <w:rFonts w:hint="eastAsia" w:ascii="宋体" w:hAnsi="宋体" w:cs="宋体"/>
          <w:color w:val="auto"/>
          <w:kern w:val="0"/>
          <w:sz w:val="24"/>
          <w:highlight w:val="none"/>
          <w:lang w:val="zh-CN"/>
        </w:rPr>
        <w:t>第</w:t>
      </w:r>
      <w:r>
        <w:rPr>
          <w:rFonts w:hint="eastAsia" w:ascii="宋体" w:hAnsi="宋体" w:cs="宋体"/>
          <w:color w:val="auto"/>
          <w:kern w:val="0"/>
          <w:sz w:val="24"/>
          <w:highlight w:val="none"/>
        </w:rPr>
        <w:t>二</w:t>
      </w:r>
      <w:r>
        <w:rPr>
          <w:rFonts w:hint="eastAsia" w:ascii="宋体" w:hAnsi="宋体" w:cs="宋体"/>
          <w:color w:val="auto"/>
          <w:kern w:val="0"/>
          <w:sz w:val="24"/>
          <w:highlight w:val="none"/>
          <w:lang w:val="zh-CN"/>
        </w:rPr>
        <w:t>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2BC68EC3">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p>
    <w:p w14:paraId="07BF5D5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甲方无故逾期支付合同价款的，按照每逾期一日支付欠付应付而未付款的（根据项目实际填写，一般为万分之五）</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万分之五</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承担违约责任，违约金上限按照《合同书》约定执行。</w:t>
      </w:r>
    </w:p>
    <w:p w14:paraId="351BE7AD">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3.5</w:t>
      </w:r>
      <w:r>
        <w:rPr>
          <w:rFonts w:hint="eastAsia" w:ascii="宋体" w:hAnsi="宋体" w:cs="宋体"/>
          <w:b/>
          <w:color w:val="auto"/>
          <w:sz w:val="24"/>
          <w:highlight w:val="none"/>
        </w:rPr>
        <w:t>标的物的风险负担</w:t>
      </w:r>
    </w:p>
    <w:p w14:paraId="7740599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标的物在合同服务期限内毁损、灭失的风险负担：</w:t>
      </w:r>
    </w:p>
    <w:p w14:paraId="486DB06D">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xml:space="preserve">乙方                                                                       </w:t>
      </w:r>
    </w:p>
    <w:p w14:paraId="27804D2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3.5.1受不可抗力影响的一方在不可抗力发生后，应在  个工作日内（根据项目实际填写）以书面形式通知对方当事人，并在  个工作日内，将有关部门出具的证明文件送达对方当事人。</w:t>
      </w:r>
    </w:p>
    <w:p w14:paraId="79430B2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3.5.2因不可抗力致使合同有变更必要的，双方当事人应在  个工作日内（根据项目实际填写）以书面形式变更合同；</w:t>
      </w:r>
    </w:p>
    <w:p w14:paraId="09423ED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3.5.3标的物交付前，乙方应对标的物的质量、数量等方面进行详细、全面的检验，并向甲方出具证明标的物符合合同约定的文件；标的物交付时，乙方在  个工作日内发（根据项目实际填写）起验收，并可依法邀请相关方参加，验收应出具验收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30E8C57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3.5.4 检验和验收标准、程序等具体内容以及前述验收书的效力：</w:t>
      </w:r>
    </w:p>
    <w:p w14:paraId="29E3AE6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按招标文件及本合同约定执行。</w:t>
      </w:r>
    </w:p>
    <w:p w14:paraId="1715602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3.5.5 其他：</w:t>
      </w:r>
    </w:p>
    <w:p w14:paraId="2E4A05E0">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3.6</w:t>
      </w:r>
      <w:r>
        <w:rPr>
          <w:rFonts w:hint="eastAsia" w:ascii="宋体" w:hAnsi="宋体" w:cs="宋体"/>
          <w:b/>
          <w:color w:val="auto"/>
          <w:sz w:val="24"/>
          <w:highlight w:val="none"/>
        </w:rPr>
        <w:t>项目验收：</w:t>
      </w:r>
    </w:p>
    <w:p w14:paraId="342CC07F">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3.6.1甲方参照《南宁市政府采购供应商履约验收评价管理办法》（南财采[2019]217号）规定组织对乙方履约的验收。验收方成员应当在验收</w:t>
      </w:r>
      <w:r>
        <w:rPr>
          <w:rFonts w:hint="eastAsia" w:ascii="宋体" w:hAnsi="宋体" w:cs="宋体"/>
          <w:color w:val="auto"/>
          <w:kern w:val="0"/>
          <w:sz w:val="24"/>
          <w:highlight w:val="none"/>
          <w:lang w:val="en-US" w:eastAsia="zh-CN"/>
        </w:rPr>
        <w:t>材料</w:t>
      </w:r>
      <w:r>
        <w:rPr>
          <w:rFonts w:hint="eastAsia" w:ascii="宋体" w:hAnsi="宋体" w:cs="宋体"/>
          <w:color w:val="auto"/>
          <w:kern w:val="0"/>
          <w:sz w:val="24"/>
          <w:highlight w:val="none"/>
        </w:rPr>
        <w:t>上签字，并承担相应的法律责任。如果发现与合同中要求不符，乙方须承担由此发生的一切损失和费用，并接受相应的处理。</w:t>
      </w:r>
    </w:p>
    <w:p w14:paraId="520EDB60">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w:t>
      </w:r>
      <w:r>
        <w:rPr>
          <w:rFonts w:hint="eastAsia" w:ascii="宋体" w:hAnsi="宋体" w:cs="宋体"/>
          <w:color w:val="auto"/>
          <w:kern w:val="0"/>
          <w:sz w:val="24"/>
          <w:highlight w:val="none"/>
          <w:lang w:val="en-US" w:eastAsia="zh-CN"/>
        </w:rPr>
        <w:t>材料</w:t>
      </w:r>
      <w:r>
        <w:rPr>
          <w:rFonts w:hint="eastAsia" w:ascii="宋体" w:hAnsi="宋体" w:cs="宋体"/>
          <w:color w:val="auto"/>
          <w:kern w:val="0"/>
          <w:sz w:val="24"/>
          <w:highlight w:val="none"/>
        </w:rPr>
        <w:t>并经验收小组全体成员签字。甲方根据验收报告形成验收意见并经甲方与乙方签字盖章生效。验收结果与采购合同约定的资金支付条件挂钩。履约验收的各项资料应当存档备查。</w:t>
      </w:r>
    </w:p>
    <w:p w14:paraId="22C1BB76">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6123AEE">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3.6.4验收产生的费用：</w:t>
      </w:r>
    </w:p>
    <w:p w14:paraId="03F61760">
      <w:pPr>
        <w:pageBreakBefore w:val="0"/>
        <w:tabs>
          <w:tab w:val="left" w:pos="904"/>
        </w:tabs>
        <w:wordWrap w:val="0"/>
        <w:overflowPunct/>
        <w:topLinePunct w:val="0"/>
        <w:bidi w:val="0"/>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验收产生的费用首次验收费用由甲方承担，如首次验收不合格，后续验收费用由乙方支付。</w:t>
      </w:r>
    </w:p>
    <w:p w14:paraId="2F574333">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3.6.5验收内容及资料要求：</w:t>
      </w:r>
    </w:p>
    <w:p w14:paraId="1E6FC846">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根根据采购文件确定的技术指标或者服务要求确定验收指标和标准。未进行相应约定的，应当符合国家强制性规定、政策要求、安全标准、行业或企业有关标准等。</w:t>
      </w:r>
    </w:p>
    <w:p w14:paraId="379935BE">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3.6.6</w:t>
      </w:r>
      <w:r>
        <w:rPr>
          <w:rFonts w:hint="eastAsia" w:ascii="宋体" w:hAnsi="宋体" w:cs="宋体"/>
          <w:color w:val="auto"/>
          <w:sz w:val="24"/>
          <w:highlight w:val="none"/>
        </w:rPr>
        <w:t>验收内容</w:t>
      </w:r>
    </w:p>
    <w:tbl>
      <w:tblPr>
        <w:tblStyle w:val="20"/>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814"/>
        <w:gridCol w:w="5621"/>
      </w:tblGrid>
      <w:tr w14:paraId="7ACF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7" w:type="dxa"/>
            <w:vAlign w:val="center"/>
          </w:tcPr>
          <w:p w14:paraId="2522D956">
            <w:pPr>
              <w:pageBreakBefore w:val="0"/>
              <w:widowControl/>
              <w:overflowPunct/>
              <w:topLinePunct w:val="0"/>
              <w:bidi w:val="0"/>
              <w:spacing w:line="360" w:lineRule="auto"/>
              <w:rPr>
                <w:rFonts w:ascii="宋体" w:hAnsi="宋体" w:cs="仿宋"/>
                <w:bCs/>
                <w:color w:val="auto"/>
                <w:kern w:val="0"/>
                <w:sz w:val="24"/>
                <w:highlight w:val="none"/>
              </w:rPr>
            </w:pPr>
            <w:r>
              <w:rPr>
                <w:rFonts w:hint="eastAsia" w:ascii="宋体" w:hAnsi="宋体" w:cs="仿宋"/>
                <w:bCs/>
                <w:color w:val="auto"/>
                <w:kern w:val="0"/>
                <w:sz w:val="24"/>
                <w:highlight w:val="none"/>
              </w:rPr>
              <w:t>序号</w:t>
            </w:r>
          </w:p>
        </w:tc>
        <w:tc>
          <w:tcPr>
            <w:tcW w:w="1814" w:type="dxa"/>
            <w:vAlign w:val="center"/>
          </w:tcPr>
          <w:p w14:paraId="099BFD25">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验收内容</w:t>
            </w:r>
          </w:p>
        </w:tc>
        <w:tc>
          <w:tcPr>
            <w:tcW w:w="5621" w:type="dxa"/>
            <w:vAlign w:val="center"/>
          </w:tcPr>
          <w:p w14:paraId="013FF1D9">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 xml:space="preserve"> 验收标准</w:t>
            </w:r>
          </w:p>
        </w:tc>
      </w:tr>
      <w:tr w14:paraId="7928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37" w:type="dxa"/>
            <w:vAlign w:val="center"/>
          </w:tcPr>
          <w:p w14:paraId="25FBCB4E">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1</w:t>
            </w:r>
          </w:p>
        </w:tc>
        <w:tc>
          <w:tcPr>
            <w:tcW w:w="1814" w:type="dxa"/>
            <w:vAlign w:val="center"/>
          </w:tcPr>
          <w:p w14:paraId="0CC379CB">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服务的数量、范围、内容及配置要求</w:t>
            </w:r>
          </w:p>
        </w:tc>
        <w:tc>
          <w:tcPr>
            <w:tcW w:w="5621" w:type="dxa"/>
            <w:vAlign w:val="center"/>
          </w:tcPr>
          <w:p w14:paraId="45532329">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7F10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7" w:type="dxa"/>
            <w:vAlign w:val="center"/>
          </w:tcPr>
          <w:p w14:paraId="3451347B">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2</w:t>
            </w:r>
          </w:p>
        </w:tc>
        <w:tc>
          <w:tcPr>
            <w:tcW w:w="1814" w:type="dxa"/>
            <w:vAlign w:val="center"/>
          </w:tcPr>
          <w:p w14:paraId="211A3A0C">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养护服务的质量文件</w:t>
            </w:r>
          </w:p>
        </w:tc>
        <w:tc>
          <w:tcPr>
            <w:tcW w:w="5621" w:type="dxa"/>
            <w:vAlign w:val="center"/>
          </w:tcPr>
          <w:p w14:paraId="35810AE3">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招标文</w:t>
            </w:r>
            <w:r>
              <w:rPr>
                <w:rFonts w:hint="eastAsia" w:ascii="宋体" w:hAnsi="宋体" w:cs="仿宋"/>
                <w:color w:val="auto"/>
                <w:kern w:val="0"/>
                <w:sz w:val="24"/>
                <w:highlight w:val="none"/>
              </w:rPr>
              <w:t>件要求和投标（响应）文件执行</w:t>
            </w:r>
          </w:p>
        </w:tc>
      </w:tr>
      <w:tr w14:paraId="317F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637" w:type="dxa"/>
            <w:vAlign w:val="center"/>
          </w:tcPr>
          <w:p w14:paraId="729C98CD">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ascii="宋体" w:hAnsi="宋体" w:cs="仿宋"/>
                <w:bCs/>
                <w:color w:val="auto"/>
                <w:kern w:val="0"/>
                <w:sz w:val="24"/>
                <w:highlight w:val="none"/>
              </w:rPr>
              <w:t>3</w:t>
            </w:r>
          </w:p>
        </w:tc>
        <w:tc>
          <w:tcPr>
            <w:tcW w:w="1814" w:type="dxa"/>
            <w:vAlign w:val="center"/>
          </w:tcPr>
          <w:p w14:paraId="2BE1347C">
            <w:pPr>
              <w:pageBreakBefore w:val="0"/>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 xml:space="preserve">交付标的物技术、性能指标 </w:t>
            </w:r>
          </w:p>
        </w:tc>
        <w:tc>
          <w:tcPr>
            <w:tcW w:w="5621" w:type="dxa"/>
            <w:vAlign w:val="center"/>
          </w:tcPr>
          <w:p w14:paraId="4E548776">
            <w:pPr>
              <w:pageBreakBefore w:val="0"/>
              <w:overflowPunct/>
              <w:topLinePunct w:val="0"/>
              <w:bidi w:val="0"/>
              <w:spacing w:line="360" w:lineRule="auto"/>
              <w:ind w:firstLine="480" w:firstLineChars="200"/>
              <w:jc w:val="left"/>
              <w:rPr>
                <w:rFonts w:ascii="宋体" w:hAnsi="宋体" w:cs="仿宋"/>
                <w:color w:val="auto"/>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1614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37" w:type="dxa"/>
            <w:vAlign w:val="center"/>
          </w:tcPr>
          <w:p w14:paraId="148D42E5">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ascii="宋体" w:hAnsi="宋体" w:cs="仿宋"/>
                <w:color w:val="auto"/>
                <w:kern w:val="0"/>
                <w:sz w:val="24"/>
                <w:highlight w:val="none"/>
              </w:rPr>
              <w:t>4</w:t>
            </w:r>
          </w:p>
        </w:tc>
        <w:tc>
          <w:tcPr>
            <w:tcW w:w="1814" w:type="dxa"/>
            <w:vAlign w:val="center"/>
          </w:tcPr>
          <w:p w14:paraId="23877C90">
            <w:pPr>
              <w:pageBreakBefore w:val="0"/>
              <w:overflowPunct/>
              <w:topLinePunct w:val="0"/>
              <w:bidi w:val="0"/>
              <w:spacing w:line="360" w:lineRule="auto"/>
              <w:ind w:firstLine="200"/>
              <w:jc w:val="center"/>
              <w:rPr>
                <w:rFonts w:ascii="宋体" w:hAnsi="宋体" w:cs="仿宋"/>
                <w:color w:val="auto"/>
                <w:sz w:val="24"/>
                <w:highlight w:val="none"/>
              </w:rPr>
            </w:pPr>
            <w:r>
              <w:rPr>
                <w:rFonts w:hint="eastAsia" w:ascii="宋体" w:hAnsi="宋体" w:cs="仿宋"/>
                <w:color w:val="auto"/>
                <w:sz w:val="24"/>
                <w:highlight w:val="none"/>
              </w:rPr>
              <w:t>售后服务</w:t>
            </w:r>
          </w:p>
          <w:p w14:paraId="2E158592">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color w:val="auto"/>
                <w:sz w:val="24"/>
                <w:highlight w:val="none"/>
              </w:rPr>
              <w:t>承诺</w:t>
            </w:r>
          </w:p>
        </w:tc>
        <w:tc>
          <w:tcPr>
            <w:tcW w:w="5621" w:type="dxa"/>
            <w:vAlign w:val="center"/>
          </w:tcPr>
          <w:p w14:paraId="4DF7AFFC">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0D2E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37" w:type="dxa"/>
            <w:vAlign w:val="center"/>
          </w:tcPr>
          <w:p w14:paraId="2A7A6C69">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ascii="宋体" w:hAnsi="宋体" w:cs="仿宋"/>
                <w:bCs/>
                <w:color w:val="auto"/>
                <w:kern w:val="0"/>
                <w:sz w:val="24"/>
                <w:highlight w:val="none"/>
              </w:rPr>
              <w:t>5</w:t>
            </w:r>
          </w:p>
        </w:tc>
        <w:tc>
          <w:tcPr>
            <w:tcW w:w="1814" w:type="dxa"/>
            <w:vAlign w:val="center"/>
          </w:tcPr>
          <w:p w14:paraId="70AC1C85">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其他工作</w:t>
            </w:r>
          </w:p>
        </w:tc>
        <w:tc>
          <w:tcPr>
            <w:tcW w:w="5621" w:type="dxa"/>
            <w:vAlign w:val="center"/>
          </w:tcPr>
          <w:p w14:paraId="2D26D4D3">
            <w:pPr>
              <w:pageBreakBefore w:val="0"/>
              <w:widowControl/>
              <w:overflowPunct/>
              <w:topLinePunct w:val="0"/>
              <w:bidi w:val="0"/>
              <w:spacing w:line="360" w:lineRule="auto"/>
              <w:ind w:firstLine="480" w:firstLineChars="200"/>
              <w:jc w:val="left"/>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bl>
    <w:p w14:paraId="12158E06">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3.6.7验收资料要求</w:t>
      </w:r>
    </w:p>
    <w:p w14:paraId="40E3AD6E">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63967CA9">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文件；</w:t>
      </w:r>
    </w:p>
    <w:p w14:paraId="2628A663">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（2）投标文件；</w:t>
      </w:r>
    </w:p>
    <w:p w14:paraId="58FAB26B">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（3）采购合同；</w:t>
      </w:r>
    </w:p>
    <w:p w14:paraId="4EA4EEFE">
      <w:pPr>
        <w:pageBreakBefore w:val="0"/>
        <w:tabs>
          <w:tab w:val="left" w:pos="904"/>
        </w:tabs>
        <w:wordWrap w:val="0"/>
        <w:overflowPunct/>
        <w:topLinePunct w:val="0"/>
        <w:bidi w:val="0"/>
        <w:adjustRightInd w:val="0"/>
        <w:snapToGrid w:val="0"/>
        <w:spacing w:line="360" w:lineRule="auto"/>
        <w:ind w:firstLine="240" w:firstLineChars="100"/>
        <w:jc w:val="left"/>
        <w:rPr>
          <w:rFonts w:hint="eastAsia" w:ascii="宋体" w:hAnsi="宋体" w:cs="宋体"/>
          <w:color w:val="auto"/>
          <w:sz w:val="24"/>
          <w:highlight w:val="none"/>
        </w:rPr>
      </w:pPr>
      <w:r>
        <w:rPr>
          <w:rFonts w:hint="eastAsia" w:ascii="宋体" w:hAnsi="宋体" w:cs="宋体"/>
          <w:color w:val="auto"/>
          <w:sz w:val="24"/>
          <w:highlight w:val="none"/>
        </w:rPr>
        <w:t>（4）其他需提供的相关材料：</w:t>
      </w:r>
    </w:p>
    <w:p w14:paraId="2FA00C3F">
      <w:pPr>
        <w:pageBreakBefore w:val="0"/>
        <w:tabs>
          <w:tab w:val="left" w:pos="904"/>
        </w:tabs>
        <w:wordWrap w:val="0"/>
        <w:overflowPunct/>
        <w:topLinePunct w:val="0"/>
        <w:bidi w:val="0"/>
        <w:adjustRightInd w:val="0"/>
        <w:snapToGrid w:val="0"/>
        <w:spacing w:line="360" w:lineRule="auto"/>
        <w:ind w:firstLine="240" w:firstLineChars="100"/>
        <w:jc w:val="left"/>
        <w:rPr>
          <w:rFonts w:hint="eastAsia" w:ascii="宋体" w:hAnsi="宋体" w:cs="宋体"/>
          <w:color w:val="auto"/>
          <w:sz w:val="24"/>
          <w:highlight w:val="none"/>
        </w:rPr>
      </w:pPr>
      <w:r>
        <w:rPr>
          <w:rFonts w:hint="eastAsia" w:ascii="宋体" w:hAnsi="宋体" w:cs="宋体"/>
          <w:color w:val="auto"/>
          <w:sz w:val="24"/>
          <w:highlight w:val="none"/>
        </w:rPr>
        <w:t xml:space="preserve">《南宁市绿化工程管理中心道路绿化养护市场化管理日常工作考核记录表》、《南宁市绿化工程管理中心绿化养护服务项目扣分情况汇总表》、《道路绿化市场化养护效果检查总结》等。  </w:t>
      </w:r>
    </w:p>
    <w:p w14:paraId="20E0D7D2">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b/>
          <w:color w:val="auto"/>
          <w:sz w:val="36"/>
          <w:szCs w:val="20"/>
          <w:highlight w:val="none"/>
        </w:rPr>
      </w:pPr>
      <w:r>
        <w:rPr>
          <w:rFonts w:hint="eastAsia" w:ascii="宋体" w:hAnsi="宋体" w:cs="宋体"/>
          <w:color w:val="auto"/>
          <w:sz w:val="24"/>
          <w:highlight w:val="none"/>
        </w:rPr>
        <w:t>说明：最终合同签订以甲乙双方约定条款为准。</w:t>
      </w:r>
    </w:p>
    <w:p w14:paraId="0A2B85DB">
      <w:pPr>
        <w:pageBreakBefore w:val="0"/>
        <w:widowControl/>
        <w:wordWrap w:val="0"/>
        <w:overflowPunct/>
        <w:topLinePunct w:val="0"/>
        <w:bidi w:val="0"/>
        <w:spacing w:line="360" w:lineRule="auto"/>
        <w:jc w:val="left"/>
        <w:rPr>
          <w:rFonts w:ascii="宋体" w:hAnsi="宋体" w:cs="宋体"/>
          <w:color w:val="auto"/>
          <w:highlight w:val="none"/>
        </w:rPr>
        <w:sectPr>
          <w:pgSz w:w="11906" w:h="16838"/>
          <w:pgMar w:top="1440" w:right="1080" w:bottom="1440" w:left="1080" w:header="720" w:footer="720" w:gutter="0"/>
          <w:pgNumType w:fmt="decimal"/>
          <w:cols w:space="720" w:num="1"/>
          <w:docGrid w:type="lines" w:linePitch="331" w:charSpace="0"/>
        </w:sectPr>
      </w:pPr>
    </w:p>
    <w:p w14:paraId="470BFB82">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2770C14A">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6468CB27">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6026013D">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2113F188">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750636AB">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2A8C4815">
      <w:pPr>
        <w:pStyle w:val="12"/>
        <w:pageBreakBefore w:val="0"/>
        <w:tabs>
          <w:tab w:val="left" w:pos="2472"/>
        </w:tabs>
        <w:wordWrap w:val="0"/>
        <w:overflowPunct/>
        <w:topLinePunct w:val="0"/>
        <w:bidi w:val="0"/>
        <w:spacing w:line="360" w:lineRule="auto"/>
        <w:rPr>
          <w:rFonts w:hAnsi="宋体" w:cs="宋体"/>
          <w:b/>
          <w:color w:val="auto"/>
          <w:sz w:val="36"/>
          <w:highlight w:val="none"/>
        </w:rPr>
      </w:pPr>
    </w:p>
    <w:p w14:paraId="6EDC72C3">
      <w:pPr>
        <w:pStyle w:val="12"/>
        <w:pageBreakBefore w:val="0"/>
        <w:tabs>
          <w:tab w:val="left" w:pos="2472"/>
        </w:tabs>
        <w:wordWrap w:val="0"/>
        <w:overflowPunct/>
        <w:topLinePunct w:val="0"/>
        <w:bidi w:val="0"/>
        <w:spacing w:line="360" w:lineRule="auto"/>
        <w:jc w:val="center"/>
        <w:outlineLvl w:val="0"/>
        <w:rPr>
          <w:rFonts w:hAnsi="宋体" w:cs="宋体"/>
          <w:b/>
          <w:color w:val="auto"/>
          <w:sz w:val="36"/>
          <w:highlight w:val="none"/>
        </w:rPr>
      </w:pPr>
      <w:bookmarkStart w:id="426" w:name="_Toc16597"/>
      <w:r>
        <w:rPr>
          <w:rFonts w:hint="eastAsia" w:hAnsi="宋体" w:cs="宋体"/>
          <w:b/>
          <w:color w:val="auto"/>
          <w:sz w:val="36"/>
          <w:highlight w:val="none"/>
        </w:rPr>
        <w:t>第六章 投标文件格式</w:t>
      </w:r>
      <w:bookmarkEnd w:id="426"/>
    </w:p>
    <w:p w14:paraId="30B57B48">
      <w:pPr>
        <w:pageBreakBefore w:val="0"/>
        <w:widowControl/>
        <w:wordWrap w:val="0"/>
        <w:overflowPunct/>
        <w:topLinePunct w:val="0"/>
        <w:bidi w:val="0"/>
        <w:spacing w:line="360" w:lineRule="auto"/>
        <w:jc w:val="left"/>
        <w:rPr>
          <w:rFonts w:ascii="宋体" w:hAnsi="宋体" w:cs="宋体"/>
          <w:color w:val="auto"/>
          <w:szCs w:val="20"/>
          <w:highlight w:val="none"/>
        </w:rPr>
        <w:sectPr>
          <w:pgSz w:w="11906" w:h="16838"/>
          <w:pgMar w:top="1440" w:right="1080" w:bottom="1440" w:left="1080" w:header="720" w:footer="720" w:gutter="0"/>
          <w:pgNumType w:fmt="decimal"/>
          <w:cols w:space="720" w:num="1"/>
          <w:docGrid w:type="lines" w:linePitch="331" w:charSpace="0"/>
        </w:sectPr>
      </w:pPr>
    </w:p>
    <w:p w14:paraId="44E72A62">
      <w:pPr>
        <w:pStyle w:val="12"/>
        <w:pageBreakBefore w:val="0"/>
        <w:wordWrap w:val="0"/>
        <w:overflowPunct/>
        <w:topLinePunct w:val="0"/>
        <w:bidi w:val="0"/>
        <w:spacing w:line="360" w:lineRule="auto"/>
        <w:ind w:firstLine="551" w:firstLineChars="196"/>
        <w:jc w:val="center"/>
        <w:outlineLvl w:val="1"/>
        <w:rPr>
          <w:rFonts w:hAnsi="宋体" w:cs="宋体"/>
          <w:b/>
          <w:bCs/>
          <w:color w:val="auto"/>
          <w:sz w:val="28"/>
          <w:szCs w:val="28"/>
          <w:highlight w:val="none"/>
        </w:rPr>
      </w:pPr>
      <w:bookmarkStart w:id="427" w:name="_Toc28633"/>
      <w:r>
        <w:rPr>
          <w:rFonts w:hint="eastAsia" w:hAnsi="宋体" w:cs="宋体"/>
          <w:b/>
          <w:bCs/>
          <w:color w:val="auto"/>
          <w:sz w:val="28"/>
          <w:szCs w:val="28"/>
          <w:highlight w:val="none"/>
        </w:rPr>
        <w:t>第一节 投标文件外层包装封面</w:t>
      </w:r>
      <w:bookmarkEnd w:id="427"/>
    </w:p>
    <w:p w14:paraId="1316C817">
      <w:pPr>
        <w:pageBreakBefore w:val="0"/>
        <w:wordWrap w:val="0"/>
        <w:overflowPunct/>
        <w:topLinePunct w:val="0"/>
        <w:bidi w:val="0"/>
        <w:spacing w:line="360" w:lineRule="auto"/>
        <w:jc w:val="center"/>
        <w:rPr>
          <w:rFonts w:ascii="宋体" w:hAnsi="宋体" w:cs="宋体"/>
          <w:color w:val="auto"/>
          <w:spacing w:val="20"/>
          <w:sz w:val="44"/>
          <w:szCs w:val="44"/>
          <w:highlight w:val="none"/>
        </w:rPr>
      </w:pPr>
    </w:p>
    <w:p w14:paraId="2F9BDFD9">
      <w:pPr>
        <w:pageBreakBefore w:val="0"/>
        <w:wordWrap w:val="0"/>
        <w:overflowPunct/>
        <w:topLinePunct w:val="0"/>
        <w:bidi w:val="0"/>
        <w:spacing w:line="360" w:lineRule="auto"/>
        <w:jc w:val="center"/>
        <w:rPr>
          <w:rFonts w:ascii="宋体" w:hAnsi="宋体" w:cs="宋体"/>
          <w:color w:val="auto"/>
          <w:spacing w:val="20"/>
          <w:sz w:val="44"/>
          <w:szCs w:val="44"/>
          <w:highlight w:val="none"/>
        </w:rPr>
      </w:pPr>
    </w:p>
    <w:p w14:paraId="6C56326A">
      <w:pPr>
        <w:pageBreakBefore w:val="0"/>
        <w:wordWrap w:val="0"/>
        <w:overflowPunct/>
        <w:topLinePunct w:val="0"/>
        <w:bidi w:val="0"/>
        <w:spacing w:line="360" w:lineRule="auto"/>
        <w:jc w:val="center"/>
        <w:rPr>
          <w:rFonts w:ascii="宋体" w:hAnsi="宋体" w:cs="宋体"/>
          <w:color w:val="auto"/>
          <w:spacing w:val="20"/>
          <w:sz w:val="44"/>
          <w:szCs w:val="44"/>
          <w:highlight w:val="none"/>
        </w:rPr>
      </w:pPr>
    </w:p>
    <w:p w14:paraId="28159763">
      <w:pPr>
        <w:pageBreakBefore w:val="0"/>
        <w:wordWrap w:val="0"/>
        <w:overflowPunct/>
        <w:topLinePunct w:val="0"/>
        <w:bidi w:val="0"/>
        <w:spacing w:line="360" w:lineRule="auto"/>
        <w:jc w:val="center"/>
        <w:rPr>
          <w:rFonts w:ascii="宋体" w:hAnsi="宋体" w:cs="宋体"/>
          <w:color w:val="auto"/>
          <w:spacing w:val="20"/>
          <w:sz w:val="44"/>
          <w:szCs w:val="44"/>
          <w:highlight w:val="none"/>
        </w:rPr>
      </w:pPr>
    </w:p>
    <w:p w14:paraId="1795A479">
      <w:pPr>
        <w:pageBreakBefore w:val="0"/>
        <w:wordWrap w:val="0"/>
        <w:overflowPunct/>
        <w:topLinePunct w:val="0"/>
        <w:bidi w:val="0"/>
        <w:spacing w:line="360" w:lineRule="auto"/>
        <w:jc w:val="center"/>
        <w:rPr>
          <w:rFonts w:ascii="宋体" w:hAnsi="宋体" w:cs="宋体"/>
          <w:color w:val="auto"/>
          <w:spacing w:val="20"/>
          <w:sz w:val="44"/>
          <w:szCs w:val="44"/>
          <w:highlight w:val="none"/>
        </w:rPr>
      </w:pPr>
      <w:r>
        <w:rPr>
          <w:rFonts w:hint="eastAsia" w:ascii="宋体" w:hAnsi="宋体" w:cs="宋体"/>
          <w:color w:val="auto"/>
          <w:spacing w:val="20"/>
          <w:sz w:val="44"/>
          <w:szCs w:val="44"/>
          <w:highlight w:val="none"/>
          <w:u w:val="single"/>
        </w:rPr>
        <w:t xml:space="preserve">             </w:t>
      </w:r>
      <w:r>
        <w:rPr>
          <w:rFonts w:hint="eastAsia" w:ascii="宋体" w:hAnsi="宋体" w:cs="宋体"/>
          <w:color w:val="auto"/>
          <w:spacing w:val="20"/>
          <w:sz w:val="44"/>
          <w:szCs w:val="44"/>
          <w:highlight w:val="none"/>
        </w:rPr>
        <w:t>项目</w:t>
      </w:r>
    </w:p>
    <w:p w14:paraId="0546398D">
      <w:pPr>
        <w:pageBreakBefore w:val="0"/>
        <w:wordWrap w:val="0"/>
        <w:overflowPunct/>
        <w:topLinePunct w:val="0"/>
        <w:bidi w:val="0"/>
        <w:spacing w:line="360" w:lineRule="auto"/>
        <w:jc w:val="center"/>
        <w:rPr>
          <w:rFonts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435A5EB7">
      <w:pPr>
        <w:pageBreakBefore w:val="0"/>
        <w:wordWrap w:val="0"/>
        <w:overflowPunct/>
        <w:topLinePunct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（电子投标文件）</w:t>
      </w:r>
    </w:p>
    <w:tbl>
      <w:tblPr>
        <w:tblStyle w:val="20"/>
        <w:tblW w:w="7773" w:type="dxa"/>
        <w:jc w:val="center"/>
        <w:tblLayout w:type="fixed"/>
        <w:tblCellMar>
          <w:top w:w="0" w:type="dxa"/>
          <w:left w:w="108" w:type="dxa"/>
          <w:bottom w:w="0" w:type="dxa"/>
          <w:right w:w="108" w:type="dxa"/>
        </w:tblCellMar>
      </w:tblPr>
      <w:tblGrid>
        <w:gridCol w:w="1601"/>
        <w:gridCol w:w="6172"/>
      </w:tblGrid>
      <w:tr w14:paraId="51C75CF7">
        <w:tblPrEx>
          <w:tblCellMar>
            <w:top w:w="0" w:type="dxa"/>
            <w:left w:w="108" w:type="dxa"/>
            <w:bottom w:w="0" w:type="dxa"/>
            <w:right w:w="108" w:type="dxa"/>
          </w:tblCellMar>
        </w:tblPrEx>
        <w:trPr>
          <w:jc w:val="center"/>
        </w:trPr>
        <w:tc>
          <w:tcPr>
            <w:tcW w:w="1601" w:type="dxa"/>
            <w:vAlign w:val="bottom"/>
          </w:tcPr>
          <w:p w14:paraId="427E3DC5">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4F51C884">
            <w:pPr>
              <w:pageBreakBefore w:val="0"/>
              <w:wordWrap w:val="0"/>
              <w:overflowPunct/>
              <w:topLinePunct w:val="0"/>
              <w:bidi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3A68EB11">
        <w:tblPrEx>
          <w:tblCellMar>
            <w:top w:w="0" w:type="dxa"/>
            <w:left w:w="108" w:type="dxa"/>
            <w:bottom w:w="0" w:type="dxa"/>
            <w:right w:w="108" w:type="dxa"/>
          </w:tblCellMar>
        </w:tblPrEx>
        <w:trPr>
          <w:jc w:val="center"/>
        </w:trPr>
        <w:tc>
          <w:tcPr>
            <w:tcW w:w="1601" w:type="dxa"/>
            <w:vAlign w:val="bottom"/>
          </w:tcPr>
          <w:p w14:paraId="321A634D">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采购人式：</w:t>
            </w:r>
          </w:p>
        </w:tc>
        <w:tc>
          <w:tcPr>
            <w:tcW w:w="6172" w:type="dxa"/>
            <w:tcBorders>
              <w:top w:val="single" w:color="000000" w:sz="4" w:space="0"/>
              <w:left w:val="nil"/>
              <w:bottom w:val="single" w:color="000000" w:sz="4" w:space="0"/>
              <w:right w:val="nil"/>
            </w:tcBorders>
            <w:vAlign w:val="bottom"/>
          </w:tcPr>
          <w:p w14:paraId="4EC0C7FA">
            <w:pPr>
              <w:pageBreakBefore w:val="0"/>
              <w:wordWrap w:val="0"/>
              <w:overflowPunct/>
              <w:topLinePunct w:val="0"/>
              <w:bidi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27293204">
        <w:tblPrEx>
          <w:tblCellMar>
            <w:top w:w="0" w:type="dxa"/>
            <w:left w:w="108" w:type="dxa"/>
            <w:bottom w:w="0" w:type="dxa"/>
            <w:right w:w="108" w:type="dxa"/>
          </w:tblCellMar>
        </w:tblPrEx>
        <w:trPr>
          <w:jc w:val="center"/>
        </w:trPr>
        <w:tc>
          <w:tcPr>
            <w:tcW w:w="1601" w:type="dxa"/>
            <w:vAlign w:val="bottom"/>
          </w:tcPr>
          <w:p w14:paraId="5EACC412">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155F19C1">
            <w:pPr>
              <w:pageBreakBefore w:val="0"/>
              <w:wordWrap w:val="0"/>
              <w:overflowPunct/>
              <w:topLinePunct w:val="0"/>
              <w:bidi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tc>
      </w:tr>
      <w:tr w14:paraId="0CD90B21">
        <w:tblPrEx>
          <w:tblCellMar>
            <w:top w:w="0" w:type="dxa"/>
            <w:left w:w="108" w:type="dxa"/>
            <w:bottom w:w="0" w:type="dxa"/>
            <w:right w:w="108" w:type="dxa"/>
          </w:tblCellMar>
        </w:tblPrEx>
        <w:trPr>
          <w:jc w:val="center"/>
        </w:trPr>
        <w:tc>
          <w:tcPr>
            <w:tcW w:w="1601" w:type="dxa"/>
            <w:vAlign w:val="bottom"/>
          </w:tcPr>
          <w:p w14:paraId="44F17FD1">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7BC9A468">
            <w:pPr>
              <w:pageBreakBefore w:val="0"/>
              <w:wordWrap w:val="0"/>
              <w:overflowPunct/>
              <w:topLinePunct w:val="0"/>
              <w:bidi w:val="0"/>
              <w:spacing w:line="360" w:lineRule="auto"/>
              <w:jc w:val="left"/>
              <w:rPr>
                <w:rFonts w:ascii="宋体" w:hAnsi="宋体" w:cs="宋体"/>
                <w:color w:val="auto"/>
                <w:sz w:val="24"/>
                <w:highlight w:val="none"/>
              </w:rPr>
            </w:pPr>
          </w:p>
        </w:tc>
      </w:tr>
      <w:tr w14:paraId="761196B0">
        <w:tblPrEx>
          <w:tblCellMar>
            <w:top w:w="0" w:type="dxa"/>
            <w:left w:w="108" w:type="dxa"/>
            <w:bottom w:w="0" w:type="dxa"/>
            <w:right w:w="108" w:type="dxa"/>
          </w:tblCellMar>
        </w:tblPrEx>
        <w:trPr>
          <w:jc w:val="center"/>
        </w:trPr>
        <w:tc>
          <w:tcPr>
            <w:tcW w:w="1601" w:type="dxa"/>
            <w:vAlign w:val="bottom"/>
          </w:tcPr>
          <w:p w14:paraId="3710180E">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4110EF85">
            <w:pPr>
              <w:pageBreakBefore w:val="0"/>
              <w:wordWrap w:val="0"/>
              <w:overflowPunct/>
              <w:topLinePunct w:val="0"/>
              <w:bidi w:val="0"/>
              <w:spacing w:line="360" w:lineRule="auto"/>
              <w:jc w:val="left"/>
              <w:rPr>
                <w:rFonts w:ascii="宋体" w:hAnsi="宋体" w:cs="宋体"/>
                <w:color w:val="auto"/>
                <w:sz w:val="24"/>
                <w:highlight w:val="none"/>
              </w:rPr>
            </w:pPr>
          </w:p>
        </w:tc>
      </w:tr>
      <w:tr w14:paraId="21541CDC">
        <w:tblPrEx>
          <w:tblCellMar>
            <w:top w:w="0" w:type="dxa"/>
            <w:left w:w="108" w:type="dxa"/>
            <w:bottom w:w="0" w:type="dxa"/>
            <w:right w:w="108" w:type="dxa"/>
          </w:tblCellMar>
        </w:tblPrEx>
        <w:trPr>
          <w:jc w:val="center"/>
        </w:trPr>
        <w:tc>
          <w:tcPr>
            <w:tcW w:w="1601" w:type="dxa"/>
            <w:vAlign w:val="bottom"/>
          </w:tcPr>
          <w:p w14:paraId="1A9774B1">
            <w:pPr>
              <w:pageBreakBefore w:val="0"/>
              <w:wordWrap w:val="0"/>
              <w:overflowPunct/>
              <w:topLinePunct w:val="0"/>
              <w:bidi w:val="0"/>
              <w:spacing w:line="360" w:lineRule="auto"/>
              <w:jc w:val="distribute"/>
              <w:rPr>
                <w:rFonts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3343EE36">
            <w:pPr>
              <w:pageBreakBefore w:val="0"/>
              <w:wordWrap w:val="0"/>
              <w:overflowPunct/>
              <w:topLinePunct w:val="0"/>
              <w:bidi w:val="0"/>
              <w:spacing w:line="360" w:lineRule="auto"/>
              <w:jc w:val="left"/>
              <w:rPr>
                <w:rFonts w:ascii="宋体" w:hAnsi="宋体" w:cs="宋体"/>
                <w:color w:val="auto"/>
                <w:sz w:val="24"/>
                <w:highlight w:val="none"/>
              </w:rPr>
            </w:pPr>
          </w:p>
        </w:tc>
      </w:tr>
    </w:tbl>
    <w:p w14:paraId="1F98426F">
      <w:pPr>
        <w:pageBreakBefore w:val="0"/>
        <w:wordWrap w:val="0"/>
        <w:overflowPunct/>
        <w:topLinePunct w:val="0"/>
        <w:bidi w:val="0"/>
        <w:spacing w:line="360" w:lineRule="auto"/>
        <w:ind w:firstLine="4200" w:firstLineChars="1750"/>
        <w:rPr>
          <w:rFonts w:ascii="宋体" w:hAnsi="宋体" w:cs="宋体"/>
          <w:color w:val="auto"/>
          <w:sz w:val="24"/>
          <w:highlight w:val="none"/>
        </w:rPr>
      </w:pPr>
    </w:p>
    <w:p w14:paraId="182CED33">
      <w:pPr>
        <w:pageBreakBefore w:val="0"/>
        <w:wordWrap w:val="0"/>
        <w:overflowPunct/>
        <w:topLinePunct w:val="0"/>
        <w:bidi w:val="0"/>
        <w:spacing w:line="360" w:lineRule="auto"/>
        <w:ind w:firstLine="4200" w:firstLineChars="1750"/>
        <w:rPr>
          <w:rFonts w:ascii="宋体" w:hAnsi="宋体" w:cs="宋体"/>
          <w:color w:val="auto"/>
          <w:sz w:val="24"/>
          <w:highlight w:val="none"/>
        </w:rPr>
      </w:pPr>
    </w:p>
    <w:p w14:paraId="2A6B19B5">
      <w:pPr>
        <w:pageBreakBefore w:val="0"/>
        <w:wordWrap w:val="0"/>
        <w:overflowPunct/>
        <w:topLinePunct w:val="0"/>
        <w:bidi w:val="0"/>
        <w:spacing w:line="360" w:lineRule="auto"/>
        <w:ind w:firstLine="4200" w:firstLineChars="1750"/>
        <w:rPr>
          <w:rFonts w:ascii="宋体" w:hAnsi="宋体" w:cs="宋体"/>
          <w:color w:val="auto"/>
          <w:sz w:val="24"/>
          <w:highlight w:val="none"/>
        </w:rPr>
      </w:pPr>
    </w:p>
    <w:p w14:paraId="679A5D40">
      <w:pPr>
        <w:pageBreakBefore w:val="0"/>
        <w:wordWrap w:val="0"/>
        <w:overflowPunct/>
        <w:topLinePunct w:val="0"/>
        <w:bidi w:val="0"/>
        <w:spacing w:line="360" w:lineRule="auto"/>
        <w:ind w:firstLine="5880" w:firstLineChars="2450"/>
        <w:rPr>
          <w:rFonts w:ascii="宋体" w:hAnsi="宋体" w:cs="宋体"/>
          <w:color w:val="auto"/>
          <w:sz w:val="24"/>
          <w:highlight w:val="none"/>
        </w:rPr>
      </w:pPr>
      <w:r>
        <w:rPr>
          <w:rFonts w:hint="eastAsia" w:ascii="宋体" w:hAnsi="宋体" w:cs="宋体"/>
          <w:color w:val="auto"/>
          <w:sz w:val="24"/>
          <w:highlight w:val="none"/>
        </w:rPr>
        <w:t>投标截止时间前不得解密</w:t>
      </w:r>
    </w:p>
    <w:p w14:paraId="5732DDF0">
      <w:pPr>
        <w:pageBreakBefore w:val="0"/>
        <w:wordWrap w:val="0"/>
        <w:overflowPunct/>
        <w:topLinePunct w:val="0"/>
        <w:bidi w:val="0"/>
        <w:spacing w:line="360" w:lineRule="auto"/>
        <w:ind w:firstLine="6480" w:firstLineChars="2700"/>
        <w:rPr>
          <w:rFonts w:ascii="宋体" w:hAnsi="宋体" w:cs="宋体"/>
          <w:color w:val="auto"/>
          <w:sz w:val="24"/>
          <w:highlight w:val="none"/>
        </w:rPr>
      </w:pPr>
      <w:r>
        <w:rPr>
          <w:rFonts w:hint="eastAsia" w:ascii="宋体" w:hAnsi="宋体" w:cs="宋体"/>
          <w:color w:val="auto"/>
          <w:sz w:val="24"/>
          <w:highlight w:val="none"/>
        </w:rPr>
        <w:t>年   月   日</w:t>
      </w:r>
    </w:p>
    <w:p w14:paraId="68C1864B">
      <w:pPr>
        <w:pageBreakBefore w:val="0"/>
        <w:widowControl/>
        <w:wordWrap w:val="0"/>
        <w:overflowPunct/>
        <w:topLinePunct w:val="0"/>
        <w:bidi w:val="0"/>
        <w:spacing w:line="360" w:lineRule="auto"/>
        <w:jc w:val="left"/>
        <w:rPr>
          <w:rFonts w:ascii="宋体" w:hAnsi="宋体" w:cs="宋体"/>
          <w:color w:val="auto"/>
          <w:sz w:val="24"/>
          <w:highlight w:val="none"/>
        </w:rPr>
        <w:sectPr>
          <w:pgSz w:w="11907" w:h="16840"/>
          <w:pgMar w:top="1440" w:right="1080" w:bottom="1440" w:left="1080" w:header="720" w:footer="720" w:gutter="0"/>
          <w:pgNumType w:fmt="decimal"/>
          <w:cols w:space="720" w:num="1"/>
        </w:sectPr>
      </w:pPr>
    </w:p>
    <w:p w14:paraId="3C8D8786">
      <w:pPr>
        <w:pStyle w:val="12"/>
        <w:pageBreakBefore w:val="0"/>
        <w:wordWrap w:val="0"/>
        <w:overflowPunct/>
        <w:topLinePunct w:val="0"/>
        <w:bidi w:val="0"/>
        <w:spacing w:line="360" w:lineRule="auto"/>
        <w:jc w:val="center"/>
        <w:outlineLvl w:val="1"/>
        <w:rPr>
          <w:rFonts w:hAnsi="宋体" w:cs="宋体"/>
          <w:b/>
          <w:bCs/>
          <w:color w:val="auto"/>
          <w:sz w:val="28"/>
          <w:szCs w:val="28"/>
          <w:highlight w:val="none"/>
        </w:rPr>
      </w:pPr>
      <w:bookmarkStart w:id="428" w:name="_Toc8810"/>
      <w:r>
        <w:rPr>
          <w:rFonts w:hint="eastAsia" w:hAnsi="宋体" w:cs="宋体"/>
          <w:b/>
          <w:bCs/>
          <w:color w:val="auto"/>
          <w:sz w:val="28"/>
          <w:szCs w:val="28"/>
          <w:highlight w:val="none"/>
        </w:rPr>
        <w:t>第二节 资格证明文件格式</w:t>
      </w:r>
      <w:bookmarkEnd w:id="428"/>
    </w:p>
    <w:p w14:paraId="0CD6A8CC">
      <w:pPr>
        <w:pStyle w:val="12"/>
        <w:pageBreakBefore w:val="0"/>
        <w:wordWrap w:val="0"/>
        <w:overflowPunct/>
        <w:topLinePunct w:val="0"/>
        <w:bidi w:val="0"/>
        <w:spacing w:line="360" w:lineRule="auto"/>
        <w:ind w:firstLine="420"/>
        <w:rPr>
          <w:rFonts w:hAnsi="宋体" w:cs="宋体"/>
          <w:color w:val="auto"/>
          <w:sz w:val="30"/>
          <w:highlight w:val="none"/>
        </w:rPr>
      </w:pPr>
    </w:p>
    <w:p w14:paraId="6B28A896">
      <w:pPr>
        <w:pageBreakBefore w:val="0"/>
        <w:wordWrap w:val="0"/>
        <w:overflowPunct/>
        <w:topLinePunct w:val="0"/>
        <w:bidi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52A6A8F2">
      <w:pPr>
        <w:pageBreakBefore w:val="0"/>
        <w:wordWrap w:val="0"/>
        <w:overflowPunct/>
        <w:topLinePunct w:val="0"/>
        <w:bidi w:val="0"/>
        <w:snapToGrid w:val="0"/>
        <w:spacing w:line="360" w:lineRule="auto"/>
        <w:rPr>
          <w:rFonts w:ascii="宋体" w:hAnsi="宋体" w:cs="宋体"/>
          <w:color w:val="auto"/>
          <w:sz w:val="24"/>
          <w:szCs w:val="20"/>
          <w:highlight w:val="none"/>
        </w:rPr>
      </w:pPr>
    </w:p>
    <w:p w14:paraId="5111F2CB">
      <w:pPr>
        <w:pageBreakBefore w:val="0"/>
        <w:wordWrap w:val="0"/>
        <w:overflowPunct/>
        <w:topLinePunct w:val="0"/>
        <w:bidi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资格证明文件（封面）</w:t>
      </w:r>
    </w:p>
    <w:p w14:paraId="00C1FF43">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4720C4B1">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3F4FA719">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3B57B95C">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55E38A17">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5F09DC4E">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03CD4BAD">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5FBFF008">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3DDFB934">
      <w:pPr>
        <w:pageBreakBefore w:val="0"/>
        <w:wordWrap w:val="0"/>
        <w:overflowPunct/>
        <w:topLinePunct w:val="0"/>
        <w:bidi w:val="0"/>
        <w:snapToGrid w:val="0"/>
        <w:spacing w:line="360" w:lineRule="auto"/>
        <w:ind w:firstLine="540" w:firstLineChars="225"/>
        <w:rPr>
          <w:rFonts w:ascii="宋体" w:hAnsi="宋体" w:cs="宋体"/>
          <w:bCs/>
          <w:color w:val="auto"/>
          <w:sz w:val="24"/>
          <w:szCs w:val="20"/>
          <w:highlight w:val="none"/>
        </w:rPr>
      </w:pPr>
    </w:p>
    <w:p w14:paraId="3DBE748F">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项目编号：</w:t>
      </w:r>
      <w:r>
        <w:rPr>
          <w:rFonts w:hint="eastAsia" w:ascii="宋体" w:hAnsi="宋体" w:cs="宋体"/>
          <w:color w:val="auto"/>
          <w:sz w:val="24"/>
          <w:highlight w:val="none"/>
        </w:rPr>
        <w:t xml:space="preserve"> </w:t>
      </w:r>
    </w:p>
    <w:p w14:paraId="6ECAA643">
      <w:pPr>
        <w:pageBreakBefore w:val="0"/>
        <w:wordWrap w:val="0"/>
        <w:overflowPunct/>
        <w:topLinePunct w:val="0"/>
        <w:bidi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 </w:t>
      </w:r>
    </w:p>
    <w:p w14:paraId="5A827858">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w:t>
      </w:r>
    </w:p>
    <w:p w14:paraId="14CEE210">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p>
    <w:p w14:paraId="425087F3">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639C32EF">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p>
    <w:p w14:paraId="272C4F79">
      <w:pPr>
        <w:pStyle w:val="7"/>
        <w:pageBreakBefore w:val="0"/>
        <w:wordWrap w:val="0"/>
        <w:overflowPunct/>
        <w:topLinePunct w:val="0"/>
        <w:bidi w:val="0"/>
        <w:snapToGrid w:val="0"/>
        <w:spacing w:line="360" w:lineRule="auto"/>
        <w:ind w:firstLine="960" w:firstLineChars="400"/>
        <w:rPr>
          <w:rFonts w:ascii="宋体" w:hAnsi="宋体" w:cs="宋体"/>
          <w:bCs/>
          <w:color w:val="auto"/>
          <w:sz w:val="24"/>
          <w:szCs w:val="24"/>
          <w:highlight w:val="none"/>
        </w:rPr>
      </w:pPr>
    </w:p>
    <w:p w14:paraId="14AE99FF">
      <w:pPr>
        <w:pageBreakBefore w:val="0"/>
        <w:wordWrap w:val="0"/>
        <w:overflowPunct/>
        <w:topLinePunct w:val="0"/>
        <w:bidi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年  月  日</w:t>
      </w:r>
    </w:p>
    <w:p w14:paraId="339E8964">
      <w:pPr>
        <w:pageBreakBefore w:val="0"/>
        <w:widowControl/>
        <w:wordWrap w:val="0"/>
        <w:overflowPunct/>
        <w:topLinePunct w:val="0"/>
        <w:bidi w:val="0"/>
        <w:spacing w:line="360" w:lineRule="auto"/>
        <w:jc w:val="left"/>
        <w:rPr>
          <w:rFonts w:ascii="宋体" w:hAnsi="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555CE49C">
      <w:pPr>
        <w:pageBreakBefore w:val="0"/>
        <w:wordWrap w:val="0"/>
        <w:overflowPunct/>
        <w:topLinePunct w:val="0"/>
        <w:bidi w:val="0"/>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资格证明文件目录</w:t>
      </w:r>
    </w:p>
    <w:p w14:paraId="1C2B4C0C">
      <w:pPr>
        <w:pageBreakBefore w:val="0"/>
        <w:wordWrap w:val="0"/>
        <w:overflowPunct/>
        <w:topLinePunct w:val="0"/>
        <w:bidi w:val="0"/>
        <w:snapToGrid w:val="0"/>
        <w:spacing w:line="360" w:lineRule="auto"/>
        <w:rPr>
          <w:rFonts w:ascii="宋体" w:hAnsi="宋体" w:cs="宋体"/>
          <w:color w:val="auto"/>
          <w:kern w:val="0"/>
          <w:sz w:val="24"/>
          <w:highlight w:val="none"/>
        </w:rPr>
      </w:pPr>
    </w:p>
    <w:p w14:paraId="3AEC5A6C">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营业执照(或事业法人登记证或其他工商等登记证明材料)复印件（投标人为自然人的，须提供</w:t>
      </w:r>
      <w:r>
        <w:rPr>
          <w:rFonts w:hint="eastAsia" w:ascii="宋体" w:hAnsi="宋体" w:cs="宋体"/>
          <w:color w:val="auto"/>
          <w:kern w:val="0"/>
          <w:sz w:val="24"/>
          <w:highlight w:val="none"/>
        </w:rPr>
        <w:t>自然人的身份证明</w:t>
      </w:r>
      <w:r>
        <w:rPr>
          <w:rFonts w:hint="eastAsia" w:ascii="宋体" w:hAnsi="宋体" w:cs="宋体"/>
          <w:color w:val="auto"/>
          <w:sz w:val="24"/>
          <w:highlight w:val="none"/>
        </w:rPr>
        <w:t>）</w:t>
      </w:r>
      <w:r>
        <w:rPr>
          <w:rFonts w:hint="eastAsia" w:ascii="宋体" w:hAnsi="宋体" w:cs="宋体"/>
          <w:color w:val="auto"/>
          <w:kern w:val="0"/>
          <w:sz w:val="24"/>
          <w:highlight w:val="none"/>
        </w:rPr>
        <w:t>……………………………………………………………（页码）</w:t>
      </w:r>
    </w:p>
    <w:p w14:paraId="0FD99C7D">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二、符合参与政府采购活动的资格条件依法缴纳税收、社会保障资金等方面的材料…………………………………………………………………………………………（页码）</w:t>
      </w:r>
    </w:p>
    <w:p w14:paraId="14669DB9">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三、财务状况报告方面的材料…………………………………………………………（页码）</w:t>
      </w:r>
    </w:p>
    <w:p w14:paraId="68D5F56E">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四、投标人直接控股股东信息</w:t>
      </w:r>
      <w:r>
        <w:rPr>
          <w:rFonts w:hint="eastAsia" w:ascii="宋体" w:hAnsi="宋体" w:cs="宋体"/>
          <w:color w:val="auto"/>
          <w:sz w:val="24"/>
          <w:highlight w:val="none"/>
          <w:lang w:val="en-US" w:eastAsia="zh-CN"/>
        </w:rPr>
        <w:t>表</w:t>
      </w:r>
      <w:r>
        <w:rPr>
          <w:rFonts w:hint="eastAsia" w:ascii="宋体" w:hAnsi="宋体" w:cs="宋体"/>
          <w:color w:val="auto"/>
          <w:kern w:val="0"/>
          <w:sz w:val="24"/>
          <w:highlight w:val="none"/>
        </w:rPr>
        <w:t>…………………………………………………………（页码）</w:t>
      </w:r>
    </w:p>
    <w:p w14:paraId="039AF394">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五、投标人直接管理关系信息表</w:t>
      </w:r>
      <w:r>
        <w:rPr>
          <w:rFonts w:hint="eastAsia" w:ascii="宋体" w:hAnsi="宋体" w:cs="宋体"/>
          <w:color w:val="auto"/>
          <w:kern w:val="0"/>
          <w:sz w:val="24"/>
          <w:highlight w:val="none"/>
        </w:rPr>
        <w:t>………………………………………………………（页码）</w:t>
      </w:r>
    </w:p>
    <w:p w14:paraId="43B80EA0">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六、投标资格声明函……………………………………………………………………（页码）</w:t>
      </w:r>
    </w:p>
    <w:p w14:paraId="46D5F4A9">
      <w:pPr>
        <w:pageBreakBefore w:val="0"/>
        <w:wordWrap w:val="0"/>
        <w:overflowPunct/>
        <w:topLinePunct w:val="0"/>
        <w:bidi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七、联合体协议书（</w:t>
      </w:r>
      <w:r>
        <w:rPr>
          <w:rFonts w:hint="eastAsia" w:ascii="宋体" w:hAnsi="宋体" w:cs="宋体"/>
          <w:color w:val="auto"/>
          <w:sz w:val="24"/>
          <w:highlight w:val="none"/>
        </w:rPr>
        <w:t>以联合体形式投标的，提供联合体协议；本项目不接受联合体投标或者投标人不以联合体形式投标的，则不需要提供</w:t>
      </w:r>
      <w:r>
        <w:rPr>
          <w:rFonts w:hint="eastAsia" w:ascii="宋体" w:hAnsi="宋体" w:cs="宋体"/>
          <w:color w:val="auto"/>
          <w:kern w:val="0"/>
          <w:sz w:val="24"/>
          <w:highlight w:val="none"/>
        </w:rPr>
        <w:t>）………………………………………（页码）</w:t>
      </w:r>
    </w:p>
    <w:p w14:paraId="6C42F336">
      <w:pPr>
        <w:keepLines/>
        <w:pageBreakBefore w:val="0"/>
        <w:numPr>
          <w:ilvl w:val="0"/>
          <w:numId w:val="0"/>
        </w:numPr>
        <w:wordWrap w:val="0"/>
        <w:overflowPunct/>
        <w:topLinePunct w:val="0"/>
        <w:bidi w:val="0"/>
        <w:snapToGrid w:val="0"/>
        <w:spacing w:line="360" w:lineRule="auto"/>
        <w:jc w:val="left"/>
        <w:rPr>
          <w:rFonts w:hint="eastAsia" w:ascii="宋体" w:hAnsi="宋体"/>
          <w:color w:val="auto"/>
          <w:sz w:val="24"/>
          <w:highlight w:val="none"/>
        </w:rPr>
      </w:pPr>
      <w:r>
        <w:rPr>
          <w:rFonts w:hint="eastAsia" w:ascii="宋体" w:hAnsi="宋体"/>
          <w:color w:val="auto"/>
          <w:sz w:val="24"/>
          <w:highlight w:val="none"/>
          <w:lang w:val="en-US" w:eastAsia="zh-CN"/>
        </w:rPr>
        <w:t>八、</w:t>
      </w:r>
      <w:r>
        <w:rPr>
          <w:rFonts w:hint="eastAsia" w:ascii="宋体" w:hAnsi="宋体"/>
          <w:color w:val="auto"/>
          <w:sz w:val="24"/>
          <w:highlight w:val="none"/>
        </w:rPr>
        <w:t>除招标文件规定必须提供以外，投标人认为需要提供的其他证明材料</w:t>
      </w:r>
      <w:r>
        <w:rPr>
          <w:rFonts w:hint="eastAsia" w:ascii="宋体" w:hAnsi="宋体" w:cs="宋体"/>
          <w:color w:val="auto"/>
          <w:kern w:val="0"/>
          <w:sz w:val="24"/>
          <w:highlight w:val="none"/>
        </w:rPr>
        <w:t>………（页码）</w:t>
      </w:r>
    </w:p>
    <w:p w14:paraId="4020A018">
      <w:pPr>
        <w:keepLines/>
        <w:pageBreakBefore w:val="0"/>
        <w:numPr>
          <w:ilvl w:val="0"/>
          <w:numId w:val="0"/>
        </w:numPr>
        <w:wordWrap w:val="0"/>
        <w:overflowPunct/>
        <w:topLinePunct w:val="0"/>
        <w:bidi w:val="0"/>
        <w:snapToGrid w:val="0"/>
        <w:spacing w:line="360" w:lineRule="auto"/>
        <w:jc w:val="left"/>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30FB20B9">
      <w:pPr>
        <w:pageBreakBefore w:val="0"/>
        <w:widowControl/>
        <w:wordWrap w:val="0"/>
        <w:overflowPunct/>
        <w:topLinePunct w:val="0"/>
        <w:bidi w:val="0"/>
        <w:spacing w:line="360" w:lineRule="auto"/>
        <w:jc w:val="left"/>
        <w:rPr>
          <w:rFonts w:ascii="宋体" w:hAnsi="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43EDB227">
      <w:pPr>
        <w:pageBreakBefore w:val="0"/>
        <w:wordWrap w:val="0"/>
        <w:overflowPunct/>
        <w:topLinePunct w:val="0"/>
        <w:bidi w:val="0"/>
        <w:snapToGrid w:val="0"/>
        <w:spacing w:line="360" w:lineRule="auto"/>
        <w:rPr>
          <w:rFonts w:ascii="宋体" w:hAnsi="宋体" w:cs="宋体"/>
          <w:b/>
          <w:color w:val="auto"/>
          <w:kern w:val="0"/>
          <w:sz w:val="32"/>
          <w:szCs w:val="32"/>
          <w:highlight w:val="none"/>
          <w:lang w:val="zh-CN"/>
        </w:rPr>
      </w:pPr>
    </w:p>
    <w:p w14:paraId="32519D10">
      <w:pPr>
        <w:pageBreakBefore w:val="0"/>
        <w:wordWrap w:val="0"/>
        <w:overflowPunct/>
        <w:topLinePunct w:val="0"/>
        <w:bidi w:val="0"/>
        <w:spacing w:line="360" w:lineRule="auto"/>
        <w:jc w:val="center"/>
        <w:rPr>
          <w:rFonts w:ascii="宋体" w:hAnsi="宋体" w:cs="宋体"/>
          <w:b/>
          <w:color w:val="auto"/>
          <w:sz w:val="30"/>
          <w:szCs w:val="30"/>
          <w:highlight w:val="none"/>
        </w:rPr>
      </w:pPr>
      <w:r>
        <w:rPr>
          <w:rFonts w:hint="eastAsia" w:ascii="宋体" w:hAnsi="宋体" w:cs="宋体"/>
          <w:b/>
          <w:color w:val="auto"/>
          <w:kern w:val="0"/>
          <w:sz w:val="32"/>
          <w:szCs w:val="32"/>
          <w:highlight w:val="none"/>
          <w:lang w:val="zh-CN"/>
        </w:rPr>
        <w:t>一、</w:t>
      </w:r>
      <w:r>
        <w:rPr>
          <w:rFonts w:hint="eastAsia" w:ascii="宋体" w:hAnsi="宋体" w:cs="宋体"/>
          <w:b/>
          <w:color w:val="auto"/>
          <w:sz w:val="30"/>
          <w:szCs w:val="30"/>
          <w:highlight w:val="none"/>
        </w:rPr>
        <w:t>营业执照(或事业法人登记证或其他工商等登记证明材料)复印件（投标人为自然人的，提供自然人的身份证明）</w:t>
      </w:r>
    </w:p>
    <w:p w14:paraId="789F2ECB">
      <w:pPr>
        <w:pageBreakBefore w:val="0"/>
        <w:wordWrap w:val="0"/>
        <w:overflowPunct/>
        <w:topLinePunct w:val="0"/>
        <w:bidi w:val="0"/>
        <w:spacing w:line="360" w:lineRule="auto"/>
        <w:rPr>
          <w:rFonts w:ascii="宋体" w:hAnsi="宋体" w:cs="宋体"/>
          <w:b/>
          <w:color w:val="auto"/>
          <w:sz w:val="30"/>
          <w:szCs w:val="30"/>
          <w:highlight w:val="none"/>
        </w:rPr>
      </w:pPr>
    </w:p>
    <w:p w14:paraId="34CD461F">
      <w:pPr>
        <w:pageBreakBefore w:val="0"/>
        <w:wordWrap w:val="0"/>
        <w:overflowPunct/>
        <w:topLinePunct w:val="0"/>
        <w:bidi w:val="0"/>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投标人名称(电子签章)：                              </w:t>
      </w:r>
    </w:p>
    <w:p w14:paraId="622C5A53">
      <w:pPr>
        <w:pageBreakBefore w:val="0"/>
        <w:wordWrap w:val="0"/>
        <w:overflowPunct/>
        <w:topLinePunct w:val="0"/>
        <w:bidi w:val="0"/>
        <w:spacing w:line="360" w:lineRule="auto"/>
        <w:jc w:val="center"/>
        <w:rPr>
          <w:rFonts w:ascii="宋体" w:hAnsi="宋体" w:cs="宋体"/>
          <w:b/>
          <w:color w:val="auto"/>
          <w:sz w:val="30"/>
          <w:szCs w:val="30"/>
          <w:highlight w:val="none"/>
        </w:rPr>
      </w:pPr>
      <w:r>
        <w:rPr>
          <w:rFonts w:hint="eastAsia" w:ascii="宋体" w:hAnsi="宋体" w:cs="宋体"/>
          <w:color w:val="auto"/>
          <w:kern w:val="0"/>
          <w:sz w:val="24"/>
          <w:highlight w:val="none"/>
          <w:lang w:val="zh-CN"/>
        </w:rPr>
        <w:t xml:space="preserve">                   日期：  年  月</w:t>
      </w:r>
    </w:p>
    <w:p w14:paraId="0EE43178">
      <w:pPr>
        <w:pageBreakBefore w:val="0"/>
        <w:wordWrap w:val="0"/>
        <w:overflowPunct/>
        <w:topLinePunct w:val="0"/>
        <w:bidi w:val="0"/>
        <w:spacing w:line="360" w:lineRule="auto"/>
        <w:jc w:val="center"/>
        <w:rPr>
          <w:rFonts w:ascii="宋体" w:hAnsi="宋体" w:cs="宋体"/>
          <w:b/>
          <w:color w:val="auto"/>
          <w:sz w:val="30"/>
          <w:szCs w:val="30"/>
          <w:highlight w:val="none"/>
        </w:rPr>
      </w:pPr>
    </w:p>
    <w:p w14:paraId="4F9AE1C7">
      <w:pPr>
        <w:pageBreakBefore w:val="0"/>
        <w:wordWrap w:val="0"/>
        <w:overflowPunct/>
        <w:topLinePunct w:val="0"/>
        <w:bidi w:val="0"/>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sz w:val="30"/>
          <w:szCs w:val="30"/>
          <w:highlight w:val="none"/>
        </w:rPr>
        <w:t>二、</w:t>
      </w:r>
      <w:r>
        <w:rPr>
          <w:rFonts w:hint="eastAsia" w:ascii="宋体" w:hAnsi="宋体" w:cs="宋体"/>
          <w:b/>
          <w:color w:val="auto"/>
          <w:kern w:val="0"/>
          <w:sz w:val="32"/>
          <w:szCs w:val="32"/>
          <w:highlight w:val="none"/>
        </w:rPr>
        <w:t>符合参与政府采购活动的资格条件依法缴纳税收、社会保障资金等方面的材料</w:t>
      </w:r>
    </w:p>
    <w:p w14:paraId="7013B145">
      <w:pPr>
        <w:pageBreakBefore w:val="0"/>
        <w:wordWrap w:val="0"/>
        <w:overflowPunct/>
        <w:topLinePunct w:val="0"/>
        <w:bidi w:val="0"/>
        <w:snapToGrid w:val="0"/>
        <w:spacing w:line="360" w:lineRule="auto"/>
        <w:ind w:firstLine="480" w:firstLineChars="200"/>
        <w:rPr>
          <w:rFonts w:ascii="宋体" w:hAnsi="宋体" w:cs="宋体"/>
          <w:color w:val="auto"/>
          <w:sz w:val="24"/>
          <w:highlight w:val="none"/>
        </w:rPr>
      </w:pPr>
    </w:p>
    <w:p w14:paraId="64A8D0A8">
      <w:pPr>
        <w:pageBreakBefore w:val="0"/>
        <w:wordWrap w:val="0"/>
        <w:overflowPunct/>
        <w:topLinePunct w:val="0"/>
        <w:bidi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159ECD6C">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投标人名称(电子签章)：</w:t>
      </w:r>
    </w:p>
    <w:p w14:paraId="325AA5DA">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2714029">
      <w:pPr>
        <w:pageBreakBefore w:val="0"/>
        <w:wordWrap w:val="0"/>
        <w:overflowPunct/>
        <w:topLinePunct w:val="0"/>
        <w:bidi w:val="0"/>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sz w:val="30"/>
          <w:szCs w:val="30"/>
          <w:highlight w:val="none"/>
        </w:rPr>
        <w:t>三、</w:t>
      </w:r>
      <w:r>
        <w:rPr>
          <w:rFonts w:hint="eastAsia" w:ascii="宋体" w:hAnsi="宋体" w:cs="宋体"/>
          <w:b/>
          <w:color w:val="auto"/>
          <w:kern w:val="0"/>
          <w:sz w:val="32"/>
          <w:szCs w:val="32"/>
          <w:highlight w:val="none"/>
        </w:rPr>
        <w:t>财务状况报告方面的材料</w:t>
      </w:r>
    </w:p>
    <w:p w14:paraId="36C1786D">
      <w:pPr>
        <w:pageBreakBefore w:val="0"/>
        <w:wordWrap w:val="0"/>
        <w:overflowPunct/>
        <w:topLinePunct w:val="0"/>
        <w:bidi w:val="0"/>
        <w:snapToGrid w:val="0"/>
        <w:spacing w:line="360" w:lineRule="auto"/>
        <w:ind w:firstLine="480" w:firstLineChars="200"/>
        <w:rPr>
          <w:rFonts w:ascii="宋体" w:hAnsi="宋体" w:cs="宋体"/>
          <w:color w:val="auto"/>
          <w:sz w:val="24"/>
          <w:highlight w:val="none"/>
        </w:rPr>
      </w:pPr>
    </w:p>
    <w:p w14:paraId="7C046CB5">
      <w:pPr>
        <w:pageBreakBefore w:val="0"/>
        <w:wordWrap w:val="0"/>
        <w:overflowPunct/>
        <w:topLinePunct w:val="0"/>
        <w:bidi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1BDD0A01">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投标人名称(电子签章)：</w:t>
      </w:r>
    </w:p>
    <w:p w14:paraId="38653FDD">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790DC4D">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p>
    <w:p w14:paraId="5AFA61A0">
      <w:pPr>
        <w:pageBreakBefore w:val="0"/>
        <w:wordWrap w:val="0"/>
        <w:overflowPunct/>
        <w:topLinePunct w:val="0"/>
        <w:bidi w:val="0"/>
        <w:snapToGrid w:val="0"/>
        <w:spacing w:line="360" w:lineRule="auto"/>
        <w:ind w:right="480"/>
        <w:jc w:val="center"/>
        <w:rPr>
          <w:rFonts w:ascii="宋体" w:hAnsi="宋体" w:cs="宋体"/>
          <w:b/>
          <w:color w:val="auto"/>
          <w:kern w:val="0"/>
          <w:sz w:val="32"/>
          <w:szCs w:val="32"/>
          <w:highlight w:val="none"/>
          <w:lang w:val="zh-CN"/>
        </w:rPr>
      </w:pPr>
    </w:p>
    <w:p w14:paraId="7D3B3848">
      <w:pPr>
        <w:pageBreakBefore w:val="0"/>
        <w:wordWrap w:val="0"/>
        <w:overflowPunct/>
        <w:topLinePunct w:val="0"/>
        <w:bidi w:val="0"/>
        <w:snapToGrid w:val="0"/>
        <w:spacing w:line="360" w:lineRule="auto"/>
        <w:ind w:right="480"/>
        <w:jc w:val="center"/>
        <w:rPr>
          <w:rFonts w:ascii="宋体" w:hAnsi="宋体" w:cs="宋体"/>
          <w:b/>
          <w:color w:val="auto"/>
          <w:sz w:val="28"/>
          <w:szCs w:val="28"/>
          <w:highlight w:val="none"/>
        </w:rPr>
      </w:pPr>
      <w:r>
        <w:rPr>
          <w:rFonts w:hint="eastAsia" w:ascii="宋体" w:hAnsi="宋体" w:cs="宋体"/>
          <w:b/>
          <w:color w:val="auto"/>
          <w:kern w:val="0"/>
          <w:sz w:val="32"/>
          <w:szCs w:val="32"/>
          <w:highlight w:val="none"/>
        </w:rPr>
        <w:br w:type="page"/>
      </w:r>
    </w:p>
    <w:p w14:paraId="730CADF5">
      <w:pPr>
        <w:pageBreakBefore w:val="0"/>
        <w:wordWrap w:val="0"/>
        <w:overflowPunct/>
        <w:topLinePunct w:val="0"/>
        <w:bidi w:val="0"/>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四、投标人直接控股股东信息表</w:t>
      </w:r>
    </w:p>
    <w:tbl>
      <w:tblPr>
        <w:tblStyle w:val="20"/>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01CBD28">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182AB82">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DEFE225">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4A150E">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4361EC">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8FE5A03">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F71556A">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70A731">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1C6829">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5090E2">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F0EDF9">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0913E6">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7F55E6C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52DDD8">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C8442F">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143A0CC">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45A9B">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2898F7">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1E1C2B02">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B38052">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6524D5">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1F18E9">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F97FBB">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6039EE">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459CB69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1D972B">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54F046">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A021BC">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4AC461">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D73965">
            <w:pPr>
              <w:pageBreakBefore w:val="0"/>
              <w:wordWrap w:val="0"/>
              <w:overflowPunct/>
              <w:topLinePunct w:val="0"/>
              <w:bidi w:val="0"/>
              <w:spacing w:line="360" w:lineRule="auto"/>
              <w:jc w:val="center"/>
              <w:rPr>
                <w:rFonts w:ascii="宋体" w:hAnsi="宋体" w:cs="宋体"/>
                <w:color w:val="auto"/>
                <w:kern w:val="0"/>
                <w:sz w:val="24"/>
                <w:highlight w:val="none"/>
              </w:rPr>
            </w:pPr>
          </w:p>
        </w:tc>
      </w:tr>
    </w:tbl>
    <w:p w14:paraId="182559D3">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6BECE4D8">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38B458D">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2CAC32C1">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3.供应商不存在直接控股股东的，则填“无”。</w:t>
      </w:r>
    </w:p>
    <w:p w14:paraId="3BC7A6AB">
      <w:pPr>
        <w:pageBreakBefore w:val="0"/>
        <w:wordWrap w:val="0"/>
        <w:overflowPunct/>
        <w:topLinePunct w:val="0"/>
        <w:bidi w:val="0"/>
        <w:snapToGrid w:val="0"/>
        <w:spacing w:line="360" w:lineRule="auto"/>
        <w:jc w:val="left"/>
        <w:rPr>
          <w:rFonts w:ascii="宋体" w:hAnsi="宋体" w:cs="宋体"/>
          <w:color w:val="auto"/>
          <w:sz w:val="24"/>
          <w:highlight w:val="none"/>
        </w:rPr>
      </w:pPr>
    </w:p>
    <w:p w14:paraId="6E57D7A5">
      <w:pPr>
        <w:pageBreakBefore w:val="0"/>
        <w:wordWrap w:val="0"/>
        <w:overflowPunct/>
        <w:topLinePunct w:val="0"/>
        <w:bidi w:val="0"/>
        <w:snapToGrid w:val="0"/>
        <w:spacing w:line="360" w:lineRule="auto"/>
        <w:jc w:val="left"/>
        <w:rPr>
          <w:rFonts w:ascii="宋体" w:hAnsi="宋体" w:cs="宋体"/>
          <w:color w:val="auto"/>
          <w:sz w:val="24"/>
          <w:highlight w:val="none"/>
        </w:rPr>
      </w:pPr>
    </w:p>
    <w:p w14:paraId="140E86D8">
      <w:pPr>
        <w:pageBreakBefore w:val="0"/>
        <w:wordWrap w:val="0"/>
        <w:overflowPunct/>
        <w:topLinePunct w:val="0"/>
        <w:bidi w:val="0"/>
        <w:snapToGrid w:val="0"/>
        <w:spacing w:line="360" w:lineRule="auto"/>
        <w:jc w:val="left"/>
        <w:rPr>
          <w:rFonts w:ascii="宋体" w:hAnsi="宋体" w:cs="宋体"/>
          <w:color w:val="auto"/>
          <w:sz w:val="24"/>
          <w:highlight w:val="none"/>
        </w:rPr>
      </w:pPr>
    </w:p>
    <w:p w14:paraId="5CF373D8">
      <w:pPr>
        <w:pageBreakBefore w:val="0"/>
        <w:wordWrap w:val="0"/>
        <w:overflowPunct/>
        <w:topLinePunct w:val="0"/>
        <w:bidi w:val="0"/>
        <w:snapToGrid w:val="0"/>
        <w:spacing w:line="360" w:lineRule="auto"/>
        <w:jc w:val="left"/>
        <w:rPr>
          <w:rFonts w:ascii="宋体" w:hAnsi="宋体" w:cs="宋体"/>
          <w:color w:val="auto"/>
          <w:sz w:val="24"/>
          <w:highlight w:val="none"/>
        </w:rPr>
      </w:pPr>
    </w:p>
    <w:p w14:paraId="2C1981C5">
      <w:pPr>
        <w:pageBreakBefore w:val="0"/>
        <w:wordWrap w:val="0"/>
        <w:overflowPunct/>
        <w:topLinePunct w:val="0"/>
        <w:bidi w:val="0"/>
        <w:snapToGrid w:val="0"/>
        <w:spacing w:line="360" w:lineRule="auto"/>
        <w:jc w:val="left"/>
        <w:rPr>
          <w:rFonts w:ascii="宋体" w:hAnsi="宋体" w:cs="宋体"/>
          <w:color w:val="auto"/>
          <w:sz w:val="24"/>
          <w:highlight w:val="none"/>
        </w:rPr>
      </w:pPr>
    </w:p>
    <w:p w14:paraId="2EB744A5">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186E5494">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19BFF17">
      <w:pPr>
        <w:pageBreakBefore w:val="0"/>
        <w:wordWrap w:val="0"/>
        <w:overflowPunct/>
        <w:topLinePunct w:val="0"/>
        <w:bidi w:val="0"/>
        <w:snapToGrid w:val="0"/>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091D8D14">
      <w:pPr>
        <w:pageBreakBefore w:val="0"/>
        <w:wordWrap w:val="0"/>
        <w:overflowPunct/>
        <w:topLinePunct w:val="0"/>
        <w:bidi w:val="0"/>
        <w:snapToGrid w:val="0"/>
        <w:spacing w:line="360" w:lineRule="auto"/>
        <w:jc w:val="center"/>
        <w:rPr>
          <w:rFonts w:ascii="宋体" w:hAnsi="宋体" w:cs="宋体"/>
          <w:color w:val="auto"/>
          <w:sz w:val="32"/>
          <w:szCs w:val="32"/>
          <w:highlight w:val="none"/>
        </w:rPr>
      </w:pPr>
      <w:r>
        <w:rPr>
          <w:rFonts w:hint="eastAsia" w:ascii="宋体" w:hAnsi="宋体" w:cs="宋体"/>
          <w:b/>
          <w:color w:val="auto"/>
          <w:sz w:val="32"/>
          <w:szCs w:val="32"/>
          <w:highlight w:val="none"/>
        </w:rPr>
        <w:t>五、投标人直接管理关系信息表</w:t>
      </w:r>
    </w:p>
    <w:tbl>
      <w:tblPr>
        <w:tblStyle w:val="20"/>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5E520BE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6824498">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3583A8C">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9164EB0">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778DFE6">
            <w:pPr>
              <w:pageBreakBefore w:val="0"/>
              <w:wordWrap w:val="0"/>
              <w:overflowPunct/>
              <w:topLinePunct w:val="0"/>
              <w:bidi w:val="0"/>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DFB70E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A2E639">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1BED8F">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4AFC8C">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ED2259">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176F8DA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C4910E9">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501D89">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92F76B">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A51A57">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5563B78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83AF98">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7CA0E0">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9E94BB">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4F01E1">
            <w:pPr>
              <w:pageBreakBefore w:val="0"/>
              <w:wordWrap w:val="0"/>
              <w:overflowPunct/>
              <w:topLinePunct w:val="0"/>
              <w:bidi w:val="0"/>
              <w:spacing w:line="360" w:lineRule="auto"/>
              <w:jc w:val="center"/>
              <w:rPr>
                <w:rFonts w:ascii="宋体" w:hAnsi="宋体" w:cs="宋体"/>
                <w:color w:val="auto"/>
                <w:kern w:val="0"/>
                <w:sz w:val="24"/>
                <w:highlight w:val="none"/>
              </w:rPr>
            </w:pPr>
          </w:p>
        </w:tc>
      </w:tr>
      <w:tr w14:paraId="1D4D062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39BEA9">
            <w:pPr>
              <w:pageBreakBefore w:val="0"/>
              <w:wordWrap w:val="0"/>
              <w:overflowPunct/>
              <w:topLinePunct w:val="0"/>
              <w:bidi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CFE7C0">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9BB215">
            <w:pPr>
              <w:pageBreakBefore w:val="0"/>
              <w:wordWrap w:val="0"/>
              <w:overflowPunct/>
              <w:topLinePunct w:val="0"/>
              <w:bidi w:val="0"/>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E08C5C">
            <w:pPr>
              <w:pageBreakBefore w:val="0"/>
              <w:wordWrap w:val="0"/>
              <w:overflowPunct/>
              <w:topLinePunct w:val="0"/>
              <w:bidi w:val="0"/>
              <w:spacing w:line="360" w:lineRule="auto"/>
              <w:jc w:val="center"/>
              <w:rPr>
                <w:rFonts w:ascii="宋体" w:hAnsi="宋体" w:cs="宋体"/>
                <w:color w:val="auto"/>
                <w:kern w:val="0"/>
                <w:sz w:val="24"/>
                <w:highlight w:val="none"/>
              </w:rPr>
            </w:pPr>
          </w:p>
        </w:tc>
      </w:tr>
    </w:tbl>
    <w:p w14:paraId="65B3ED66">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3C043A26">
      <w:pPr>
        <w:pageBreakBefore w:val="0"/>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60570901">
      <w:pPr>
        <w:pageBreakBefore w:val="0"/>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pacing w:val="-6"/>
          <w:sz w:val="24"/>
          <w:highlight w:val="none"/>
        </w:rPr>
        <w:t>本表所指的管理关系仅限于直接管理关系，不包括间接的管理关系。</w:t>
      </w:r>
    </w:p>
    <w:p w14:paraId="0ED1ADC3">
      <w:pPr>
        <w:pageBreakBefore w:val="0"/>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3.供应商不存在直接管理关系的，则填“无”。</w:t>
      </w:r>
    </w:p>
    <w:p w14:paraId="12241FD2">
      <w:pPr>
        <w:pageBreakBefore w:val="0"/>
        <w:wordWrap w:val="0"/>
        <w:overflowPunct/>
        <w:topLinePunct w:val="0"/>
        <w:bidi w:val="0"/>
        <w:snapToGrid w:val="0"/>
        <w:spacing w:line="360" w:lineRule="auto"/>
        <w:jc w:val="left"/>
        <w:rPr>
          <w:rFonts w:ascii="宋体" w:hAnsi="宋体" w:cs="宋体"/>
          <w:color w:val="auto"/>
          <w:sz w:val="24"/>
          <w:highlight w:val="none"/>
        </w:rPr>
      </w:pPr>
    </w:p>
    <w:p w14:paraId="013EB32F">
      <w:pPr>
        <w:pageBreakBefore w:val="0"/>
        <w:wordWrap w:val="0"/>
        <w:overflowPunct/>
        <w:topLinePunct w:val="0"/>
        <w:bidi w:val="0"/>
        <w:snapToGrid w:val="0"/>
        <w:spacing w:line="360" w:lineRule="auto"/>
        <w:jc w:val="left"/>
        <w:rPr>
          <w:rFonts w:ascii="宋体" w:hAnsi="宋体" w:cs="宋体"/>
          <w:color w:val="auto"/>
          <w:sz w:val="24"/>
          <w:highlight w:val="none"/>
        </w:rPr>
      </w:pPr>
    </w:p>
    <w:p w14:paraId="6BA0F74C">
      <w:pPr>
        <w:pageBreakBefore w:val="0"/>
        <w:wordWrap w:val="0"/>
        <w:overflowPunct/>
        <w:topLinePunct w:val="0"/>
        <w:bidi w:val="0"/>
        <w:snapToGrid w:val="0"/>
        <w:spacing w:line="360" w:lineRule="auto"/>
        <w:jc w:val="left"/>
        <w:rPr>
          <w:rFonts w:ascii="宋体" w:hAnsi="宋体" w:cs="宋体"/>
          <w:color w:val="auto"/>
          <w:sz w:val="24"/>
          <w:highlight w:val="none"/>
        </w:rPr>
      </w:pPr>
    </w:p>
    <w:p w14:paraId="243E2C61">
      <w:pPr>
        <w:pageBreakBefore w:val="0"/>
        <w:wordWrap w:val="0"/>
        <w:overflowPunct/>
        <w:topLinePunct w:val="0"/>
        <w:bidi w:val="0"/>
        <w:snapToGrid w:val="0"/>
        <w:spacing w:line="360" w:lineRule="auto"/>
        <w:jc w:val="left"/>
        <w:rPr>
          <w:rFonts w:ascii="宋体" w:hAnsi="宋体" w:cs="宋体"/>
          <w:color w:val="auto"/>
          <w:sz w:val="24"/>
          <w:highlight w:val="none"/>
        </w:rPr>
      </w:pPr>
    </w:p>
    <w:p w14:paraId="6653D353">
      <w:pPr>
        <w:pageBreakBefore w:val="0"/>
        <w:wordWrap w:val="0"/>
        <w:overflowPunct/>
        <w:topLinePunct w:val="0"/>
        <w:bidi w:val="0"/>
        <w:snapToGrid w:val="0"/>
        <w:spacing w:line="360" w:lineRule="auto"/>
        <w:jc w:val="left"/>
        <w:rPr>
          <w:rFonts w:ascii="宋体" w:hAnsi="宋体" w:cs="宋体"/>
          <w:color w:val="auto"/>
          <w:sz w:val="24"/>
          <w:highlight w:val="none"/>
        </w:rPr>
      </w:pPr>
    </w:p>
    <w:p w14:paraId="21866B12">
      <w:pPr>
        <w:pageBreakBefore w:val="0"/>
        <w:wordWrap w:val="0"/>
        <w:overflowPunct/>
        <w:topLinePunct w:val="0"/>
        <w:bidi w:val="0"/>
        <w:snapToGrid w:val="0"/>
        <w:spacing w:line="360" w:lineRule="auto"/>
        <w:jc w:val="left"/>
        <w:rPr>
          <w:rFonts w:ascii="宋体" w:hAnsi="宋体" w:cs="宋体"/>
          <w:color w:val="auto"/>
          <w:sz w:val="24"/>
          <w:highlight w:val="none"/>
        </w:rPr>
      </w:pPr>
    </w:p>
    <w:p w14:paraId="414154D8">
      <w:pPr>
        <w:pageBreakBefore w:val="0"/>
        <w:wordWrap w:val="0"/>
        <w:overflowPunct/>
        <w:topLinePunct w:val="0"/>
        <w:bidi w:val="0"/>
        <w:snapToGrid w:val="0"/>
        <w:spacing w:line="360" w:lineRule="auto"/>
        <w:jc w:val="left"/>
        <w:rPr>
          <w:rFonts w:ascii="宋体" w:hAnsi="宋体" w:cs="宋体"/>
          <w:color w:val="auto"/>
          <w:sz w:val="24"/>
          <w:highlight w:val="none"/>
        </w:rPr>
      </w:pPr>
    </w:p>
    <w:p w14:paraId="22BCF4AD">
      <w:pPr>
        <w:pageBreakBefore w:val="0"/>
        <w:wordWrap w:val="0"/>
        <w:overflowPunct/>
        <w:topLinePunct w:val="0"/>
        <w:bidi w:val="0"/>
        <w:snapToGrid w:val="0"/>
        <w:spacing w:line="360" w:lineRule="auto"/>
        <w:jc w:val="left"/>
        <w:rPr>
          <w:rFonts w:ascii="宋体" w:hAnsi="宋体" w:cs="宋体"/>
          <w:color w:val="auto"/>
          <w:sz w:val="24"/>
          <w:highlight w:val="none"/>
        </w:rPr>
      </w:pPr>
    </w:p>
    <w:p w14:paraId="0C26F341">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0544251">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143C34B">
      <w:pPr>
        <w:pageBreakBefore w:val="0"/>
        <w:wordWrap w:val="0"/>
        <w:overflowPunct/>
        <w:topLinePunct w:val="0"/>
        <w:bidi w:val="0"/>
        <w:snapToGrid w:val="0"/>
        <w:spacing w:line="360" w:lineRule="auto"/>
        <w:jc w:val="left"/>
        <w:rPr>
          <w:rFonts w:ascii="宋体" w:hAnsi="宋体" w:cs="宋体"/>
          <w:color w:val="auto"/>
          <w:szCs w:val="21"/>
          <w:highlight w:val="none"/>
        </w:rPr>
      </w:pPr>
    </w:p>
    <w:p w14:paraId="6317866A">
      <w:pPr>
        <w:pageBreakBefore w:val="0"/>
        <w:wordWrap w:val="0"/>
        <w:overflowPunct/>
        <w:topLinePunct w:val="0"/>
        <w:bidi w:val="0"/>
        <w:snapToGrid w:val="0"/>
        <w:spacing w:line="360" w:lineRule="auto"/>
        <w:jc w:val="left"/>
        <w:rPr>
          <w:rFonts w:ascii="宋体" w:hAnsi="宋体" w:cs="宋体"/>
          <w:b/>
          <w:color w:val="auto"/>
          <w:sz w:val="24"/>
          <w:szCs w:val="20"/>
          <w:highlight w:val="none"/>
        </w:rPr>
      </w:pPr>
    </w:p>
    <w:p w14:paraId="4B10D7E2">
      <w:pPr>
        <w:pageBreakBefore w:val="0"/>
        <w:wordWrap w:val="0"/>
        <w:overflowPunct/>
        <w:topLinePunct w:val="0"/>
        <w:bidi w:val="0"/>
        <w:snapToGrid w:val="0"/>
        <w:spacing w:line="360" w:lineRule="auto"/>
        <w:jc w:val="left"/>
        <w:rPr>
          <w:rFonts w:ascii="宋体" w:hAnsi="宋体" w:cs="宋体"/>
          <w:b/>
          <w:color w:val="auto"/>
          <w:sz w:val="24"/>
          <w:highlight w:val="none"/>
        </w:rPr>
      </w:pPr>
    </w:p>
    <w:p w14:paraId="5FEEEE36">
      <w:pPr>
        <w:pageBreakBefore w:val="0"/>
        <w:wordWrap w:val="0"/>
        <w:overflowPunct/>
        <w:topLinePunct w:val="0"/>
        <w:bidi w:val="0"/>
        <w:snapToGrid w:val="0"/>
        <w:spacing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xml:space="preserve"> </w:t>
      </w:r>
    </w:p>
    <w:p w14:paraId="0E0239A0">
      <w:pPr>
        <w:pageBreakBefore w:val="0"/>
        <w:wordWrap w:val="0"/>
        <w:overflowPunct/>
        <w:topLinePunct w:val="0"/>
        <w:bidi w:val="0"/>
        <w:snapToGrid w:val="0"/>
        <w:spacing w:line="360" w:lineRule="auto"/>
        <w:jc w:val="left"/>
        <w:rPr>
          <w:rFonts w:ascii="宋体" w:hAnsi="宋体" w:cs="宋体"/>
          <w:b/>
          <w:color w:val="auto"/>
          <w:sz w:val="24"/>
          <w:szCs w:val="20"/>
          <w:highlight w:val="none"/>
        </w:rPr>
      </w:pPr>
    </w:p>
    <w:p w14:paraId="55C7C60E">
      <w:pPr>
        <w:pageBreakBefore w:val="0"/>
        <w:wordWrap w:val="0"/>
        <w:overflowPunct/>
        <w:topLinePunct w:val="0"/>
        <w:bidi w:val="0"/>
        <w:snapToGrid w:val="0"/>
        <w:spacing w:line="360" w:lineRule="auto"/>
        <w:jc w:val="left"/>
        <w:rPr>
          <w:rFonts w:ascii="宋体" w:hAnsi="宋体" w:cs="宋体"/>
          <w:color w:val="auto"/>
          <w:highlight w:val="none"/>
        </w:rPr>
      </w:pPr>
    </w:p>
    <w:p w14:paraId="4BC1DFA8">
      <w:pPr>
        <w:pageBreakBefore w:val="0"/>
        <w:wordWrap w:val="0"/>
        <w:overflowPunct/>
        <w:topLinePunct w:val="0"/>
        <w:bidi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六、投标资格声明函</w:t>
      </w:r>
    </w:p>
    <w:p w14:paraId="37BE04AE">
      <w:pPr>
        <w:pageBreakBefore w:val="0"/>
        <w:tabs>
          <w:tab w:val="left" w:pos="7200"/>
        </w:tabs>
        <w:wordWrap w:val="0"/>
        <w:overflowPunct/>
        <w:topLinePunct w:val="0"/>
        <w:bidi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致：</w:t>
      </w:r>
      <w:bookmarkStart w:id="429" w:name="PO_3000001866_PM031_5"/>
      <w:r>
        <w:rPr>
          <w:rFonts w:hint="eastAsia" w:ascii="宋体" w:hAnsi="宋体" w:cs="宋体"/>
          <w:color w:val="auto"/>
          <w:szCs w:val="21"/>
          <w:highlight w:val="none"/>
          <w:u w:val="single"/>
        </w:rPr>
        <w:t>广西邕政采购代理有限公司</w:t>
      </w:r>
      <w:bookmarkEnd w:id="429"/>
      <w:r>
        <w:rPr>
          <w:rFonts w:hint="eastAsia" w:ascii="宋体" w:hAnsi="宋体" w:cs="宋体"/>
          <w:color w:val="auto"/>
          <w:szCs w:val="21"/>
          <w:highlight w:val="none"/>
          <w:u w:val="single"/>
        </w:rPr>
        <w:t xml:space="preserve"> </w:t>
      </w:r>
    </w:p>
    <w:p w14:paraId="121FBDB9">
      <w:pPr>
        <w:pageBreakBefore w:val="0"/>
        <w:wordWrap w:val="0"/>
        <w:overflowPunct/>
        <w:topLinePunct w:val="0"/>
        <w:bidi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我方愿意参加贵方组织的_</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（项目编号：         ）项目的投标，为便于贵方公正、择优地确定中标供应商，我方就本次投标有关事项郑重声明如下：</w:t>
      </w:r>
    </w:p>
    <w:p w14:paraId="34DA6D54">
      <w:pPr>
        <w:pageBreakBefore w:val="0"/>
        <w:wordWrap w:val="0"/>
        <w:overflowPunct/>
        <w:topLinePunct w:val="0"/>
        <w:bidi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229BDBE4">
      <w:pPr>
        <w:pageBreakBefore w:val="0"/>
        <w:wordWrap w:val="0"/>
        <w:overflowPunct/>
        <w:topLinePunct w:val="0"/>
        <w:bidi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DBF7E9A">
      <w:pPr>
        <w:pageBreakBefore w:val="0"/>
        <w:wordWrap w:val="0"/>
        <w:overflowPunct/>
        <w:topLinePunct w:val="0"/>
        <w:bidi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3.经查询，在“信用中国”和“中国政府采购网”网站我方未被列入失信被执行人、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w:t>
      </w:r>
    </w:p>
    <w:p w14:paraId="25073992">
      <w:pPr>
        <w:pageBreakBefore w:val="0"/>
        <w:wordWrap w:val="0"/>
        <w:overflowPunct/>
        <w:topLinePunct w:val="0"/>
        <w:bidi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4.以上事项如有虚假或隐瞒，我方愿意承担一切后果，并不再寻求任何旨在减轻或免除法律责任的辩解。 </w:t>
      </w:r>
    </w:p>
    <w:p w14:paraId="18A04C80">
      <w:pPr>
        <w:pageBreakBefore w:val="0"/>
        <w:tabs>
          <w:tab w:val="left" w:pos="7200"/>
        </w:tabs>
        <w:wordWrap w:val="0"/>
        <w:overflowPunct/>
        <w:topLinePunct w:val="0"/>
        <w:bidi w:val="0"/>
        <w:spacing w:line="360" w:lineRule="auto"/>
        <w:ind w:firstLine="270" w:firstLineChars="150"/>
        <w:rPr>
          <w:rFonts w:ascii="宋体" w:hAnsi="宋体" w:cs="宋体"/>
          <w:color w:val="auto"/>
          <w:sz w:val="18"/>
          <w:szCs w:val="18"/>
          <w:highlight w:val="none"/>
        </w:rPr>
      </w:pPr>
      <w:r>
        <w:rPr>
          <w:rFonts w:hint="eastAsia" w:ascii="宋体" w:hAnsi="宋体" w:cs="宋体"/>
          <w:color w:val="auto"/>
          <w:sz w:val="18"/>
          <w:szCs w:val="18"/>
          <w:highlight w:val="none"/>
        </w:rPr>
        <w:t>说明：</w:t>
      </w:r>
    </w:p>
    <w:p w14:paraId="4740CD21">
      <w:pPr>
        <w:pageBreakBefore w:val="0"/>
        <w:wordWrap w:val="0"/>
        <w:overflowPunct/>
        <w:topLinePunct w:val="0"/>
        <w:bidi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1.投标人应当通过 “信用中国”（www.creditchina.gov.cn）和“中国政府采购网”网站（www.ccgp.gov.cn）查询投标人相关主体的信用记录。查询时间为本项目投标截止时间前10日至投标截止时间中任意一天。对列入失信被执行人、</w:t>
      </w:r>
      <w:r>
        <w:rPr>
          <w:rFonts w:hint="eastAsia" w:ascii="宋体" w:hAnsi="宋体" w:cs="宋体"/>
          <w:color w:val="auto"/>
          <w:sz w:val="18"/>
          <w:szCs w:val="18"/>
          <w:highlight w:val="none"/>
          <w:lang w:eastAsia="zh-CN"/>
        </w:rPr>
        <w:t>重大税收违法失信主体</w:t>
      </w:r>
      <w:r>
        <w:rPr>
          <w:rFonts w:hint="eastAsia" w:ascii="宋体" w:hAnsi="宋体" w:cs="宋体"/>
          <w:color w:val="auto"/>
          <w:sz w:val="18"/>
          <w:szCs w:val="18"/>
          <w:highlight w:val="none"/>
        </w:rPr>
        <w:t>、政府采购严重违法失信行为记录名单的投标人，将被拒绝参与本项目政府采购活动。</w:t>
      </w:r>
    </w:p>
    <w:p w14:paraId="6704FB6C">
      <w:pPr>
        <w:pageBreakBefore w:val="0"/>
        <w:wordWrap w:val="0"/>
        <w:overflowPunct/>
        <w:topLinePunct w:val="0"/>
        <w:bidi w:val="0"/>
        <w:spacing w:line="360" w:lineRule="auto"/>
        <w:ind w:firstLine="360" w:firstLineChars="200"/>
        <w:jc w:val="left"/>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948A4BE">
      <w:pPr>
        <w:pageBreakBefore w:val="0"/>
        <w:wordWrap w:val="0"/>
        <w:overflowPunct/>
        <w:topLinePunct w:val="0"/>
        <w:bidi w:val="0"/>
        <w:snapToGrid w:val="0"/>
        <w:spacing w:line="360" w:lineRule="auto"/>
        <w:jc w:val="left"/>
        <w:rPr>
          <w:rFonts w:ascii="宋体" w:hAnsi="宋体" w:cs="宋体"/>
          <w:color w:val="auto"/>
          <w:sz w:val="18"/>
          <w:szCs w:val="18"/>
          <w:highlight w:val="none"/>
        </w:rPr>
      </w:pPr>
      <w:r>
        <w:rPr>
          <w:rFonts w:hint="eastAsia" w:ascii="宋体" w:hAnsi="宋体" w:cs="宋体"/>
          <w:color w:val="auto"/>
          <w:sz w:val="18"/>
          <w:szCs w:val="18"/>
          <w:highlight w:val="none"/>
        </w:rPr>
        <w:t xml:space="preserve"> </w:t>
      </w:r>
      <w:r>
        <w:rPr>
          <w:rFonts w:hint="eastAsia" w:ascii="宋体" w:hAnsi="宋体" w:cs="宋体"/>
          <w:b/>
          <w:color w:val="auto"/>
          <w:sz w:val="18"/>
          <w:szCs w:val="18"/>
          <w:highlight w:val="none"/>
        </w:rPr>
        <w:t xml:space="preserve">  3.如为联合体投标，盖章处须加盖联合体各方公章并由联合体各方法定代表人分别签署，否则投标无效。</w:t>
      </w:r>
    </w:p>
    <w:p w14:paraId="40CB7979">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3D17C50C">
      <w:pPr>
        <w:pageBreakBefore w:val="0"/>
        <w:wordWrap w:val="0"/>
        <w:overflowPunct/>
        <w:topLinePunct w:val="0"/>
        <w:bidi w:val="0"/>
        <w:snapToGrid w:val="0"/>
        <w:spacing w:line="360" w:lineRule="auto"/>
        <w:ind w:left="7428" w:leftChars="2223" w:hanging="2760" w:hangingChars="1150"/>
        <w:jc w:val="left"/>
        <w:rPr>
          <w:rFonts w:ascii="宋体" w:hAnsi="宋体" w:cs="宋体"/>
          <w:color w:val="auto"/>
          <w:kern w:val="0"/>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投标人名称(电子签章)：</w:t>
      </w:r>
      <w:r>
        <w:rPr>
          <w:rFonts w:hint="eastAsia" w:ascii="宋体" w:hAnsi="宋体" w:cs="宋体"/>
          <w:color w:val="auto"/>
          <w:szCs w:val="21"/>
          <w:highlight w:val="none"/>
        </w:rPr>
        <w:t xml:space="preserve">                       年    月    日</w:t>
      </w:r>
    </w:p>
    <w:p w14:paraId="6C3F403C">
      <w:pPr>
        <w:pStyle w:val="12"/>
        <w:pageBreakBefore w:val="0"/>
        <w:wordWrap w:val="0"/>
        <w:overflowPunct/>
        <w:topLinePunct w:val="0"/>
        <w:bidi w:val="0"/>
        <w:spacing w:line="360" w:lineRule="auto"/>
        <w:jc w:val="center"/>
        <w:rPr>
          <w:rFonts w:hAnsi="宋体" w:cs="宋体"/>
          <w:b/>
          <w:bCs/>
          <w:color w:val="auto"/>
          <w:sz w:val="30"/>
          <w:szCs w:val="30"/>
          <w:highlight w:val="none"/>
        </w:rPr>
      </w:pPr>
    </w:p>
    <w:p w14:paraId="7DA6F92E">
      <w:pPr>
        <w:pageBreakBefore w:val="0"/>
        <w:widowControl/>
        <w:wordWrap w:val="0"/>
        <w:overflowPunct/>
        <w:topLinePunct w:val="0"/>
        <w:bidi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6C1C1224">
      <w:pPr>
        <w:pStyle w:val="12"/>
        <w:pageBreakBefore w:val="0"/>
        <w:wordWrap w:val="0"/>
        <w:overflowPunct/>
        <w:topLinePunct w:val="0"/>
        <w:bidi w:val="0"/>
        <w:spacing w:line="360" w:lineRule="auto"/>
        <w:jc w:val="center"/>
        <w:rPr>
          <w:rFonts w:hAnsi="宋体" w:cs="宋体"/>
          <w:color w:val="auto"/>
          <w:highlight w:val="none"/>
        </w:rPr>
      </w:pPr>
      <w:r>
        <w:rPr>
          <w:rFonts w:hint="eastAsia" w:hAnsi="宋体" w:cs="宋体"/>
          <w:b/>
          <w:bCs/>
          <w:color w:val="auto"/>
          <w:sz w:val="30"/>
          <w:szCs w:val="30"/>
          <w:highlight w:val="none"/>
          <w:lang w:val="en-US" w:eastAsia="zh-CN"/>
        </w:rPr>
        <w:t>七</w:t>
      </w:r>
      <w:r>
        <w:rPr>
          <w:rFonts w:hint="eastAsia" w:hAnsi="宋体" w:cs="宋体"/>
          <w:b/>
          <w:bCs/>
          <w:color w:val="auto"/>
          <w:sz w:val="30"/>
          <w:szCs w:val="30"/>
          <w:highlight w:val="none"/>
        </w:rPr>
        <w:t>、联合体协议书</w:t>
      </w:r>
    </w:p>
    <w:p w14:paraId="4058B244">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u w:val="single"/>
        </w:rPr>
      </w:pPr>
    </w:p>
    <w:p w14:paraId="6D2B1694">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（所有成员单位名称）自愿组成联合体，共同参加</w:t>
      </w:r>
      <w:r>
        <w:rPr>
          <w:rFonts w:hint="eastAsia" w:ascii="宋体" w:hAnsi="宋体" w:cs="宋体"/>
          <w:color w:val="auto"/>
          <w:kern w:val="0"/>
          <w:szCs w:val="21"/>
          <w:highlight w:val="none"/>
          <w:u w:val="single"/>
        </w:rPr>
        <w:t xml:space="preserve">     </w:t>
      </w:r>
      <w:bookmarkStart w:id="430" w:name="PO_3000001866_PM031_6"/>
      <w:r>
        <w:rPr>
          <w:rFonts w:hint="eastAsia" w:ascii="宋体" w:hAnsi="宋体" w:cs="宋体"/>
          <w:color w:val="auto"/>
          <w:kern w:val="0"/>
          <w:szCs w:val="21"/>
          <w:highlight w:val="none"/>
          <w:u w:val="single"/>
        </w:rPr>
        <w:t>广西邕政采购代理有限公司</w:t>
      </w:r>
      <w:bookmarkEnd w:id="430"/>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组织的</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u w:val="single"/>
        </w:rPr>
        <w:t xml:space="preserve">（项目名称）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）投标。现就联合体投标事宜订立如下协议：</w:t>
      </w:r>
    </w:p>
    <w:p w14:paraId="65A9A87E">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highlight w:val="none"/>
        </w:rPr>
        <w:t>________________________</w:t>
      </w:r>
      <w:r>
        <w:rPr>
          <w:rFonts w:hint="eastAsia" w:ascii="宋体" w:hAnsi="宋体" w:cs="宋体"/>
          <w:color w:val="auto"/>
          <w:kern w:val="0"/>
          <w:szCs w:val="21"/>
          <w:highlight w:val="none"/>
        </w:rPr>
        <w:t>（某成员单位名称）为联合体名称牵头人。</w:t>
      </w:r>
    </w:p>
    <w:p w14:paraId="771C614F">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A72534E">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2350A463">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4、联合体各成员单位内部的职责分工如下</w:t>
      </w:r>
      <w:r>
        <w:rPr>
          <w:rFonts w:hint="eastAsia" w:ascii="宋体" w:hAnsi="宋体" w:cs="宋体"/>
          <w:color w:val="auto"/>
          <w:kern w:val="0"/>
          <w:szCs w:val="21"/>
          <w:highlight w:val="none"/>
          <w:u w:val="single"/>
        </w:rPr>
        <w:t>：</w:t>
      </w:r>
      <w:r>
        <w:rPr>
          <w:rFonts w:hint="eastAsia" w:ascii="宋体" w:hAnsi="宋体" w:cs="宋体"/>
          <w:color w:val="auto"/>
          <w:szCs w:val="21"/>
          <w:highlight w:val="none"/>
          <w:u w:val="single"/>
        </w:rPr>
        <w:t>________________________________________________</w:t>
      </w:r>
      <w:r>
        <w:rPr>
          <w:rFonts w:hint="eastAsia" w:ascii="宋体" w:hAnsi="宋体" w:cs="宋体"/>
          <w:color w:val="auto"/>
          <w:kern w:val="0"/>
          <w:szCs w:val="21"/>
          <w:highlight w:val="none"/>
        </w:rPr>
        <w:t>。</w:t>
      </w:r>
    </w:p>
    <w:p w14:paraId="061D0761">
      <w:pPr>
        <w:pStyle w:val="12"/>
        <w:pageBreakBefore w:val="0"/>
        <w:wordWrap w:val="0"/>
        <w:overflowPunct/>
        <w:topLinePunct w:val="0"/>
        <w:bidi w:val="0"/>
        <w:spacing w:line="360" w:lineRule="auto"/>
        <w:ind w:firstLine="420" w:firstLineChars="200"/>
        <w:rPr>
          <w:rFonts w:hAnsi="宋体" w:cs="宋体"/>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hAnsi="宋体" w:cs="宋体"/>
          <w:color w:val="auto"/>
          <w:highlight w:val="none"/>
          <w:u w:val="single"/>
        </w:rPr>
        <w:t>________________________</w:t>
      </w:r>
      <w:r>
        <w:rPr>
          <w:rFonts w:hint="eastAsia" w:hAnsi="宋体" w:cs="宋体"/>
          <w:color w:val="auto"/>
          <w:kern w:val="0"/>
          <w:highlight w:val="none"/>
          <w:u w:val="single"/>
        </w:rPr>
        <w:t>（某成员单位名称）为</w:t>
      </w:r>
      <w:r>
        <w:rPr>
          <w:rFonts w:hint="eastAsia" w:hAnsi="宋体" w:cs="宋体"/>
          <w:color w:val="auto"/>
          <w:highlight w:val="none"/>
          <w:u w:val="single"/>
        </w:rPr>
        <w:t>______</w:t>
      </w:r>
      <w:r>
        <w:rPr>
          <w:rFonts w:hint="eastAsia" w:hAnsi="宋体" w:cs="宋体"/>
          <w:color w:val="auto"/>
          <w:highlight w:val="none"/>
        </w:rPr>
        <w:t>（请填写：中型、小型、微型）企业，其协议合同金额占联合体协议合同总金额的</w:t>
      </w:r>
      <w:r>
        <w:rPr>
          <w:rFonts w:hint="eastAsia" w:hAnsi="宋体" w:cs="宋体"/>
          <w:color w:val="auto"/>
          <w:highlight w:val="none"/>
          <w:u w:val="single"/>
        </w:rPr>
        <w:t>______</w:t>
      </w:r>
      <w:r>
        <w:rPr>
          <w:rFonts w:hint="eastAsia" w:hAnsi="宋体" w:cs="宋体"/>
          <w:color w:val="auto"/>
          <w:highlight w:val="none"/>
        </w:rPr>
        <w:t>%。【如联合体成员中有小型、微型企业的，请填写此条，否则无需填写；如联合体成员中有多个小型、微型企业的，请逐一列出。】</w:t>
      </w:r>
    </w:p>
    <w:p w14:paraId="27710916">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6、本协议书自签署之日起生效，合同履行完毕后自动失效。</w:t>
      </w:r>
    </w:p>
    <w:p w14:paraId="78E321ED">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7、本协议书一式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14:paraId="6CDBE372">
      <w:pPr>
        <w:pageBreakBefore w:val="0"/>
        <w:wordWrap w:val="0"/>
        <w:overflowPunct/>
        <w:topLinePunct w:val="0"/>
        <w:autoSpaceDE w:val="0"/>
        <w:autoSpaceDN w:val="0"/>
        <w:bidi w:val="0"/>
        <w:adjustRightInd w:val="0"/>
        <w:spacing w:line="360" w:lineRule="auto"/>
        <w:ind w:firstLine="420"/>
        <w:jc w:val="left"/>
        <w:rPr>
          <w:rFonts w:ascii="宋体" w:hAnsi="宋体" w:cs="宋体"/>
          <w:color w:val="auto"/>
          <w:kern w:val="0"/>
          <w:szCs w:val="21"/>
          <w:highlight w:val="none"/>
        </w:rPr>
      </w:pPr>
      <w:r>
        <w:rPr>
          <w:rFonts w:hint="eastAsia" w:ascii="宋体" w:hAnsi="宋体" w:cs="宋体"/>
          <w:color w:val="auto"/>
          <w:kern w:val="0"/>
          <w:szCs w:val="21"/>
          <w:highlight w:val="none"/>
        </w:rPr>
        <w:t>注：本协议书由法定代表人签字的，应附法定代表人身份证明；本协议书由委托代理人签字的，应附法定代表人授权委托书。</w:t>
      </w:r>
    </w:p>
    <w:p w14:paraId="65BD7385">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牵头人名称：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0609BDE1">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（手写签名/电子签名）</w:t>
      </w:r>
    </w:p>
    <w:p w14:paraId="4937C9C3">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p>
    <w:p w14:paraId="4BCA2BF5">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成员一名称：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6FE349CA">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（手写签名/电子签名）</w:t>
      </w:r>
    </w:p>
    <w:p w14:paraId="7226252B">
      <w:pPr>
        <w:pageBreakBefore w:val="0"/>
        <w:wordWrap w:val="0"/>
        <w:overflowPunct/>
        <w:topLinePunct w:val="0"/>
        <w:autoSpaceDE w:val="0"/>
        <w:autoSpaceDN w:val="0"/>
        <w:bidi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（公章/电子签章）</w:t>
      </w:r>
    </w:p>
    <w:p w14:paraId="53345637">
      <w:pPr>
        <w:pStyle w:val="12"/>
        <w:pageBreakBefore w:val="0"/>
        <w:wordWrap w:val="0"/>
        <w:overflowPunct/>
        <w:topLinePunct w:val="0"/>
        <w:bidi w:val="0"/>
        <w:spacing w:line="360" w:lineRule="auto"/>
        <w:rPr>
          <w:rFonts w:hAnsi="宋体" w:cs="宋体"/>
          <w:color w:val="auto"/>
          <w:szCs w:val="21"/>
          <w:highlight w:val="none"/>
        </w:rPr>
      </w:pPr>
      <w:r>
        <w:rPr>
          <w:rFonts w:hint="eastAsia" w:hAnsi="宋体" w:cs="宋体"/>
          <w:color w:val="auto"/>
          <w:kern w:val="0"/>
          <w:szCs w:val="21"/>
          <w:highlight w:val="none"/>
        </w:rPr>
        <w:t>法定代表人或其委托代理人：</w:t>
      </w:r>
      <w:r>
        <w:rPr>
          <w:rFonts w:hint="eastAsia" w:hAnsi="宋体" w:cs="宋体"/>
          <w:color w:val="auto"/>
          <w:kern w:val="0"/>
          <w:szCs w:val="21"/>
          <w:highlight w:val="none"/>
          <w:u w:val="single"/>
        </w:rPr>
        <w:t xml:space="preserve">                         </w:t>
      </w:r>
      <w:r>
        <w:rPr>
          <w:rFonts w:hint="eastAsia" w:hAnsi="宋体" w:cs="宋体"/>
          <w:color w:val="auto"/>
          <w:kern w:val="0"/>
          <w:szCs w:val="21"/>
          <w:highlight w:val="none"/>
        </w:rPr>
        <w:t>（手写签名/电子签名）</w:t>
      </w:r>
    </w:p>
    <w:p w14:paraId="67724E7F">
      <w:pPr>
        <w:pageBreakBefore w:val="0"/>
        <w:wordWrap w:val="0"/>
        <w:overflowPunct/>
        <w:topLinePunct w:val="0"/>
        <w:bidi w:val="0"/>
        <w:spacing w:line="360" w:lineRule="auto"/>
        <w:rPr>
          <w:color w:val="auto"/>
          <w:highlight w:val="none"/>
        </w:rPr>
      </w:pPr>
    </w:p>
    <w:p w14:paraId="0B6E3474">
      <w:pPr>
        <w:pageBreakBefore w:val="0"/>
        <w:wordWrap w:val="0"/>
        <w:overflowPunct/>
        <w:topLinePunct w:val="0"/>
        <w:bidi w:val="0"/>
        <w:spacing w:line="360" w:lineRule="auto"/>
        <w:rPr>
          <w:color w:val="auto"/>
          <w:highlight w:val="none"/>
        </w:rPr>
      </w:pPr>
      <w:bookmarkStart w:id="431" w:name="_Toc19686838"/>
    </w:p>
    <w:p w14:paraId="5BE5CD72">
      <w:pPr>
        <w:pStyle w:val="9"/>
        <w:pageBreakBefore w:val="0"/>
        <w:wordWrap w:val="0"/>
        <w:overflowPunct/>
        <w:topLinePunct w:val="0"/>
        <w:bidi w:val="0"/>
        <w:spacing w:after="0" w:line="360" w:lineRule="auto"/>
        <w:rPr>
          <w:rFonts w:hAnsi="宋体" w:cs="宋体"/>
          <w:b/>
          <w:bCs/>
          <w:color w:val="auto"/>
          <w:sz w:val="28"/>
          <w:szCs w:val="28"/>
          <w:highlight w:val="none"/>
        </w:rPr>
      </w:pPr>
    </w:p>
    <w:p w14:paraId="158CB01D">
      <w:pPr>
        <w:pStyle w:val="12"/>
        <w:pageBreakBefore w:val="0"/>
        <w:wordWrap w:val="0"/>
        <w:overflowPunct/>
        <w:topLinePunct w:val="0"/>
        <w:bidi w:val="0"/>
        <w:spacing w:line="360" w:lineRule="auto"/>
        <w:jc w:val="center"/>
        <w:outlineLvl w:val="1"/>
        <w:rPr>
          <w:rFonts w:hAnsi="宋体" w:cs="宋体"/>
          <w:b/>
          <w:bCs/>
          <w:color w:val="auto"/>
          <w:sz w:val="28"/>
          <w:szCs w:val="28"/>
          <w:highlight w:val="none"/>
        </w:rPr>
      </w:pPr>
      <w:bookmarkStart w:id="432" w:name="_Toc20045"/>
      <w:r>
        <w:rPr>
          <w:rFonts w:hint="eastAsia" w:hAnsi="宋体" w:cs="宋体"/>
          <w:b/>
          <w:bCs/>
          <w:color w:val="auto"/>
          <w:sz w:val="28"/>
          <w:szCs w:val="28"/>
          <w:highlight w:val="none"/>
        </w:rPr>
        <w:t>第三节 商务文件格式</w:t>
      </w:r>
      <w:bookmarkEnd w:id="431"/>
      <w:bookmarkEnd w:id="432"/>
    </w:p>
    <w:p w14:paraId="7180CEC8">
      <w:pPr>
        <w:pageBreakBefore w:val="0"/>
        <w:wordWrap w:val="0"/>
        <w:overflowPunct/>
        <w:topLinePunct w:val="0"/>
        <w:bidi w:val="0"/>
        <w:snapToGrid w:val="0"/>
        <w:spacing w:line="360" w:lineRule="auto"/>
        <w:rPr>
          <w:rFonts w:ascii="宋体" w:hAnsi="宋体" w:cs="宋体"/>
          <w:color w:val="auto"/>
          <w:sz w:val="30"/>
          <w:szCs w:val="20"/>
          <w:highlight w:val="none"/>
        </w:rPr>
      </w:pPr>
    </w:p>
    <w:p w14:paraId="035CF442">
      <w:pPr>
        <w:pageBreakBefore w:val="0"/>
        <w:wordWrap w:val="0"/>
        <w:overflowPunct/>
        <w:topLinePunct w:val="0"/>
        <w:bidi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 xml:space="preserve">             电子投标文件</w:t>
      </w:r>
    </w:p>
    <w:p w14:paraId="72D837EA">
      <w:pPr>
        <w:pageBreakBefore w:val="0"/>
        <w:wordWrap w:val="0"/>
        <w:overflowPunct/>
        <w:topLinePunct w:val="0"/>
        <w:bidi w:val="0"/>
        <w:snapToGrid w:val="0"/>
        <w:spacing w:line="360" w:lineRule="auto"/>
        <w:rPr>
          <w:rFonts w:ascii="宋体" w:hAnsi="宋体" w:cs="宋体"/>
          <w:color w:val="auto"/>
          <w:sz w:val="24"/>
          <w:szCs w:val="20"/>
          <w:highlight w:val="none"/>
        </w:rPr>
      </w:pPr>
    </w:p>
    <w:p w14:paraId="5A2B706A">
      <w:pPr>
        <w:pageBreakBefore w:val="0"/>
        <w:wordWrap w:val="0"/>
        <w:overflowPunct/>
        <w:topLinePunct w:val="0"/>
        <w:bidi w:val="0"/>
        <w:snapToGrid w:val="0"/>
        <w:spacing w:line="360" w:lineRule="auto"/>
        <w:jc w:val="center"/>
        <w:rPr>
          <w:rFonts w:ascii="宋体" w:hAnsi="宋体" w:cs="宋体"/>
          <w:b/>
          <w:color w:val="auto"/>
          <w:sz w:val="24"/>
          <w:szCs w:val="20"/>
          <w:highlight w:val="none"/>
        </w:rPr>
      </w:pPr>
      <w:r>
        <w:rPr>
          <w:rFonts w:hint="eastAsia" w:ascii="宋体" w:hAnsi="宋体" w:cs="宋体"/>
          <w:b/>
          <w:color w:val="auto"/>
          <w:sz w:val="32"/>
          <w:szCs w:val="32"/>
          <w:highlight w:val="none"/>
        </w:rPr>
        <w:t>商务文件（封面）</w:t>
      </w:r>
    </w:p>
    <w:p w14:paraId="63AEB84E">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6810F923">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335EDEB9">
      <w:pPr>
        <w:pageBreakBefore w:val="0"/>
        <w:wordWrap w:val="0"/>
        <w:overflowPunct/>
        <w:topLinePunct w:val="0"/>
        <w:bidi w:val="0"/>
        <w:snapToGrid w:val="0"/>
        <w:spacing w:line="360" w:lineRule="auto"/>
        <w:ind w:firstLine="540" w:firstLineChars="225"/>
        <w:rPr>
          <w:rFonts w:ascii="宋体" w:hAnsi="宋体" w:cs="宋体"/>
          <w:bCs/>
          <w:color w:val="auto"/>
          <w:sz w:val="24"/>
          <w:szCs w:val="20"/>
          <w:highlight w:val="none"/>
        </w:rPr>
      </w:pPr>
    </w:p>
    <w:p w14:paraId="157A8987">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372BD6B4">
      <w:pPr>
        <w:pageBreakBefore w:val="0"/>
        <w:wordWrap w:val="0"/>
        <w:overflowPunct/>
        <w:topLinePunct w:val="0"/>
        <w:bidi w:val="0"/>
        <w:snapToGrid w:val="0"/>
        <w:spacing w:line="360" w:lineRule="auto"/>
        <w:ind w:firstLine="540" w:firstLineChars="225"/>
        <w:rPr>
          <w:rFonts w:ascii="宋体" w:hAnsi="宋体" w:cs="宋体"/>
          <w:bCs/>
          <w:color w:val="auto"/>
          <w:sz w:val="24"/>
          <w:szCs w:val="20"/>
          <w:highlight w:val="none"/>
        </w:rPr>
      </w:pPr>
      <w:r>
        <w:rPr>
          <w:rFonts w:hint="eastAsia" w:ascii="宋体" w:hAnsi="宋体" w:cs="宋体"/>
          <w:bCs/>
          <w:color w:val="auto"/>
          <w:sz w:val="24"/>
          <w:highlight w:val="none"/>
        </w:rPr>
        <w:t xml:space="preserve"> </w:t>
      </w:r>
    </w:p>
    <w:p w14:paraId="6CC8C68F">
      <w:pPr>
        <w:pageBreakBefore w:val="0"/>
        <w:wordWrap w:val="0"/>
        <w:overflowPunct/>
        <w:topLinePunct w:val="0"/>
        <w:bidi w:val="0"/>
        <w:snapToGrid w:val="0"/>
        <w:spacing w:line="360" w:lineRule="auto"/>
        <w:ind w:firstLine="540" w:firstLineChars="225"/>
        <w:rPr>
          <w:rFonts w:ascii="宋体" w:hAnsi="宋体" w:cs="宋体"/>
          <w:bCs/>
          <w:color w:val="auto"/>
          <w:sz w:val="24"/>
          <w:highlight w:val="none"/>
        </w:rPr>
      </w:pPr>
      <w:r>
        <w:rPr>
          <w:rFonts w:hint="eastAsia" w:ascii="宋体" w:hAnsi="宋体" w:cs="宋体"/>
          <w:bCs/>
          <w:color w:val="auto"/>
          <w:sz w:val="24"/>
          <w:highlight w:val="none"/>
        </w:rPr>
        <w:t>所投分标：</w:t>
      </w:r>
    </w:p>
    <w:p w14:paraId="2EA613FE">
      <w:pPr>
        <w:pageBreakBefore w:val="0"/>
        <w:wordWrap w:val="0"/>
        <w:overflowPunct/>
        <w:topLinePunct w:val="0"/>
        <w:bidi w:val="0"/>
        <w:snapToGrid w:val="0"/>
        <w:spacing w:line="360" w:lineRule="auto"/>
        <w:ind w:firstLine="540" w:firstLineChars="225"/>
        <w:rPr>
          <w:rFonts w:ascii="宋体" w:hAnsi="宋体" w:cs="宋体"/>
          <w:bCs/>
          <w:color w:val="auto"/>
          <w:sz w:val="24"/>
          <w:szCs w:val="20"/>
          <w:highlight w:val="none"/>
        </w:rPr>
      </w:pPr>
    </w:p>
    <w:p w14:paraId="26A2808E">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投标人名称：</w:t>
      </w:r>
    </w:p>
    <w:p w14:paraId="58125218">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p>
    <w:p w14:paraId="28977C37">
      <w:pPr>
        <w:pStyle w:val="7"/>
        <w:pageBreakBefore w:val="0"/>
        <w:wordWrap w:val="0"/>
        <w:overflowPunct/>
        <w:topLinePunct w:val="0"/>
        <w:bidi w:val="0"/>
        <w:snapToGrid w:val="0"/>
        <w:spacing w:line="360" w:lineRule="auto"/>
        <w:ind w:firstLine="540" w:firstLineChars="225"/>
        <w:rPr>
          <w:rFonts w:ascii="宋体" w:hAnsi="宋体" w:cs="宋体"/>
          <w:bCs/>
          <w:color w:val="auto"/>
          <w:sz w:val="24"/>
          <w:szCs w:val="24"/>
          <w:highlight w:val="none"/>
        </w:rPr>
      </w:pPr>
      <w:r>
        <w:rPr>
          <w:rFonts w:hint="eastAsia" w:ascii="宋体" w:hAnsi="宋体" w:cs="宋体"/>
          <w:bCs/>
          <w:color w:val="auto"/>
          <w:sz w:val="24"/>
          <w:szCs w:val="24"/>
          <w:highlight w:val="none"/>
        </w:rPr>
        <w:t>投标人地址：</w:t>
      </w:r>
    </w:p>
    <w:p w14:paraId="7F0F0F4E">
      <w:pPr>
        <w:pStyle w:val="7"/>
        <w:pageBreakBefore w:val="0"/>
        <w:wordWrap w:val="0"/>
        <w:overflowPunct/>
        <w:topLinePunct w:val="0"/>
        <w:bidi w:val="0"/>
        <w:snapToGrid w:val="0"/>
        <w:spacing w:line="360" w:lineRule="auto"/>
        <w:ind w:firstLine="960" w:firstLineChars="400"/>
        <w:rPr>
          <w:rFonts w:ascii="宋体" w:hAnsi="宋体" w:cs="宋体"/>
          <w:bCs/>
          <w:color w:val="auto"/>
          <w:sz w:val="24"/>
          <w:szCs w:val="24"/>
          <w:highlight w:val="none"/>
        </w:rPr>
      </w:pPr>
    </w:p>
    <w:p w14:paraId="544320DE">
      <w:pPr>
        <w:pageBreakBefore w:val="0"/>
        <w:wordWrap w:val="0"/>
        <w:overflowPunct/>
        <w:topLinePunct w:val="0"/>
        <w:bidi w:val="0"/>
        <w:snapToGrid w:val="0"/>
        <w:spacing w:line="360" w:lineRule="auto"/>
        <w:ind w:firstLine="645"/>
        <w:rPr>
          <w:rFonts w:ascii="宋体" w:hAnsi="宋体" w:cs="宋体"/>
          <w:color w:val="auto"/>
          <w:sz w:val="24"/>
          <w:highlight w:val="none"/>
        </w:rPr>
      </w:pPr>
      <w:r>
        <w:rPr>
          <w:rFonts w:hint="eastAsia" w:ascii="宋体" w:hAnsi="宋体" w:cs="宋体"/>
          <w:color w:val="auto"/>
          <w:sz w:val="24"/>
          <w:highlight w:val="none"/>
        </w:rPr>
        <w:t xml:space="preserve">                        年  月  日</w:t>
      </w:r>
    </w:p>
    <w:p w14:paraId="1C43221C">
      <w:pPr>
        <w:pageBreakBefore w:val="0"/>
        <w:wordWrap w:val="0"/>
        <w:overflowPunct/>
        <w:topLinePunct w:val="0"/>
        <w:bidi w:val="0"/>
        <w:snapToGrid w:val="0"/>
        <w:spacing w:line="360" w:lineRule="auto"/>
        <w:rPr>
          <w:rFonts w:ascii="宋体" w:hAnsi="宋体" w:cs="宋体"/>
          <w:color w:val="auto"/>
          <w:sz w:val="24"/>
          <w:szCs w:val="20"/>
          <w:highlight w:val="none"/>
        </w:rPr>
      </w:pPr>
      <w:r>
        <w:rPr>
          <w:rFonts w:hint="eastAsia" w:ascii="宋体" w:hAnsi="宋体" w:cs="宋体"/>
          <w:color w:val="auto"/>
          <w:sz w:val="24"/>
          <w:szCs w:val="20"/>
          <w:highlight w:val="none"/>
        </w:rPr>
        <w:t xml:space="preserve"> </w:t>
      </w:r>
    </w:p>
    <w:p w14:paraId="2FFAD02E">
      <w:pPr>
        <w:pageBreakBefore w:val="0"/>
        <w:wordWrap w:val="0"/>
        <w:overflowPunct/>
        <w:topLinePunct w:val="0"/>
        <w:bidi w:val="0"/>
        <w:spacing w:line="360" w:lineRule="auto"/>
        <w:ind w:right="420"/>
        <w:rPr>
          <w:rFonts w:ascii="宋体" w:hAnsi="宋体" w:cs="宋体"/>
          <w:color w:val="auto"/>
          <w:sz w:val="24"/>
          <w:szCs w:val="20"/>
          <w:highlight w:val="none"/>
        </w:rPr>
      </w:pPr>
    </w:p>
    <w:p w14:paraId="23D14FB4">
      <w:pPr>
        <w:pageBreakBefore w:val="0"/>
        <w:wordWrap w:val="0"/>
        <w:overflowPunct/>
        <w:topLinePunct w:val="0"/>
        <w:bidi w:val="0"/>
        <w:spacing w:line="360" w:lineRule="auto"/>
        <w:ind w:right="420"/>
        <w:rPr>
          <w:rFonts w:ascii="宋体" w:hAnsi="宋体" w:cs="宋体"/>
          <w:color w:val="auto"/>
          <w:sz w:val="24"/>
          <w:szCs w:val="20"/>
          <w:highlight w:val="none"/>
        </w:rPr>
      </w:pPr>
    </w:p>
    <w:p w14:paraId="746BECB4">
      <w:pPr>
        <w:pageBreakBefore w:val="0"/>
        <w:wordWrap w:val="0"/>
        <w:overflowPunct/>
        <w:topLinePunct w:val="0"/>
        <w:bidi w:val="0"/>
        <w:spacing w:line="360" w:lineRule="auto"/>
        <w:ind w:right="420"/>
        <w:rPr>
          <w:rFonts w:ascii="宋体" w:hAnsi="宋体" w:cs="宋体"/>
          <w:color w:val="auto"/>
          <w:sz w:val="24"/>
          <w:szCs w:val="20"/>
          <w:highlight w:val="none"/>
        </w:rPr>
      </w:pPr>
    </w:p>
    <w:p w14:paraId="3CA81616">
      <w:pPr>
        <w:pageBreakBefore w:val="0"/>
        <w:wordWrap w:val="0"/>
        <w:overflowPunct/>
        <w:topLinePunct w:val="0"/>
        <w:bidi w:val="0"/>
        <w:spacing w:line="360" w:lineRule="auto"/>
        <w:ind w:right="420"/>
        <w:rPr>
          <w:rFonts w:ascii="宋体" w:hAnsi="宋体" w:cs="宋体"/>
          <w:color w:val="auto"/>
          <w:sz w:val="24"/>
          <w:szCs w:val="20"/>
          <w:highlight w:val="none"/>
        </w:rPr>
      </w:pPr>
    </w:p>
    <w:p w14:paraId="3F3D1FE8">
      <w:pPr>
        <w:pageBreakBefore w:val="0"/>
        <w:wordWrap w:val="0"/>
        <w:overflowPunct/>
        <w:topLinePunct w:val="0"/>
        <w:bidi w:val="0"/>
        <w:spacing w:line="360" w:lineRule="auto"/>
        <w:ind w:right="420"/>
        <w:rPr>
          <w:rFonts w:ascii="宋体" w:hAnsi="宋体" w:cs="宋体"/>
          <w:color w:val="auto"/>
          <w:sz w:val="24"/>
          <w:szCs w:val="20"/>
          <w:highlight w:val="none"/>
        </w:rPr>
      </w:pPr>
    </w:p>
    <w:p w14:paraId="3CBCFFF4">
      <w:pPr>
        <w:pageBreakBefore w:val="0"/>
        <w:wordWrap w:val="0"/>
        <w:overflowPunct/>
        <w:topLinePunct w:val="0"/>
        <w:bidi w:val="0"/>
        <w:spacing w:line="360" w:lineRule="auto"/>
        <w:ind w:right="420"/>
        <w:rPr>
          <w:rFonts w:ascii="宋体" w:hAnsi="宋体" w:cs="宋体"/>
          <w:color w:val="auto"/>
          <w:sz w:val="24"/>
          <w:szCs w:val="20"/>
          <w:highlight w:val="none"/>
        </w:rPr>
      </w:pPr>
    </w:p>
    <w:p w14:paraId="1AB7ADB2">
      <w:pPr>
        <w:pageBreakBefore w:val="0"/>
        <w:wordWrap w:val="0"/>
        <w:overflowPunct/>
        <w:topLinePunct w:val="0"/>
        <w:bidi w:val="0"/>
        <w:spacing w:line="360" w:lineRule="auto"/>
        <w:ind w:right="420"/>
        <w:rPr>
          <w:rFonts w:ascii="宋体" w:hAnsi="宋体" w:cs="宋体"/>
          <w:color w:val="auto"/>
          <w:sz w:val="24"/>
          <w:szCs w:val="20"/>
          <w:highlight w:val="none"/>
        </w:rPr>
      </w:pPr>
    </w:p>
    <w:p w14:paraId="5DCE4227">
      <w:pPr>
        <w:pageBreakBefore w:val="0"/>
        <w:wordWrap w:val="0"/>
        <w:overflowPunct/>
        <w:topLinePunct w:val="0"/>
        <w:bidi w:val="0"/>
        <w:spacing w:line="360" w:lineRule="auto"/>
        <w:ind w:right="420"/>
        <w:rPr>
          <w:rFonts w:ascii="宋体" w:hAnsi="宋体" w:cs="宋体"/>
          <w:color w:val="auto"/>
          <w:sz w:val="24"/>
          <w:szCs w:val="20"/>
          <w:highlight w:val="none"/>
        </w:rPr>
      </w:pPr>
    </w:p>
    <w:p w14:paraId="598AD41F">
      <w:pPr>
        <w:pageBreakBefore w:val="0"/>
        <w:wordWrap w:val="0"/>
        <w:overflowPunct/>
        <w:topLinePunct w:val="0"/>
        <w:bidi w:val="0"/>
        <w:spacing w:line="360" w:lineRule="auto"/>
        <w:ind w:right="420"/>
        <w:rPr>
          <w:rFonts w:ascii="宋体" w:hAnsi="宋体" w:cs="宋体"/>
          <w:color w:val="auto"/>
          <w:sz w:val="24"/>
          <w:szCs w:val="20"/>
          <w:highlight w:val="none"/>
        </w:rPr>
      </w:pPr>
    </w:p>
    <w:p w14:paraId="419E4030">
      <w:pPr>
        <w:pageBreakBefore w:val="0"/>
        <w:wordWrap w:val="0"/>
        <w:overflowPunct/>
        <w:topLinePunct w:val="0"/>
        <w:bidi w:val="0"/>
        <w:spacing w:line="360" w:lineRule="auto"/>
        <w:ind w:right="42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 xml:space="preserve"> </w:t>
      </w:r>
    </w:p>
    <w:p w14:paraId="587FC91F">
      <w:pPr>
        <w:pageBreakBefore w:val="0"/>
        <w:wordWrap w:val="0"/>
        <w:overflowPunct/>
        <w:topLinePunct w:val="0"/>
        <w:bidi w:val="0"/>
        <w:spacing w:line="360" w:lineRule="auto"/>
        <w:rPr>
          <w:rFonts w:ascii="宋体" w:hAnsi="宋体" w:cs="宋体"/>
          <w:b/>
          <w:color w:val="auto"/>
          <w:kern w:val="0"/>
          <w:sz w:val="24"/>
          <w:highlight w:val="none"/>
        </w:rPr>
      </w:pPr>
    </w:p>
    <w:p w14:paraId="77B65EB1">
      <w:pPr>
        <w:pageBreakBefore w:val="0"/>
        <w:wordWrap w:val="0"/>
        <w:overflowPunct/>
        <w:topLinePunct w:val="0"/>
        <w:bidi w:val="0"/>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商务文件目录</w:t>
      </w:r>
    </w:p>
    <w:p w14:paraId="07AA1935">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一、无串通投标行为的承诺函……………………………………………………………（页码）</w:t>
      </w:r>
    </w:p>
    <w:p w14:paraId="79B661EE">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336DBAC1">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56CCAFBB">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37400781">
      <w:pPr>
        <w:pStyle w:val="31"/>
        <w:pageBreakBefore w:val="0"/>
        <w:wordWrap w:val="0"/>
        <w:overflowPunct/>
        <w:topLinePunct w:val="0"/>
        <w:bidi w:val="0"/>
        <w:spacing w:line="360" w:lineRule="auto"/>
        <w:rPr>
          <w:rFonts w:ascii="宋体" w:hAnsi="宋体" w:eastAsia="宋体" w:cs="宋体"/>
          <w:color w:val="auto"/>
          <w:highlight w:val="none"/>
        </w:rPr>
      </w:pPr>
      <w:bookmarkStart w:id="433" w:name="OLE_LINK6"/>
      <w:bookmarkStart w:id="434" w:name="OLE_LINK7"/>
      <w:bookmarkStart w:id="435" w:name="OLE_LINK5"/>
      <w:r>
        <w:rPr>
          <w:rFonts w:hint="eastAsia" w:ascii="宋体" w:hAnsi="宋体" w:eastAsia="宋体" w:cs="宋体"/>
          <w:color w:val="auto"/>
          <w:highlight w:val="none"/>
        </w:rPr>
        <w:t>五、投标人情况介绍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A13EF1A">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六、投标人类似业绩的证明文件（如有要求）</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433"/>
      <w:bookmarkEnd w:id="434"/>
    </w:p>
    <w:p w14:paraId="14DEC7DC">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七、其他商务文件或说明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435"/>
    <w:p w14:paraId="504A43DA">
      <w:pPr>
        <w:pageBreakBefore w:val="0"/>
        <w:wordWrap w:val="0"/>
        <w:overflowPunct/>
        <w:topLinePunct w:val="0"/>
        <w:bidi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0A4D4934">
      <w:pPr>
        <w:pageBreakBefore w:val="0"/>
        <w:widowControl/>
        <w:wordWrap w:val="0"/>
        <w:overflowPunct/>
        <w:topLinePunct w:val="0"/>
        <w:bidi w:val="0"/>
        <w:spacing w:line="360" w:lineRule="auto"/>
        <w:jc w:val="left"/>
        <w:rPr>
          <w:rFonts w:ascii="宋体" w:hAnsi="宋体" w:cs="宋体"/>
          <w:color w:val="auto"/>
          <w:highlight w:val="none"/>
        </w:rPr>
        <w:sectPr>
          <w:pgSz w:w="11906" w:h="16838"/>
          <w:pgMar w:top="1440" w:right="1080" w:bottom="1440" w:left="1080" w:header="720" w:footer="720" w:gutter="0"/>
          <w:pgNumType w:fmt="decimal"/>
          <w:cols w:space="720" w:num="1"/>
          <w:docGrid w:type="lines" w:linePitch="331" w:charSpace="0"/>
        </w:sectPr>
      </w:pPr>
    </w:p>
    <w:p w14:paraId="7B478D8E">
      <w:pPr>
        <w:pageBreakBefore w:val="0"/>
        <w:wordWrap w:val="0"/>
        <w:overflowPunct/>
        <w:topLinePunct w:val="0"/>
        <w:bidi w:val="0"/>
        <w:snapToGrid w:val="0"/>
        <w:spacing w:line="360" w:lineRule="auto"/>
        <w:ind w:left="42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一、无串通投标行为的承诺函</w:t>
      </w:r>
    </w:p>
    <w:p w14:paraId="32E51602">
      <w:pPr>
        <w:pageBreakBefore w:val="0"/>
        <w:wordWrap w:val="0"/>
        <w:overflowPunct/>
        <w:topLinePunct w:val="0"/>
        <w:bidi w:val="0"/>
        <w:snapToGrid w:val="0"/>
        <w:spacing w:line="360" w:lineRule="auto"/>
        <w:ind w:left="420"/>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投标人参加本项目无串通投标行为的承诺函</w:t>
      </w:r>
    </w:p>
    <w:p w14:paraId="266A362F">
      <w:pPr>
        <w:pageBreakBefore w:val="0"/>
        <w:wordWrap w:val="0"/>
        <w:overflowPunct/>
        <w:topLinePunct w:val="0"/>
        <w:bidi w:val="0"/>
        <w:snapToGrid w:val="0"/>
        <w:spacing w:line="360" w:lineRule="auto"/>
        <w:rPr>
          <w:rFonts w:ascii="宋体" w:hAnsi="宋体" w:cs="宋体"/>
          <w:b/>
          <w:color w:val="auto"/>
          <w:szCs w:val="21"/>
          <w:highlight w:val="none"/>
        </w:rPr>
      </w:pPr>
    </w:p>
    <w:p w14:paraId="2D41FF9E">
      <w:pPr>
        <w:pageBreakBefore w:val="0"/>
        <w:wordWrap w:val="0"/>
        <w:overflowPunct/>
        <w:topLinePunct w:val="0"/>
        <w:bidi w:val="0"/>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0114B1A1">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436BF43D">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5E36EEF9">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4C5FB4E5">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2B0BCA4F">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096BA797">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433A94EC">
      <w:pPr>
        <w:pageBreakBefore w:val="0"/>
        <w:wordWrap w:val="0"/>
        <w:overflowPunct/>
        <w:topLinePunct w:val="0"/>
        <w:bidi w:val="0"/>
        <w:snapToGrid w:val="0"/>
        <w:spacing w:line="360" w:lineRule="auto"/>
        <w:jc w:val="left"/>
        <w:rPr>
          <w:rFonts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2D13AB98">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1.投标人直接或者间接从采购人或者采购代理机构处获得其他投标人的相关信息并修改其投标文件或者投标文件；</w:t>
      </w:r>
    </w:p>
    <w:p w14:paraId="560C61CF">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2.投标人按照采购人或者采购代理机构的授意撤换、修改投标文件或者投标文件；</w:t>
      </w:r>
    </w:p>
    <w:p w14:paraId="1DB3A38A">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3.投标人之间协商报价、技术方案等投标文件或者投标文件的实质性内容；</w:t>
      </w:r>
    </w:p>
    <w:p w14:paraId="35D6A845">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02ED4167">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0B917D49">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2FD40C36">
      <w:pPr>
        <w:pageBreakBefore w:val="0"/>
        <w:wordWrap w:val="0"/>
        <w:overflowPunct/>
        <w:topLinePunct w:val="0"/>
        <w:bidi w:val="0"/>
        <w:snapToGrid w:val="0"/>
        <w:spacing w:line="360" w:lineRule="auto"/>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4A0A1A99">
      <w:pPr>
        <w:pageBreakBefore w:val="0"/>
        <w:wordWrap w:val="0"/>
        <w:overflowPunct/>
        <w:topLinePunct w:val="0"/>
        <w:bidi w:val="0"/>
        <w:snapToGrid w:val="0"/>
        <w:spacing w:line="360" w:lineRule="auto"/>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77C581A8">
      <w:pPr>
        <w:pageBreakBefore w:val="0"/>
        <w:wordWrap w:val="0"/>
        <w:overflowPunct/>
        <w:topLinePunct w:val="0"/>
        <w:bidi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3B5A6353">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9DB3F5F">
      <w:pPr>
        <w:pStyle w:val="12"/>
        <w:pageBreakBefore w:val="0"/>
        <w:wordWrap w:val="0"/>
        <w:overflowPunct/>
        <w:topLinePunct w:val="0"/>
        <w:bidi w:val="0"/>
        <w:snapToGrid w:val="0"/>
        <w:spacing w:line="360" w:lineRule="auto"/>
        <w:jc w:val="center"/>
        <w:rPr>
          <w:rFonts w:hAnsi="宋体" w:cs="宋体"/>
          <w:b/>
          <w:color w:val="auto"/>
          <w:sz w:val="24"/>
          <w:highlight w:val="none"/>
        </w:rPr>
      </w:pPr>
      <w:r>
        <w:rPr>
          <w:rFonts w:hint="eastAsia" w:hAnsi="宋体" w:cs="宋体"/>
          <w:b/>
          <w:color w:val="auto"/>
          <w:sz w:val="24"/>
          <w:highlight w:val="none"/>
        </w:rPr>
        <w:br w:type="page"/>
      </w:r>
      <w:r>
        <w:rPr>
          <w:rFonts w:hint="eastAsia" w:hAnsi="宋体" w:cs="宋体"/>
          <w:b/>
          <w:bCs/>
          <w:color w:val="auto"/>
          <w:sz w:val="30"/>
          <w:szCs w:val="30"/>
          <w:highlight w:val="none"/>
        </w:rPr>
        <w:t>二、法定代表人身份证明及法定代表人有效身份证正反面复印件</w:t>
      </w:r>
    </w:p>
    <w:p w14:paraId="6BCE2AFB">
      <w:pPr>
        <w:pageBreakBefore w:val="0"/>
        <w:wordWrap w:val="0"/>
        <w:overflowPunct/>
        <w:topLinePunct w:val="0"/>
        <w:bidi w:val="0"/>
        <w:spacing w:line="360" w:lineRule="auto"/>
        <w:ind w:left="540"/>
        <w:jc w:val="center"/>
        <w:rPr>
          <w:rFonts w:ascii="宋体" w:hAnsi="宋体" w:cs="宋体"/>
          <w:b/>
          <w:color w:val="auto"/>
          <w:sz w:val="32"/>
          <w:szCs w:val="32"/>
          <w:highlight w:val="none"/>
        </w:rPr>
      </w:pPr>
    </w:p>
    <w:p w14:paraId="37A2B5A1">
      <w:pPr>
        <w:pageBreakBefore w:val="0"/>
        <w:wordWrap w:val="0"/>
        <w:overflowPunct/>
        <w:topLinePunct w:val="0"/>
        <w:bidi w:val="0"/>
        <w:spacing w:line="360" w:lineRule="auto"/>
        <w:ind w:left="540"/>
        <w:jc w:val="center"/>
        <w:rPr>
          <w:rFonts w:ascii="宋体" w:hAnsi="宋体" w:cs="宋体"/>
          <w:color w:val="auto"/>
          <w:sz w:val="32"/>
          <w:szCs w:val="32"/>
          <w:highlight w:val="none"/>
        </w:rPr>
      </w:pPr>
      <w:r>
        <w:rPr>
          <w:rFonts w:hint="eastAsia" w:ascii="宋体" w:hAnsi="宋体" w:cs="宋体"/>
          <w:b/>
          <w:color w:val="auto"/>
          <w:sz w:val="32"/>
          <w:szCs w:val="32"/>
          <w:highlight w:val="none"/>
        </w:rPr>
        <w:t>法定代表人身份证明</w:t>
      </w:r>
    </w:p>
    <w:p w14:paraId="4E1A4B76">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4429FC21">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267BCD38">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3768EEB3">
      <w:pPr>
        <w:pageBreakBefore w:val="0"/>
        <w:wordWrap w:val="0"/>
        <w:overflowPunct/>
        <w:topLinePunct w:val="0"/>
        <w:bidi w:val="0"/>
        <w:spacing w:line="360" w:lineRule="auto"/>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44C87A56">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3E990BBD">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14:paraId="652D75AA">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特此证明。</w:t>
      </w:r>
    </w:p>
    <w:p w14:paraId="629DFAA1">
      <w:pPr>
        <w:pageBreakBefore w:val="0"/>
        <w:wordWrap w:val="0"/>
        <w:overflowPunct/>
        <w:topLinePunct w:val="0"/>
        <w:bidi w:val="0"/>
        <w:spacing w:line="360" w:lineRule="auto"/>
        <w:ind w:left="540"/>
        <w:rPr>
          <w:rFonts w:ascii="宋体" w:hAnsi="宋体" w:cs="宋体"/>
          <w:color w:val="auto"/>
          <w:sz w:val="24"/>
          <w:highlight w:val="none"/>
        </w:rPr>
      </w:pPr>
    </w:p>
    <w:p w14:paraId="28C29342">
      <w:pPr>
        <w:pageBreakBefore w:val="0"/>
        <w:wordWrap w:val="0"/>
        <w:overflowPunct/>
        <w:topLinePunct w:val="0"/>
        <w:bidi w:val="0"/>
        <w:spacing w:line="360" w:lineRule="auto"/>
        <w:ind w:left="540"/>
        <w:rPr>
          <w:rFonts w:ascii="宋体" w:hAnsi="宋体" w:cs="宋体"/>
          <w:color w:val="auto"/>
          <w:sz w:val="24"/>
          <w:highlight w:val="none"/>
        </w:rPr>
      </w:pPr>
    </w:p>
    <w:p w14:paraId="35E019B4">
      <w:pPr>
        <w:pageBreakBefore w:val="0"/>
        <w:wordWrap w:val="0"/>
        <w:overflowPunct/>
        <w:topLinePunct w:val="0"/>
        <w:bidi w:val="0"/>
        <w:spacing w:line="360" w:lineRule="auto"/>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0FF51E60">
      <w:pPr>
        <w:pageBreakBefore w:val="0"/>
        <w:wordWrap w:val="0"/>
        <w:overflowPunct/>
        <w:topLinePunct w:val="0"/>
        <w:bidi w:val="0"/>
        <w:spacing w:line="360" w:lineRule="auto"/>
        <w:ind w:left="540"/>
        <w:rPr>
          <w:rFonts w:ascii="宋体" w:hAnsi="宋体" w:cs="宋体"/>
          <w:color w:val="auto"/>
          <w:sz w:val="24"/>
          <w:highlight w:val="none"/>
        </w:rPr>
      </w:pPr>
    </w:p>
    <w:p w14:paraId="4F3AB295">
      <w:pPr>
        <w:pageBreakBefore w:val="0"/>
        <w:wordWrap w:val="0"/>
        <w:overflowPunct/>
        <w:topLinePunct w:val="0"/>
        <w:bidi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58493A83">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A5BB987">
      <w:pPr>
        <w:pageBreakBefore w:val="0"/>
        <w:wordWrap w:val="0"/>
        <w:overflowPunct/>
        <w:topLinePunct w:val="0"/>
        <w:bidi w:val="0"/>
        <w:snapToGrid w:val="0"/>
        <w:spacing w:line="360" w:lineRule="auto"/>
        <w:jc w:val="center"/>
        <w:rPr>
          <w:rFonts w:ascii="宋体" w:hAnsi="宋体" w:cs="宋体"/>
          <w:b/>
          <w:color w:val="auto"/>
          <w:sz w:val="24"/>
          <w:highlight w:val="none"/>
        </w:rPr>
      </w:pPr>
    </w:p>
    <w:p w14:paraId="7866B69A">
      <w:pPr>
        <w:pageBreakBefore w:val="0"/>
        <w:wordWrap w:val="0"/>
        <w:overflowPunct/>
        <w:topLinePunct w:val="0"/>
        <w:bidi w:val="0"/>
        <w:snapToGrid w:val="0"/>
        <w:spacing w:line="360" w:lineRule="auto"/>
        <w:ind w:firstLine="600" w:firstLineChars="250"/>
        <w:jc w:val="left"/>
        <w:rPr>
          <w:rFonts w:ascii="宋体" w:hAnsi="宋体" w:cs="宋体"/>
          <w:color w:val="auto"/>
          <w:sz w:val="24"/>
          <w:highlight w:val="none"/>
        </w:rPr>
      </w:pPr>
      <w:r>
        <w:rPr>
          <w:rFonts w:hint="eastAsia" w:ascii="宋体" w:hAnsi="宋体" w:cs="宋体"/>
          <w:color w:val="auto"/>
          <w:sz w:val="24"/>
          <w:highlight w:val="none"/>
        </w:rPr>
        <w:t>注：自然人投标的无需提供</w:t>
      </w:r>
    </w:p>
    <w:p w14:paraId="6CD6303C">
      <w:pPr>
        <w:pageBreakBefore w:val="0"/>
        <w:wordWrap w:val="0"/>
        <w:overflowPunct/>
        <w:topLinePunct w:val="0"/>
        <w:bidi w:val="0"/>
        <w:snapToGrid w:val="0"/>
        <w:spacing w:line="360" w:lineRule="auto"/>
        <w:ind w:firstLine="600" w:firstLineChars="250"/>
        <w:jc w:val="left"/>
        <w:rPr>
          <w:rFonts w:ascii="宋体" w:hAnsi="宋体" w:cs="宋体"/>
          <w:color w:val="auto"/>
          <w:sz w:val="24"/>
          <w:highlight w:val="none"/>
        </w:rPr>
      </w:pPr>
    </w:p>
    <w:p w14:paraId="6FE7E4AF">
      <w:pPr>
        <w:pageBreakBefore w:val="0"/>
        <w:wordWrap w:val="0"/>
        <w:overflowPunct/>
        <w:topLinePunct w:val="0"/>
        <w:bidi w:val="0"/>
        <w:snapToGrid w:val="0"/>
        <w:spacing w:line="360" w:lineRule="auto"/>
        <w:ind w:firstLine="602" w:firstLineChars="250"/>
        <w:jc w:val="left"/>
        <w:rPr>
          <w:rFonts w:ascii="宋体" w:hAnsi="宋体" w:cs="宋体"/>
          <w:b/>
          <w:color w:val="auto"/>
          <w:sz w:val="24"/>
          <w:szCs w:val="20"/>
          <w:highlight w:val="none"/>
        </w:rPr>
      </w:pPr>
    </w:p>
    <w:tbl>
      <w:tblPr>
        <w:tblStyle w:val="2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3762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7DBB88B7">
            <w:pPr>
              <w:pageBreakBefore w:val="0"/>
              <w:wordWrap w:val="0"/>
              <w:overflowPunct/>
              <w:topLinePunct w:val="0"/>
              <w:bidi w:val="0"/>
              <w:spacing w:line="360" w:lineRule="auto"/>
              <w:rPr>
                <w:rFonts w:ascii="宋体" w:hAnsi="宋体" w:cs="宋体"/>
                <w:b/>
                <w:color w:val="auto"/>
                <w:sz w:val="24"/>
                <w:highlight w:val="none"/>
              </w:rPr>
            </w:pPr>
          </w:p>
          <w:p w14:paraId="7E711B3A">
            <w:pPr>
              <w:pageBreakBefore w:val="0"/>
              <w:wordWrap w:val="0"/>
              <w:overflowPunct/>
              <w:topLinePunct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法定代表身份证复印件粘帖处（正、反面）</w:t>
            </w:r>
          </w:p>
        </w:tc>
      </w:tr>
    </w:tbl>
    <w:p w14:paraId="3AE64B75">
      <w:pPr>
        <w:pStyle w:val="12"/>
        <w:pageBreakBefore w:val="0"/>
        <w:wordWrap w:val="0"/>
        <w:overflowPunct/>
        <w:topLinePunct w:val="0"/>
        <w:bidi w:val="0"/>
        <w:snapToGrid w:val="0"/>
        <w:spacing w:line="360" w:lineRule="auto"/>
        <w:jc w:val="center"/>
        <w:rPr>
          <w:rFonts w:hAnsi="宋体" w:cs="宋体"/>
          <w:b/>
          <w:color w:val="auto"/>
          <w:sz w:val="24"/>
          <w:highlight w:val="none"/>
        </w:rPr>
      </w:pPr>
      <w:r>
        <w:rPr>
          <w:rFonts w:hint="eastAsia" w:hAnsi="宋体" w:cs="宋体"/>
          <w:b/>
          <w:color w:val="auto"/>
          <w:sz w:val="24"/>
          <w:highlight w:val="none"/>
        </w:rPr>
        <w:t>附件：</w:t>
      </w:r>
      <w:r>
        <w:rPr>
          <w:rFonts w:hint="eastAsia" w:hAnsi="宋体" w:cs="宋体"/>
          <w:b/>
          <w:color w:val="auto"/>
          <w:sz w:val="24"/>
          <w:highlight w:val="none"/>
        </w:rPr>
        <w:br w:type="page"/>
      </w:r>
      <w:r>
        <w:rPr>
          <w:rFonts w:hint="eastAsia" w:hAnsi="宋体" w:cs="宋体"/>
          <w:b/>
          <w:bCs/>
          <w:color w:val="auto"/>
          <w:sz w:val="30"/>
          <w:szCs w:val="30"/>
          <w:highlight w:val="none"/>
        </w:rPr>
        <w:t>三、法定代表人授权委托书及委托代理人有效身份证正反面复印件（如有委托时）</w:t>
      </w:r>
    </w:p>
    <w:p w14:paraId="6662BC48">
      <w:pPr>
        <w:pageBreakBefore w:val="0"/>
        <w:wordWrap w:val="0"/>
        <w:overflowPunct/>
        <w:topLinePunct w:val="0"/>
        <w:bidi w:val="0"/>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14F42436">
      <w:pPr>
        <w:pageBreakBefore w:val="0"/>
        <w:wordWrap w:val="0"/>
        <w:overflowPunct/>
        <w:topLinePunct w:val="0"/>
        <w:bidi w:val="0"/>
        <w:snapToGrid w:val="0"/>
        <w:spacing w:line="360" w:lineRule="auto"/>
        <w:jc w:val="center"/>
        <w:rPr>
          <w:rFonts w:ascii="宋体" w:hAnsi="宋体" w:cs="宋体"/>
          <w:b/>
          <w:color w:val="auto"/>
          <w:sz w:val="24"/>
          <w:highlight w:val="none"/>
        </w:rPr>
      </w:pPr>
    </w:p>
    <w:p w14:paraId="1BCA5DFA">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致：</w:t>
      </w:r>
      <w:r>
        <w:rPr>
          <w:rFonts w:hint="eastAsia" w:hAnsi="宋体" w:cs="宋体"/>
          <w:color w:val="auto"/>
          <w:highlight w:val="none"/>
          <w:u w:val="single"/>
        </w:rPr>
        <w:t xml:space="preserve"> </w:t>
      </w:r>
      <w:bookmarkStart w:id="436" w:name="PO_3000001866_PM031_7"/>
      <w:r>
        <w:rPr>
          <w:rFonts w:hint="eastAsia" w:hAnsi="宋体" w:cs="宋体"/>
          <w:color w:val="auto"/>
          <w:highlight w:val="none"/>
          <w:u w:val="single"/>
        </w:rPr>
        <w:t>广西邕政采购代理有限公司</w:t>
      </w:r>
      <w:bookmarkEnd w:id="436"/>
      <w:r>
        <w:rPr>
          <w:rFonts w:hint="eastAsia" w:hAnsi="宋体" w:cs="宋体"/>
          <w:color w:val="auto"/>
          <w:highlight w:val="none"/>
          <w:u w:val="single"/>
        </w:rPr>
        <w:t xml:space="preserve"> </w:t>
      </w:r>
    </w:p>
    <w:p w14:paraId="37F5C1E1">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本人</w:t>
      </w:r>
      <w:r>
        <w:rPr>
          <w:rFonts w:hint="eastAsia" w:hAnsi="宋体" w:cs="宋体"/>
          <w:color w:val="auto"/>
          <w:highlight w:val="none"/>
          <w:u w:val="single"/>
        </w:rPr>
        <w:t xml:space="preserve">        </w:t>
      </w:r>
      <w:r>
        <w:rPr>
          <w:rFonts w:hint="eastAsia" w:hAnsi="宋体" w:cs="宋体"/>
          <w:color w:val="auto"/>
          <w:highlight w:val="none"/>
        </w:rPr>
        <w:t>（姓名）系</w:t>
      </w:r>
      <w:r>
        <w:rPr>
          <w:rFonts w:hint="eastAsia" w:hAnsi="宋体" w:cs="宋体"/>
          <w:color w:val="auto"/>
          <w:highlight w:val="none"/>
          <w:u w:val="single"/>
        </w:rPr>
        <w:t xml:space="preserve">                 </w:t>
      </w:r>
      <w:r>
        <w:rPr>
          <w:rFonts w:hint="eastAsia" w:hAnsi="宋体" w:cs="宋体"/>
          <w:color w:val="auto"/>
          <w:highlight w:val="none"/>
        </w:rPr>
        <w:t>（投标人名称）的法定代表人，现授权我单位在职正式员工</w:t>
      </w:r>
      <w:r>
        <w:rPr>
          <w:rFonts w:hint="eastAsia" w:hAnsi="宋体" w:cs="宋体"/>
          <w:color w:val="auto"/>
          <w:highlight w:val="none"/>
          <w:u w:val="single"/>
        </w:rPr>
        <w:t xml:space="preserve">        </w:t>
      </w:r>
      <w:r>
        <w:rPr>
          <w:rFonts w:hint="eastAsia" w:hAnsi="宋体" w:cs="宋体"/>
          <w:color w:val="auto"/>
          <w:highlight w:val="none"/>
        </w:rPr>
        <w:t>（姓名和职务）为我方代理人。代理人根据授权，以我方名义签署、澄清、说明、补正、递交、撤回、修改贵方组织的</w:t>
      </w:r>
      <w:r>
        <w:rPr>
          <w:rFonts w:hint="eastAsia" w:hAnsi="宋体" w:cs="宋体"/>
          <w:color w:val="auto"/>
          <w:highlight w:val="none"/>
          <w:u w:val="single"/>
        </w:rPr>
        <w:t xml:space="preserve"> </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rPr>
        <w:t>）的投标文件、签订合同和处理一切有关事宜，其法律后果由我方承担。</w:t>
      </w:r>
    </w:p>
    <w:p w14:paraId="34582C67">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本授权书于</w:t>
      </w:r>
      <w:r>
        <w:rPr>
          <w:rFonts w:hint="eastAsia" w:hAnsi="宋体" w:cs="宋体"/>
          <w:color w:val="auto"/>
          <w:spacing w:val="10"/>
          <w:sz w:val="24"/>
          <w:highlight w:val="none"/>
          <w:u w:val="single"/>
        </w:rPr>
        <w:t xml:space="preserve">    </w:t>
      </w:r>
      <w:r>
        <w:rPr>
          <w:rFonts w:hint="eastAsia" w:hAnsi="宋体" w:cs="宋体"/>
          <w:color w:val="auto"/>
          <w:highlight w:val="none"/>
        </w:rPr>
        <w:t>年</w:t>
      </w:r>
      <w:r>
        <w:rPr>
          <w:rFonts w:hint="eastAsia" w:hAnsi="宋体" w:cs="宋体"/>
          <w:color w:val="auto"/>
          <w:spacing w:val="10"/>
          <w:sz w:val="24"/>
          <w:highlight w:val="none"/>
          <w:u w:val="single"/>
        </w:rPr>
        <w:t xml:space="preserve">    </w:t>
      </w:r>
      <w:r>
        <w:rPr>
          <w:rFonts w:hint="eastAsia" w:hAnsi="宋体" w:cs="宋体"/>
          <w:color w:val="auto"/>
          <w:highlight w:val="none"/>
        </w:rPr>
        <w:t>月</w:t>
      </w:r>
      <w:r>
        <w:rPr>
          <w:rFonts w:hint="eastAsia" w:hAnsi="宋体" w:cs="宋体"/>
          <w:color w:val="auto"/>
          <w:spacing w:val="10"/>
          <w:sz w:val="24"/>
          <w:highlight w:val="none"/>
          <w:u w:val="single"/>
        </w:rPr>
        <w:t xml:space="preserve">    </w:t>
      </w:r>
      <w:r>
        <w:rPr>
          <w:rFonts w:hint="eastAsia" w:hAnsi="宋体" w:cs="宋体"/>
          <w:color w:val="auto"/>
          <w:highlight w:val="none"/>
        </w:rPr>
        <w:t>日签字生效，委托期限：</w:t>
      </w:r>
      <w:r>
        <w:rPr>
          <w:rFonts w:hint="eastAsia" w:hAnsi="宋体" w:cs="宋体"/>
          <w:color w:val="auto"/>
          <w:spacing w:val="10"/>
          <w:sz w:val="24"/>
          <w:highlight w:val="none"/>
          <w:u w:val="single"/>
        </w:rPr>
        <w:t xml:space="preserve">    </w:t>
      </w:r>
      <w:r>
        <w:rPr>
          <w:rFonts w:hint="eastAsia" w:hAnsi="宋体" w:cs="宋体"/>
          <w:color w:val="auto"/>
          <w:highlight w:val="none"/>
        </w:rPr>
        <w:t>。</w:t>
      </w:r>
    </w:p>
    <w:p w14:paraId="0BBED829">
      <w:pPr>
        <w:pStyle w:val="12"/>
        <w:pageBreakBefore w:val="0"/>
        <w:wordWrap w:val="0"/>
        <w:overflowPunct/>
        <w:topLinePunct w:val="0"/>
        <w:bidi w:val="0"/>
        <w:spacing w:line="360" w:lineRule="auto"/>
        <w:ind w:firstLine="420"/>
        <w:rPr>
          <w:rFonts w:hAnsi="宋体" w:cs="宋体"/>
          <w:color w:val="auto"/>
          <w:highlight w:val="none"/>
        </w:rPr>
      </w:pPr>
      <w:r>
        <w:rPr>
          <w:rFonts w:hint="eastAsia" w:hAnsi="宋体" w:cs="宋体"/>
          <w:color w:val="auto"/>
          <w:highlight w:val="none"/>
        </w:rPr>
        <w:t>代理人无转委托权。</w:t>
      </w:r>
    </w:p>
    <w:p w14:paraId="05455613">
      <w:pPr>
        <w:pStyle w:val="12"/>
        <w:pageBreakBefore w:val="0"/>
        <w:wordWrap w:val="0"/>
        <w:overflowPunct/>
        <w:topLinePunct w:val="0"/>
        <w:bidi w:val="0"/>
        <w:spacing w:line="360" w:lineRule="auto"/>
        <w:ind w:firstLine="420"/>
        <w:rPr>
          <w:rFonts w:hAnsi="宋体" w:cs="宋体"/>
          <w:color w:val="auto"/>
          <w:highlight w:val="none"/>
        </w:rPr>
      </w:pPr>
    </w:p>
    <w:p w14:paraId="7DF31614">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投标人（或联合体投标</w:t>
      </w:r>
      <w:r>
        <w:rPr>
          <w:rFonts w:hint="eastAsia" w:hAnsi="宋体" w:cs="宋体"/>
          <w:color w:val="auto"/>
          <w:kern w:val="0"/>
          <w:szCs w:val="21"/>
          <w:highlight w:val="none"/>
        </w:rPr>
        <w:t>牵头人名称</w:t>
      </w:r>
      <w:r>
        <w:rPr>
          <w:rFonts w:hint="eastAsia" w:hAnsi="宋体" w:cs="宋体"/>
          <w:color w:val="auto"/>
          <w:highlight w:val="none"/>
        </w:rPr>
        <w:t>）（盖单位公章）：</w:t>
      </w:r>
      <w:r>
        <w:rPr>
          <w:rFonts w:hint="eastAsia" w:hAnsi="宋体" w:cs="宋体"/>
          <w:color w:val="auto"/>
          <w:highlight w:val="none"/>
          <w:u w:val="single"/>
        </w:rPr>
        <w:t xml:space="preserve">                                    </w:t>
      </w:r>
    </w:p>
    <w:p w14:paraId="5A23901C">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lang w:val="en-US" w:eastAsia="zh-CN"/>
        </w:rPr>
        <w:t>或盖章</w:t>
      </w:r>
      <w:r>
        <w:rPr>
          <w:rFonts w:hint="eastAsia" w:hAnsi="宋体" w:cs="宋体"/>
          <w:color w:val="auto"/>
          <w:highlight w:val="none"/>
        </w:rPr>
        <w:t>）：</w:t>
      </w:r>
      <w:r>
        <w:rPr>
          <w:rFonts w:hint="eastAsia" w:hAnsi="宋体" w:cs="宋体"/>
          <w:color w:val="auto"/>
          <w:highlight w:val="none"/>
          <w:u w:val="single"/>
        </w:rPr>
        <w:t xml:space="preserve">                                </w:t>
      </w:r>
    </w:p>
    <w:p w14:paraId="0988F45C">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法定代表人身份证号码：</w:t>
      </w:r>
      <w:r>
        <w:rPr>
          <w:rFonts w:hint="eastAsia" w:hAnsi="宋体" w:cs="宋体"/>
          <w:color w:val="auto"/>
          <w:highlight w:val="none"/>
          <w:u w:val="single"/>
        </w:rPr>
        <w:t xml:space="preserve">                                   </w:t>
      </w:r>
    </w:p>
    <w:p w14:paraId="0928C8DA">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委托代理人（签字</w:t>
      </w:r>
      <w:r>
        <w:rPr>
          <w:rFonts w:hint="eastAsia" w:hAnsi="宋体" w:cs="宋体"/>
          <w:color w:val="auto"/>
          <w:highlight w:val="none"/>
          <w:lang w:val="en-US" w:eastAsia="zh-CN"/>
        </w:rPr>
        <w:t>或盖章</w:t>
      </w:r>
      <w:r>
        <w:rPr>
          <w:rFonts w:hint="eastAsia" w:hAnsi="宋体" w:cs="宋体"/>
          <w:color w:val="auto"/>
          <w:highlight w:val="none"/>
        </w:rPr>
        <w:t>）：</w:t>
      </w:r>
      <w:r>
        <w:rPr>
          <w:rFonts w:hint="eastAsia" w:hAnsi="宋体" w:cs="宋体"/>
          <w:color w:val="auto"/>
          <w:highlight w:val="none"/>
          <w:u w:val="single"/>
        </w:rPr>
        <w:t xml:space="preserve">                                </w:t>
      </w:r>
    </w:p>
    <w:p w14:paraId="13D7EB04">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委托代理人身份证号码：</w:t>
      </w:r>
      <w:r>
        <w:rPr>
          <w:rFonts w:hint="eastAsia" w:hAnsi="宋体" w:cs="宋体"/>
          <w:color w:val="auto"/>
          <w:highlight w:val="none"/>
          <w:u w:val="single"/>
        </w:rPr>
        <w:t xml:space="preserve">                                   </w:t>
      </w:r>
    </w:p>
    <w:p w14:paraId="6E1C5DA3">
      <w:pPr>
        <w:pStyle w:val="12"/>
        <w:pageBreakBefore w:val="0"/>
        <w:wordWrap w:val="0"/>
        <w:overflowPunct/>
        <w:topLinePunct w:val="0"/>
        <w:bidi w:val="0"/>
        <w:spacing w:line="360" w:lineRule="auto"/>
        <w:ind w:firstLine="420"/>
        <w:rPr>
          <w:rFonts w:hAnsi="宋体" w:cs="宋体"/>
          <w:color w:val="auto"/>
          <w:highlight w:val="none"/>
          <w:u w:val="single"/>
        </w:rPr>
      </w:pPr>
    </w:p>
    <w:p w14:paraId="2E729A3D">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kern w:val="0"/>
          <w:szCs w:val="21"/>
          <w:highlight w:val="none"/>
        </w:rPr>
        <w:t>成员一名称：</w:t>
      </w:r>
      <w:r>
        <w:rPr>
          <w:rFonts w:hint="eastAsia" w:hAnsi="宋体" w:cs="宋体"/>
          <w:color w:val="auto"/>
          <w:highlight w:val="none"/>
        </w:rPr>
        <w:t>（盖单位公章）：</w:t>
      </w:r>
      <w:r>
        <w:rPr>
          <w:rFonts w:hint="eastAsia" w:hAnsi="宋体" w:cs="宋体"/>
          <w:color w:val="auto"/>
          <w:highlight w:val="none"/>
          <w:u w:val="single"/>
        </w:rPr>
        <w:t xml:space="preserve">                                    </w:t>
      </w:r>
    </w:p>
    <w:p w14:paraId="77EEE60F">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14:paraId="41DFE919">
      <w:pPr>
        <w:pStyle w:val="12"/>
        <w:pageBreakBefore w:val="0"/>
        <w:wordWrap w:val="0"/>
        <w:overflowPunct/>
        <w:topLinePunct w:val="0"/>
        <w:bidi w:val="0"/>
        <w:spacing w:line="360" w:lineRule="auto"/>
        <w:ind w:firstLine="420"/>
        <w:rPr>
          <w:rFonts w:hAnsi="宋体" w:cs="宋体"/>
          <w:color w:val="auto"/>
          <w:highlight w:val="none"/>
          <w:u w:val="single"/>
        </w:rPr>
      </w:pPr>
    </w:p>
    <w:p w14:paraId="0EA2C028">
      <w:pPr>
        <w:pageBreakBefore w:val="0"/>
        <w:wordWrap w:val="0"/>
        <w:overflowPunct/>
        <w:topLinePunct w:val="0"/>
        <w:autoSpaceDE w:val="0"/>
        <w:autoSpaceDN w:val="0"/>
        <w:bidi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（盖单位公章）</w:t>
      </w:r>
    </w:p>
    <w:p w14:paraId="1F6A5D00">
      <w:pPr>
        <w:pageBreakBefore w:val="0"/>
        <w:wordWrap w:val="0"/>
        <w:overflowPunct/>
        <w:topLinePunct w:val="0"/>
        <w:autoSpaceDE w:val="0"/>
        <w:autoSpaceDN w:val="0"/>
        <w:bidi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w:t>
      </w:r>
    </w:p>
    <w:p w14:paraId="087C5216">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w:t>
      </w:r>
    </w:p>
    <w:p w14:paraId="20501F0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注：</w:t>
      </w:r>
    </w:p>
    <w:p w14:paraId="7CA04CC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1.法定代表人和委托代理人必须在授权委托书上</w:t>
      </w:r>
      <w:r>
        <w:rPr>
          <w:rFonts w:hint="eastAsia" w:ascii="宋体" w:hAnsi="宋体" w:cs="宋体"/>
          <w:color w:val="auto"/>
          <w:szCs w:val="21"/>
          <w:highlight w:val="none"/>
          <w:lang w:val="en-US" w:eastAsia="zh-CN"/>
        </w:rPr>
        <w:t>签字</w:t>
      </w:r>
      <w:r>
        <w:rPr>
          <w:rFonts w:hint="eastAsia" w:hAnsi="宋体" w:cs="宋体"/>
          <w:color w:val="auto"/>
          <w:highlight w:val="none"/>
          <w:lang w:val="en-US" w:eastAsia="zh-CN"/>
        </w:rPr>
        <w:t>或盖章</w:t>
      </w:r>
      <w:r>
        <w:rPr>
          <w:rFonts w:hint="eastAsia" w:ascii="宋体" w:hAnsi="宋体" w:cs="宋体"/>
          <w:color w:val="auto"/>
          <w:szCs w:val="21"/>
          <w:highlight w:val="none"/>
        </w:rPr>
        <w:t>，</w:t>
      </w:r>
      <w:r>
        <w:rPr>
          <w:rFonts w:hint="eastAsia" w:ascii="宋体" w:hAnsi="宋体" w:cs="宋体"/>
          <w:b/>
          <w:bCs/>
          <w:color w:val="auto"/>
          <w:szCs w:val="21"/>
          <w:highlight w:val="none"/>
        </w:rPr>
        <w:t>否则作无效投标处理</w:t>
      </w:r>
      <w:r>
        <w:rPr>
          <w:rFonts w:hint="eastAsia" w:ascii="宋体" w:hAnsi="宋体" w:cs="宋体"/>
          <w:color w:val="auto"/>
          <w:szCs w:val="21"/>
          <w:highlight w:val="none"/>
        </w:rPr>
        <w:t>；</w:t>
      </w:r>
    </w:p>
    <w:p w14:paraId="461FD329">
      <w:pPr>
        <w:pageBreakBefore w:val="0"/>
        <w:wordWrap w:val="0"/>
        <w:overflowPunct/>
        <w:topLinePunct w:val="0"/>
        <w:bidi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14:paraId="7520175C">
      <w:pPr>
        <w:pageBreakBefore w:val="0"/>
        <w:wordWrap w:val="0"/>
        <w:overflowPunct/>
        <w:topLinePunct w:val="0"/>
        <w:bidi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FA939A7">
      <w:pPr>
        <w:pageBreakBefore w:val="0"/>
        <w:wordWrap w:val="0"/>
        <w:overflowPunct/>
        <w:topLinePunct w:val="0"/>
        <w:bidi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4. 若为联合体投标须各方签字或盖章。</w:t>
      </w:r>
    </w:p>
    <w:p w14:paraId="63426761">
      <w:pPr>
        <w:pageBreakBefore w:val="0"/>
        <w:wordWrap w:val="0"/>
        <w:overflowPunct/>
        <w:topLinePunct w:val="0"/>
        <w:bidi w:val="0"/>
        <w:spacing w:line="360" w:lineRule="auto"/>
        <w:rPr>
          <w:rFonts w:ascii="宋体" w:hAnsi="宋体" w:cs="宋体"/>
          <w:b/>
          <w:color w:val="auto"/>
          <w:sz w:val="24"/>
          <w:highlight w:val="none"/>
        </w:rPr>
      </w:pPr>
    </w:p>
    <w:p w14:paraId="06F11BB9">
      <w:pPr>
        <w:pageBreakBefore w:val="0"/>
        <w:topLinePunct w:val="0"/>
        <w:bidi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br w:type="page"/>
      </w:r>
    </w:p>
    <w:p w14:paraId="226885FE">
      <w:pPr>
        <w:pageBreakBefore w:val="0"/>
        <w:wordWrap w:val="0"/>
        <w:overflowPunct/>
        <w:topLinePunct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附件：</w:t>
      </w:r>
    </w:p>
    <w:tbl>
      <w:tblPr>
        <w:tblStyle w:val="20"/>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6F60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tcPr>
          <w:p w14:paraId="1C666442">
            <w:pPr>
              <w:pageBreakBefore w:val="0"/>
              <w:wordWrap w:val="0"/>
              <w:overflowPunct/>
              <w:topLinePunct w:val="0"/>
              <w:bidi w:val="0"/>
              <w:spacing w:line="360" w:lineRule="auto"/>
              <w:rPr>
                <w:rFonts w:ascii="宋体" w:hAnsi="宋体" w:cs="宋体"/>
                <w:b/>
                <w:color w:val="auto"/>
                <w:sz w:val="24"/>
                <w:highlight w:val="none"/>
              </w:rPr>
            </w:pPr>
          </w:p>
          <w:p w14:paraId="7D1E9B26">
            <w:pPr>
              <w:pageBreakBefore w:val="0"/>
              <w:wordWrap w:val="0"/>
              <w:overflowPunct/>
              <w:topLinePunct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全权代表身份证复印件粘帖处（正、反面）</w:t>
            </w:r>
          </w:p>
        </w:tc>
      </w:tr>
    </w:tbl>
    <w:p w14:paraId="63FB99D7">
      <w:pPr>
        <w:pageBreakBefore w:val="0"/>
        <w:wordWrap w:val="0"/>
        <w:overflowPunct/>
        <w:topLinePunct w:val="0"/>
        <w:bidi w:val="0"/>
        <w:snapToGrid w:val="0"/>
        <w:spacing w:line="360" w:lineRule="auto"/>
        <w:jc w:val="left"/>
        <w:rPr>
          <w:rFonts w:ascii="宋体" w:hAnsi="宋体" w:cs="宋体"/>
          <w:color w:val="auto"/>
          <w:szCs w:val="21"/>
          <w:highlight w:val="none"/>
        </w:rPr>
      </w:pPr>
    </w:p>
    <w:p w14:paraId="4F7966C6">
      <w:pPr>
        <w:pageBreakBefore w:val="0"/>
        <w:wordWrap w:val="0"/>
        <w:overflowPunct/>
        <w:topLinePunct w:val="0"/>
        <w:bidi w:val="0"/>
        <w:snapToGrid w:val="0"/>
        <w:spacing w:line="360" w:lineRule="auto"/>
        <w:ind w:firstLine="566" w:firstLineChars="236"/>
        <w:jc w:val="center"/>
        <w:rPr>
          <w:rFonts w:ascii="宋体" w:hAnsi="宋体" w:cs="宋体"/>
          <w:color w:val="auto"/>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rPr>
        <w:br w:type="page"/>
      </w:r>
    </w:p>
    <w:p w14:paraId="241D069E">
      <w:pPr>
        <w:pageBreakBefore w:val="0"/>
        <w:wordWrap w:val="0"/>
        <w:overflowPunct/>
        <w:topLinePunct w:val="0"/>
        <w:bidi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四、商务条款偏离表</w:t>
      </w:r>
    </w:p>
    <w:p w14:paraId="5A211853">
      <w:pPr>
        <w:pageBreakBefore w:val="0"/>
        <w:wordWrap w:val="0"/>
        <w:overflowPunct/>
        <w:topLinePunct w:val="0"/>
        <w:bidi w:val="0"/>
        <w:spacing w:line="360" w:lineRule="auto"/>
        <w:jc w:val="center"/>
        <w:rPr>
          <w:rFonts w:ascii="宋体" w:hAnsi="宋体" w:cs="宋体"/>
          <w:b/>
          <w:color w:val="auto"/>
          <w:sz w:val="24"/>
          <w:szCs w:val="20"/>
          <w:highlight w:val="none"/>
        </w:rPr>
      </w:pPr>
      <w:r>
        <w:rPr>
          <w:rFonts w:hint="eastAsia" w:ascii="宋体" w:hAnsi="宋体" w:cs="宋体"/>
          <w:color w:val="auto"/>
          <w:sz w:val="30"/>
          <w:szCs w:val="20"/>
          <w:highlight w:val="none"/>
        </w:rPr>
        <w:t>(注：按项目需求表具体项目修改)</w:t>
      </w:r>
    </w:p>
    <w:p w14:paraId="6069A756">
      <w:pPr>
        <w:pageBreakBefore w:val="0"/>
        <w:wordWrap w:val="0"/>
        <w:overflowPunct/>
        <w:topLinePunct w:val="0"/>
        <w:bidi w:val="0"/>
        <w:snapToGrid w:val="0"/>
        <w:spacing w:line="360" w:lineRule="auto"/>
        <w:jc w:val="left"/>
        <w:rPr>
          <w:rFonts w:ascii="宋体" w:hAnsi="宋体" w:cs="宋体"/>
          <w:color w:val="auto"/>
          <w:sz w:val="24"/>
          <w:highlight w:val="none"/>
        </w:rPr>
      </w:pPr>
    </w:p>
    <w:p w14:paraId="552F3313">
      <w:pPr>
        <w:pStyle w:val="12"/>
        <w:pageBreakBefore w:val="0"/>
        <w:wordWrap w:val="0"/>
        <w:overflowPunct/>
        <w:topLinePunct w:val="0"/>
        <w:bidi w:val="0"/>
        <w:spacing w:line="360" w:lineRule="auto"/>
        <w:ind w:left="-424" w:leftChars="-202" w:firstLine="846"/>
        <w:rPr>
          <w:rFonts w:hAnsi="宋体" w:cs="宋体"/>
          <w:color w:val="auto"/>
          <w:sz w:val="24"/>
          <w:szCs w:val="24"/>
          <w:highlight w:val="none"/>
        </w:rPr>
      </w:pPr>
      <w:r>
        <w:rPr>
          <w:rFonts w:hint="eastAsia" w:hAnsi="宋体" w:cs="宋体"/>
          <w:color w:val="auto"/>
          <w:highlight w:val="none"/>
        </w:rPr>
        <w:t>请逐条对应本项目招标文件第二章“服务需求一览表”中“商务条款”的要求，详细填写相应的具体内容。“偏离说明”一栏应当选择“正偏离”、“负偏离”或“无偏离”进行填写。</w:t>
      </w:r>
    </w:p>
    <w:tbl>
      <w:tblPr>
        <w:tblStyle w:val="2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30EA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4C51C813">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1084DBC1">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tcPr>
          <w:p w14:paraId="699F8496">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tcPr>
          <w:p w14:paraId="3E8E6C0A">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06FC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42DD5A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25D098E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F296F30">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1DD1F9C4">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5F6BBF1F">
            <w:pPr>
              <w:pageBreakBefore w:val="0"/>
              <w:wordWrap w:val="0"/>
              <w:overflowPunct/>
              <w:topLinePunct w:val="0"/>
              <w:bidi w:val="0"/>
              <w:spacing w:line="360" w:lineRule="auto"/>
              <w:rPr>
                <w:rFonts w:ascii="宋体" w:hAnsi="宋体" w:cs="宋体"/>
                <w:color w:val="auto"/>
                <w:szCs w:val="21"/>
                <w:highlight w:val="none"/>
              </w:rPr>
            </w:pPr>
          </w:p>
        </w:tc>
      </w:tr>
      <w:tr w14:paraId="07A6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573CCF6">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37E70651">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336A95C1">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4CC0C92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5112903C">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446C414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A706139">
            <w:pPr>
              <w:pageBreakBefore w:val="0"/>
              <w:wordWrap w:val="0"/>
              <w:overflowPunct/>
              <w:topLinePunct w:val="0"/>
              <w:bidi w:val="0"/>
              <w:spacing w:line="360" w:lineRule="auto"/>
              <w:rPr>
                <w:rFonts w:ascii="宋体" w:hAnsi="宋体" w:cs="宋体"/>
                <w:color w:val="auto"/>
                <w:szCs w:val="21"/>
                <w:highlight w:val="none"/>
              </w:rPr>
            </w:pPr>
          </w:p>
        </w:tc>
      </w:tr>
      <w:tr w14:paraId="4453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1464957">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8446662">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9F2C3C3">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3E7E6A13">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58608FE7">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20A5631A">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778F1017">
            <w:pPr>
              <w:pageBreakBefore w:val="0"/>
              <w:wordWrap w:val="0"/>
              <w:overflowPunct/>
              <w:topLinePunct w:val="0"/>
              <w:bidi w:val="0"/>
              <w:spacing w:line="360" w:lineRule="auto"/>
              <w:rPr>
                <w:rFonts w:ascii="宋体" w:hAnsi="宋体" w:cs="宋体"/>
                <w:color w:val="auto"/>
                <w:szCs w:val="21"/>
                <w:highlight w:val="none"/>
              </w:rPr>
            </w:pPr>
          </w:p>
        </w:tc>
      </w:tr>
      <w:tr w14:paraId="1397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55606CD">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70DD3D0">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771B197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02B03B84">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01028C82">
            <w:pPr>
              <w:pageBreakBefore w:val="0"/>
              <w:wordWrap w:val="0"/>
              <w:overflowPunct/>
              <w:topLinePunct w:val="0"/>
              <w:bidi w:val="0"/>
              <w:spacing w:line="360" w:lineRule="auto"/>
              <w:rPr>
                <w:rFonts w:ascii="宋体" w:hAnsi="宋体" w:cs="宋体"/>
                <w:color w:val="auto"/>
                <w:szCs w:val="21"/>
                <w:highlight w:val="none"/>
              </w:rPr>
            </w:pPr>
          </w:p>
        </w:tc>
      </w:tr>
      <w:tr w14:paraId="6F87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8F6DDA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37510B8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5D526C7B">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4DC1B5A9">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59CABA72">
            <w:pPr>
              <w:pageBreakBefore w:val="0"/>
              <w:wordWrap w:val="0"/>
              <w:overflowPunct/>
              <w:topLinePunct w:val="0"/>
              <w:bidi w:val="0"/>
              <w:spacing w:line="360" w:lineRule="auto"/>
              <w:rPr>
                <w:rFonts w:ascii="宋体" w:hAnsi="宋体" w:cs="宋体"/>
                <w:color w:val="auto"/>
                <w:szCs w:val="21"/>
                <w:highlight w:val="none"/>
              </w:rPr>
            </w:pPr>
          </w:p>
        </w:tc>
      </w:tr>
      <w:tr w14:paraId="01BF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67E983F">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B00F5F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3082F749">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2BD0BFB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9945E99">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2E2B7322">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4E8B072C">
            <w:pPr>
              <w:pageBreakBefore w:val="0"/>
              <w:wordWrap w:val="0"/>
              <w:overflowPunct/>
              <w:topLinePunct w:val="0"/>
              <w:bidi w:val="0"/>
              <w:spacing w:line="360" w:lineRule="auto"/>
              <w:rPr>
                <w:rFonts w:ascii="宋体" w:hAnsi="宋体" w:cs="宋体"/>
                <w:color w:val="auto"/>
                <w:szCs w:val="21"/>
                <w:highlight w:val="none"/>
              </w:rPr>
            </w:pPr>
          </w:p>
        </w:tc>
      </w:tr>
      <w:tr w14:paraId="2AB1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EFD9997">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F90DB01">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3090D31D">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08EF5A0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4F39C62F">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0A174D83">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A29FF4B">
            <w:pPr>
              <w:pageBreakBefore w:val="0"/>
              <w:wordWrap w:val="0"/>
              <w:overflowPunct/>
              <w:topLinePunct w:val="0"/>
              <w:bidi w:val="0"/>
              <w:spacing w:line="360" w:lineRule="auto"/>
              <w:rPr>
                <w:rFonts w:ascii="宋体" w:hAnsi="宋体" w:cs="宋体"/>
                <w:color w:val="auto"/>
                <w:szCs w:val="21"/>
                <w:highlight w:val="none"/>
              </w:rPr>
            </w:pPr>
          </w:p>
        </w:tc>
      </w:tr>
      <w:tr w14:paraId="6560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FB10EDE">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F6B9F1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4D15A8D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4414D0A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08A79298">
            <w:pPr>
              <w:pageBreakBefore w:val="0"/>
              <w:wordWrap w:val="0"/>
              <w:overflowPunct/>
              <w:topLinePunct w:val="0"/>
              <w:bidi w:val="0"/>
              <w:spacing w:line="360" w:lineRule="auto"/>
              <w:rPr>
                <w:rFonts w:ascii="宋体" w:hAnsi="宋体" w:cs="宋体"/>
                <w:color w:val="auto"/>
                <w:szCs w:val="21"/>
                <w:highlight w:val="none"/>
              </w:rPr>
            </w:pPr>
          </w:p>
        </w:tc>
      </w:tr>
      <w:tr w14:paraId="0EF7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8B51F2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3E96552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42560804">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tc>
        <w:tc>
          <w:tcPr>
            <w:tcW w:w="2516" w:type="dxa"/>
            <w:tcBorders>
              <w:top w:val="single" w:color="auto" w:sz="4" w:space="0"/>
              <w:left w:val="single" w:color="auto" w:sz="4" w:space="0"/>
              <w:right w:val="single" w:color="auto" w:sz="4" w:space="0"/>
            </w:tcBorders>
          </w:tcPr>
          <w:p w14:paraId="2F13CC29">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24670B0C">
            <w:pPr>
              <w:pageBreakBefore w:val="0"/>
              <w:wordWrap w:val="0"/>
              <w:overflowPunct/>
              <w:topLinePunct w:val="0"/>
              <w:bidi w:val="0"/>
              <w:spacing w:line="360" w:lineRule="auto"/>
              <w:rPr>
                <w:rFonts w:ascii="宋体" w:hAnsi="宋体" w:cs="宋体"/>
                <w:color w:val="auto"/>
                <w:szCs w:val="21"/>
                <w:highlight w:val="none"/>
              </w:rPr>
            </w:pPr>
          </w:p>
        </w:tc>
      </w:tr>
      <w:tr w14:paraId="46AC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3975D02">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097F46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89E3055">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76CFA21A">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157721E8">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621AC7D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3DBF1592">
            <w:pPr>
              <w:pageBreakBefore w:val="0"/>
              <w:wordWrap w:val="0"/>
              <w:overflowPunct/>
              <w:topLinePunct w:val="0"/>
              <w:bidi w:val="0"/>
              <w:spacing w:line="360" w:lineRule="auto"/>
              <w:rPr>
                <w:rFonts w:ascii="宋体" w:hAnsi="宋体" w:cs="宋体"/>
                <w:color w:val="auto"/>
                <w:szCs w:val="21"/>
                <w:highlight w:val="none"/>
              </w:rPr>
            </w:pPr>
          </w:p>
        </w:tc>
      </w:tr>
      <w:tr w14:paraId="2CC6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49FC61CB">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1C2DA221">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50181AFB">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12306DF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3D071D48">
            <w:pPr>
              <w:pageBreakBefore w:val="0"/>
              <w:wordWrap w:val="0"/>
              <w:overflowPunct/>
              <w:topLinePunct w:val="0"/>
              <w:bidi w:val="0"/>
              <w:spacing w:line="360" w:lineRule="auto"/>
              <w:rPr>
                <w:rFonts w:ascii="宋体" w:hAnsi="宋体" w:cs="宋体"/>
                <w:color w:val="auto"/>
                <w:szCs w:val="21"/>
                <w:highlight w:val="none"/>
              </w:rPr>
            </w:pPr>
          </w:p>
        </w:tc>
        <w:tc>
          <w:tcPr>
            <w:tcW w:w="2516" w:type="dxa"/>
            <w:tcBorders>
              <w:left w:val="single" w:color="auto" w:sz="4" w:space="0"/>
              <w:right w:val="single" w:color="auto" w:sz="4" w:space="0"/>
            </w:tcBorders>
          </w:tcPr>
          <w:p w14:paraId="62090ED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4D60292D">
            <w:pPr>
              <w:pageBreakBefore w:val="0"/>
              <w:wordWrap w:val="0"/>
              <w:overflowPunct/>
              <w:topLinePunct w:val="0"/>
              <w:bidi w:val="0"/>
              <w:spacing w:line="360" w:lineRule="auto"/>
              <w:rPr>
                <w:rFonts w:ascii="宋体" w:hAnsi="宋体" w:cs="宋体"/>
                <w:color w:val="auto"/>
                <w:szCs w:val="21"/>
                <w:highlight w:val="none"/>
              </w:rPr>
            </w:pPr>
          </w:p>
        </w:tc>
      </w:tr>
      <w:tr w14:paraId="2EA3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35615B95">
            <w:pPr>
              <w:pageBreakBefore w:val="0"/>
              <w:wordWrap w:val="0"/>
              <w:overflowPunct/>
              <w:topLinePunct w:val="0"/>
              <w:bidi w:val="0"/>
              <w:spacing w:line="360" w:lineRule="auto"/>
              <w:rPr>
                <w:rFonts w:ascii="宋体" w:hAnsi="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484683C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77E8A41A">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516" w:type="dxa"/>
            <w:tcBorders>
              <w:left w:val="single" w:color="auto" w:sz="4" w:space="0"/>
              <w:bottom w:val="single" w:color="auto" w:sz="4" w:space="0"/>
              <w:right w:val="single" w:color="auto" w:sz="4" w:space="0"/>
            </w:tcBorders>
          </w:tcPr>
          <w:p w14:paraId="0656FFBA">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p w14:paraId="6A009993">
            <w:pPr>
              <w:pageBreakBefore w:val="0"/>
              <w:wordWrap w:val="0"/>
              <w:overflowPunct/>
              <w:topLinePunct w:val="0"/>
              <w:bidi w:val="0"/>
              <w:spacing w:line="360" w:lineRule="auto"/>
              <w:rPr>
                <w:rFonts w:ascii="宋体" w:hAnsi="宋体" w:cs="宋体"/>
                <w:color w:val="auto"/>
                <w:szCs w:val="21"/>
                <w:highlight w:val="none"/>
              </w:rPr>
            </w:pPr>
          </w:p>
        </w:tc>
      </w:tr>
      <w:tr w14:paraId="1C0E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39610497">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bl>
    <w:p w14:paraId="01958E56">
      <w:pPr>
        <w:pStyle w:val="12"/>
        <w:pageBreakBefore w:val="0"/>
        <w:wordWrap w:val="0"/>
        <w:overflowPunct/>
        <w:topLinePunct w:val="0"/>
        <w:bidi w:val="0"/>
        <w:spacing w:line="360" w:lineRule="auto"/>
        <w:ind w:left="-708" w:leftChars="-337"/>
        <w:rPr>
          <w:rFonts w:hAnsi="宋体" w:cs="宋体"/>
          <w:color w:val="auto"/>
          <w:highlight w:val="none"/>
        </w:rPr>
      </w:pPr>
    </w:p>
    <w:p w14:paraId="7E18FDAA">
      <w:pPr>
        <w:pStyle w:val="12"/>
        <w:pageBreakBefore w:val="0"/>
        <w:wordWrap w:val="0"/>
        <w:overflowPunct/>
        <w:topLinePunct w:val="0"/>
        <w:bidi w:val="0"/>
        <w:spacing w:line="360" w:lineRule="auto"/>
        <w:ind w:left="-708" w:leftChars="-337"/>
        <w:rPr>
          <w:rFonts w:hAnsi="宋体" w:cs="宋体"/>
          <w:color w:val="auto"/>
          <w:highlight w:val="none"/>
        </w:rPr>
      </w:pPr>
      <w:r>
        <w:rPr>
          <w:rFonts w:hint="eastAsia" w:hAnsi="宋体" w:cs="宋体"/>
          <w:color w:val="auto"/>
          <w:highlight w:val="none"/>
        </w:rPr>
        <w:t>注：</w:t>
      </w:r>
    </w:p>
    <w:p w14:paraId="4727D7AB">
      <w:pPr>
        <w:pStyle w:val="12"/>
        <w:pageBreakBefore w:val="0"/>
        <w:wordWrap w:val="0"/>
        <w:overflowPunct/>
        <w:topLinePunct w:val="0"/>
        <w:bidi w:val="0"/>
        <w:spacing w:line="360" w:lineRule="auto"/>
        <w:ind w:left="-708" w:leftChars="-337" w:firstLine="420" w:firstLineChars="200"/>
        <w:rPr>
          <w:rFonts w:hAnsi="宋体" w:cs="宋体"/>
          <w:color w:val="auto"/>
          <w:highlight w:val="none"/>
        </w:rPr>
      </w:pPr>
      <w:r>
        <w:rPr>
          <w:rFonts w:hint="eastAsia" w:hAnsi="宋体" w:cs="宋体"/>
          <w:color w:val="auto"/>
          <w:highlight w:val="none"/>
        </w:rPr>
        <w:t>1.表格内容均需按要求填写并盖章，不得留空，否则按投标无效处理。</w:t>
      </w:r>
    </w:p>
    <w:p w14:paraId="6D50A7D2">
      <w:pPr>
        <w:pStyle w:val="12"/>
        <w:pageBreakBefore w:val="0"/>
        <w:wordWrap w:val="0"/>
        <w:overflowPunct/>
        <w:topLinePunct w:val="0"/>
        <w:bidi w:val="0"/>
        <w:spacing w:line="360" w:lineRule="auto"/>
        <w:ind w:left="-603" w:leftChars="-287" w:firstLine="316" w:firstLineChars="150"/>
        <w:rPr>
          <w:rFonts w:hAnsi="宋体" w:cs="宋体"/>
          <w:color w:val="auto"/>
          <w:highlight w:val="none"/>
        </w:rPr>
      </w:pPr>
      <w:r>
        <w:rPr>
          <w:rFonts w:hint="eastAsia" w:hAnsi="宋体" w:cs="宋体"/>
          <w:b/>
          <w:bCs/>
          <w:color w:val="auto"/>
          <w:highlight w:val="none"/>
        </w:rPr>
        <w:t>2.如果招标文件需求为小于或大于某个数值标准时，投标文件承诺不得直接复制招标文件需求，投标文件承诺内容应当写明投标货物具体参数或商务响应承诺的具体数值，否则按投标无效处理。</w:t>
      </w:r>
      <w:r>
        <w:rPr>
          <w:rFonts w:hint="eastAsia" w:hAnsi="宋体" w:cs="宋体"/>
          <w:color w:val="auto"/>
          <w:highlight w:val="none"/>
        </w:rPr>
        <w:t>如该采购需求属于不能明确具体数值的，采购人应在此采购需求的数值后标注◆号，对标注◆号的采购需求不适用上述“竞标无效”条款。</w:t>
      </w:r>
    </w:p>
    <w:p w14:paraId="00525F73">
      <w:pPr>
        <w:pStyle w:val="12"/>
        <w:pageBreakBefore w:val="0"/>
        <w:wordWrap w:val="0"/>
        <w:overflowPunct/>
        <w:topLinePunct w:val="0"/>
        <w:bidi w:val="0"/>
        <w:spacing w:line="360" w:lineRule="auto"/>
        <w:ind w:left="-603" w:leftChars="-287" w:firstLine="315" w:firstLineChars="150"/>
        <w:rPr>
          <w:rFonts w:hAnsi="宋体" w:cs="宋体"/>
          <w:color w:val="auto"/>
          <w:highlight w:val="none"/>
        </w:rPr>
      </w:pPr>
      <w:r>
        <w:rPr>
          <w:rFonts w:hint="eastAsia" w:hAnsi="宋体" w:cs="宋体"/>
          <w:color w:val="auto"/>
          <w:highlight w:val="none"/>
        </w:rPr>
        <w:t>3.当投标文件的商务内容低于招标文件要求时，投标人应当如实写明“负偏离”，否则视为虚假应标。</w:t>
      </w:r>
    </w:p>
    <w:p w14:paraId="5AC5CC56">
      <w:pPr>
        <w:pStyle w:val="12"/>
        <w:pageBreakBefore w:val="0"/>
        <w:wordWrap w:val="0"/>
        <w:overflowPunct/>
        <w:topLinePunct w:val="0"/>
        <w:bidi w:val="0"/>
        <w:spacing w:line="360" w:lineRule="auto"/>
        <w:ind w:left="-708" w:leftChars="-337" w:firstLine="420" w:firstLineChars="200"/>
        <w:rPr>
          <w:rFonts w:hAnsi="宋体" w:cs="宋体"/>
          <w:color w:val="auto"/>
          <w:highlight w:val="none"/>
        </w:rPr>
      </w:pPr>
      <w:r>
        <w:rPr>
          <w:rFonts w:hint="eastAsia" w:hAnsi="宋体" w:cs="宋体"/>
          <w:color w:val="auto"/>
          <w:szCs w:val="21"/>
          <w:highlight w:val="none"/>
        </w:rPr>
        <w:t>4.采购需求中带“▲”及“★”的条款，也要分别在本表“投标文件的商务需求”、“投标文件承诺的商务条款”中标记。</w:t>
      </w:r>
    </w:p>
    <w:p w14:paraId="0B1AE051">
      <w:pPr>
        <w:pageBreakBefore w:val="0"/>
        <w:wordWrap w:val="0"/>
        <w:overflowPunct/>
        <w:topLinePunct w:val="0"/>
        <w:bidi w:val="0"/>
        <w:snapToGrid w:val="0"/>
        <w:spacing w:line="360" w:lineRule="auto"/>
        <w:rPr>
          <w:rFonts w:ascii="宋体" w:hAnsi="宋体" w:cs="宋体"/>
          <w:color w:val="auto"/>
          <w:sz w:val="24"/>
          <w:highlight w:val="none"/>
        </w:rPr>
      </w:pPr>
    </w:p>
    <w:p w14:paraId="1FEA728B">
      <w:pPr>
        <w:pageBreakBefore w:val="0"/>
        <w:wordWrap w:val="0"/>
        <w:overflowPunct/>
        <w:topLinePunct w:val="0"/>
        <w:bidi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40E94780">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75C4084">
      <w:pPr>
        <w:pageBreakBefore w:val="0"/>
        <w:widowControl/>
        <w:wordWrap w:val="0"/>
        <w:overflowPunct/>
        <w:topLinePunct w:val="0"/>
        <w:bidi w:val="0"/>
        <w:spacing w:line="360" w:lineRule="auto"/>
        <w:jc w:val="left"/>
        <w:rPr>
          <w:rFonts w:ascii="宋体" w:hAnsi="宋体" w:cs="宋体"/>
          <w:color w:val="auto"/>
          <w:szCs w:val="21"/>
          <w:highlight w:val="none"/>
        </w:rPr>
        <w:sectPr>
          <w:pgSz w:w="11906" w:h="16838"/>
          <w:pgMar w:top="1440" w:right="1080" w:bottom="1440" w:left="1080" w:header="851" w:footer="992" w:gutter="0"/>
          <w:pgNumType w:fmt="decimal"/>
          <w:cols w:space="720" w:num="1"/>
        </w:sectPr>
      </w:pPr>
    </w:p>
    <w:p w14:paraId="3A3749EE">
      <w:pPr>
        <w:pageBreakBefore w:val="0"/>
        <w:wordWrap w:val="0"/>
        <w:overflowPunct/>
        <w:topLinePunct w:val="0"/>
        <w:bidi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五、投标人情况介绍</w:t>
      </w:r>
    </w:p>
    <w:p w14:paraId="36BC25A9">
      <w:pPr>
        <w:pageBreakBefore w:val="0"/>
        <w:wordWrap w:val="0"/>
        <w:overflowPunct/>
        <w:topLinePunct w:val="0"/>
        <w:bidi w:val="0"/>
        <w:spacing w:line="360" w:lineRule="auto"/>
        <w:ind w:firstLine="4048" w:firstLineChars="1687"/>
        <w:rPr>
          <w:rFonts w:ascii="宋体" w:hAnsi="宋体" w:cs="宋体"/>
          <w:color w:val="auto"/>
          <w:kern w:val="0"/>
          <w:sz w:val="24"/>
          <w:highlight w:val="none"/>
        </w:rPr>
      </w:pPr>
      <w:r>
        <w:rPr>
          <w:rFonts w:hint="eastAsia" w:ascii="宋体" w:hAnsi="宋体" w:cs="宋体"/>
          <w:color w:val="auto"/>
          <w:sz w:val="24"/>
          <w:highlight w:val="none"/>
        </w:rPr>
        <w:t>（格式自拟）</w:t>
      </w:r>
    </w:p>
    <w:p w14:paraId="285E851F">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1C67A801">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07B9C513">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6F4653A5">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7E4606BE">
      <w:pPr>
        <w:pageBreakBefore w:val="0"/>
        <w:wordWrap w:val="0"/>
        <w:overflowPunct/>
        <w:topLinePunct w:val="0"/>
        <w:bidi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3B997FEE">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5BF1C9A">
      <w:pPr>
        <w:pageBreakBefore w:val="0"/>
        <w:wordWrap w:val="0"/>
        <w:overflowPunct/>
        <w:topLinePunct w:val="0"/>
        <w:bidi w:val="0"/>
        <w:snapToGrid w:val="0"/>
        <w:spacing w:line="360" w:lineRule="auto"/>
        <w:ind w:firstLine="602" w:firstLineChars="200"/>
        <w:jc w:val="center"/>
        <w:rPr>
          <w:rFonts w:ascii="宋体" w:hAnsi="宋体" w:cs="宋体"/>
          <w:b/>
          <w:bCs/>
          <w:color w:val="auto"/>
          <w:sz w:val="30"/>
          <w:szCs w:val="30"/>
          <w:highlight w:val="none"/>
        </w:rPr>
      </w:pPr>
    </w:p>
    <w:p w14:paraId="29CE0829">
      <w:pPr>
        <w:pageBreakBefore w:val="0"/>
        <w:widowControl/>
        <w:wordWrap w:val="0"/>
        <w:overflowPunct/>
        <w:topLinePunct w:val="0"/>
        <w:bidi w:val="0"/>
        <w:spacing w:line="360" w:lineRule="auto"/>
        <w:jc w:val="left"/>
        <w:rPr>
          <w:rFonts w:ascii="宋体" w:hAnsi="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5B1106F3">
      <w:pPr>
        <w:pageBreakBefore w:val="0"/>
        <w:wordWrap w:val="0"/>
        <w:overflowPunct/>
        <w:topLinePunct w:val="0"/>
        <w:bidi w:val="0"/>
        <w:snapToGrid w:val="0"/>
        <w:spacing w:line="360" w:lineRule="auto"/>
        <w:ind w:firstLine="602" w:firstLineChars="200"/>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六、投标人业绩证明文件（如有要求）</w:t>
      </w:r>
    </w:p>
    <w:p w14:paraId="2BD0C2AC">
      <w:pPr>
        <w:pStyle w:val="16"/>
        <w:pageBreakBefore w:val="0"/>
        <w:wordWrap w:val="0"/>
        <w:overflowPunct/>
        <w:topLinePunct w:val="0"/>
        <w:bidi w:val="0"/>
        <w:snapToGrid w:val="0"/>
        <w:spacing w:line="360" w:lineRule="auto"/>
        <w:ind w:left="480" w:hanging="480"/>
        <w:rPr>
          <w:rFonts w:ascii="宋体" w:hAnsi="宋体" w:cs="宋体"/>
          <w:color w:val="auto"/>
          <w:sz w:val="24"/>
          <w:highlight w:val="none"/>
        </w:rPr>
      </w:pPr>
    </w:p>
    <w:p w14:paraId="3E46ECB2">
      <w:pPr>
        <w:pStyle w:val="16"/>
        <w:pageBreakBefore w:val="0"/>
        <w:wordWrap w:val="0"/>
        <w:overflowPunct/>
        <w:topLinePunct w:val="0"/>
        <w:bidi w:val="0"/>
        <w:snapToGrid w:val="0"/>
        <w:spacing w:line="360" w:lineRule="auto"/>
        <w:ind w:left="480" w:hanging="480"/>
        <w:rPr>
          <w:rFonts w:ascii="宋体" w:hAnsi="宋体" w:cs="宋体"/>
          <w:color w:val="auto"/>
          <w:sz w:val="24"/>
          <w:highlight w:val="none"/>
        </w:rPr>
      </w:pPr>
    </w:p>
    <w:p w14:paraId="2777284D">
      <w:pPr>
        <w:pStyle w:val="16"/>
        <w:pageBreakBefore w:val="0"/>
        <w:wordWrap w:val="0"/>
        <w:overflowPunct/>
        <w:topLinePunct w:val="0"/>
        <w:bidi w:val="0"/>
        <w:snapToGrid w:val="0"/>
        <w:spacing w:line="360" w:lineRule="auto"/>
        <w:ind w:left="480" w:hanging="480"/>
        <w:rPr>
          <w:rFonts w:ascii="宋体" w:hAnsi="宋体" w:cs="宋体"/>
          <w:color w:val="auto"/>
          <w:sz w:val="24"/>
          <w:highlight w:val="none"/>
        </w:rPr>
      </w:pPr>
    </w:p>
    <w:p w14:paraId="03F0C095">
      <w:pPr>
        <w:pageBreakBefore w:val="0"/>
        <w:wordWrap w:val="0"/>
        <w:overflowPunct/>
        <w:topLinePunct w:val="0"/>
        <w:autoSpaceDE w:val="0"/>
        <w:autoSpaceDN w:val="0"/>
        <w:bidi w:val="0"/>
        <w:spacing w:line="360" w:lineRule="auto"/>
        <w:ind w:firstLine="120"/>
        <w:rPr>
          <w:rFonts w:ascii="宋体" w:hAnsi="宋体" w:cs="宋体"/>
          <w:color w:val="auto"/>
          <w:sz w:val="24"/>
          <w:highlight w:val="none"/>
        </w:rPr>
      </w:pPr>
      <w:r>
        <w:rPr>
          <w:rFonts w:hint="eastAsia" w:ascii="宋体" w:hAnsi="宋体" w:cs="宋体"/>
          <w:b/>
          <w:color w:val="auto"/>
          <w:sz w:val="24"/>
          <w:highlight w:val="none"/>
        </w:rPr>
        <w:t>附表 :相关项目业绩一览表（投标人项目合同复印件、用户验收报告</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如有</w:t>
      </w:r>
      <w:r>
        <w:rPr>
          <w:rFonts w:hint="eastAsia" w:ascii="宋体" w:hAnsi="宋体" w:cs="宋体"/>
          <w:b/>
          <w:color w:val="auto"/>
          <w:sz w:val="24"/>
          <w:highlight w:val="none"/>
          <w:lang w:eastAsia="zh-CN"/>
        </w:rPr>
        <w:t>）</w:t>
      </w:r>
      <w:r>
        <w:rPr>
          <w:rFonts w:hint="eastAsia" w:ascii="宋体" w:hAnsi="宋体" w:cs="宋体"/>
          <w:b/>
          <w:color w:val="auto"/>
          <w:sz w:val="24"/>
          <w:highlight w:val="none"/>
        </w:rPr>
        <w:t>、用户评价意见</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如有</w:t>
      </w:r>
      <w:r>
        <w:rPr>
          <w:rFonts w:hint="eastAsia" w:ascii="宋体" w:hAnsi="宋体" w:cs="宋体"/>
          <w:b/>
          <w:color w:val="auto"/>
          <w:sz w:val="24"/>
          <w:highlight w:val="none"/>
          <w:lang w:eastAsia="zh-CN"/>
        </w:rPr>
        <w:t>）</w:t>
      </w:r>
      <w:r>
        <w:rPr>
          <w:rFonts w:hint="eastAsia" w:ascii="宋体" w:hAnsi="宋体" w:cs="宋体"/>
          <w:b/>
          <w:color w:val="auto"/>
          <w:sz w:val="24"/>
          <w:highlight w:val="none"/>
        </w:rPr>
        <w:t>格式自拟）</w:t>
      </w:r>
    </w:p>
    <w:tbl>
      <w:tblPr>
        <w:tblStyle w:val="20"/>
        <w:tblW w:w="1456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4B6C41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63EA05C6">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08131327">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1DF28BB0">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p w14:paraId="6188289E">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p w14:paraId="6CCAF461">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0962B43F">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5BDA1388">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采购人联系人及</w:t>
            </w:r>
          </w:p>
          <w:p w14:paraId="1F3E1ECE">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r>
      <w:tr w14:paraId="6E8856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1BFF54E8">
            <w:pPr>
              <w:pageBreakBefore w:val="0"/>
              <w:widowControl/>
              <w:wordWrap w:val="0"/>
              <w:overflowPunct/>
              <w:topLinePunct w:val="0"/>
              <w:bidi w:val="0"/>
              <w:spacing w:line="360" w:lineRule="auto"/>
              <w:jc w:val="left"/>
              <w:rPr>
                <w:rFonts w:ascii="宋体" w:hAnsi="宋体" w:cs="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7C415741">
            <w:pPr>
              <w:pageBreakBefore w:val="0"/>
              <w:widowControl/>
              <w:wordWrap w:val="0"/>
              <w:overflowPunct/>
              <w:topLinePunct w:val="0"/>
              <w:bidi w:val="0"/>
              <w:spacing w:line="360" w:lineRule="auto"/>
              <w:jc w:val="left"/>
              <w:rPr>
                <w:rFonts w:ascii="宋体" w:hAnsi="宋体" w:cs="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7DE43545">
            <w:pPr>
              <w:pageBreakBefore w:val="0"/>
              <w:widowControl/>
              <w:wordWrap w:val="0"/>
              <w:overflowPunct/>
              <w:topLinePunct w:val="0"/>
              <w:bidi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9DA5F2B">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1DDDEA12">
            <w:pPr>
              <w:pageBreakBefore w:val="0"/>
              <w:wordWrap w:val="0"/>
              <w:overflowPunct/>
              <w:topLinePunct w:val="0"/>
              <w:bidi w:val="0"/>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验收报告</w:t>
            </w:r>
          </w:p>
          <w:p w14:paraId="3B6B9C0A">
            <w:pPr>
              <w:pageBreakBefore w:val="0"/>
              <w:wordWrap w:val="0"/>
              <w:overflowPunct/>
              <w:topLinePunct w:val="0"/>
              <w:bidi w:val="0"/>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lang w:eastAsia="zh-CN"/>
              </w:rPr>
              <w:t>）</w:t>
            </w:r>
          </w:p>
        </w:tc>
        <w:tc>
          <w:tcPr>
            <w:tcW w:w="1418" w:type="dxa"/>
            <w:tcBorders>
              <w:top w:val="single" w:color="auto" w:sz="4" w:space="0"/>
              <w:left w:val="single" w:color="auto" w:sz="4" w:space="0"/>
              <w:bottom w:val="single" w:color="auto" w:sz="4" w:space="0"/>
              <w:right w:val="single" w:color="auto" w:sz="4" w:space="0"/>
            </w:tcBorders>
            <w:vAlign w:val="center"/>
          </w:tcPr>
          <w:p w14:paraId="2ED53CB1">
            <w:pPr>
              <w:pageBreakBefore w:val="0"/>
              <w:wordWrap w:val="0"/>
              <w:overflowPunct/>
              <w:topLinePunct w:val="0"/>
              <w:bidi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用户评价</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lang w:eastAsia="zh-CN"/>
              </w:rPr>
              <w:t>）</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0A778B74">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7DA88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368D161">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0A6E3A79">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B814E67">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584C86D">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E9BA6A5">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2D4DFD0A">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17A94C19">
            <w:pPr>
              <w:pageBreakBefore w:val="0"/>
              <w:wordWrap w:val="0"/>
              <w:overflowPunct/>
              <w:topLinePunct w:val="0"/>
              <w:bidi w:val="0"/>
              <w:snapToGrid w:val="0"/>
              <w:spacing w:line="360" w:lineRule="auto"/>
              <w:jc w:val="left"/>
              <w:rPr>
                <w:rFonts w:ascii="宋体" w:hAnsi="宋体" w:cs="宋体"/>
                <w:color w:val="auto"/>
                <w:sz w:val="24"/>
                <w:highlight w:val="none"/>
              </w:rPr>
            </w:pPr>
          </w:p>
        </w:tc>
      </w:tr>
      <w:tr w14:paraId="2835C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648C796C">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625A1876">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7D43878">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FD95969">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E22CA20">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3EC2AD3B">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19628A70">
            <w:pPr>
              <w:pageBreakBefore w:val="0"/>
              <w:wordWrap w:val="0"/>
              <w:overflowPunct/>
              <w:topLinePunct w:val="0"/>
              <w:bidi w:val="0"/>
              <w:snapToGrid w:val="0"/>
              <w:spacing w:line="360" w:lineRule="auto"/>
              <w:jc w:val="left"/>
              <w:rPr>
                <w:rFonts w:ascii="宋体" w:hAnsi="宋体" w:cs="宋体"/>
                <w:color w:val="auto"/>
                <w:sz w:val="24"/>
                <w:highlight w:val="none"/>
              </w:rPr>
            </w:pPr>
          </w:p>
        </w:tc>
      </w:tr>
      <w:tr w14:paraId="1AB52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5055C2D6">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5AF4C22A">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4EC9AC93">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C8FCEC2">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CB98803">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D65966F">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191D95F9">
            <w:pPr>
              <w:pageBreakBefore w:val="0"/>
              <w:wordWrap w:val="0"/>
              <w:overflowPunct/>
              <w:topLinePunct w:val="0"/>
              <w:bidi w:val="0"/>
              <w:snapToGrid w:val="0"/>
              <w:spacing w:line="360" w:lineRule="auto"/>
              <w:jc w:val="left"/>
              <w:rPr>
                <w:rFonts w:ascii="宋体" w:hAnsi="宋体" w:cs="宋体"/>
                <w:color w:val="auto"/>
                <w:sz w:val="24"/>
                <w:highlight w:val="none"/>
              </w:rPr>
            </w:pPr>
          </w:p>
        </w:tc>
      </w:tr>
      <w:tr w14:paraId="1BB4C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AA0C3E7">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3F258FE9">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59F0B264">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FABC0FA">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63FD474">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2EF93765">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786824D5">
            <w:pPr>
              <w:pageBreakBefore w:val="0"/>
              <w:wordWrap w:val="0"/>
              <w:overflowPunct/>
              <w:topLinePunct w:val="0"/>
              <w:bidi w:val="0"/>
              <w:snapToGrid w:val="0"/>
              <w:spacing w:line="360" w:lineRule="auto"/>
              <w:jc w:val="left"/>
              <w:rPr>
                <w:rFonts w:ascii="宋体" w:hAnsi="宋体" w:cs="宋体"/>
                <w:color w:val="auto"/>
                <w:sz w:val="24"/>
                <w:highlight w:val="none"/>
              </w:rPr>
            </w:pPr>
          </w:p>
        </w:tc>
      </w:tr>
      <w:tr w14:paraId="51A86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A50954C">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3FEC6198">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33DC81F">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5841D5B">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EB60C76">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2612AA0F">
            <w:pPr>
              <w:pageBreakBefore w:val="0"/>
              <w:wordWrap w:val="0"/>
              <w:overflowPunct/>
              <w:topLinePunct w:val="0"/>
              <w:bidi w:val="0"/>
              <w:snapToGrid w:val="0"/>
              <w:spacing w:line="360" w:lineRule="auto"/>
              <w:jc w:val="left"/>
              <w:rPr>
                <w:rFonts w:ascii="宋体" w:hAnsi="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691196B6">
            <w:pPr>
              <w:pageBreakBefore w:val="0"/>
              <w:wordWrap w:val="0"/>
              <w:overflowPunct/>
              <w:topLinePunct w:val="0"/>
              <w:bidi w:val="0"/>
              <w:snapToGrid w:val="0"/>
              <w:spacing w:line="360" w:lineRule="auto"/>
              <w:jc w:val="left"/>
              <w:rPr>
                <w:rFonts w:ascii="宋体" w:hAnsi="宋体" w:cs="宋体"/>
                <w:color w:val="auto"/>
                <w:sz w:val="24"/>
                <w:highlight w:val="none"/>
              </w:rPr>
            </w:pPr>
          </w:p>
        </w:tc>
      </w:tr>
    </w:tbl>
    <w:p w14:paraId="46C17DBA">
      <w:pPr>
        <w:pStyle w:val="12"/>
        <w:pageBreakBefore w:val="0"/>
        <w:wordWrap w:val="0"/>
        <w:overflowPunct/>
        <w:topLinePunct w:val="0"/>
        <w:bidi w:val="0"/>
        <w:spacing w:line="360" w:lineRule="auto"/>
        <w:ind w:left="72"/>
        <w:rPr>
          <w:rFonts w:hAnsi="宋体" w:cs="宋体"/>
          <w:color w:val="auto"/>
          <w:highlight w:val="none"/>
        </w:rPr>
      </w:pPr>
      <w:r>
        <w:rPr>
          <w:rFonts w:hint="eastAsia" w:hAnsi="宋体" w:cs="宋体"/>
          <w:color w:val="auto"/>
          <w:highlight w:val="none"/>
        </w:rPr>
        <w:t>注：投标人可按上述的格式自行编制，须随表提交相应的合同复印件和用户单位验收证明</w:t>
      </w:r>
      <w:r>
        <w:rPr>
          <w:rFonts w:hint="eastAsia" w:hAnsi="宋体" w:cs="宋体"/>
          <w:color w:val="auto"/>
          <w:highlight w:val="none"/>
          <w:lang w:eastAsia="zh-CN"/>
        </w:rPr>
        <w:t>（</w:t>
      </w:r>
      <w:r>
        <w:rPr>
          <w:rFonts w:hint="eastAsia" w:hAnsi="宋体" w:cs="宋体"/>
          <w:color w:val="auto"/>
          <w:highlight w:val="none"/>
          <w:lang w:val="en-US" w:eastAsia="zh-CN"/>
        </w:rPr>
        <w:t>如有</w:t>
      </w:r>
      <w:r>
        <w:rPr>
          <w:rFonts w:hint="eastAsia" w:hAnsi="宋体" w:cs="宋体"/>
          <w:color w:val="auto"/>
          <w:highlight w:val="none"/>
          <w:lang w:eastAsia="zh-CN"/>
        </w:rPr>
        <w:t>）</w:t>
      </w:r>
      <w:r>
        <w:rPr>
          <w:rFonts w:hint="eastAsia" w:hAnsi="宋体" w:cs="宋体"/>
          <w:color w:val="auto"/>
          <w:highlight w:val="none"/>
        </w:rPr>
        <w:t>并注明所在投标人商务技术文件页码。</w:t>
      </w:r>
    </w:p>
    <w:p w14:paraId="41B60650">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772843AC">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1C5ED243">
      <w:pPr>
        <w:pageBreakBefore w:val="0"/>
        <w:wordWrap w:val="0"/>
        <w:overflowPunct/>
        <w:topLinePunct w:val="0"/>
        <w:bidi w:val="0"/>
        <w:snapToGrid w:val="0"/>
        <w:spacing w:line="360" w:lineRule="auto"/>
        <w:ind w:firstLine="10080" w:firstLineChars="480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219F629E">
      <w:pPr>
        <w:pageBreakBefore w:val="0"/>
        <w:wordWrap w:val="0"/>
        <w:overflowPunct/>
        <w:topLinePunct w:val="0"/>
        <w:bidi w:val="0"/>
        <w:snapToGrid w:val="0"/>
        <w:spacing w:line="360" w:lineRule="auto"/>
        <w:ind w:firstLine="10080" w:firstLineChars="4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AB74DBC">
      <w:pPr>
        <w:pageBreakBefore w:val="0"/>
        <w:widowControl/>
        <w:wordWrap w:val="0"/>
        <w:overflowPunct/>
        <w:topLinePunct w:val="0"/>
        <w:bidi w:val="0"/>
        <w:spacing w:line="360" w:lineRule="auto"/>
        <w:jc w:val="left"/>
        <w:rPr>
          <w:rFonts w:ascii="宋体" w:hAnsi="宋体" w:cs="宋体"/>
          <w:color w:val="auto"/>
          <w:kern w:val="0"/>
          <w:sz w:val="24"/>
          <w:highlight w:val="none"/>
          <w:lang w:val="zh-CN"/>
        </w:rPr>
        <w:sectPr>
          <w:pgSz w:w="16838" w:h="11906" w:orient="landscape"/>
          <w:pgMar w:top="1440" w:right="1080" w:bottom="1440" w:left="1080" w:header="720" w:footer="720" w:gutter="0"/>
          <w:pgNumType w:fmt="decimal"/>
          <w:cols w:space="720" w:num="1"/>
          <w:docGrid w:type="lines" w:linePitch="331" w:charSpace="0"/>
        </w:sectPr>
      </w:pPr>
    </w:p>
    <w:p w14:paraId="71618F05">
      <w:pPr>
        <w:pStyle w:val="12"/>
        <w:pageBreakBefore w:val="0"/>
        <w:wordWrap w:val="0"/>
        <w:overflowPunct/>
        <w:topLinePunct w:val="0"/>
        <w:bidi w:val="0"/>
        <w:spacing w:line="360" w:lineRule="auto"/>
        <w:jc w:val="center"/>
        <w:outlineLvl w:val="1"/>
        <w:rPr>
          <w:rFonts w:hAnsi="宋体" w:cs="宋体"/>
          <w:b/>
          <w:bCs/>
          <w:color w:val="auto"/>
          <w:sz w:val="28"/>
          <w:szCs w:val="28"/>
          <w:highlight w:val="none"/>
        </w:rPr>
      </w:pPr>
      <w:bookmarkStart w:id="437" w:name="_Toc14481"/>
      <w:bookmarkStart w:id="438" w:name="_Toc19686839"/>
      <w:r>
        <w:rPr>
          <w:rFonts w:hint="eastAsia" w:hAnsi="宋体" w:cs="宋体"/>
          <w:b/>
          <w:bCs/>
          <w:color w:val="auto"/>
          <w:sz w:val="28"/>
          <w:szCs w:val="28"/>
          <w:highlight w:val="none"/>
        </w:rPr>
        <w:t>第四节 技术文件格式</w:t>
      </w:r>
      <w:bookmarkEnd w:id="437"/>
      <w:bookmarkEnd w:id="438"/>
    </w:p>
    <w:p w14:paraId="45A9F3B8">
      <w:pPr>
        <w:pageBreakBefore w:val="0"/>
        <w:wordWrap w:val="0"/>
        <w:overflowPunct/>
        <w:topLinePunct w:val="0"/>
        <w:bidi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63DC8130">
      <w:pPr>
        <w:pageBreakBefore w:val="0"/>
        <w:wordWrap w:val="0"/>
        <w:overflowPunct/>
        <w:topLinePunct w:val="0"/>
        <w:bidi w:val="0"/>
        <w:snapToGrid w:val="0"/>
        <w:spacing w:line="360" w:lineRule="auto"/>
        <w:rPr>
          <w:rFonts w:ascii="宋体" w:hAnsi="宋体" w:cs="宋体"/>
          <w:color w:val="auto"/>
          <w:sz w:val="24"/>
          <w:szCs w:val="20"/>
          <w:highlight w:val="none"/>
        </w:rPr>
      </w:pPr>
    </w:p>
    <w:p w14:paraId="6497840D">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p>
    <w:p w14:paraId="21B4E47C">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p>
    <w:p w14:paraId="40C588FE">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p>
    <w:p w14:paraId="08875F30">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技术文件（封面）</w:t>
      </w:r>
    </w:p>
    <w:p w14:paraId="58BF072C">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486BD7AA">
      <w:pPr>
        <w:pageBreakBefore w:val="0"/>
        <w:wordWrap w:val="0"/>
        <w:overflowPunct/>
        <w:topLinePunct w:val="0"/>
        <w:bidi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12A03B65">
      <w:pPr>
        <w:pageBreakBefore w:val="0"/>
        <w:wordWrap w:val="0"/>
        <w:overflowPunct/>
        <w:topLinePunct w:val="0"/>
        <w:bidi w:val="0"/>
        <w:snapToGrid w:val="0"/>
        <w:spacing w:line="360" w:lineRule="auto"/>
        <w:ind w:left="599" w:leftChars="228" w:hanging="120" w:hangingChars="50"/>
        <w:rPr>
          <w:rFonts w:ascii="宋体" w:hAnsi="宋体" w:cs="宋体"/>
          <w:bCs/>
          <w:color w:val="auto"/>
          <w:sz w:val="24"/>
          <w:highlight w:val="none"/>
        </w:rPr>
      </w:pPr>
      <w:r>
        <w:rPr>
          <w:rFonts w:hint="eastAsia" w:ascii="宋体" w:hAnsi="宋体" w:cs="宋体"/>
          <w:bCs/>
          <w:color w:val="auto"/>
          <w:sz w:val="24"/>
          <w:highlight w:val="none"/>
        </w:rPr>
        <w:t xml:space="preserve">项目编号：  </w:t>
      </w:r>
    </w:p>
    <w:p w14:paraId="26AAD3A4">
      <w:pPr>
        <w:pageBreakBefore w:val="0"/>
        <w:wordWrap w:val="0"/>
        <w:overflowPunct/>
        <w:topLinePunct w:val="0"/>
        <w:bidi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所投分标：</w:t>
      </w:r>
    </w:p>
    <w:p w14:paraId="2B13C4A5">
      <w:pPr>
        <w:pageBreakBefore w:val="0"/>
        <w:wordWrap w:val="0"/>
        <w:overflowPunct/>
        <w:topLinePunct w:val="0"/>
        <w:bidi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投标人名称：</w:t>
      </w:r>
    </w:p>
    <w:p w14:paraId="50816280">
      <w:pPr>
        <w:pageBreakBefore w:val="0"/>
        <w:wordWrap w:val="0"/>
        <w:overflowPunct/>
        <w:topLinePunct w:val="0"/>
        <w:bidi w:val="0"/>
        <w:snapToGrid w:val="0"/>
        <w:spacing w:line="360" w:lineRule="auto"/>
        <w:ind w:firstLine="600" w:firstLineChars="250"/>
        <w:rPr>
          <w:rFonts w:ascii="宋体" w:hAnsi="宋体" w:cs="宋体"/>
          <w:bCs/>
          <w:color w:val="auto"/>
          <w:sz w:val="24"/>
          <w:highlight w:val="none"/>
        </w:rPr>
      </w:pPr>
      <w:r>
        <w:rPr>
          <w:rFonts w:hint="eastAsia" w:ascii="宋体" w:hAnsi="宋体" w:cs="宋体"/>
          <w:bCs/>
          <w:color w:val="auto"/>
          <w:sz w:val="24"/>
          <w:highlight w:val="none"/>
        </w:rPr>
        <w:t>投标人地址：</w:t>
      </w:r>
    </w:p>
    <w:p w14:paraId="094CB981">
      <w:pPr>
        <w:pageBreakBefore w:val="0"/>
        <w:wordWrap w:val="0"/>
        <w:overflowPunct/>
        <w:topLinePunct w:val="0"/>
        <w:bidi w:val="0"/>
        <w:snapToGrid w:val="0"/>
        <w:spacing w:line="360" w:lineRule="auto"/>
        <w:ind w:firstLine="64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14:paraId="09550A0D">
      <w:pPr>
        <w:pageBreakBefore w:val="0"/>
        <w:wordWrap w:val="0"/>
        <w:overflowPunct/>
        <w:topLinePunct w:val="0"/>
        <w:bidi w:val="0"/>
        <w:snapToGrid w:val="0"/>
        <w:spacing w:line="360" w:lineRule="auto"/>
        <w:ind w:firstLine="645"/>
        <w:jc w:val="center"/>
        <w:rPr>
          <w:rFonts w:ascii="宋体" w:hAnsi="宋体" w:cs="宋体"/>
          <w:color w:val="auto"/>
          <w:sz w:val="24"/>
          <w:szCs w:val="20"/>
          <w:highlight w:val="none"/>
        </w:rPr>
      </w:pPr>
    </w:p>
    <w:p w14:paraId="0AA61D81">
      <w:pPr>
        <w:pageBreakBefore w:val="0"/>
        <w:wordWrap w:val="0"/>
        <w:overflowPunct/>
        <w:topLinePunct w:val="0"/>
        <w:bidi w:val="0"/>
        <w:spacing w:line="360" w:lineRule="auto"/>
        <w:jc w:val="center"/>
        <w:rPr>
          <w:rFonts w:ascii="宋体" w:hAnsi="宋体" w:cs="宋体"/>
          <w:b/>
          <w:color w:val="auto"/>
          <w:kern w:val="0"/>
          <w:sz w:val="28"/>
          <w:szCs w:val="28"/>
          <w:highlight w:val="none"/>
        </w:rPr>
      </w:pPr>
      <w:r>
        <w:rPr>
          <w:rFonts w:hint="eastAsia" w:ascii="宋体" w:hAnsi="宋体" w:cs="宋体"/>
          <w:b/>
          <w:bCs/>
          <w:color w:val="auto"/>
          <w:sz w:val="24"/>
          <w:highlight w:val="none"/>
        </w:rPr>
        <w:br w:type="page"/>
      </w:r>
      <w:r>
        <w:rPr>
          <w:rFonts w:hint="eastAsia" w:ascii="宋体" w:hAnsi="宋体" w:cs="宋体"/>
          <w:b/>
          <w:color w:val="auto"/>
          <w:kern w:val="0"/>
          <w:sz w:val="28"/>
          <w:szCs w:val="28"/>
          <w:highlight w:val="none"/>
        </w:rPr>
        <w:t>技术文件目录</w:t>
      </w:r>
    </w:p>
    <w:p w14:paraId="4D0A8910">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一、服务需求、技术需求偏离表…………………………………………………（页码）</w:t>
      </w:r>
    </w:p>
    <w:p w14:paraId="0F035854">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二、组织服务方案（如有）…………………………………………………………（页码）</w:t>
      </w:r>
    </w:p>
    <w:p w14:paraId="67B79A2D">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三、售后服务方案 ………………………………</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A98A3CA">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项目实施人员一览表</w:t>
      </w:r>
      <w:r>
        <w:rPr>
          <w:rFonts w:hint="eastAsia" w:ascii="宋体" w:hAnsi="宋体" w:eastAsia="宋体" w:cs="宋体"/>
          <w:color w:val="auto"/>
          <w:highlight w:val="none"/>
        </w:rPr>
        <w:t>（如有）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228C248">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五、投标人对项目的合理化建议和改进措施（如有）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1023F100">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六、优惠条件及特殊承诺（如有）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7AABC7B">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七、备品备件及供选择的配套零部件清单（如有）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5BD8F493">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八、培训计划（如有）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6B1D2F8E">
      <w:pPr>
        <w:pStyle w:val="31"/>
        <w:pageBreakBefore w:val="0"/>
        <w:wordWrap w:val="0"/>
        <w:overflowPunct/>
        <w:topLinePunct w:val="0"/>
        <w:bidi w:val="0"/>
        <w:spacing w:line="360" w:lineRule="auto"/>
        <w:rPr>
          <w:rFonts w:ascii="宋体" w:hAnsi="宋体" w:eastAsia="宋体" w:cs="宋体"/>
          <w:color w:val="auto"/>
          <w:highlight w:val="none"/>
        </w:rPr>
      </w:pPr>
      <w:r>
        <w:rPr>
          <w:rFonts w:hint="eastAsia" w:ascii="宋体" w:hAnsi="宋体" w:eastAsia="宋体" w:cs="宋体"/>
          <w:color w:val="auto"/>
          <w:highlight w:val="none"/>
        </w:rPr>
        <w:t>九、认为需要的其他技术文件或说明（如有）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2DE5FDF">
      <w:pPr>
        <w:pageBreakBefore w:val="0"/>
        <w:wordWrap w:val="0"/>
        <w:overflowPunct/>
        <w:topLinePunct w:val="0"/>
        <w:bidi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注：以上目录是基本格式要求，各投标人可根据自身情况进一步向下增加内容或细化。</w:t>
      </w:r>
    </w:p>
    <w:p w14:paraId="050C90D1">
      <w:pPr>
        <w:pageBreakBefore w:val="0"/>
        <w:wordWrap w:val="0"/>
        <w:overflowPunct/>
        <w:topLinePunct w:val="0"/>
        <w:bidi w:val="0"/>
        <w:snapToGrid w:val="0"/>
        <w:spacing w:line="360" w:lineRule="auto"/>
        <w:ind w:left="143" w:leftChars="68" w:firstLine="472" w:firstLineChars="196"/>
        <w:jc w:val="left"/>
        <w:rPr>
          <w:rFonts w:ascii="宋体" w:hAnsi="宋体" w:cs="宋体"/>
          <w:b/>
          <w:color w:val="auto"/>
          <w:sz w:val="24"/>
          <w:highlight w:val="none"/>
        </w:rPr>
      </w:pPr>
    </w:p>
    <w:p w14:paraId="6CD54FFD">
      <w:pPr>
        <w:pageBreakBefore w:val="0"/>
        <w:wordWrap w:val="0"/>
        <w:overflowPunct/>
        <w:topLinePunct w:val="0"/>
        <w:bidi w:val="0"/>
        <w:snapToGrid w:val="0"/>
        <w:spacing w:line="360" w:lineRule="auto"/>
        <w:ind w:left="143" w:leftChars="68" w:firstLine="472" w:firstLineChars="196"/>
        <w:jc w:val="left"/>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 xml:space="preserve"> </w:t>
      </w:r>
    </w:p>
    <w:p w14:paraId="741068A5">
      <w:pPr>
        <w:pStyle w:val="12"/>
        <w:pageBreakBefore w:val="0"/>
        <w:wordWrap w:val="0"/>
        <w:overflowPunct/>
        <w:topLinePunct w:val="0"/>
        <w:bidi w:val="0"/>
        <w:spacing w:line="360" w:lineRule="auto"/>
        <w:jc w:val="center"/>
        <w:rPr>
          <w:rFonts w:hAnsi="宋体" w:cs="宋体"/>
          <w:b/>
          <w:bCs/>
          <w:color w:val="auto"/>
          <w:sz w:val="30"/>
          <w:szCs w:val="30"/>
          <w:highlight w:val="none"/>
        </w:rPr>
      </w:pPr>
      <w:r>
        <w:rPr>
          <w:rFonts w:hint="eastAsia" w:hAnsi="宋体" w:cs="宋体"/>
          <w:b/>
          <w:bCs/>
          <w:color w:val="auto"/>
          <w:sz w:val="30"/>
          <w:szCs w:val="30"/>
          <w:highlight w:val="none"/>
        </w:rPr>
        <w:t>一、服务需求、技术需求偏离表</w:t>
      </w:r>
    </w:p>
    <w:p w14:paraId="0BDACD22">
      <w:pPr>
        <w:pStyle w:val="12"/>
        <w:pageBreakBefore w:val="0"/>
        <w:wordWrap w:val="0"/>
        <w:overflowPunct/>
        <w:topLinePunct w:val="0"/>
        <w:bidi w:val="0"/>
        <w:spacing w:line="360" w:lineRule="auto"/>
        <w:ind w:firstLine="420" w:firstLineChars="200"/>
        <w:rPr>
          <w:rFonts w:hAnsi="宋体" w:cs="宋体"/>
          <w:color w:val="auto"/>
          <w:highlight w:val="none"/>
        </w:rPr>
      </w:pPr>
    </w:p>
    <w:p w14:paraId="51F6983B">
      <w:pPr>
        <w:pStyle w:val="12"/>
        <w:pageBreakBefore w:val="0"/>
        <w:wordWrap w:val="0"/>
        <w:overflowPunct/>
        <w:topLinePunct w:val="0"/>
        <w:bidi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请根据所投服务的实际技术参数，</w:t>
      </w:r>
      <w:r>
        <w:rPr>
          <w:rFonts w:hint="eastAsia" w:hAnsi="宋体" w:cs="宋体"/>
          <w:b/>
          <w:color w:val="auto"/>
          <w:sz w:val="28"/>
          <w:szCs w:val="28"/>
          <w:highlight w:val="none"/>
        </w:rPr>
        <w:t>逐条对应</w:t>
      </w:r>
      <w:r>
        <w:rPr>
          <w:rFonts w:hint="eastAsia" w:hAnsi="宋体" w:cs="宋体"/>
          <w:color w:val="auto"/>
          <w:sz w:val="24"/>
          <w:szCs w:val="24"/>
          <w:highlight w:val="none"/>
        </w:rPr>
        <w:t>本项目招标文件第二章“服务需求一览表”中的</w:t>
      </w:r>
      <w:r>
        <w:rPr>
          <w:rFonts w:hint="eastAsia" w:hAnsi="宋体" w:cs="宋体"/>
          <w:b/>
          <w:color w:val="auto"/>
          <w:sz w:val="28"/>
          <w:szCs w:val="28"/>
          <w:highlight w:val="none"/>
        </w:rPr>
        <w:t>采购清单及服务参数</w:t>
      </w:r>
      <w:r>
        <w:rPr>
          <w:rFonts w:hint="eastAsia" w:hAnsi="宋体" w:cs="宋体"/>
          <w:color w:val="auto"/>
          <w:sz w:val="24"/>
          <w:szCs w:val="24"/>
          <w:highlight w:val="none"/>
        </w:rPr>
        <w:t>详细填写相应的具体内容。“偏离说明”一栏应当选择“正偏离”、“负偏离”或“无偏离”进行填写。</w:t>
      </w:r>
    </w:p>
    <w:tbl>
      <w:tblPr>
        <w:tblStyle w:val="20"/>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E5F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8F8D85D">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43A408E6">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6765BCC5">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0CAAEC50">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偏离说明</w:t>
            </w:r>
          </w:p>
        </w:tc>
      </w:tr>
      <w:tr w14:paraId="6713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2AFC2AB4">
            <w:pPr>
              <w:pageBreakBefore w:val="0"/>
              <w:widowControl/>
              <w:wordWrap w:val="0"/>
              <w:overflowPunct/>
              <w:topLinePunct w:val="0"/>
              <w:bidi w:val="0"/>
              <w:spacing w:line="360" w:lineRule="auto"/>
              <w:jc w:val="left"/>
              <w:rPr>
                <w:rFonts w:ascii="宋体" w:hAnsi="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37B2C33">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0E5A7F02">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041F21CE">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22D4BC42">
            <w:pPr>
              <w:pageBreakBefore w:val="0"/>
              <w:wordWrap w:val="0"/>
              <w:overflowPunct/>
              <w:topLinePunct w:val="0"/>
              <w:bidi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51ECE8E2">
            <w:pPr>
              <w:pageBreakBefore w:val="0"/>
              <w:widowControl/>
              <w:wordWrap w:val="0"/>
              <w:overflowPunct/>
              <w:topLinePunct w:val="0"/>
              <w:bidi w:val="0"/>
              <w:spacing w:line="360" w:lineRule="auto"/>
              <w:jc w:val="left"/>
              <w:rPr>
                <w:rFonts w:ascii="宋体" w:hAnsi="宋体" w:cs="宋体"/>
                <w:color w:val="auto"/>
                <w:szCs w:val="21"/>
                <w:highlight w:val="none"/>
              </w:rPr>
            </w:pPr>
          </w:p>
        </w:tc>
      </w:tr>
      <w:tr w14:paraId="38CA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1253A8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08ECE8F2">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20D1B7A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6E643BA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42C2BA43">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0F5D55D0">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EC6E758">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4B06C38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67876C78">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0D01EC1E">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146E6599">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A183D4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tc>
      </w:tr>
      <w:tr w14:paraId="69CF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1AD94E9">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75ACA6FB">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A54C52D">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09891361">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771BF9AF">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747BF58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49930896">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11302452">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1  ……</w:t>
            </w:r>
          </w:p>
          <w:p w14:paraId="6B4E1D9D">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2  ……</w:t>
            </w:r>
          </w:p>
          <w:p w14:paraId="2E9F52A5">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3  ……</w:t>
            </w:r>
          </w:p>
          <w:p w14:paraId="7302E932">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2BB4CFC">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正偏离（负偏离或无偏离）</w:t>
            </w:r>
          </w:p>
        </w:tc>
      </w:tr>
      <w:tr w14:paraId="6B52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0DE3E314">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712AB9F8">
            <w:pPr>
              <w:pageBreakBefore w:val="0"/>
              <w:wordWrap w:val="0"/>
              <w:overflowPunct/>
              <w:topLinePunct w:val="0"/>
              <w:bidi w:val="0"/>
              <w:spacing w:line="360" w:lineRule="auto"/>
              <w:rPr>
                <w:rFonts w:ascii="宋体" w:hAnsi="宋体" w:cs="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5F3DEAD2">
            <w:pPr>
              <w:pageBreakBefore w:val="0"/>
              <w:wordWrap w:val="0"/>
              <w:overflowPunct/>
              <w:topLinePunct w:val="0"/>
              <w:bidi w:val="0"/>
              <w:spacing w:line="360" w:lineRule="auto"/>
              <w:rPr>
                <w:rFonts w:ascii="宋体" w:hAnsi="宋体" w:cs="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6353E20A">
            <w:pPr>
              <w:pageBreakBefore w:val="0"/>
              <w:wordWrap w:val="0"/>
              <w:overflowPunct/>
              <w:topLinePunct w:val="0"/>
              <w:bidi w:val="0"/>
              <w:spacing w:line="360" w:lineRule="auto"/>
              <w:rPr>
                <w:rFonts w:ascii="宋体" w:hAnsi="宋体" w:cs="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28158F67">
            <w:pPr>
              <w:pageBreakBefore w:val="0"/>
              <w:wordWrap w:val="0"/>
              <w:overflowPunct/>
              <w:topLinePunct w:val="0"/>
              <w:bidi w:val="0"/>
              <w:spacing w:line="360" w:lineRule="auto"/>
              <w:rPr>
                <w:rFonts w:ascii="宋体" w:hAnsi="宋体" w:cs="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713AC56A">
            <w:pPr>
              <w:pageBreakBefore w:val="0"/>
              <w:wordWrap w:val="0"/>
              <w:overflowPunct/>
              <w:topLinePunct w:val="0"/>
              <w:bidi w:val="0"/>
              <w:spacing w:line="360" w:lineRule="auto"/>
              <w:rPr>
                <w:rFonts w:ascii="宋体" w:hAnsi="宋体" w:cs="宋体"/>
                <w:color w:val="auto"/>
                <w:szCs w:val="21"/>
                <w:highlight w:val="none"/>
              </w:rPr>
            </w:pPr>
          </w:p>
        </w:tc>
      </w:tr>
      <w:tr w14:paraId="6522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0EC95178">
            <w:pPr>
              <w:pageBreakBefore w:val="0"/>
              <w:wordWrap w:val="0"/>
              <w:overflowPunct/>
              <w:topLinePunct w:val="0"/>
              <w:bidi w:val="0"/>
              <w:spacing w:line="360" w:lineRule="auto"/>
              <w:rPr>
                <w:rFonts w:ascii="宋体" w:hAnsi="宋体" w:cs="宋体"/>
                <w:color w:val="auto"/>
                <w:szCs w:val="21"/>
                <w:highlight w:val="none"/>
              </w:rPr>
            </w:pPr>
            <w:r>
              <w:rPr>
                <w:rFonts w:hint="eastAsia" w:ascii="宋体" w:hAnsi="宋体" w:cs="宋体"/>
                <w:color w:val="auto"/>
                <w:szCs w:val="21"/>
                <w:highlight w:val="none"/>
                <w:u w:val="single"/>
              </w:rPr>
              <w:t>　　</w:t>
            </w:r>
            <w:r>
              <w:rPr>
                <w:rFonts w:hint="eastAsia" w:ascii="宋体" w:hAnsi="宋体" w:cs="宋体"/>
                <w:color w:val="auto"/>
                <w:szCs w:val="21"/>
                <w:highlight w:val="none"/>
              </w:rPr>
              <w:t>分标（此处有分标时填写具体分标号，无分标时填写“无”）</w:t>
            </w:r>
          </w:p>
        </w:tc>
      </w:tr>
    </w:tbl>
    <w:p w14:paraId="54961E6F">
      <w:pPr>
        <w:pStyle w:val="12"/>
        <w:pageBreakBefore w:val="0"/>
        <w:wordWrap w:val="0"/>
        <w:overflowPunct/>
        <w:topLinePunct w:val="0"/>
        <w:bidi w:val="0"/>
        <w:spacing w:line="360" w:lineRule="auto"/>
        <w:rPr>
          <w:rFonts w:hAnsi="宋体" w:cs="宋体"/>
          <w:color w:val="auto"/>
          <w:szCs w:val="21"/>
          <w:highlight w:val="none"/>
        </w:rPr>
      </w:pPr>
      <w:r>
        <w:rPr>
          <w:rFonts w:hint="eastAsia" w:hAnsi="宋体" w:cs="宋体"/>
          <w:color w:val="auto"/>
          <w:szCs w:val="21"/>
          <w:highlight w:val="none"/>
        </w:rPr>
        <w:t>注：</w:t>
      </w:r>
    </w:p>
    <w:p w14:paraId="68AA69C1">
      <w:pPr>
        <w:pStyle w:val="12"/>
        <w:pageBreakBefore w:val="0"/>
        <w:wordWrap w:val="0"/>
        <w:overflowPunct/>
        <w:topLinePunct w:val="0"/>
        <w:bidi w:val="0"/>
        <w:spacing w:line="360" w:lineRule="auto"/>
        <w:rPr>
          <w:rFonts w:hAnsi="宋体" w:cs="宋体"/>
          <w:color w:val="auto"/>
          <w:szCs w:val="21"/>
          <w:highlight w:val="none"/>
        </w:rPr>
      </w:pPr>
      <w:r>
        <w:rPr>
          <w:rFonts w:hint="eastAsia" w:hAnsi="宋体" w:cs="宋体"/>
          <w:color w:val="auto"/>
          <w:szCs w:val="21"/>
          <w:highlight w:val="none"/>
        </w:rPr>
        <w:t>1.表格内容均需按要求填写并盖章，不得留空，</w:t>
      </w:r>
      <w:r>
        <w:rPr>
          <w:rFonts w:hint="eastAsia" w:hAnsi="宋体" w:cs="宋体"/>
          <w:bCs/>
          <w:color w:val="auto"/>
          <w:szCs w:val="21"/>
          <w:highlight w:val="none"/>
        </w:rPr>
        <w:t>否则按投标无效处理</w:t>
      </w:r>
      <w:r>
        <w:rPr>
          <w:rFonts w:hint="eastAsia" w:hAnsi="宋体" w:cs="宋体"/>
          <w:color w:val="auto"/>
          <w:szCs w:val="21"/>
          <w:highlight w:val="none"/>
        </w:rPr>
        <w:t>。</w:t>
      </w:r>
    </w:p>
    <w:p w14:paraId="374422A0">
      <w:pPr>
        <w:pStyle w:val="12"/>
        <w:pageBreakBefore w:val="0"/>
        <w:wordWrap w:val="0"/>
        <w:overflowPunct/>
        <w:topLinePunct w:val="0"/>
        <w:bidi w:val="0"/>
        <w:spacing w:line="360" w:lineRule="auto"/>
        <w:rPr>
          <w:rFonts w:hAnsi="宋体" w:cs="宋体"/>
          <w:color w:val="auto"/>
          <w:szCs w:val="21"/>
          <w:highlight w:val="none"/>
        </w:rPr>
      </w:pPr>
      <w:r>
        <w:rPr>
          <w:rFonts w:hint="eastAsia" w:hAnsi="宋体" w:cs="宋体"/>
          <w:bCs/>
          <w:color w:val="auto"/>
          <w:szCs w:val="21"/>
          <w:highlight w:val="none"/>
        </w:rPr>
        <w:t>2.当投标文件的服务内容低于招标文件要求时，投标人应当如实写明“负偏离”，否则视为虚假应标。</w:t>
      </w:r>
    </w:p>
    <w:p w14:paraId="1BEF5372">
      <w:pPr>
        <w:pStyle w:val="12"/>
        <w:pageBreakBefore w:val="0"/>
        <w:wordWrap w:val="0"/>
        <w:overflowPunct/>
        <w:topLinePunct w:val="0"/>
        <w:bidi w:val="0"/>
        <w:spacing w:line="360" w:lineRule="auto"/>
        <w:rPr>
          <w:rFonts w:hAnsi="宋体" w:cs="宋体"/>
          <w:color w:val="auto"/>
          <w:highlight w:val="none"/>
        </w:rPr>
      </w:pPr>
      <w:r>
        <w:rPr>
          <w:rFonts w:hint="eastAsia" w:hAnsi="宋体" w:cs="宋体"/>
          <w:color w:val="auto"/>
          <w:highlight w:val="none"/>
        </w:rPr>
        <w:t>3.</w:t>
      </w:r>
      <w:r>
        <w:rPr>
          <w:rFonts w:hint="eastAsia" w:hAnsi="宋体" w:cs="宋体"/>
          <w:color w:val="auto"/>
          <w:szCs w:val="21"/>
          <w:highlight w:val="none"/>
        </w:rPr>
        <w:t>采购需求中带“▲”及“★”的条款，也要分别在本表“服务参数”、“所提供服务的内容”中标记。</w:t>
      </w:r>
    </w:p>
    <w:p w14:paraId="2B282901">
      <w:pPr>
        <w:pageBreakBefore w:val="0"/>
        <w:wordWrap w:val="0"/>
        <w:overflowPunct/>
        <w:topLinePunct w:val="0"/>
        <w:bidi w:val="0"/>
        <w:snapToGrid w:val="0"/>
        <w:spacing w:line="360" w:lineRule="auto"/>
        <w:ind w:firstLine="5640" w:firstLineChars="2350"/>
        <w:rPr>
          <w:rFonts w:ascii="宋体" w:hAnsi="宋体" w:cs="宋体"/>
          <w:color w:val="auto"/>
          <w:kern w:val="0"/>
          <w:sz w:val="24"/>
          <w:highlight w:val="none"/>
          <w:lang w:val="zh-CN"/>
        </w:rPr>
      </w:pPr>
    </w:p>
    <w:p w14:paraId="67A33C61">
      <w:pPr>
        <w:pageBreakBefore w:val="0"/>
        <w:wordWrap w:val="0"/>
        <w:overflowPunct/>
        <w:topLinePunct w:val="0"/>
        <w:bidi w:val="0"/>
        <w:snapToGrid w:val="0"/>
        <w:spacing w:line="360" w:lineRule="auto"/>
        <w:ind w:firstLine="5640" w:firstLineChars="23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30B9C277">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A8690E4">
      <w:pPr>
        <w:pageBreakBefore w:val="0"/>
        <w:widowControl/>
        <w:wordWrap w:val="0"/>
        <w:overflowPunct/>
        <w:topLinePunct w:val="0"/>
        <w:bidi w:val="0"/>
        <w:spacing w:line="360" w:lineRule="auto"/>
        <w:jc w:val="left"/>
        <w:rPr>
          <w:rFonts w:ascii="宋体" w:hAnsi="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53902EAC">
      <w:pPr>
        <w:pageBreakBefore w:val="0"/>
        <w:wordWrap w:val="0"/>
        <w:overflowPunct/>
        <w:topLinePunct w:val="0"/>
        <w:bidi w:val="0"/>
        <w:snapToGrid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二、组织服务方案（如有）</w:t>
      </w:r>
    </w:p>
    <w:p w14:paraId="12D849D4">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2951E8CF">
      <w:pPr>
        <w:pageBreakBefore w:val="0"/>
        <w:wordWrap w:val="0"/>
        <w:overflowPunct/>
        <w:topLinePunct w:val="0"/>
        <w:bidi w:val="0"/>
        <w:spacing w:line="360" w:lineRule="auto"/>
        <w:rPr>
          <w:rFonts w:ascii="宋体" w:hAnsi="宋体" w:cs="宋体"/>
          <w:b/>
          <w:bCs/>
          <w:color w:val="auto"/>
          <w:kern w:val="0"/>
          <w:sz w:val="24"/>
          <w:highlight w:val="none"/>
          <w:lang w:val="zh-CN"/>
        </w:rPr>
      </w:pPr>
    </w:p>
    <w:p w14:paraId="1E1B285E">
      <w:pPr>
        <w:pageBreakBefore w:val="0"/>
        <w:wordWrap w:val="0"/>
        <w:overflowPunct/>
        <w:topLinePunct w:val="0"/>
        <w:bidi w:val="0"/>
        <w:spacing w:line="360" w:lineRule="auto"/>
        <w:rPr>
          <w:rFonts w:ascii="宋体" w:hAnsi="宋体" w:cs="宋体"/>
          <w:b/>
          <w:bCs/>
          <w:color w:val="auto"/>
          <w:kern w:val="0"/>
          <w:sz w:val="24"/>
          <w:highlight w:val="none"/>
          <w:lang w:val="zh-CN"/>
        </w:rPr>
      </w:pPr>
    </w:p>
    <w:p w14:paraId="62D0BBC3">
      <w:pPr>
        <w:pageBreakBefore w:val="0"/>
        <w:wordWrap w:val="0"/>
        <w:overflowPunct/>
        <w:topLinePunct w:val="0"/>
        <w:bidi w:val="0"/>
        <w:spacing w:line="360" w:lineRule="auto"/>
        <w:rPr>
          <w:rFonts w:ascii="宋体" w:hAnsi="宋体" w:cs="宋体"/>
          <w:b/>
          <w:bCs/>
          <w:color w:val="auto"/>
          <w:kern w:val="0"/>
          <w:sz w:val="24"/>
          <w:highlight w:val="none"/>
          <w:lang w:val="zh-CN"/>
        </w:rPr>
      </w:pPr>
    </w:p>
    <w:p w14:paraId="71066E84">
      <w:pPr>
        <w:pageBreakBefore w:val="0"/>
        <w:wordWrap w:val="0"/>
        <w:overflowPunct/>
        <w:topLinePunct w:val="0"/>
        <w:bidi w:val="0"/>
        <w:spacing w:line="360" w:lineRule="auto"/>
        <w:rPr>
          <w:rFonts w:ascii="宋体" w:hAnsi="宋体" w:cs="宋体"/>
          <w:b/>
          <w:bCs/>
          <w:color w:val="auto"/>
          <w:kern w:val="0"/>
          <w:sz w:val="24"/>
          <w:highlight w:val="none"/>
          <w:lang w:val="zh-CN"/>
        </w:rPr>
      </w:pPr>
      <w:bookmarkStart w:id="439" w:name="_Toc78473822"/>
      <w:r>
        <w:rPr>
          <w:rFonts w:hint="eastAsia" w:ascii="宋体" w:hAnsi="宋体" w:cs="宋体"/>
          <w:b/>
          <w:bCs/>
          <w:color w:val="auto"/>
          <w:kern w:val="0"/>
          <w:sz w:val="24"/>
          <w:highlight w:val="none"/>
          <w:lang w:val="zh-CN"/>
        </w:rPr>
        <w:t>附表:项目实施进度计划表</w:t>
      </w:r>
      <w:r>
        <w:rPr>
          <w:rFonts w:hint="eastAsia" w:ascii="宋体" w:hAnsi="宋体" w:cs="宋体"/>
          <w:b/>
          <w:color w:val="auto"/>
          <w:sz w:val="24"/>
          <w:highlight w:val="none"/>
        </w:rPr>
        <w:t>(以生效日算起)</w:t>
      </w:r>
      <w:bookmarkEnd w:id="439"/>
      <w:r>
        <w:rPr>
          <w:rFonts w:hint="eastAsia" w:ascii="宋体" w:hAnsi="宋体" w:cs="宋体"/>
          <w:b/>
          <w:color w:val="auto"/>
          <w:sz w:val="24"/>
          <w:highlight w:val="none"/>
        </w:rPr>
        <w:t xml:space="preserve"> </w:t>
      </w:r>
    </w:p>
    <w:tbl>
      <w:tblPr>
        <w:tblStyle w:val="2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F97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3607FB26">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1D1B5050">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23B6B231">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731DF8BB">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3360;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D1B5050">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B6B231">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31DF8BB">
                              <w:pPr>
                                <w:snapToGrid w:val="0"/>
                              </w:pPr>
                              <w:r>
                                <w:rPr>
                                  <w:rFonts w:hint="eastAsia"/>
                                </w:rPr>
                                <w:t>日</w:t>
                              </w:r>
                            </w:p>
                          </w:txbxContent>
                        </v:textbox>
                      </v:shape>
                    </v:group>
                  </w:pict>
                </mc:Fallback>
              </mc:AlternateContent>
            </w:r>
          </w:p>
          <w:p w14:paraId="2938C53D">
            <w:pPr>
              <w:pageBreakBefore w:val="0"/>
              <w:wordWrap w:val="0"/>
              <w:overflowPunct/>
              <w:topLinePunct w:val="0"/>
              <w:bidi w:val="0"/>
              <w:spacing w:line="360" w:lineRule="auto"/>
              <w:rPr>
                <w:rFonts w:ascii="宋体" w:hAnsi="宋体" w:cs="宋体"/>
                <w:color w:val="auto"/>
                <w:sz w:val="24"/>
                <w:highlight w:val="none"/>
              </w:rPr>
            </w:pPr>
          </w:p>
          <w:p w14:paraId="4D8193E4">
            <w:pPr>
              <w:pageBreakBefore w:val="0"/>
              <w:wordWrap w:val="0"/>
              <w:overflowPunct/>
              <w:topLinePunct w:val="0"/>
              <w:bidi w:val="0"/>
              <w:spacing w:line="360" w:lineRule="auto"/>
              <w:rPr>
                <w:rFonts w:ascii="宋体" w:hAnsi="宋体" w:cs="宋体"/>
                <w:color w:val="auto"/>
                <w:sz w:val="24"/>
                <w:highlight w:val="none"/>
              </w:rPr>
            </w:pPr>
          </w:p>
          <w:p w14:paraId="2661E8E7">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2A2D75C9">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61C953CD">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13C9580D">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19A8D92A">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24C4227E">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2A751738">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48F85A5E">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1F4442FA">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3A2509B4">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04AA982E">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58D6BCF5">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7A5535F1">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77F0FD35">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11271ECE">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34F57785">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1CAC398A">
            <w:pPr>
              <w:pageBreakBefore w:val="0"/>
              <w:wordWrap w:val="0"/>
              <w:overflowPunct/>
              <w:topLinePunct w:val="0"/>
              <w:bidi w:val="0"/>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14:paraId="7C42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C460C4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9B54E0F">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A03A7D">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43DA3C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109FAF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BF6E8F6">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6C26274">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2ABDD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1ED0680">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123C9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1E1F0E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9F7BD5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EDC052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82893E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174BD48">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7FBB712">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388705">
            <w:pPr>
              <w:pageBreakBefore w:val="0"/>
              <w:wordWrap w:val="0"/>
              <w:overflowPunct/>
              <w:topLinePunct w:val="0"/>
              <w:bidi w:val="0"/>
              <w:spacing w:line="360" w:lineRule="auto"/>
              <w:rPr>
                <w:rFonts w:ascii="宋体" w:hAnsi="宋体" w:cs="宋体"/>
                <w:color w:val="auto"/>
                <w:sz w:val="24"/>
                <w:highlight w:val="none"/>
              </w:rPr>
            </w:pPr>
          </w:p>
        </w:tc>
      </w:tr>
      <w:tr w14:paraId="29EE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2849722">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21B0E5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180285C">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63B99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5F2841D">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E8D761B">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3CAE00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9CE00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D60D5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EBB4DE2">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7EA880">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CBCBD5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7766E88">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7B2F8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D1639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D7C1D7E">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9E5E80D">
            <w:pPr>
              <w:pageBreakBefore w:val="0"/>
              <w:wordWrap w:val="0"/>
              <w:overflowPunct/>
              <w:topLinePunct w:val="0"/>
              <w:bidi w:val="0"/>
              <w:spacing w:line="360" w:lineRule="auto"/>
              <w:rPr>
                <w:rFonts w:ascii="宋体" w:hAnsi="宋体" w:cs="宋体"/>
                <w:color w:val="auto"/>
                <w:sz w:val="24"/>
                <w:highlight w:val="none"/>
              </w:rPr>
            </w:pPr>
          </w:p>
        </w:tc>
      </w:tr>
      <w:tr w14:paraId="7756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37FA8E1">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5CF59F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4359441">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D0043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7F0CF2">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E13BC15">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AEDA268">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F434A9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8E0609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2C6098">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A7862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66ECB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79F3A2">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F2C79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FE91CA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E32989">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93D1269">
            <w:pPr>
              <w:pageBreakBefore w:val="0"/>
              <w:wordWrap w:val="0"/>
              <w:overflowPunct/>
              <w:topLinePunct w:val="0"/>
              <w:bidi w:val="0"/>
              <w:spacing w:line="360" w:lineRule="auto"/>
              <w:rPr>
                <w:rFonts w:ascii="宋体" w:hAnsi="宋体" w:cs="宋体"/>
                <w:color w:val="auto"/>
                <w:sz w:val="24"/>
                <w:highlight w:val="none"/>
              </w:rPr>
            </w:pPr>
          </w:p>
        </w:tc>
      </w:tr>
      <w:tr w14:paraId="6C32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E8ADA2F">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1972065">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07E4B01">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A81321D">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2AF7AAF">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342A3E5">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1B2DC3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F8723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A93C2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EF32E0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62A71BE">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C23740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7BEB5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0736BF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9A385DC">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6D220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8871204">
            <w:pPr>
              <w:pageBreakBefore w:val="0"/>
              <w:wordWrap w:val="0"/>
              <w:overflowPunct/>
              <w:topLinePunct w:val="0"/>
              <w:bidi w:val="0"/>
              <w:spacing w:line="360" w:lineRule="auto"/>
              <w:rPr>
                <w:rFonts w:ascii="宋体" w:hAnsi="宋体" w:cs="宋体"/>
                <w:color w:val="auto"/>
                <w:sz w:val="24"/>
                <w:highlight w:val="none"/>
              </w:rPr>
            </w:pPr>
          </w:p>
        </w:tc>
      </w:tr>
      <w:tr w14:paraId="19E3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02D615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16782EC">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184432C">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09321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C051F2">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6BB9B6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3B189A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28A8A90">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AA60FA4">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82EF89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43593B9">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697423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0AB1CC">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F08E8B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09092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03B4B7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C10C77B">
            <w:pPr>
              <w:pageBreakBefore w:val="0"/>
              <w:wordWrap w:val="0"/>
              <w:overflowPunct/>
              <w:topLinePunct w:val="0"/>
              <w:bidi w:val="0"/>
              <w:spacing w:line="360" w:lineRule="auto"/>
              <w:rPr>
                <w:rFonts w:ascii="宋体" w:hAnsi="宋体" w:cs="宋体"/>
                <w:color w:val="auto"/>
                <w:sz w:val="24"/>
                <w:highlight w:val="none"/>
              </w:rPr>
            </w:pPr>
          </w:p>
        </w:tc>
      </w:tr>
      <w:tr w14:paraId="76C4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FD508A7">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5D0EED3">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3075872">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1D415EE">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D99228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A367271">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455661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6C227CE">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14CB1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40C1E7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A0631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DE8AC4">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04DAA0">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6F1E1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57138F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49200D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B05EBF">
            <w:pPr>
              <w:pageBreakBefore w:val="0"/>
              <w:wordWrap w:val="0"/>
              <w:overflowPunct/>
              <w:topLinePunct w:val="0"/>
              <w:bidi w:val="0"/>
              <w:spacing w:line="360" w:lineRule="auto"/>
              <w:rPr>
                <w:rFonts w:ascii="宋体" w:hAnsi="宋体" w:cs="宋体"/>
                <w:color w:val="auto"/>
                <w:sz w:val="24"/>
                <w:highlight w:val="none"/>
              </w:rPr>
            </w:pPr>
          </w:p>
        </w:tc>
      </w:tr>
      <w:tr w14:paraId="06558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AFC600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82A451A">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7A28D47">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2E89206">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22BA9E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4B1CCBF">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9DD0E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2D0607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090F0BC">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54662F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782336">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4CC8E5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48849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CCFCCF8">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F20EF5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766D93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50A1ABE">
            <w:pPr>
              <w:pageBreakBefore w:val="0"/>
              <w:wordWrap w:val="0"/>
              <w:overflowPunct/>
              <w:topLinePunct w:val="0"/>
              <w:bidi w:val="0"/>
              <w:spacing w:line="360" w:lineRule="auto"/>
              <w:rPr>
                <w:rFonts w:ascii="宋体" w:hAnsi="宋体" w:cs="宋体"/>
                <w:color w:val="auto"/>
                <w:sz w:val="24"/>
                <w:highlight w:val="none"/>
              </w:rPr>
            </w:pPr>
          </w:p>
        </w:tc>
      </w:tr>
      <w:tr w14:paraId="2B5B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154F3F6">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45E7401">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CE55C85">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AF99C39">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A957840">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12CD03C">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02CAC7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95B083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22FF6B">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EE2517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32B2C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2A0235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80DFBA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C8CA6A">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6DDB5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976A2EF">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0FD5A06">
            <w:pPr>
              <w:pageBreakBefore w:val="0"/>
              <w:wordWrap w:val="0"/>
              <w:overflowPunct/>
              <w:topLinePunct w:val="0"/>
              <w:bidi w:val="0"/>
              <w:spacing w:line="360" w:lineRule="auto"/>
              <w:rPr>
                <w:rFonts w:ascii="宋体" w:hAnsi="宋体" w:cs="宋体"/>
                <w:color w:val="auto"/>
                <w:sz w:val="24"/>
                <w:highlight w:val="none"/>
              </w:rPr>
            </w:pPr>
          </w:p>
        </w:tc>
      </w:tr>
      <w:tr w14:paraId="6B18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791CCB6">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524C03">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F23D1B">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D2CA2E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6A349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ACCEB8">
            <w:pPr>
              <w:pageBreakBefore w:val="0"/>
              <w:wordWrap w:val="0"/>
              <w:overflowPunct/>
              <w:topLinePunct w:val="0"/>
              <w:bidi w:val="0"/>
              <w:spacing w:line="360" w:lineRule="auto"/>
              <w:rPr>
                <w:rFonts w:ascii="宋体" w:hAnsi="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2D037D5">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8C3D91">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832E66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5618533">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EF3EE4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DE251A9">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EA897D">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42B9F1E">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662754">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369CC7">
            <w:pPr>
              <w:pageBreakBefore w:val="0"/>
              <w:wordWrap w:val="0"/>
              <w:overflowPunct/>
              <w:topLinePunct w:val="0"/>
              <w:bidi w:val="0"/>
              <w:spacing w:line="360" w:lineRule="auto"/>
              <w:rPr>
                <w:rFonts w:ascii="宋体" w:hAnsi="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AC08D4">
            <w:pPr>
              <w:pageBreakBefore w:val="0"/>
              <w:wordWrap w:val="0"/>
              <w:overflowPunct/>
              <w:topLinePunct w:val="0"/>
              <w:bidi w:val="0"/>
              <w:spacing w:line="360" w:lineRule="auto"/>
              <w:rPr>
                <w:rFonts w:ascii="宋体" w:hAnsi="宋体" w:cs="宋体"/>
                <w:color w:val="auto"/>
                <w:sz w:val="24"/>
                <w:highlight w:val="none"/>
              </w:rPr>
            </w:pPr>
          </w:p>
        </w:tc>
      </w:tr>
    </w:tbl>
    <w:p w14:paraId="5F8C4118">
      <w:pPr>
        <w:pageBreakBefore w:val="0"/>
        <w:wordWrap w:val="0"/>
        <w:overflowPunct/>
        <w:topLinePunct w:val="0"/>
        <w:autoSpaceDE w:val="0"/>
        <w:autoSpaceDN w:val="0"/>
        <w:bidi w:val="0"/>
        <w:spacing w:line="360" w:lineRule="auto"/>
        <w:rPr>
          <w:rFonts w:ascii="宋体" w:hAnsi="宋体" w:cs="宋体"/>
          <w:color w:val="auto"/>
          <w:kern w:val="0"/>
          <w:sz w:val="24"/>
          <w:highlight w:val="none"/>
        </w:rPr>
      </w:pPr>
      <w:r>
        <w:rPr>
          <w:rFonts w:hint="eastAsia" w:ascii="宋体" w:hAnsi="宋体" w:cs="宋体"/>
          <w:b/>
          <w:color w:val="auto"/>
          <w:sz w:val="24"/>
          <w:highlight w:val="none"/>
        </w:rPr>
        <w:t>注：投标人可按上述时间表的格式自行编制切合实际的具体时间表。</w:t>
      </w:r>
    </w:p>
    <w:p w14:paraId="0ADB1BFA">
      <w:pPr>
        <w:pageBreakBefore w:val="0"/>
        <w:wordWrap w:val="0"/>
        <w:overflowPunct/>
        <w:topLinePunct w:val="0"/>
        <w:autoSpaceDE w:val="0"/>
        <w:autoSpaceDN w:val="0"/>
        <w:bidi w:val="0"/>
        <w:spacing w:line="360" w:lineRule="auto"/>
        <w:ind w:firstLine="4440" w:firstLineChars="1850"/>
        <w:rPr>
          <w:rFonts w:ascii="宋体" w:hAnsi="宋体" w:cs="宋体"/>
          <w:color w:val="auto"/>
          <w:kern w:val="0"/>
          <w:sz w:val="24"/>
          <w:highlight w:val="none"/>
        </w:rPr>
      </w:pPr>
      <w:r>
        <w:rPr>
          <w:rFonts w:hint="eastAsia" w:ascii="宋体" w:hAnsi="宋体" w:cs="宋体"/>
          <w:color w:val="auto"/>
          <w:kern w:val="0"/>
          <w:sz w:val="24"/>
          <w:highlight w:val="none"/>
        </w:rPr>
        <w:t>投标人名称（电子签章）：</w:t>
      </w:r>
    </w:p>
    <w:p w14:paraId="2C21456C">
      <w:pPr>
        <w:pageBreakBefore w:val="0"/>
        <w:wordWrap w:val="0"/>
        <w:overflowPunct/>
        <w:topLinePunct w:val="0"/>
        <w:autoSpaceDE w:val="0"/>
        <w:autoSpaceDN w:val="0"/>
        <w:bidi w:val="0"/>
        <w:spacing w:line="360" w:lineRule="auto"/>
        <w:rPr>
          <w:rFonts w:ascii="宋体" w:hAnsi="宋体" w:cs="宋体"/>
          <w:b/>
          <w:bCs/>
          <w:color w:val="auto"/>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5E3CF7CD">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6898E7C1">
      <w:pPr>
        <w:pageBreakBefore w:val="0"/>
        <w:wordWrap w:val="0"/>
        <w:overflowPunct/>
        <w:topLinePunct w:val="0"/>
        <w:bidi w:val="0"/>
        <w:snapToGrid w:val="0"/>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三、售后服务方案</w:t>
      </w:r>
    </w:p>
    <w:p w14:paraId="5E6B23E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57A128F3">
      <w:pPr>
        <w:pageBreakBefore w:val="0"/>
        <w:wordWrap w:val="0"/>
        <w:overflowPunct/>
        <w:topLinePunct w:val="0"/>
        <w:bidi w:val="0"/>
        <w:snapToGrid w:val="0"/>
        <w:spacing w:line="360" w:lineRule="auto"/>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1、售后服务承诺</w:t>
      </w:r>
    </w:p>
    <w:p w14:paraId="534A8EBE">
      <w:pPr>
        <w:pageBreakBefore w:val="0"/>
        <w:wordWrap w:val="0"/>
        <w:overflowPunct/>
        <w:topLinePunct w:val="0"/>
        <w:autoSpaceDE w:val="0"/>
        <w:autoSpaceDN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附表A:售后服务机构情况表</w:t>
      </w:r>
      <w:r>
        <w:rPr>
          <w:rFonts w:hint="eastAsia" w:ascii="宋体" w:hAnsi="宋体" w:cs="宋体"/>
          <w:color w:val="auto"/>
          <w:sz w:val="24"/>
          <w:highlight w:val="none"/>
        </w:rPr>
        <w:t>（按此格式自制）</w:t>
      </w:r>
    </w:p>
    <w:tbl>
      <w:tblPr>
        <w:tblStyle w:val="20"/>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5996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7E872FD">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25FDF908">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0E458019">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1D781862">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57DE3DDC">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5588C9A8">
            <w:pPr>
              <w:pageBreakBefore w:val="0"/>
              <w:wordWrap w:val="0"/>
              <w:overflowPunct/>
              <w:topLinePunct w:val="0"/>
              <w:autoSpaceDE w:val="0"/>
              <w:autoSpaceDN w:val="0"/>
              <w:bidi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联系电话</w:t>
            </w:r>
          </w:p>
        </w:tc>
      </w:tr>
      <w:tr w14:paraId="037D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8C9C05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35A9343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1B7B305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0C0BE3FE">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1DC0C5BD">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FE6F1B1">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r>
      <w:tr w14:paraId="1F43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79DF718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7E1E2548">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48A19AA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2BAC6F0E">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452FCC2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C2740A1">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r>
      <w:tr w14:paraId="1704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3FBF5D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5B4447DD">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74155A1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19AB44E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44183E2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B343B5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r>
    </w:tbl>
    <w:p w14:paraId="0B189AB2">
      <w:pPr>
        <w:pageBreakBefore w:val="0"/>
        <w:wordWrap w:val="0"/>
        <w:overflowPunct/>
        <w:topLinePunct w:val="0"/>
        <w:autoSpaceDE w:val="0"/>
        <w:autoSpaceDN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注：关于项目涉及的所有售后服务机构均在本表注明，包括投标人本单位和符合条件的第三方服务机构；</w:t>
      </w:r>
    </w:p>
    <w:p w14:paraId="522E6C99">
      <w:pPr>
        <w:pageBreakBefore w:val="0"/>
        <w:wordWrap w:val="0"/>
        <w:overflowPunct/>
        <w:topLinePunct w:val="0"/>
        <w:autoSpaceDE w:val="0"/>
        <w:autoSpaceDN w:val="0"/>
        <w:bidi w:val="0"/>
        <w:spacing w:line="360" w:lineRule="auto"/>
        <w:rPr>
          <w:rFonts w:ascii="宋体" w:hAnsi="宋体" w:cs="宋体"/>
          <w:color w:val="auto"/>
          <w:kern w:val="0"/>
          <w:sz w:val="24"/>
          <w:highlight w:val="none"/>
        </w:rPr>
      </w:pPr>
    </w:p>
    <w:p w14:paraId="71A768C5">
      <w:pPr>
        <w:pageBreakBefore w:val="0"/>
        <w:wordWrap w:val="0"/>
        <w:overflowPunct/>
        <w:topLinePunct w:val="0"/>
        <w:autoSpaceDE w:val="0"/>
        <w:autoSpaceDN w:val="0"/>
        <w:bidi w:val="0"/>
        <w:spacing w:line="360" w:lineRule="auto"/>
        <w:rPr>
          <w:rFonts w:ascii="宋体" w:hAnsi="宋体" w:cs="宋体"/>
          <w:color w:val="auto"/>
          <w:kern w:val="0"/>
          <w:sz w:val="24"/>
          <w:highlight w:val="none"/>
        </w:rPr>
      </w:pPr>
      <w:r>
        <w:rPr>
          <w:rFonts w:hint="eastAsia" w:ascii="宋体" w:hAnsi="宋体" w:cs="宋体"/>
          <w:b/>
          <w:color w:val="auto"/>
          <w:kern w:val="0"/>
          <w:sz w:val="24"/>
          <w:highlight w:val="none"/>
        </w:rPr>
        <w:t>附表B：售后服务人员情况表</w:t>
      </w:r>
      <w:r>
        <w:rPr>
          <w:rFonts w:hint="eastAsia" w:ascii="宋体" w:hAnsi="宋体" w:cs="宋体"/>
          <w:color w:val="auto"/>
          <w:sz w:val="24"/>
          <w:highlight w:val="none"/>
        </w:rPr>
        <w:t>（按此格式自制）</w:t>
      </w:r>
    </w:p>
    <w:tbl>
      <w:tblPr>
        <w:tblStyle w:val="20"/>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4628208B">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7ABB59DC">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p w14:paraId="5496CCC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03FC98D0">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3654AE">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2DBFC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440F90">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62B3B1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2FEAC0C">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4CFFEF7">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826CA2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CC37E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12D234F">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到达现场时间</w:t>
            </w:r>
          </w:p>
        </w:tc>
      </w:tr>
      <w:tr w14:paraId="3FB0D2F6">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5AB3F0F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02DFC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036A8EA">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7E7EA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D8487E">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C336B5">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71F6CA">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1CC32E">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968E66">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DE4EE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5ACBC80C">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r w14:paraId="2FDCB1BD">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37B5C2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45016F4">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D0C2FA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929BA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DBA1D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4FC97A">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9EEDC">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7531D7">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9E8200">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8E1545">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5D83725F">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r w14:paraId="71810E4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2051FA0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C5EE467">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E1C250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A65CD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F9F8E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448E37">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FF1F11">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9D277">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A013A2">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C526B6">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9653631">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r w14:paraId="5DACEF1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C5542B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1B40F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31C79A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127E22">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7972CC">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4D2937">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49E3B2">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43EE0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E03B1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F27B3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45FC15A3">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bl>
    <w:p w14:paraId="78D1DEB7">
      <w:pPr>
        <w:pageBreakBefore w:val="0"/>
        <w:wordWrap w:val="0"/>
        <w:overflowPunct/>
        <w:topLinePunct w:val="0"/>
        <w:bidi w:val="0"/>
        <w:snapToGrid w:val="0"/>
        <w:spacing w:line="360" w:lineRule="auto"/>
        <w:ind w:left="142"/>
        <w:jc w:val="center"/>
        <w:rPr>
          <w:rFonts w:ascii="宋体" w:hAnsi="宋体" w:cs="宋体"/>
          <w:b/>
          <w:color w:val="auto"/>
          <w:sz w:val="32"/>
          <w:szCs w:val="32"/>
          <w:highlight w:val="none"/>
        </w:rPr>
      </w:pPr>
    </w:p>
    <w:p w14:paraId="6F20BB54">
      <w:pPr>
        <w:pageBreakBefore w:val="0"/>
        <w:wordWrap w:val="0"/>
        <w:overflowPunct/>
        <w:topLinePunct w:val="0"/>
        <w:bidi w:val="0"/>
        <w:snapToGrid w:val="0"/>
        <w:spacing w:line="360" w:lineRule="auto"/>
        <w:ind w:right="480" w:firstLine="3967" w:firstLineChars="1653"/>
        <w:rPr>
          <w:rFonts w:ascii="宋体" w:hAnsi="宋体" w:cs="宋体"/>
          <w:color w:val="auto"/>
          <w:sz w:val="24"/>
          <w:highlight w:val="none"/>
        </w:rPr>
      </w:pPr>
    </w:p>
    <w:p w14:paraId="774BF205">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54F59141">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931E90F">
      <w:pPr>
        <w:pageBreakBefore w:val="0"/>
        <w:widowControl/>
        <w:wordWrap w:val="0"/>
        <w:overflowPunct/>
        <w:topLinePunct w:val="0"/>
        <w:bidi w:val="0"/>
        <w:spacing w:line="360" w:lineRule="auto"/>
        <w:jc w:val="left"/>
        <w:rPr>
          <w:rFonts w:ascii="宋体" w:hAnsi="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445DFC5E">
      <w:pPr>
        <w:pageBreakBefore w:val="0"/>
        <w:wordWrap w:val="0"/>
        <w:overflowPunct/>
        <w:topLinePunct w:val="0"/>
        <w:bidi w:val="0"/>
        <w:snapToGrid w:val="0"/>
        <w:spacing w:line="360" w:lineRule="auto"/>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四、项目实施人员一览表（如有）</w:t>
      </w:r>
    </w:p>
    <w:p w14:paraId="6ABAAFC1">
      <w:pPr>
        <w:pageBreakBefore w:val="0"/>
        <w:wordWrap w:val="0"/>
        <w:overflowPunct/>
        <w:topLinePunct w:val="0"/>
        <w:bidi w:val="0"/>
        <w:spacing w:line="360" w:lineRule="auto"/>
        <w:jc w:val="center"/>
        <w:rPr>
          <w:rFonts w:ascii="宋体" w:hAnsi="宋体" w:cs="宋体"/>
          <w:b/>
          <w:bCs/>
          <w:color w:val="auto"/>
          <w:sz w:val="24"/>
          <w:highlight w:val="none"/>
        </w:rPr>
      </w:pPr>
      <w:r>
        <w:rPr>
          <w:rFonts w:hint="eastAsia" w:ascii="宋体" w:hAnsi="宋体" w:cs="宋体"/>
          <w:color w:val="auto"/>
          <w:sz w:val="24"/>
          <w:highlight w:val="none"/>
        </w:rPr>
        <w:t>（由投标人根据采购需求及招标文件要求编制）</w:t>
      </w:r>
    </w:p>
    <w:p w14:paraId="1EDCA123">
      <w:pPr>
        <w:pStyle w:val="12"/>
        <w:pageBreakBefore w:val="0"/>
        <w:wordWrap w:val="0"/>
        <w:overflowPunct/>
        <w:topLinePunct w:val="0"/>
        <w:bidi w:val="0"/>
        <w:spacing w:line="360" w:lineRule="auto"/>
        <w:rPr>
          <w:rFonts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分标</w:t>
      </w:r>
    </w:p>
    <w:p w14:paraId="2BB49CDC">
      <w:pPr>
        <w:keepNext/>
        <w:pageBreakBefore w:val="0"/>
        <w:wordWrap w:val="0"/>
        <w:overflowPunct/>
        <w:topLinePunct w:val="0"/>
        <w:autoSpaceDE w:val="0"/>
        <w:autoSpaceDN w:val="0"/>
        <w:bidi w:val="0"/>
        <w:spacing w:line="360" w:lineRule="auto"/>
        <w:ind w:firstLine="477"/>
        <w:rPr>
          <w:rFonts w:ascii="宋体" w:hAnsi="宋体" w:cs="宋体"/>
          <w:b/>
          <w:color w:val="auto"/>
          <w:sz w:val="24"/>
          <w:highlight w:val="none"/>
        </w:rPr>
      </w:pPr>
      <w:r>
        <w:rPr>
          <w:rFonts w:hint="eastAsia" w:ascii="宋体" w:hAnsi="宋体" w:cs="宋体"/>
          <w:b/>
          <w:color w:val="auto"/>
          <w:sz w:val="24"/>
          <w:highlight w:val="none"/>
        </w:rPr>
        <w:t>附表A:本项目的项目经理情况表</w:t>
      </w:r>
    </w:p>
    <w:tbl>
      <w:tblPr>
        <w:tblStyle w:val="20"/>
        <w:tblW w:w="8755" w:type="dxa"/>
        <w:tblInd w:w="116" w:type="dxa"/>
        <w:tblLayout w:type="fixed"/>
        <w:tblCellMar>
          <w:top w:w="0" w:type="dxa"/>
          <w:left w:w="108" w:type="dxa"/>
          <w:bottom w:w="0" w:type="dxa"/>
          <w:right w:w="108" w:type="dxa"/>
        </w:tblCellMar>
      </w:tblPr>
      <w:tblGrid>
        <w:gridCol w:w="2061"/>
        <w:gridCol w:w="1287"/>
        <w:gridCol w:w="1260"/>
        <w:gridCol w:w="4147"/>
      </w:tblGrid>
      <w:tr w14:paraId="2B35EF0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59F1E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9D633C7">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5BC82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0CAA60">
            <w:pPr>
              <w:pageBreakBefore w:val="0"/>
              <w:wordWrap w:val="0"/>
              <w:overflowPunct/>
              <w:topLinePunct w:val="0"/>
              <w:autoSpaceDE w:val="0"/>
              <w:autoSpaceDN w:val="0"/>
              <w:bidi w:val="0"/>
              <w:spacing w:line="360" w:lineRule="auto"/>
              <w:rPr>
                <w:rFonts w:ascii="宋体" w:hAnsi="宋体" w:cs="宋体"/>
                <w:color w:val="auto"/>
                <w:sz w:val="24"/>
                <w:highlight w:val="none"/>
              </w:rPr>
            </w:pPr>
            <w:r>
              <w:rPr>
                <w:rFonts w:hint="eastAsia" w:ascii="宋体" w:hAnsi="宋体" w:cs="宋体"/>
                <w:color w:val="auto"/>
                <w:sz w:val="24"/>
                <w:highlight w:val="none"/>
              </w:rPr>
              <w:t>投标截止时间前三年业绩及承担的主要工作情况，曾担任项目经理的项目应列明细</w:t>
            </w:r>
          </w:p>
        </w:tc>
      </w:tr>
      <w:tr w14:paraId="499FA9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685EA74">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3184CF">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0B801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3C5230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r>
      <w:tr w14:paraId="2678704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AFFCF7">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A0C5E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7F8B1B">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CD4A1C">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4C6318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3647AD8">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F4AC2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CADEA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7EBBA0">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41620AC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AD3E58C">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03A37B">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D012AA">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59736">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32E34EA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239B1CD">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E31717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293F65">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AF46C3">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3920F86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6EBF866">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433EC23">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BBABA2">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39E17F">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798C8E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439418">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917F16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F1E7E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7444AC">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3BF7859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E8623C">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0AA5CC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2F79AB">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C5F931">
            <w:pPr>
              <w:pageBreakBefore w:val="0"/>
              <w:widowControl/>
              <w:wordWrap w:val="0"/>
              <w:overflowPunct/>
              <w:topLinePunct w:val="0"/>
              <w:bidi w:val="0"/>
              <w:spacing w:line="360" w:lineRule="auto"/>
              <w:jc w:val="left"/>
              <w:rPr>
                <w:rFonts w:ascii="宋体" w:hAnsi="宋体" w:cs="宋体"/>
                <w:color w:val="auto"/>
                <w:sz w:val="24"/>
                <w:highlight w:val="none"/>
              </w:rPr>
            </w:pPr>
          </w:p>
        </w:tc>
      </w:tr>
      <w:tr w14:paraId="3E1EAC8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11C62D">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1160F8">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FA8A61">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EC6BDE">
            <w:pPr>
              <w:pageBreakBefore w:val="0"/>
              <w:widowControl/>
              <w:wordWrap w:val="0"/>
              <w:overflowPunct/>
              <w:topLinePunct w:val="0"/>
              <w:bidi w:val="0"/>
              <w:spacing w:line="360" w:lineRule="auto"/>
              <w:jc w:val="left"/>
              <w:rPr>
                <w:rFonts w:ascii="宋体" w:hAnsi="宋体" w:cs="宋体"/>
                <w:color w:val="auto"/>
                <w:sz w:val="24"/>
                <w:highlight w:val="none"/>
              </w:rPr>
            </w:pPr>
          </w:p>
        </w:tc>
      </w:tr>
    </w:tbl>
    <w:p w14:paraId="49470060">
      <w:pPr>
        <w:pageBreakBefore w:val="0"/>
        <w:wordWrap w:val="0"/>
        <w:overflowPunct/>
        <w:topLinePunct w:val="0"/>
        <w:autoSpaceDE w:val="0"/>
        <w:autoSpaceDN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7766C77A">
      <w:pPr>
        <w:pageBreakBefore w:val="0"/>
        <w:wordWrap w:val="0"/>
        <w:overflowPunct/>
        <w:topLinePunct w:val="0"/>
        <w:autoSpaceDE w:val="0"/>
        <w:autoSpaceDN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附表B:本项目的项目小组人员情况表</w:t>
      </w:r>
      <w:r>
        <w:rPr>
          <w:rFonts w:hint="eastAsia" w:ascii="宋体" w:hAnsi="宋体" w:cs="宋体"/>
          <w:color w:val="auto"/>
          <w:sz w:val="24"/>
          <w:highlight w:val="none"/>
        </w:rPr>
        <w:t>（按此格式自制）</w:t>
      </w:r>
    </w:p>
    <w:tbl>
      <w:tblPr>
        <w:tblStyle w:val="20"/>
        <w:tblW w:w="9928" w:type="dxa"/>
        <w:tblInd w:w="108" w:type="dxa"/>
        <w:tblLayout w:type="fixed"/>
        <w:tblCellMar>
          <w:top w:w="0" w:type="dxa"/>
          <w:left w:w="108" w:type="dxa"/>
          <w:bottom w:w="0" w:type="dxa"/>
          <w:right w:w="108" w:type="dxa"/>
        </w:tblCellMar>
      </w:tblPr>
      <w:tblGrid>
        <w:gridCol w:w="420"/>
        <w:gridCol w:w="787"/>
        <w:gridCol w:w="412"/>
        <w:gridCol w:w="738"/>
        <w:gridCol w:w="883"/>
        <w:gridCol w:w="1262"/>
        <w:gridCol w:w="1005"/>
        <w:gridCol w:w="990"/>
        <w:gridCol w:w="1061"/>
        <w:gridCol w:w="900"/>
        <w:gridCol w:w="1470"/>
      </w:tblGrid>
      <w:tr w14:paraId="453EC86F">
        <w:tblPrEx>
          <w:tblCellMar>
            <w:top w:w="0" w:type="dxa"/>
            <w:left w:w="108" w:type="dxa"/>
            <w:bottom w:w="0" w:type="dxa"/>
            <w:right w:w="108" w:type="dxa"/>
          </w:tblCellMar>
        </w:tblPrEx>
        <w:trPr>
          <w:trHeight w:val="1459" w:hRule="atLeast"/>
        </w:trPr>
        <w:tc>
          <w:tcPr>
            <w:tcW w:w="420" w:type="dxa"/>
            <w:tcBorders>
              <w:top w:val="single" w:color="auto" w:sz="6" w:space="0"/>
              <w:left w:val="single" w:color="auto" w:sz="6" w:space="0"/>
              <w:bottom w:val="single" w:color="auto" w:sz="6" w:space="0"/>
              <w:right w:val="single" w:color="auto" w:sz="6" w:space="0"/>
            </w:tcBorders>
            <w:vAlign w:val="center"/>
          </w:tcPr>
          <w:p w14:paraId="40DC4E39">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2AE370">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07D18F6">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738" w:type="dxa"/>
            <w:tcBorders>
              <w:top w:val="single" w:color="auto" w:sz="6" w:space="0"/>
              <w:left w:val="single" w:color="auto" w:sz="6" w:space="0"/>
              <w:bottom w:val="single" w:color="auto" w:sz="6" w:space="0"/>
              <w:right w:val="single" w:color="auto" w:sz="6" w:space="0"/>
            </w:tcBorders>
            <w:vAlign w:val="center"/>
          </w:tcPr>
          <w:p w14:paraId="2C79E655">
            <w:pPr>
              <w:pageBreakBefore w:val="0"/>
              <w:wordWrap w:val="0"/>
              <w:overflowPunct/>
              <w:topLinePunct w:val="0"/>
              <w:autoSpaceDE w:val="0"/>
              <w:autoSpaceDN w:val="0"/>
              <w:bidi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身份证号</w:t>
            </w:r>
          </w:p>
        </w:tc>
        <w:tc>
          <w:tcPr>
            <w:tcW w:w="883" w:type="dxa"/>
            <w:tcBorders>
              <w:top w:val="single" w:color="auto" w:sz="6" w:space="0"/>
              <w:left w:val="single" w:color="auto" w:sz="6" w:space="0"/>
              <w:bottom w:val="single" w:color="auto" w:sz="6" w:space="0"/>
              <w:right w:val="single" w:color="auto" w:sz="6" w:space="0"/>
            </w:tcBorders>
            <w:vAlign w:val="center"/>
          </w:tcPr>
          <w:p w14:paraId="1A740F97">
            <w:pPr>
              <w:pageBreakBefore w:val="0"/>
              <w:wordWrap w:val="0"/>
              <w:overflowPunct/>
              <w:topLinePunct w:val="0"/>
              <w:autoSpaceDE w:val="0"/>
              <w:autoSpaceDN w:val="0"/>
              <w:bidi w:val="0"/>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出生日期</w:t>
            </w:r>
          </w:p>
        </w:tc>
        <w:tc>
          <w:tcPr>
            <w:tcW w:w="1262" w:type="dxa"/>
            <w:tcBorders>
              <w:top w:val="single" w:color="auto" w:sz="6" w:space="0"/>
              <w:left w:val="single" w:color="auto" w:sz="6" w:space="0"/>
              <w:bottom w:val="single" w:color="auto" w:sz="6" w:space="0"/>
              <w:right w:val="single" w:color="auto" w:sz="6" w:space="0"/>
            </w:tcBorders>
            <w:vAlign w:val="center"/>
          </w:tcPr>
          <w:p w14:paraId="3586F8EC">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所写</w:t>
            </w:r>
            <w:r>
              <w:rPr>
                <w:rFonts w:hint="eastAsia" w:ascii="宋体" w:hAnsi="宋体" w:eastAsia="宋体" w:cs="宋体"/>
                <w:color w:val="auto"/>
                <w:sz w:val="24"/>
                <w:highlight w:val="none"/>
              </w:rPr>
              <w:t>专业</w:t>
            </w:r>
          </w:p>
          <w:p w14:paraId="1D4C1F35">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05" w:type="dxa"/>
            <w:tcBorders>
              <w:top w:val="single" w:color="auto" w:sz="6" w:space="0"/>
              <w:left w:val="single" w:color="auto" w:sz="6" w:space="0"/>
              <w:bottom w:val="single" w:color="auto" w:sz="6" w:space="0"/>
              <w:right w:val="single" w:color="auto" w:sz="6" w:space="0"/>
            </w:tcBorders>
            <w:vAlign w:val="center"/>
          </w:tcPr>
          <w:p w14:paraId="1099D640">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学历</w:t>
            </w:r>
            <w:r>
              <w:rPr>
                <w:rFonts w:hint="eastAsia" w:ascii="宋体" w:hAnsi="宋体" w:eastAsia="宋体" w:cs="宋体"/>
                <w:color w:val="auto"/>
                <w:sz w:val="24"/>
                <w:highlight w:val="none"/>
              </w:rPr>
              <w:t>(页码)</w:t>
            </w:r>
          </w:p>
        </w:tc>
        <w:tc>
          <w:tcPr>
            <w:tcW w:w="990" w:type="dxa"/>
            <w:tcBorders>
              <w:top w:val="single" w:color="auto" w:sz="6" w:space="0"/>
              <w:left w:val="single" w:color="auto" w:sz="6" w:space="0"/>
              <w:bottom w:val="single" w:color="auto" w:sz="6" w:space="0"/>
              <w:right w:val="single" w:color="auto" w:sz="6" w:space="0"/>
            </w:tcBorders>
            <w:vAlign w:val="center"/>
          </w:tcPr>
          <w:p w14:paraId="6D3371E7">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7E8BB5AE">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61" w:type="dxa"/>
            <w:tcBorders>
              <w:top w:val="single" w:color="auto" w:sz="6" w:space="0"/>
              <w:left w:val="single" w:color="auto" w:sz="6" w:space="0"/>
              <w:bottom w:val="single" w:color="auto" w:sz="6" w:space="0"/>
              <w:right w:val="single" w:color="auto" w:sz="6" w:space="0"/>
            </w:tcBorders>
            <w:vAlign w:val="center"/>
          </w:tcPr>
          <w:p w14:paraId="58D14009">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4936EF">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4C11C0F">
            <w:pPr>
              <w:pageBreakBefore w:val="0"/>
              <w:wordWrap w:val="0"/>
              <w:overflowPunct/>
              <w:topLinePunct w:val="0"/>
              <w:autoSpaceDE w:val="0"/>
              <w:autoSpaceDN w:val="0"/>
              <w:bidi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1364167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B2B626D">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DC8B05A">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B8887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738" w:type="dxa"/>
            <w:tcBorders>
              <w:top w:val="single" w:color="auto" w:sz="6" w:space="0"/>
              <w:left w:val="single" w:color="auto" w:sz="6" w:space="0"/>
              <w:bottom w:val="single" w:color="auto" w:sz="6" w:space="0"/>
              <w:right w:val="single" w:color="auto" w:sz="6" w:space="0"/>
            </w:tcBorders>
          </w:tcPr>
          <w:p w14:paraId="40BD47C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883" w:type="dxa"/>
            <w:tcBorders>
              <w:top w:val="single" w:color="auto" w:sz="6" w:space="0"/>
              <w:left w:val="single" w:color="auto" w:sz="6" w:space="0"/>
              <w:bottom w:val="single" w:color="auto" w:sz="6" w:space="0"/>
              <w:right w:val="single" w:color="auto" w:sz="6" w:space="0"/>
            </w:tcBorders>
          </w:tcPr>
          <w:p w14:paraId="0A586C70">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2" w:type="dxa"/>
            <w:tcBorders>
              <w:top w:val="single" w:color="auto" w:sz="6" w:space="0"/>
              <w:left w:val="single" w:color="auto" w:sz="6" w:space="0"/>
              <w:bottom w:val="single" w:color="auto" w:sz="6" w:space="0"/>
              <w:right w:val="single" w:color="auto" w:sz="6" w:space="0"/>
            </w:tcBorders>
          </w:tcPr>
          <w:p w14:paraId="1095E32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05" w:type="dxa"/>
            <w:tcBorders>
              <w:top w:val="single" w:color="auto" w:sz="6" w:space="0"/>
              <w:left w:val="single" w:color="auto" w:sz="6" w:space="0"/>
              <w:bottom w:val="single" w:color="auto" w:sz="6" w:space="0"/>
              <w:right w:val="single" w:color="auto" w:sz="6" w:space="0"/>
            </w:tcBorders>
          </w:tcPr>
          <w:p w14:paraId="73A25E1B">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14:paraId="0AA5EC5F">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61" w:type="dxa"/>
            <w:tcBorders>
              <w:top w:val="single" w:color="auto" w:sz="6" w:space="0"/>
              <w:left w:val="single" w:color="auto" w:sz="6" w:space="0"/>
              <w:bottom w:val="single" w:color="auto" w:sz="6" w:space="0"/>
              <w:right w:val="single" w:color="auto" w:sz="6" w:space="0"/>
            </w:tcBorders>
          </w:tcPr>
          <w:p w14:paraId="4B25DB2D">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1FF1C6">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C338829">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r w14:paraId="7E46EA3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79C97BF">
            <w:pPr>
              <w:pageBreakBefore w:val="0"/>
              <w:wordWrap w:val="0"/>
              <w:overflowPunct/>
              <w:topLinePunct w:val="0"/>
              <w:autoSpaceDE w:val="0"/>
              <w:autoSpaceDN w:val="0"/>
              <w:bidi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2FB95EA">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FCA994">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738" w:type="dxa"/>
            <w:tcBorders>
              <w:top w:val="single" w:color="auto" w:sz="6" w:space="0"/>
              <w:left w:val="single" w:color="auto" w:sz="6" w:space="0"/>
              <w:bottom w:val="single" w:color="auto" w:sz="6" w:space="0"/>
              <w:right w:val="single" w:color="auto" w:sz="6" w:space="0"/>
            </w:tcBorders>
          </w:tcPr>
          <w:p w14:paraId="6F2A4214">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883" w:type="dxa"/>
            <w:tcBorders>
              <w:top w:val="single" w:color="auto" w:sz="6" w:space="0"/>
              <w:left w:val="single" w:color="auto" w:sz="6" w:space="0"/>
              <w:bottom w:val="single" w:color="auto" w:sz="6" w:space="0"/>
              <w:right w:val="single" w:color="auto" w:sz="6" w:space="0"/>
            </w:tcBorders>
          </w:tcPr>
          <w:p w14:paraId="4B1679BC">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262" w:type="dxa"/>
            <w:tcBorders>
              <w:top w:val="single" w:color="auto" w:sz="6" w:space="0"/>
              <w:left w:val="single" w:color="auto" w:sz="6" w:space="0"/>
              <w:bottom w:val="single" w:color="auto" w:sz="6" w:space="0"/>
              <w:right w:val="single" w:color="auto" w:sz="6" w:space="0"/>
            </w:tcBorders>
          </w:tcPr>
          <w:p w14:paraId="0DC06C68">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05" w:type="dxa"/>
            <w:tcBorders>
              <w:top w:val="single" w:color="auto" w:sz="6" w:space="0"/>
              <w:left w:val="single" w:color="auto" w:sz="6" w:space="0"/>
              <w:bottom w:val="single" w:color="auto" w:sz="6" w:space="0"/>
              <w:right w:val="single" w:color="auto" w:sz="6" w:space="0"/>
            </w:tcBorders>
          </w:tcPr>
          <w:p w14:paraId="679F0C14">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90" w:type="dxa"/>
            <w:tcBorders>
              <w:top w:val="single" w:color="auto" w:sz="6" w:space="0"/>
              <w:left w:val="single" w:color="auto" w:sz="6" w:space="0"/>
              <w:bottom w:val="single" w:color="auto" w:sz="6" w:space="0"/>
              <w:right w:val="single" w:color="auto" w:sz="6" w:space="0"/>
            </w:tcBorders>
          </w:tcPr>
          <w:p w14:paraId="63CC60B2">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061" w:type="dxa"/>
            <w:tcBorders>
              <w:top w:val="single" w:color="auto" w:sz="6" w:space="0"/>
              <w:left w:val="single" w:color="auto" w:sz="6" w:space="0"/>
              <w:bottom w:val="single" w:color="auto" w:sz="6" w:space="0"/>
              <w:right w:val="single" w:color="auto" w:sz="6" w:space="0"/>
            </w:tcBorders>
          </w:tcPr>
          <w:p w14:paraId="22D415E6">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A5EA3C">
            <w:pPr>
              <w:pageBreakBefore w:val="0"/>
              <w:wordWrap w:val="0"/>
              <w:overflowPunct/>
              <w:topLinePunct w:val="0"/>
              <w:autoSpaceDE w:val="0"/>
              <w:autoSpaceDN w:val="0"/>
              <w:bidi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15E68E">
            <w:pPr>
              <w:pageBreakBefore w:val="0"/>
              <w:wordWrap w:val="0"/>
              <w:overflowPunct/>
              <w:topLinePunct w:val="0"/>
              <w:autoSpaceDE w:val="0"/>
              <w:autoSpaceDN w:val="0"/>
              <w:bidi w:val="0"/>
              <w:spacing w:line="360" w:lineRule="auto"/>
              <w:rPr>
                <w:rFonts w:ascii="宋体" w:hAnsi="宋体" w:cs="宋体"/>
                <w:color w:val="auto"/>
                <w:sz w:val="24"/>
                <w:highlight w:val="none"/>
              </w:rPr>
            </w:pPr>
          </w:p>
        </w:tc>
      </w:tr>
    </w:tbl>
    <w:p w14:paraId="4DAF5024">
      <w:pPr>
        <w:pageBreakBefore w:val="0"/>
        <w:wordWrap w:val="0"/>
        <w:overflowPunct/>
        <w:topLinePunct w:val="0"/>
        <w:bidi w:val="0"/>
        <w:spacing w:line="360" w:lineRule="auto"/>
        <w:rPr>
          <w:rFonts w:ascii="宋体" w:hAnsi="宋体" w:cs="宋体"/>
          <w:b/>
          <w:bCs/>
          <w:color w:val="auto"/>
          <w:sz w:val="24"/>
          <w:highlight w:val="none"/>
        </w:rPr>
      </w:pPr>
      <w:r>
        <w:rPr>
          <w:rFonts w:hint="eastAsia" w:ascii="宋体" w:hAnsi="宋体" w:cs="宋体"/>
          <w:b/>
          <w:color w:val="auto"/>
          <w:sz w:val="24"/>
          <w:highlight w:val="none"/>
        </w:rPr>
        <w:t>注：投标人可按上述的格式自行编制，须随表提交相应的证书复印件并注明所在投标技术文件页码。</w:t>
      </w:r>
    </w:p>
    <w:p w14:paraId="20A6A281">
      <w:pPr>
        <w:pageBreakBefore w:val="0"/>
        <w:wordWrap w:val="0"/>
        <w:overflowPunct/>
        <w:topLinePunct w:val="0"/>
        <w:bidi w:val="0"/>
        <w:snapToGrid w:val="0"/>
        <w:spacing w:line="360" w:lineRule="auto"/>
        <w:ind w:firstLine="4320" w:firstLineChars="18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6665C447">
      <w:pPr>
        <w:pageBreakBefore w:val="0"/>
        <w:wordWrap w:val="0"/>
        <w:overflowPunct/>
        <w:topLinePunct w:val="0"/>
        <w:autoSpaceDE w:val="0"/>
        <w:autoSpaceDN w:val="0"/>
        <w:bidi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15BA5D41">
      <w:pPr>
        <w:pageBreakBefore w:val="0"/>
        <w:wordWrap w:val="0"/>
        <w:overflowPunct/>
        <w:topLinePunct w:val="0"/>
        <w:bidi w:val="0"/>
        <w:snapToGrid w:val="0"/>
        <w:spacing w:line="360" w:lineRule="auto"/>
        <w:rPr>
          <w:rFonts w:ascii="宋体" w:hAnsi="宋体" w:cs="宋体"/>
          <w:color w:val="auto"/>
          <w:sz w:val="24"/>
          <w:highlight w:val="none"/>
        </w:rPr>
      </w:pPr>
    </w:p>
    <w:p w14:paraId="4E42DC9A">
      <w:pPr>
        <w:pageBreakBefore w:val="0"/>
        <w:wordWrap w:val="0"/>
        <w:overflowPunct/>
        <w:topLinePunct w:val="0"/>
        <w:bidi w:val="0"/>
        <w:snapToGrid w:val="0"/>
        <w:spacing w:line="360" w:lineRule="auto"/>
        <w:jc w:val="left"/>
        <w:rPr>
          <w:rFonts w:ascii="宋体" w:hAnsi="宋体" w:cs="宋体"/>
          <w:color w:val="auto"/>
          <w:sz w:val="24"/>
          <w:highlight w:val="none"/>
        </w:rPr>
      </w:pPr>
      <w:r>
        <w:rPr>
          <w:rFonts w:hint="eastAsia" w:ascii="宋体" w:hAnsi="宋体" w:cs="宋体"/>
          <w:b/>
          <w:color w:val="auto"/>
          <w:sz w:val="24"/>
          <w:highlight w:val="none"/>
        </w:rPr>
        <w:br w:type="page"/>
      </w:r>
      <w:r>
        <w:rPr>
          <w:rFonts w:hint="eastAsia" w:ascii="宋体" w:hAnsi="宋体" w:cs="宋体"/>
          <w:color w:val="auto"/>
          <w:sz w:val="24"/>
          <w:highlight w:val="none"/>
        </w:rPr>
        <w:t xml:space="preserve"> </w:t>
      </w:r>
    </w:p>
    <w:p w14:paraId="00FBAA74">
      <w:pPr>
        <w:pageBreakBefore w:val="0"/>
        <w:wordWrap w:val="0"/>
        <w:overflowPunct/>
        <w:topLinePunct w:val="0"/>
        <w:bidi w:val="0"/>
        <w:snapToGrid w:val="0"/>
        <w:spacing w:line="360" w:lineRule="auto"/>
        <w:ind w:left="142"/>
        <w:jc w:val="center"/>
        <w:rPr>
          <w:rFonts w:ascii="宋体" w:hAnsi="宋体" w:cs="宋体"/>
          <w:b/>
          <w:color w:val="auto"/>
          <w:sz w:val="32"/>
          <w:szCs w:val="32"/>
          <w:highlight w:val="none"/>
        </w:rPr>
      </w:pPr>
      <w:r>
        <w:rPr>
          <w:rFonts w:hint="eastAsia" w:ascii="宋体" w:hAnsi="宋体" w:cs="宋体"/>
          <w:b/>
          <w:color w:val="auto"/>
          <w:sz w:val="32"/>
          <w:szCs w:val="32"/>
          <w:highlight w:val="none"/>
        </w:rPr>
        <w:t>五、投标人对项目的合理化建议和改进措施（如有）</w:t>
      </w:r>
    </w:p>
    <w:p w14:paraId="3E9F627B">
      <w:pPr>
        <w:pageBreakBefore w:val="0"/>
        <w:wordWrap w:val="0"/>
        <w:overflowPunct/>
        <w:topLinePunct w:val="0"/>
        <w:bidi w:val="0"/>
        <w:spacing w:line="360" w:lineRule="auto"/>
        <w:ind w:firstLine="4048" w:firstLineChars="1687"/>
        <w:rPr>
          <w:rFonts w:ascii="宋体" w:hAnsi="宋体" w:cs="宋体"/>
          <w:color w:val="auto"/>
          <w:sz w:val="24"/>
          <w:highlight w:val="none"/>
        </w:rPr>
      </w:pPr>
      <w:r>
        <w:rPr>
          <w:rFonts w:hint="eastAsia" w:ascii="宋体" w:hAnsi="宋体" w:cs="宋体"/>
          <w:color w:val="auto"/>
          <w:sz w:val="24"/>
          <w:highlight w:val="none"/>
        </w:rPr>
        <w:t>（格式自拟）</w:t>
      </w:r>
    </w:p>
    <w:p w14:paraId="04BF6E0C">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r>
        <w:rPr>
          <w:rFonts w:hint="eastAsia" w:ascii="宋体" w:hAnsi="宋体" w:cs="宋体"/>
          <w:color w:val="auto"/>
          <w:szCs w:val="21"/>
          <w:highlight w:val="none"/>
        </w:rPr>
        <w:t xml:space="preserve"> </w:t>
      </w:r>
    </w:p>
    <w:p w14:paraId="4615E47D">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106B0A70">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5D3937F4">
      <w:pPr>
        <w:pageBreakBefore w:val="0"/>
        <w:wordWrap w:val="0"/>
        <w:overflowPunct/>
        <w:topLinePunct w:val="0"/>
        <w:bidi w:val="0"/>
        <w:snapToGrid w:val="0"/>
        <w:spacing w:line="360" w:lineRule="auto"/>
        <w:ind w:firstLine="4935" w:firstLineChars="2350"/>
        <w:rPr>
          <w:rFonts w:ascii="宋体" w:hAnsi="宋体" w:cs="宋体"/>
          <w:color w:val="auto"/>
          <w:szCs w:val="21"/>
          <w:highlight w:val="none"/>
        </w:rPr>
      </w:pPr>
    </w:p>
    <w:p w14:paraId="77EBE771">
      <w:pPr>
        <w:pageBreakBefore w:val="0"/>
        <w:wordWrap w:val="0"/>
        <w:overflowPunct/>
        <w:topLinePunct w:val="0"/>
        <w:bidi w:val="0"/>
        <w:snapToGrid w:val="0"/>
        <w:spacing w:line="360" w:lineRule="auto"/>
        <w:ind w:firstLine="4935" w:firstLineChars="2350"/>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投标人名称(电子签章)：</w:t>
      </w:r>
    </w:p>
    <w:p w14:paraId="70F7F2A1">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5C6C331">
      <w:pPr>
        <w:pageBreakBefore w:val="0"/>
        <w:wordWrap w:val="0"/>
        <w:overflowPunct/>
        <w:topLinePunct w:val="0"/>
        <w:bidi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六、优惠条件及特殊承诺（如有）</w:t>
      </w:r>
    </w:p>
    <w:p w14:paraId="5BC21835">
      <w:pPr>
        <w:pageBreakBefore w:val="0"/>
        <w:wordWrap w:val="0"/>
        <w:overflowPunct/>
        <w:topLinePunct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7B787732">
      <w:pPr>
        <w:pageBreakBefore w:val="0"/>
        <w:wordWrap w:val="0"/>
        <w:overflowPunct/>
        <w:topLinePunct w:val="0"/>
        <w:bidi w:val="0"/>
        <w:spacing w:line="360" w:lineRule="auto"/>
        <w:jc w:val="center"/>
        <w:rPr>
          <w:rFonts w:ascii="宋体" w:hAnsi="宋体" w:cs="宋体"/>
          <w:color w:val="auto"/>
          <w:sz w:val="18"/>
          <w:szCs w:val="18"/>
          <w:highlight w:val="none"/>
        </w:rPr>
      </w:pPr>
    </w:p>
    <w:p w14:paraId="134548DA">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25564088">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66032FF">
      <w:pPr>
        <w:pageBreakBefore w:val="0"/>
        <w:wordWrap w:val="0"/>
        <w:overflowPunct/>
        <w:topLinePunct w:val="0"/>
        <w:bidi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七、备品备件及供选择的配套零部件清单（如有）</w:t>
      </w:r>
    </w:p>
    <w:p w14:paraId="2956AC1C">
      <w:pPr>
        <w:pageBreakBefore w:val="0"/>
        <w:wordWrap w:val="0"/>
        <w:overflowPunct/>
        <w:topLinePunct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319824FD">
      <w:pPr>
        <w:pageBreakBefore w:val="0"/>
        <w:wordWrap w:val="0"/>
        <w:overflowPunct/>
        <w:topLinePunct w:val="0"/>
        <w:autoSpaceDE w:val="0"/>
        <w:autoSpaceDN w:val="0"/>
        <w:bidi w:val="0"/>
        <w:spacing w:line="360" w:lineRule="auto"/>
        <w:ind w:firstLine="4440" w:firstLineChars="1850"/>
        <w:rPr>
          <w:rFonts w:ascii="宋体" w:hAnsi="宋体" w:cs="宋体"/>
          <w:color w:val="auto"/>
          <w:kern w:val="0"/>
          <w:sz w:val="24"/>
          <w:highlight w:val="none"/>
        </w:rPr>
      </w:pPr>
    </w:p>
    <w:p w14:paraId="03E6C6D8">
      <w:pPr>
        <w:pageBreakBefore w:val="0"/>
        <w:wordWrap w:val="0"/>
        <w:overflowPunct/>
        <w:topLinePunct w:val="0"/>
        <w:autoSpaceDE w:val="0"/>
        <w:autoSpaceDN w:val="0"/>
        <w:bidi w:val="0"/>
        <w:spacing w:line="360" w:lineRule="auto"/>
        <w:ind w:firstLine="4440" w:firstLineChars="1850"/>
        <w:rPr>
          <w:rFonts w:ascii="宋体" w:hAnsi="宋体" w:cs="宋体"/>
          <w:color w:val="auto"/>
          <w:kern w:val="0"/>
          <w:sz w:val="24"/>
          <w:highlight w:val="none"/>
        </w:rPr>
      </w:pPr>
      <w:r>
        <w:rPr>
          <w:rFonts w:hint="eastAsia" w:ascii="宋体" w:hAnsi="宋体" w:cs="宋体"/>
          <w:color w:val="auto"/>
          <w:kern w:val="0"/>
          <w:sz w:val="24"/>
          <w:highlight w:val="none"/>
        </w:rPr>
        <w:t>投标人名称（</w:t>
      </w:r>
      <w:r>
        <w:rPr>
          <w:rFonts w:hint="eastAsia" w:ascii="宋体" w:hAnsi="宋体" w:cs="宋体"/>
          <w:color w:val="auto"/>
          <w:kern w:val="0"/>
          <w:sz w:val="24"/>
          <w:highlight w:val="none"/>
          <w:lang w:val="zh-CN"/>
        </w:rPr>
        <w:t>电子签章</w:t>
      </w:r>
      <w:r>
        <w:rPr>
          <w:rFonts w:hint="eastAsia" w:ascii="宋体" w:hAnsi="宋体" w:cs="宋体"/>
          <w:color w:val="auto"/>
          <w:kern w:val="0"/>
          <w:sz w:val="24"/>
          <w:highlight w:val="none"/>
        </w:rPr>
        <w:t>）：</w:t>
      </w:r>
    </w:p>
    <w:p w14:paraId="788FD88D">
      <w:pPr>
        <w:pageBreakBefore w:val="0"/>
        <w:wordWrap w:val="0"/>
        <w:overflowPunct/>
        <w:topLinePunct w:val="0"/>
        <w:autoSpaceDE w:val="0"/>
        <w:autoSpaceDN w:val="0"/>
        <w:bidi w:val="0"/>
        <w:spacing w:line="360" w:lineRule="auto"/>
        <w:rPr>
          <w:rFonts w:ascii="宋体" w:hAnsi="宋体" w:cs="宋体"/>
          <w:b/>
          <w:bCs/>
          <w:color w:val="auto"/>
          <w:sz w:val="18"/>
          <w:szCs w:val="18"/>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2FCFBEB0">
      <w:pPr>
        <w:pageBreakBefore w:val="0"/>
        <w:wordWrap w:val="0"/>
        <w:overflowPunct/>
        <w:topLinePunct w:val="0"/>
        <w:bidi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八、培训计划（如有）</w:t>
      </w:r>
    </w:p>
    <w:p w14:paraId="22246A7F">
      <w:pPr>
        <w:pageBreakBefore w:val="0"/>
        <w:wordWrap w:val="0"/>
        <w:overflowPunct/>
        <w:topLinePunct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7872B8EC">
      <w:pPr>
        <w:keepNext/>
        <w:pageBreakBefore w:val="0"/>
        <w:wordWrap w:val="0"/>
        <w:overflowPunct/>
        <w:topLinePunct w:val="0"/>
        <w:autoSpaceDE w:val="0"/>
        <w:autoSpaceDN w:val="0"/>
        <w:bidi w:val="0"/>
        <w:spacing w:line="360" w:lineRule="auto"/>
        <w:ind w:firstLine="477"/>
        <w:jc w:val="left"/>
        <w:rPr>
          <w:rFonts w:ascii="宋体" w:hAnsi="宋体" w:cs="宋体"/>
          <w:b/>
          <w:color w:val="auto"/>
          <w:sz w:val="24"/>
          <w:highlight w:val="none"/>
        </w:rPr>
      </w:pPr>
      <w:r>
        <w:rPr>
          <w:rFonts w:hint="eastAsia" w:ascii="宋体" w:hAnsi="宋体" w:cs="宋体"/>
          <w:b/>
          <w:color w:val="auto"/>
          <w:sz w:val="24"/>
          <w:highlight w:val="none"/>
        </w:rPr>
        <w:t>附表: 培训日程及费用</w:t>
      </w:r>
    </w:p>
    <w:tbl>
      <w:tblPr>
        <w:tblStyle w:val="2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03F19B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57D2964">
            <w:pPr>
              <w:pageBreakBefore w:val="0"/>
              <w:tabs>
                <w:tab w:val="center" w:pos="1690"/>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A06654">
            <w:pPr>
              <w:pageBreakBefore w:val="0"/>
              <w:tabs>
                <w:tab w:val="center" w:pos="595"/>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0C93687">
            <w:pPr>
              <w:pageBreakBefore w:val="0"/>
              <w:tabs>
                <w:tab w:val="center" w:pos="595"/>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77D2331">
            <w:pPr>
              <w:pageBreakBefore w:val="0"/>
              <w:tabs>
                <w:tab w:val="center" w:pos="1028"/>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1589703">
            <w:pPr>
              <w:pageBreakBefore w:val="0"/>
              <w:tabs>
                <w:tab w:val="center" w:pos="595"/>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F860219">
            <w:pPr>
              <w:pageBreakBefore w:val="0"/>
              <w:tabs>
                <w:tab w:val="center" w:pos="520"/>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2B3BB49">
            <w:pPr>
              <w:pageBreakBefore w:val="0"/>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课程费用</w:t>
            </w:r>
          </w:p>
        </w:tc>
      </w:tr>
      <w:tr w14:paraId="5C50D6C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A0433BE">
            <w:pPr>
              <w:pageBreakBefore w:val="0"/>
              <w:tabs>
                <w:tab w:val="left" w:pos="589"/>
                <w:tab w:val="left" w:pos="1303"/>
                <w:tab w:val="left" w:pos="2017"/>
                <w:tab w:val="left" w:pos="2731"/>
                <w:tab w:val="left" w:pos="3445"/>
                <w:tab w:val="left" w:pos="4159"/>
                <w:tab w:val="left" w:pos="487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653EFDAF">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309F288C">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018C7B21">
            <w:pPr>
              <w:pageBreakBefore w:val="0"/>
              <w:tabs>
                <w:tab w:val="left" w:pos="573"/>
                <w:tab w:val="left" w:pos="1287"/>
                <w:tab w:val="left" w:pos="2001"/>
                <w:tab w:val="left" w:pos="2715"/>
                <w:tab w:val="left" w:pos="3429"/>
                <w:tab w:val="left" w:pos="4211"/>
                <w:tab w:val="left" w:pos="464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11A6AFC9">
            <w:pPr>
              <w:pageBreakBefore w:val="0"/>
              <w:tabs>
                <w:tab w:val="left" w:pos="440"/>
                <w:tab w:val="left" w:pos="1154"/>
                <w:tab w:val="left" w:pos="1936"/>
                <w:tab w:val="left" w:pos="2368"/>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5231B75D">
            <w:pPr>
              <w:pageBreakBefore w:val="0"/>
              <w:tabs>
                <w:tab w:val="left" w:pos="589"/>
                <w:tab w:val="left" w:pos="1303"/>
                <w:tab w:val="left" w:pos="2017"/>
                <w:tab w:val="left" w:pos="2731"/>
                <w:tab w:val="left" w:pos="3445"/>
                <w:tab w:val="left" w:pos="4159"/>
                <w:tab w:val="left" w:pos="487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0E47B420">
            <w:pPr>
              <w:pageBreakBefore w:val="0"/>
              <w:suppressAutoHyphens/>
              <w:wordWrap w:val="0"/>
              <w:overflowPunct/>
              <w:topLinePunct w:val="0"/>
              <w:autoSpaceDE w:val="0"/>
              <w:autoSpaceDN w:val="0"/>
              <w:bidi w:val="0"/>
              <w:spacing w:line="360" w:lineRule="auto"/>
              <w:rPr>
                <w:rFonts w:ascii="宋体" w:hAnsi="宋体" w:cs="宋体"/>
                <w:color w:val="auto"/>
                <w:sz w:val="24"/>
                <w:highlight w:val="none"/>
              </w:rPr>
            </w:pPr>
          </w:p>
        </w:tc>
      </w:tr>
      <w:tr w14:paraId="5CC2BFE5">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260CCC86">
            <w:pPr>
              <w:pageBreakBefore w:val="0"/>
              <w:tabs>
                <w:tab w:val="left" w:pos="589"/>
                <w:tab w:val="left" w:pos="1303"/>
                <w:tab w:val="left" w:pos="2017"/>
                <w:tab w:val="left" w:pos="2731"/>
                <w:tab w:val="left" w:pos="3445"/>
                <w:tab w:val="left" w:pos="4159"/>
                <w:tab w:val="left" w:pos="487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76FB0AA4">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037719F1">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0A9B2535">
            <w:pPr>
              <w:pageBreakBefore w:val="0"/>
              <w:tabs>
                <w:tab w:val="left" w:pos="573"/>
                <w:tab w:val="left" w:pos="1287"/>
                <w:tab w:val="left" w:pos="2001"/>
                <w:tab w:val="left" w:pos="2715"/>
                <w:tab w:val="left" w:pos="3429"/>
                <w:tab w:val="left" w:pos="4211"/>
                <w:tab w:val="left" w:pos="464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04664AB1">
            <w:pPr>
              <w:pageBreakBefore w:val="0"/>
              <w:tabs>
                <w:tab w:val="left" w:pos="440"/>
                <w:tab w:val="left" w:pos="1154"/>
                <w:tab w:val="left" w:pos="1936"/>
                <w:tab w:val="left" w:pos="2368"/>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5C3EFBF7">
            <w:pPr>
              <w:pageBreakBefore w:val="0"/>
              <w:tabs>
                <w:tab w:val="left" w:pos="7"/>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75C9E5FC">
            <w:pPr>
              <w:pageBreakBefore w:val="0"/>
              <w:suppressAutoHyphens/>
              <w:wordWrap w:val="0"/>
              <w:overflowPunct/>
              <w:topLinePunct w:val="0"/>
              <w:autoSpaceDE w:val="0"/>
              <w:autoSpaceDN w:val="0"/>
              <w:bidi w:val="0"/>
              <w:spacing w:line="360" w:lineRule="auto"/>
              <w:rPr>
                <w:rFonts w:ascii="宋体" w:hAnsi="宋体" w:cs="宋体"/>
                <w:color w:val="auto"/>
                <w:sz w:val="24"/>
                <w:highlight w:val="none"/>
              </w:rPr>
            </w:pPr>
          </w:p>
        </w:tc>
      </w:tr>
      <w:tr w14:paraId="662854A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7EC4F57">
            <w:pPr>
              <w:pageBreakBefore w:val="0"/>
              <w:tabs>
                <w:tab w:val="left" w:pos="589"/>
                <w:tab w:val="left" w:pos="1303"/>
                <w:tab w:val="left" w:pos="2017"/>
                <w:tab w:val="left" w:pos="2731"/>
                <w:tab w:val="left" w:pos="3445"/>
                <w:tab w:val="left" w:pos="4159"/>
                <w:tab w:val="left" w:pos="4873"/>
              </w:tabs>
              <w:suppressAutoHyphens/>
              <w:wordWrap w:val="0"/>
              <w:overflowPunct/>
              <w:topLinePunct w:val="0"/>
              <w:autoSpaceDE w:val="0"/>
              <w:autoSpaceDN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ABF9FD5">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B5D2698">
            <w:pPr>
              <w:pageBreakBefore w:val="0"/>
              <w:tabs>
                <w:tab w:val="left" w:pos="556"/>
                <w:tab w:val="left" w:pos="1270"/>
                <w:tab w:val="left" w:pos="1984"/>
                <w:tab w:val="left" w:pos="2698"/>
                <w:tab w:val="left" w:pos="3412"/>
                <w:tab w:val="left" w:pos="4126"/>
                <w:tab w:val="left" w:pos="4840"/>
                <w:tab w:val="left" w:pos="5622"/>
                <w:tab w:val="left" w:pos="6054"/>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B7F922E">
            <w:pPr>
              <w:pageBreakBefore w:val="0"/>
              <w:tabs>
                <w:tab w:val="left" w:pos="573"/>
                <w:tab w:val="left" w:pos="1287"/>
                <w:tab w:val="left" w:pos="2001"/>
                <w:tab w:val="left" w:pos="2715"/>
                <w:tab w:val="left" w:pos="3429"/>
                <w:tab w:val="left" w:pos="4211"/>
                <w:tab w:val="left" w:pos="4643"/>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5B0F03C">
            <w:pPr>
              <w:pageBreakBefore w:val="0"/>
              <w:tabs>
                <w:tab w:val="left" w:pos="440"/>
                <w:tab w:val="left" w:pos="1154"/>
                <w:tab w:val="left" w:pos="1936"/>
                <w:tab w:val="left" w:pos="2368"/>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1965EAA">
            <w:pPr>
              <w:pageBreakBefore w:val="0"/>
              <w:tabs>
                <w:tab w:val="left" w:pos="7"/>
              </w:tabs>
              <w:suppressAutoHyphens/>
              <w:wordWrap w:val="0"/>
              <w:overflowPunct/>
              <w:topLinePunct w:val="0"/>
              <w:autoSpaceDE w:val="0"/>
              <w:autoSpaceDN w:val="0"/>
              <w:bidi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1A602C0">
            <w:pPr>
              <w:pageBreakBefore w:val="0"/>
              <w:suppressAutoHyphens/>
              <w:wordWrap w:val="0"/>
              <w:overflowPunct/>
              <w:topLinePunct w:val="0"/>
              <w:autoSpaceDE w:val="0"/>
              <w:autoSpaceDN w:val="0"/>
              <w:bidi w:val="0"/>
              <w:spacing w:line="360" w:lineRule="auto"/>
              <w:rPr>
                <w:rFonts w:ascii="宋体" w:hAnsi="宋体" w:cs="宋体"/>
                <w:color w:val="auto"/>
                <w:sz w:val="24"/>
                <w:highlight w:val="none"/>
              </w:rPr>
            </w:pPr>
          </w:p>
        </w:tc>
      </w:tr>
    </w:tbl>
    <w:p w14:paraId="4D2B4C45">
      <w:pPr>
        <w:pageBreakBefore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spacing w:line="360" w:lineRule="auto"/>
        <w:rPr>
          <w:rFonts w:ascii="宋体" w:hAnsi="宋体" w:cs="宋体"/>
          <w:color w:val="auto"/>
          <w:sz w:val="24"/>
          <w:highlight w:val="none"/>
        </w:rPr>
      </w:pPr>
      <w:r>
        <w:rPr>
          <w:rFonts w:hint="eastAsia" w:ascii="宋体" w:hAnsi="宋体" w:cs="宋体"/>
          <w:color w:val="auto"/>
          <w:sz w:val="24"/>
          <w:highlight w:val="none"/>
        </w:rPr>
        <w:t>注解:A</w:t>
      </w:r>
      <w:r>
        <w:rPr>
          <w:rFonts w:hint="eastAsia" w:ascii="宋体" w:hAnsi="宋体" w:cs="宋体"/>
          <w:color w:val="auto"/>
          <w:sz w:val="24"/>
          <w:highlight w:val="none"/>
        </w:rPr>
        <w:tab/>
      </w:r>
      <w:r>
        <w:rPr>
          <w:rFonts w:hint="eastAsia" w:ascii="宋体" w:hAnsi="宋体" w:cs="宋体"/>
          <w:color w:val="auto"/>
          <w:sz w:val="24"/>
          <w:highlight w:val="none"/>
        </w:rPr>
        <w:t>课程清单按时间顺序排列，并提供以下详细资料：</w:t>
      </w:r>
    </w:p>
    <w:p w14:paraId="00A70D8F">
      <w:pPr>
        <w:pageBreakBefore w:val="0"/>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课程概要</w:t>
      </w:r>
    </w:p>
    <w:p w14:paraId="72D859BE">
      <w:pPr>
        <w:pageBreakBefore w:val="0"/>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课程目的</w:t>
      </w:r>
    </w:p>
    <w:p w14:paraId="744BD365">
      <w:pPr>
        <w:pageBreakBefore w:val="0"/>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教学方式</w:t>
      </w:r>
    </w:p>
    <w:p w14:paraId="1BD34A7D">
      <w:pPr>
        <w:pageBreakBefore w:val="0"/>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先决条件</w:t>
      </w:r>
    </w:p>
    <w:p w14:paraId="71EC4671">
      <w:pPr>
        <w:pageBreakBefore w:val="0"/>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overflowPunct/>
        <w:topLinePunct w:val="0"/>
        <w:autoSpaceDE w:val="0"/>
        <w:autoSpaceDN w:val="0"/>
        <w:bidi w:val="0"/>
        <w:adjustRightInd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教材目录</w:t>
      </w:r>
    </w:p>
    <w:p w14:paraId="634F9CC0">
      <w:pPr>
        <w:pageBreakBefore w:val="0"/>
        <w:wordWrap w:val="0"/>
        <w:overflowPunct/>
        <w:topLinePunct w:val="0"/>
        <w:autoSpaceDE w:val="0"/>
        <w:autoSpaceDN w:val="0"/>
        <w:bidi w:val="0"/>
        <w:spacing w:line="360" w:lineRule="auto"/>
        <w:rPr>
          <w:rFonts w:ascii="宋体" w:hAnsi="宋体" w:cs="宋体"/>
          <w:color w:val="auto"/>
          <w:sz w:val="24"/>
          <w:highlight w:val="none"/>
        </w:rPr>
      </w:pPr>
      <w:r>
        <w:rPr>
          <w:rFonts w:hint="eastAsia" w:ascii="宋体" w:hAnsi="宋体" w:cs="宋体"/>
          <w:color w:val="auto"/>
          <w:sz w:val="24"/>
          <w:highlight w:val="none"/>
        </w:rPr>
        <w:t>B  按照附表A提供授课教师的简历</w:t>
      </w:r>
    </w:p>
    <w:p w14:paraId="1DC3474A">
      <w:pPr>
        <w:pageBreakBefore w:val="0"/>
        <w:wordWrap w:val="0"/>
        <w:overflowPunct/>
        <w:topLinePunct w:val="0"/>
        <w:autoSpaceDE w:val="0"/>
        <w:autoSpaceDN w:val="0"/>
        <w:bidi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059CD5B7">
      <w:pPr>
        <w:pageBreakBefore w:val="0"/>
        <w:wordWrap w:val="0"/>
        <w:overflowPunct/>
        <w:topLinePunct w:val="0"/>
        <w:autoSpaceDE w:val="0"/>
        <w:autoSpaceDN w:val="0"/>
        <w:bidi w:val="0"/>
        <w:spacing w:line="360" w:lineRule="auto"/>
        <w:ind w:firstLine="4800" w:firstLineChars="2000"/>
        <w:rPr>
          <w:rFonts w:ascii="宋体" w:hAnsi="宋体" w:cs="宋体"/>
          <w:color w:val="auto"/>
          <w:sz w:val="24"/>
          <w:highlight w:val="none"/>
        </w:rPr>
      </w:pPr>
      <w:r>
        <w:rPr>
          <w:rFonts w:hint="eastAsia" w:ascii="宋体" w:hAnsi="宋体" w:cs="宋体"/>
          <w:color w:val="auto"/>
          <w:kern w:val="0"/>
          <w:sz w:val="24"/>
          <w:highlight w:val="none"/>
        </w:rPr>
        <w:t>投标人名称（</w:t>
      </w:r>
      <w:r>
        <w:rPr>
          <w:rFonts w:hint="eastAsia" w:ascii="宋体" w:hAnsi="宋体" w:cs="宋体"/>
          <w:color w:val="auto"/>
          <w:kern w:val="0"/>
          <w:sz w:val="24"/>
          <w:highlight w:val="none"/>
          <w:lang w:val="zh-CN"/>
        </w:rPr>
        <w:t>电子签章</w:t>
      </w:r>
      <w:r>
        <w:rPr>
          <w:rFonts w:hint="eastAsia" w:ascii="宋体" w:hAnsi="宋体" w:cs="宋体"/>
          <w:color w:val="auto"/>
          <w:kern w:val="0"/>
          <w:sz w:val="24"/>
          <w:highlight w:val="none"/>
        </w:rPr>
        <w:t xml:space="preserve">）：                       </w:t>
      </w:r>
    </w:p>
    <w:p w14:paraId="2D09AF42">
      <w:pPr>
        <w:pageBreakBefore w:val="0"/>
        <w:wordWrap w:val="0"/>
        <w:overflowPunct/>
        <w:topLinePunct w:val="0"/>
        <w:autoSpaceDE w:val="0"/>
        <w:autoSpaceDN w:val="0"/>
        <w:bidi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347E4527">
      <w:pPr>
        <w:pageBreakBefore w:val="0"/>
        <w:wordWrap w:val="0"/>
        <w:overflowPunct/>
        <w:topLinePunct w:val="0"/>
        <w:autoSpaceDE w:val="0"/>
        <w:autoSpaceDN w:val="0"/>
        <w:bidi w:val="0"/>
        <w:spacing w:line="360" w:lineRule="auto"/>
        <w:ind w:firstLine="120"/>
        <w:rPr>
          <w:rFonts w:ascii="宋体" w:hAnsi="宋体" w:cs="宋体"/>
          <w:color w:val="auto"/>
          <w:sz w:val="24"/>
          <w:highlight w:val="none"/>
        </w:rPr>
      </w:pPr>
    </w:p>
    <w:p w14:paraId="7F2BF58B">
      <w:pPr>
        <w:pageBreakBefore w:val="0"/>
        <w:wordWrap w:val="0"/>
        <w:overflowPunct/>
        <w:topLinePunct w:val="0"/>
        <w:bidi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九、认为需要的其他技术文件或说明（如有）</w:t>
      </w:r>
    </w:p>
    <w:p w14:paraId="537A40A1">
      <w:pPr>
        <w:pageBreakBefore w:val="0"/>
        <w:wordWrap w:val="0"/>
        <w:overflowPunct/>
        <w:topLinePunct w:val="0"/>
        <w:bidi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1681FAA6">
      <w:pPr>
        <w:pageBreakBefore w:val="0"/>
        <w:wordWrap w:val="0"/>
        <w:overflowPunct/>
        <w:topLinePunct w:val="0"/>
        <w:bidi w:val="0"/>
        <w:spacing w:line="360" w:lineRule="auto"/>
        <w:jc w:val="center"/>
        <w:rPr>
          <w:rFonts w:ascii="宋体" w:hAnsi="宋体" w:cs="宋体"/>
          <w:color w:val="auto"/>
          <w:sz w:val="24"/>
          <w:highlight w:val="none"/>
        </w:rPr>
      </w:pPr>
    </w:p>
    <w:p w14:paraId="2D8F2481">
      <w:pPr>
        <w:pageBreakBefore w:val="0"/>
        <w:wordWrap w:val="0"/>
        <w:overflowPunct/>
        <w:topLinePunct w:val="0"/>
        <w:autoSpaceDE w:val="0"/>
        <w:autoSpaceDN w:val="0"/>
        <w:bidi w:val="0"/>
        <w:spacing w:line="360" w:lineRule="auto"/>
        <w:ind w:firstLine="4800" w:firstLineChars="2000"/>
        <w:rPr>
          <w:rFonts w:ascii="宋体" w:hAnsi="宋体" w:cs="宋体"/>
          <w:color w:val="auto"/>
          <w:sz w:val="24"/>
          <w:highlight w:val="none"/>
        </w:rPr>
      </w:pPr>
      <w:r>
        <w:rPr>
          <w:rFonts w:hint="eastAsia" w:ascii="宋体" w:hAnsi="宋体" w:cs="宋体"/>
          <w:color w:val="auto"/>
          <w:kern w:val="0"/>
          <w:sz w:val="24"/>
          <w:highlight w:val="none"/>
        </w:rPr>
        <w:t>投标人名称（电子</w:t>
      </w:r>
      <w:r>
        <w:rPr>
          <w:rFonts w:hint="eastAsia" w:ascii="宋体" w:hAnsi="宋体" w:cs="宋体"/>
          <w:color w:val="auto"/>
          <w:kern w:val="0"/>
          <w:sz w:val="24"/>
          <w:highlight w:val="none"/>
          <w:lang w:val="zh-CN"/>
        </w:rPr>
        <w:t>签章</w:t>
      </w:r>
      <w:r>
        <w:rPr>
          <w:rFonts w:hint="eastAsia" w:ascii="宋体" w:hAnsi="宋体" w:cs="宋体"/>
          <w:color w:val="auto"/>
          <w:kern w:val="0"/>
          <w:sz w:val="24"/>
          <w:highlight w:val="none"/>
        </w:rPr>
        <w:t xml:space="preserve">）：                       </w:t>
      </w:r>
    </w:p>
    <w:p w14:paraId="227FCC95">
      <w:pPr>
        <w:pageBreakBefore w:val="0"/>
        <w:wordWrap w:val="0"/>
        <w:overflowPunct/>
        <w:topLinePunct w:val="0"/>
        <w:autoSpaceDE w:val="0"/>
        <w:autoSpaceDN w:val="0"/>
        <w:bidi w:val="0"/>
        <w:spacing w:line="360" w:lineRule="auto"/>
        <w:rPr>
          <w:rFonts w:ascii="宋体" w:hAnsi="宋体" w:cs="宋体"/>
          <w:b/>
          <w:bCs/>
          <w:color w:val="auto"/>
          <w:sz w:val="30"/>
          <w:szCs w:val="30"/>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  年  月   日</w:t>
      </w:r>
    </w:p>
    <w:p w14:paraId="01131A83">
      <w:pPr>
        <w:pageBreakBefore w:val="0"/>
        <w:widowControl/>
        <w:wordWrap w:val="0"/>
        <w:overflowPunct/>
        <w:topLinePunct w:val="0"/>
        <w:bidi w:val="0"/>
        <w:spacing w:line="360" w:lineRule="auto"/>
        <w:jc w:val="left"/>
        <w:rPr>
          <w:rFonts w:ascii="宋体" w:hAnsi="宋体" w:cs="宋体"/>
          <w:b/>
          <w:bCs/>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2318796C">
      <w:pPr>
        <w:pStyle w:val="12"/>
        <w:pageBreakBefore w:val="0"/>
        <w:wordWrap w:val="0"/>
        <w:overflowPunct/>
        <w:topLinePunct w:val="0"/>
        <w:bidi w:val="0"/>
        <w:spacing w:line="360" w:lineRule="auto"/>
        <w:jc w:val="center"/>
        <w:outlineLvl w:val="1"/>
        <w:rPr>
          <w:rFonts w:hAnsi="宋体" w:cs="宋体"/>
          <w:b/>
          <w:bCs/>
          <w:color w:val="auto"/>
          <w:sz w:val="28"/>
          <w:szCs w:val="28"/>
          <w:highlight w:val="none"/>
        </w:rPr>
      </w:pPr>
      <w:bookmarkStart w:id="440" w:name="_Toc17901"/>
      <w:bookmarkStart w:id="441" w:name="_Toc19686840"/>
      <w:r>
        <w:rPr>
          <w:rFonts w:hint="eastAsia" w:hAnsi="宋体" w:cs="宋体"/>
          <w:b/>
          <w:bCs/>
          <w:color w:val="auto"/>
          <w:sz w:val="28"/>
          <w:szCs w:val="28"/>
          <w:highlight w:val="none"/>
        </w:rPr>
        <w:t>第五节 报价文件格式</w:t>
      </w:r>
      <w:bookmarkEnd w:id="440"/>
    </w:p>
    <w:p w14:paraId="59FB5BF6">
      <w:pPr>
        <w:pageBreakBefore w:val="0"/>
        <w:wordWrap w:val="0"/>
        <w:overflowPunct/>
        <w:topLinePunct w:val="0"/>
        <w:bidi w:val="0"/>
        <w:snapToGrid w:val="0"/>
        <w:spacing w:line="360" w:lineRule="auto"/>
        <w:rPr>
          <w:rFonts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14:paraId="0B91F95E">
      <w:pPr>
        <w:pageBreakBefore w:val="0"/>
        <w:wordWrap w:val="0"/>
        <w:overflowPunct/>
        <w:topLinePunct w:val="0"/>
        <w:bidi w:val="0"/>
        <w:snapToGrid w:val="0"/>
        <w:spacing w:line="360" w:lineRule="auto"/>
        <w:jc w:val="center"/>
        <w:rPr>
          <w:rFonts w:ascii="宋体" w:hAnsi="宋体" w:cs="宋体"/>
          <w:bCs/>
          <w:color w:val="auto"/>
          <w:sz w:val="24"/>
          <w:szCs w:val="20"/>
          <w:highlight w:val="none"/>
        </w:rPr>
      </w:pPr>
    </w:p>
    <w:p w14:paraId="1D38D10A">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报价文件（封面）</w:t>
      </w:r>
    </w:p>
    <w:p w14:paraId="43D389A2">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180FF61F">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56C186EF">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3FC8B241">
      <w:pPr>
        <w:pageBreakBefore w:val="0"/>
        <w:wordWrap w:val="0"/>
        <w:overflowPunct/>
        <w:topLinePunct w:val="0"/>
        <w:bidi w:val="0"/>
        <w:snapToGrid w:val="0"/>
        <w:spacing w:line="360" w:lineRule="auto"/>
        <w:rPr>
          <w:rFonts w:ascii="宋体" w:hAnsi="宋体" w:cs="宋体"/>
          <w:bCs/>
          <w:color w:val="auto"/>
          <w:sz w:val="24"/>
          <w:szCs w:val="20"/>
          <w:highlight w:val="none"/>
        </w:rPr>
      </w:pPr>
    </w:p>
    <w:p w14:paraId="1AF3C2E1">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项目名称：  </w:t>
      </w:r>
    </w:p>
    <w:p w14:paraId="31589EB2">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p>
    <w:p w14:paraId="73346A91">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 xml:space="preserve">项目编号： </w:t>
      </w:r>
      <w:r>
        <w:rPr>
          <w:rFonts w:hint="eastAsia" w:ascii="宋体" w:hAnsi="宋体" w:cs="宋体"/>
          <w:color w:val="auto"/>
          <w:sz w:val="24"/>
          <w:highlight w:val="none"/>
        </w:rPr>
        <w:t xml:space="preserve"> </w:t>
      </w:r>
    </w:p>
    <w:p w14:paraId="6BDA2845">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p>
    <w:p w14:paraId="62A4032A">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所投分标：</w:t>
      </w:r>
    </w:p>
    <w:p w14:paraId="67AB8970">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p>
    <w:p w14:paraId="639E3B96">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投标人名称：</w:t>
      </w:r>
    </w:p>
    <w:p w14:paraId="6EA21D0E">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p>
    <w:p w14:paraId="21276C32">
      <w:pPr>
        <w:pageBreakBefore w:val="0"/>
        <w:wordWrap w:val="0"/>
        <w:overflowPunct/>
        <w:topLinePunct w:val="0"/>
        <w:bidi w:val="0"/>
        <w:snapToGrid w:val="0"/>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投标人地址：</w:t>
      </w:r>
    </w:p>
    <w:p w14:paraId="5E381F66">
      <w:pPr>
        <w:pStyle w:val="7"/>
        <w:pageBreakBefore w:val="0"/>
        <w:wordWrap w:val="0"/>
        <w:overflowPunct/>
        <w:topLinePunct w:val="0"/>
        <w:bidi w:val="0"/>
        <w:snapToGrid w:val="0"/>
        <w:spacing w:line="360" w:lineRule="auto"/>
        <w:ind w:firstLine="960" w:firstLineChars="400"/>
        <w:rPr>
          <w:rFonts w:ascii="宋体" w:hAnsi="宋体" w:cs="宋体"/>
          <w:bCs/>
          <w:color w:val="auto"/>
          <w:sz w:val="24"/>
          <w:szCs w:val="24"/>
          <w:highlight w:val="none"/>
        </w:rPr>
      </w:pPr>
    </w:p>
    <w:p w14:paraId="4AD89F6F">
      <w:pPr>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10A583FC">
      <w:pPr>
        <w:pageBreakBefore w:val="0"/>
        <w:widowControl/>
        <w:wordWrap w:val="0"/>
        <w:overflowPunct/>
        <w:topLinePunct w:val="0"/>
        <w:bidi w:val="0"/>
        <w:spacing w:line="360" w:lineRule="auto"/>
        <w:jc w:val="left"/>
        <w:rPr>
          <w:rFonts w:ascii="宋体" w:hAnsi="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29B660EF">
      <w:pPr>
        <w:pageBreakBefore w:val="0"/>
        <w:wordWrap w:val="0"/>
        <w:overflowPunct/>
        <w:topLinePunct w:val="0"/>
        <w:bidi w:val="0"/>
        <w:spacing w:line="360" w:lineRule="auto"/>
        <w:rPr>
          <w:rFonts w:ascii="宋体" w:hAnsi="宋体" w:cs="宋体"/>
          <w:color w:val="auto"/>
          <w:highlight w:val="none"/>
        </w:rPr>
      </w:pPr>
    </w:p>
    <w:p w14:paraId="453603F4">
      <w:pPr>
        <w:pageBreakBefore w:val="0"/>
        <w:wordWrap w:val="0"/>
        <w:overflowPunct/>
        <w:topLinePunct w:val="0"/>
        <w:bidi w:val="0"/>
        <w:snapToGrid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报价文件目录</w:t>
      </w:r>
    </w:p>
    <w:p w14:paraId="4601046A">
      <w:pPr>
        <w:pageBreakBefore w:val="0"/>
        <w:wordWrap w:val="0"/>
        <w:overflowPunct/>
        <w:topLinePunct w:val="0"/>
        <w:bidi w:val="0"/>
        <w:spacing w:line="360" w:lineRule="auto"/>
        <w:rPr>
          <w:rFonts w:ascii="宋体" w:hAnsi="宋体" w:cs="宋体"/>
          <w:color w:val="auto"/>
          <w:highlight w:val="none"/>
        </w:rPr>
      </w:pPr>
    </w:p>
    <w:p w14:paraId="077F1DC4">
      <w:pPr>
        <w:pageBreakBefore w:val="0"/>
        <w:wordWrap w:val="0"/>
        <w:overflowPunct/>
        <w:topLinePunct w:val="0"/>
        <w:bidi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一、投标函………………………………………………………（页码）</w:t>
      </w:r>
    </w:p>
    <w:p w14:paraId="2506EA65">
      <w:pPr>
        <w:pageBreakBefore w:val="0"/>
        <w:wordWrap w:val="0"/>
        <w:overflowPunct/>
        <w:topLinePunct w:val="0"/>
        <w:bidi w:val="0"/>
        <w:spacing w:line="360" w:lineRule="auto"/>
        <w:rPr>
          <w:color w:val="auto"/>
          <w:highlight w:val="none"/>
        </w:rPr>
      </w:pPr>
      <w:r>
        <w:rPr>
          <w:rFonts w:hint="eastAsia" w:ascii="宋体" w:hAnsi="宋体" w:cs="宋体"/>
          <w:color w:val="auto"/>
          <w:kern w:val="0"/>
          <w:sz w:val="24"/>
          <w:highlight w:val="none"/>
        </w:rPr>
        <w:t>二、开标一览表…………………………………………………（页码）</w:t>
      </w:r>
    </w:p>
    <w:p w14:paraId="11F70178">
      <w:pPr>
        <w:pageBreakBefore w:val="0"/>
        <w:wordWrap w:val="0"/>
        <w:overflowPunct/>
        <w:topLinePunct w:val="0"/>
        <w:bidi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lang w:val="zh-CN" w:eastAsia="zh-CN"/>
        </w:rPr>
        <w:t>中小企业声明函</w:t>
      </w:r>
      <w:r>
        <w:rPr>
          <w:rFonts w:hint="eastAsia" w:ascii="宋体" w:hAnsi="宋体" w:cs="宋体"/>
          <w:color w:val="auto"/>
          <w:kern w:val="0"/>
          <w:sz w:val="24"/>
          <w:highlight w:val="none"/>
        </w:rPr>
        <w:t>……………………………………………（页码）</w:t>
      </w:r>
    </w:p>
    <w:p w14:paraId="067D37B5">
      <w:pPr>
        <w:rPr>
          <w:color w:val="auto"/>
          <w:highlight w:val="none"/>
        </w:rPr>
        <w:sectPr>
          <w:pgSz w:w="11906" w:h="16838"/>
          <w:pgMar w:top="1440" w:right="1080" w:bottom="1440" w:left="1080" w:header="720" w:footer="720" w:gutter="0"/>
          <w:pgNumType w:fmt="decimal"/>
          <w:cols w:space="720" w:num="1"/>
          <w:docGrid w:type="lines" w:linePitch="331" w:charSpace="0"/>
        </w:sectPr>
      </w:pPr>
    </w:p>
    <w:p w14:paraId="07E4A3D1">
      <w:pPr>
        <w:pStyle w:val="12"/>
        <w:pageBreakBefore w:val="0"/>
        <w:wordWrap w:val="0"/>
        <w:overflowPunct/>
        <w:topLinePunct w:val="0"/>
        <w:bidi w:val="0"/>
        <w:spacing w:line="360" w:lineRule="auto"/>
        <w:jc w:val="center"/>
        <w:rPr>
          <w:rFonts w:hAnsi="宋体" w:cs="宋体"/>
          <w:b/>
          <w:bCs/>
          <w:color w:val="auto"/>
          <w:sz w:val="30"/>
          <w:szCs w:val="30"/>
          <w:highlight w:val="none"/>
        </w:rPr>
      </w:pPr>
      <w:r>
        <w:rPr>
          <w:rFonts w:hint="eastAsia" w:hAnsi="宋体" w:cs="宋体"/>
          <w:b/>
          <w:bCs/>
          <w:color w:val="auto"/>
          <w:sz w:val="30"/>
          <w:szCs w:val="30"/>
          <w:highlight w:val="none"/>
        </w:rPr>
        <w:t>一、投标函</w:t>
      </w:r>
    </w:p>
    <w:p w14:paraId="1D31919A">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致：</w:t>
      </w:r>
      <w:bookmarkStart w:id="442" w:name="PO_3000001866_PM031_4"/>
      <w:r>
        <w:rPr>
          <w:rFonts w:hint="eastAsia" w:hAnsi="宋体" w:cs="宋体"/>
          <w:color w:val="auto"/>
          <w:highlight w:val="none"/>
          <w:u w:val="single"/>
        </w:rPr>
        <w:t>广西邕政采购代理有限公司</w:t>
      </w:r>
      <w:bookmarkEnd w:id="442"/>
    </w:p>
    <w:p w14:paraId="5B83E9C4">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我方已仔细阅读了贵方组织的</w:t>
      </w:r>
      <w:r>
        <w:rPr>
          <w:rFonts w:hint="eastAsia" w:hAnsi="宋体" w:cs="宋体"/>
          <w:color w:val="auto"/>
          <w:szCs w:val="21"/>
          <w:highlight w:val="none"/>
          <w:u w:val="single"/>
        </w:rPr>
        <w:t xml:space="preserve">（项目名称） </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hAnsi="宋体" w:cs="宋体"/>
          <w:color w:val="auto"/>
          <w:highlight w:val="none"/>
          <w:u w:val="single"/>
        </w:rPr>
        <w:t xml:space="preserve">   </w:t>
      </w:r>
      <w:r>
        <w:rPr>
          <w:rFonts w:hint="eastAsia" w:hAnsi="宋体" w:cs="宋体"/>
          <w:color w:val="auto"/>
          <w:highlight w:val="none"/>
        </w:rPr>
        <w:t>）的招标文件的全部内容，授权</w:t>
      </w:r>
      <w:r>
        <w:rPr>
          <w:rFonts w:hint="eastAsia" w:hAnsi="宋体" w:cs="宋体"/>
          <w:color w:val="auto"/>
          <w:highlight w:val="none"/>
          <w:u w:val="single"/>
        </w:rPr>
        <w:t xml:space="preserve">                      </w:t>
      </w:r>
      <w:r>
        <w:rPr>
          <w:rFonts w:hint="eastAsia" w:hAnsi="宋体" w:cs="宋体"/>
          <w:color w:val="auto"/>
          <w:highlight w:val="none"/>
        </w:rPr>
        <w:t>(全权代表姓名)</w:t>
      </w:r>
      <w:r>
        <w:rPr>
          <w:rFonts w:hint="eastAsia" w:hAnsi="宋体" w:cs="宋体"/>
          <w:color w:val="auto"/>
          <w:highlight w:val="none"/>
          <w:u w:val="single"/>
        </w:rPr>
        <w:t xml:space="preserve">          </w:t>
      </w:r>
      <w:r>
        <w:rPr>
          <w:rFonts w:hint="eastAsia" w:hAnsi="宋体" w:cs="宋体"/>
          <w:color w:val="auto"/>
          <w:highlight w:val="none"/>
        </w:rPr>
        <w:t xml:space="preserve"> (职务、职称)为全权代表，现正式递交下述文件参加贵方组织的本次政府采购活动： </w:t>
      </w:r>
    </w:p>
    <w:p w14:paraId="53B160F1">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一、报价文件电子版一份（包含按投标人须知前附表要求提交的全部文件）；</w:t>
      </w:r>
    </w:p>
    <w:p w14:paraId="1E16CAFC">
      <w:pPr>
        <w:pStyle w:val="12"/>
        <w:pageBreakBefore w:val="0"/>
        <w:wordWrap w:val="0"/>
        <w:overflowPunct/>
        <w:topLinePunct w:val="0"/>
        <w:bidi w:val="0"/>
        <w:spacing w:line="360" w:lineRule="auto"/>
        <w:ind w:firstLine="482"/>
        <w:rPr>
          <w:rFonts w:hAnsi="宋体" w:cs="宋体"/>
          <w:color w:val="auto"/>
          <w:highlight w:val="none"/>
        </w:rPr>
      </w:pPr>
      <w:r>
        <w:rPr>
          <w:rFonts w:hint="eastAsia" w:hAnsi="宋体" w:cs="宋体"/>
          <w:color w:val="auto"/>
          <w:highlight w:val="none"/>
        </w:rPr>
        <w:t>二、资格文件电子版一份（包含按投标人须知前附表要求提交的全部文件）；</w:t>
      </w:r>
    </w:p>
    <w:p w14:paraId="30BF34A4">
      <w:pPr>
        <w:pStyle w:val="12"/>
        <w:pageBreakBefore w:val="0"/>
        <w:wordWrap w:val="0"/>
        <w:overflowPunct/>
        <w:topLinePunct w:val="0"/>
        <w:bidi w:val="0"/>
        <w:spacing w:line="360" w:lineRule="auto"/>
        <w:ind w:firstLine="482"/>
        <w:rPr>
          <w:rFonts w:hAnsi="宋体" w:cs="宋体"/>
          <w:color w:val="auto"/>
          <w:highlight w:val="none"/>
        </w:rPr>
      </w:pPr>
      <w:r>
        <w:rPr>
          <w:rFonts w:hint="eastAsia" w:hAnsi="宋体" w:cs="宋体"/>
          <w:color w:val="auto"/>
          <w:highlight w:val="none"/>
        </w:rPr>
        <w:t>三、技术文件电子版一份（包含按投标人须知前附表要求提交的全部文件）；</w:t>
      </w:r>
    </w:p>
    <w:p w14:paraId="73C14D21">
      <w:pPr>
        <w:pStyle w:val="12"/>
        <w:pageBreakBefore w:val="0"/>
        <w:wordWrap w:val="0"/>
        <w:overflowPunct/>
        <w:topLinePunct w:val="0"/>
        <w:bidi w:val="0"/>
        <w:spacing w:line="360" w:lineRule="auto"/>
        <w:ind w:firstLine="482"/>
        <w:rPr>
          <w:rFonts w:hAnsi="宋体" w:cs="宋体"/>
          <w:color w:val="auto"/>
          <w:highlight w:val="none"/>
        </w:rPr>
      </w:pPr>
      <w:r>
        <w:rPr>
          <w:rFonts w:hint="eastAsia" w:hAnsi="宋体" w:cs="宋体"/>
          <w:color w:val="auto"/>
          <w:highlight w:val="none"/>
        </w:rPr>
        <w:t>四、商务文件电子版一份（包含按投标人须知前附表要求提交的全部文件）；</w:t>
      </w:r>
    </w:p>
    <w:p w14:paraId="0B6957BA">
      <w:pPr>
        <w:pStyle w:val="12"/>
        <w:pageBreakBefore w:val="0"/>
        <w:wordWrap w:val="0"/>
        <w:overflowPunct/>
        <w:topLinePunct w:val="0"/>
        <w:bidi w:val="0"/>
        <w:spacing w:line="360" w:lineRule="auto"/>
        <w:ind w:firstLine="482"/>
        <w:rPr>
          <w:rFonts w:hAnsi="宋体" w:cs="宋体"/>
          <w:color w:val="auto"/>
          <w:highlight w:val="none"/>
        </w:rPr>
      </w:pPr>
      <w:r>
        <w:rPr>
          <w:rFonts w:hint="eastAsia" w:hAnsi="宋体" w:cs="宋体"/>
          <w:color w:val="auto"/>
          <w:highlight w:val="none"/>
        </w:rPr>
        <w:t>据此函，签字人兹宣布：</w:t>
      </w:r>
    </w:p>
    <w:p w14:paraId="522DEF59">
      <w:pPr>
        <w:pStyle w:val="12"/>
        <w:pageBreakBefore w:val="0"/>
        <w:overflowPunct/>
        <w:topLinePunct w:val="0"/>
        <w:bidi w:val="0"/>
        <w:spacing w:line="360" w:lineRule="auto"/>
        <w:ind w:firstLine="420" w:firstLineChars="200"/>
        <w:rPr>
          <w:rFonts w:ascii="Times New Roman" w:hAnsi="Times New Roman"/>
          <w:color w:val="auto"/>
          <w:sz w:val="21"/>
          <w:szCs w:val="21"/>
          <w:highlight w:val="none"/>
        </w:rPr>
      </w:pPr>
      <w:r>
        <w:rPr>
          <w:rFonts w:hint="eastAsia"/>
          <w:color w:val="auto"/>
          <w:sz w:val="21"/>
          <w:szCs w:val="21"/>
          <w:highlight w:val="none"/>
        </w:rPr>
        <w:t>1、我方愿意以（大写）人民币</w:t>
      </w:r>
      <w:r>
        <w:rPr>
          <w:rFonts w:hint="eastAsia"/>
          <w:color w:val="auto"/>
          <w:sz w:val="21"/>
          <w:szCs w:val="21"/>
          <w:highlight w:val="none"/>
          <w:u w:val="single"/>
        </w:rPr>
        <w:t xml:space="preserve">              </w:t>
      </w:r>
      <w:r>
        <w:rPr>
          <w:rFonts w:hint="eastAsia"/>
          <w:color w:val="auto"/>
          <w:sz w:val="21"/>
          <w:szCs w:val="21"/>
          <w:highlight w:val="none"/>
        </w:rPr>
        <w:t>元 (￥</w:t>
      </w:r>
      <w:r>
        <w:rPr>
          <w:rFonts w:hint="eastAsia"/>
          <w:color w:val="auto"/>
          <w:sz w:val="21"/>
          <w:szCs w:val="21"/>
          <w:highlight w:val="none"/>
          <w:u w:val="single"/>
        </w:rPr>
        <w:t xml:space="preserve">          </w:t>
      </w:r>
      <w:r>
        <w:rPr>
          <w:rFonts w:hint="eastAsia"/>
          <w:color w:val="auto"/>
          <w:sz w:val="21"/>
          <w:szCs w:val="21"/>
          <w:highlight w:val="none"/>
        </w:rPr>
        <w:t>元)的投标总报价，</w:t>
      </w:r>
      <w:r>
        <w:rPr>
          <w:rFonts w:hint="eastAsia" w:ascii="宋体" w:hAnsi="宋体" w:cs="Arial"/>
          <w:bCs/>
          <w:color w:val="auto"/>
          <w:szCs w:val="21"/>
          <w:highlight w:val="none"/>
        </w:rPr>
        <w:t>提交服务成果时间</w:t>
      </w:r>
      <w:r>
        <w:rPr>
          <w:rFonts w:hint="eastAsia"/>
          <w:color w:val="auto"/>
          <w:sz w:val="21"/>
          <w:szCs w:val="21"/>
          <w:highlight w:val="none"/>
        </w:rPr>
        <w:t>（无分标时填写）</w:t>
      </w:r>
      <w:r>
        <w:rPr>
          <w:rFonts w:hint="eastAsia"/>
          <w:color w:val="auto"/>
          <w:sz w:val="21"/>
          <w:szCs w:val="21"/>
          <w:highlight w:val="none"/>
          <w:u w:val="single"/>
        </w:rPr>
        <w:t xml:space="preserve">              </w:t>
      </w:r>
      <w:r>
        <w:rPr>
          <w:rFonts w:hint="eastAsia"/>
          <w:color w:val="auto"/>
          <w:sz w:val="21"/>
          <w:szCs w:val="21"/>
          <w:highlight w:val="none"/>
        </w:rPr>
        <w:t>，提供本项目</w:t>
      </w:r>
      <w:r>
        <w:rPr>
          <w:rFonts w:hint="eastAsia" w:hAnsi="Times New Roman"/>
          <w:color w:val="auto"/>
          <w:sz w:val="21"/>
          <w:szCs w:val="21"/>
          <w:highlight w:val="none"/>
        </w:rPr>
        <w:t>招标文件第二章</w:t>
      </w:r>
      <w:r>
        <w:rPr>
          <w:rFonts w:hint="eastAsia"/>
          <w:color w:val="auto"/>
          <w:sz w:val="21"/>
          <w:szCs w:val="21"/>
          <w:highlight w:val="none"/>
        </w:rPr>
        <w:t>“服务需求”中的相应的采购内容。</w:t>
      </w:r>
    </w:p>
    <w:p w14:paraId="5E60F410">
      <w:pPr>
        <w:pStyle w:val="12"/>
        <w:pageBreakBefore w:val="0"/>
        <w:overflowPunct/>
        <w:topLinePunct w:val="0"/>
        <w:bidi w:val="0"/>
        <w:spacing w:line="360" w:lineRule="auto"/>
        <w:ind w:firstLine="420" w:firstLineChars="200"/>
        <w:rPr>
          <w:rFonts w:ascii="Times New Roman" w:hAnsi="Times New Roman"/>
          <w:color w:val="auto"/>
          <w:sz w:val="21"/>
          <w:szCs w:val="21"/>
          <w:highlight w:val="none"/>
        </w:rPr>
      </w:pPr>
      <w:r>
        <w:rPr>
          <w:rFonts w:hint="eastAsia"/>
          <w:color w:val="auto"/>
          <w:sz w:val="21"/>
          <w:szCs w:val="21"/>
          <w:highlight w:val="none"/>
        </w:rPr>
        <w:t>其中（有分标时填写）：</w:t>
      </w:r>
    </w:p>
    <w:p w14:paraId="30B93423">
      <w:pPr>
        <w:pStyle w:val="12"/>
        <w:pageBreakBefore w:val="0"/>
        <w:overflowPunct/>
        <w:topLinePunct w:val="0"/>
        <w:bidi w:val="0"/>
        <w:spacing w:line="360" w:lineRule="auto"/>
        <w:ind w:firstLine="420" w:firstLineChars="200"/>
        <w:rPr>
          <w:color w:val="auto"/>
          <w:sz w:val="21"/>
          <w:szCs w:val="21"/>
          <w:highlight w:val="none"/>
          <w:u w:val="single"/>
        </w:rPr>
      </w:pPr>
      <w:r>
        <w:rPr>
          <w:rFonts w:hint="eastAsia"/>
          <w:color w:val="auto"/>
          <w:sz w:val="21"/>
          <w:szCs w:val="21"/>
          <w:highlight w:val="none"/>
          <w:u w:val="single"/>
        </w:rPr>
        <w:t xml:space="preserve">  </w:t>
      </w:r>
      <w:r>
        <w:rPr>
          <w:rFonts w:hint="eastAsia"/>
          <w:color w:val="auto"/>
          <w:sz w:val="21"/>
          <w:szCs w:val="21"/>
          <w:highlight w:val="none"/>
        </w:rPr>
        <w:t>分标报价为（大写）人民币</w:t>
      </w:r>
      <w:r>
        <w:rPr>
          <w:rFonts w:hint="eastAsia"/>
          <w:color w:val="auto"/>
          <w:sz w:val="21"/>
          <w:szCs w:val="21"/>
          <w:highlight w:val="none"/>
          <w:u w:val="single"/>
        </w:rPr>
        <w:t xml:space="preserve">              </w:t>
      </w:r>
      <w:r>
        <w:rPr>
          <w:rFonts w:hint="eastAsia"/>
          <w:color w:val="auto"/>
          <w:sz w:val="21"/>
          <w:szCs w:val="21"/>
          <w:highlight w:val="none"/>
        </w:rPr>
        <w:t>元 (￥</w:t>
      </w:r>
      <w:r>
        <w:rPr>
          <w:rFonts w:hint="eastAsia"/>
          <w:color w:val="auto"/>
          <w:sz w:val="21"/>
          <w:szCs w:val="21"/>
          <w:highlight w:val="none"/>
          <w:u w:val="single"/>
        </w:rPr>
        <w:t xml:space="preserve">          </w:t>
      </w:r>
      <w:r>
        <w:rPr>
          <w:rFonts w:hint="eastAsia"/>
          <w:color w:val="auto"/>
          <w:sz w:val="21"/>
          <w:szCs w:val="21"/>
          <w:highlight w:val="none"/>
        </w:rPr>
        <w:t>元)，</w:t>
      </w:r>
      <w:r>
        <w:rPr>
          <w:rFonts w:hint="eastAsia" w:ascii="宋体" w:hAnsi="宋体" w:cs="Arial"/>
          <w:bCs/>
          <w:color w:val="auto"/>
          <w:szCs w:val="21"/>
          <w:highlight w:val="none"/>
        </w:rPr>
        <w:t>提交服务成果时间</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rPr>
        <w:t>；</w:t>
      </w:r>
    </w:p>
    <w:p w14:paraId="1E90530D">
      <w:pPr>
        <w:pStyle w:val="12"/>
        <w:pageBreakBefore w:val="0"/>
        <w:overflowPunct/>
        <w:topLinePunct w:val="0"/>
        <w:bidi w:val="0"/>
        <w:spacing w:line="360" w:lineRule="auto"/>
        <w:ind w:firstLine="420" w:firstLineChars="200"/>
        <w:rPr>
          <w:rFonts w:hint="eastAsia"/>
          <w:color w:val="auto"/>
          <w:sz w:val="21"/>
          <w:szCs w:val="21"/>
          <w:highlight w:val="none"/>
          <w:u w:val="single"/>
        </w:rPr>
      </w:pPr>
      <w:r>
        <w:rPr>
          <w:rFonts w:hint="eastAsia"/>
          <w:color w:val="auto"/>
          <w:sz w:val="21"/>
          <w:szCs w:val="21"/>
          <w:highlight w:val="none"/>
          <w:u w:val="single"/>
        </w:rPr>
        <w:t xml:space="preserve">  </w:t>
      </w:r>
      <w:r>
        <w:rPr>
          <w:rFonts w:hint="eastAsia"/>
          <w:color w:val="auto"/>
          <w:sz w:val="21"/>
          <w:szCs w:val="21"/>
          <w:highlight w:val="none"/>
        </w:rPr>
        <w:t>分标报价为（大写）人民币</w:t>
      </w:r>
      <w:r>
        <w:rPr>
          <w:rFonts w:hint="eastAsia"/>
          <w:color w:val="auto"/>
          <w:sz w:val="21"/>
          <w:szCs w:val="21"/>
          <w:highlight w:val="none"/>
          <w:u w:val="single"/>
        </w:rPr>
        <w:t xml:space="preserve">              </w:t>
      </w:r>
      <w:r>
        <w:rPr>
          <w:rFonts w:hint="eastAsia"/>
          <w:color w:val="auto"/>
          <w:sz w:val="21"/>
          <w:szCs w:val="21"/>
          <w:highlight w:val="none"/>
        </w:rPr>
        <w:t>元 (￥</w:t>
      </w:r>
      <w:r>
        <w:rPr>
          <w:rFonts w:hint="eastAsia"/>
          <w:color w:val="auto"/>
          <w:sz w:val="21"/>
          <w:szCs w:val="21"/>
          <w:highlight w:val="none"/>
          <w:u w:val="single"/>
        </w:rPr>
        <w:t xml:space="preserve">          </w:t>
      </w:r>
      <w:r>
        <w:rPr>
          <w:rFonts w:hint="eastAsia"/>
          <w:color w:val="auto"/>
          <w:sz w:val="21"/>
          <w:szCs w:val="21"/>
          <w:highlight w:val="none"/>
        </w:rPr>
        <w:t>元)，</w:t>
      </w:r>
      <w:r>
        <w:rPr>
          <w:rFonts w:hint="eastAsia" w:ascii="宋体" w:hAnsi="宋体" w:cs="Arial"/>
          <w:bCs/>
          <w:color w:val="auto"/>
          <w:szCs w:val="21"/>
          <w:highlight w:val="none"/>
        </w:rPr>
        <w:t>提交服务成果时间</w:t>
      </w:r>
      <w:r>
        <w:rPr>
          <w:rFonts w:hint="eastAsia"/>
          <w:color w:val="auto"/>
          <w:sz w:val="21"/>
          <w:szCs w:val="21"/>
          <w:highlight w:val="none"/>
        </w:rPr>
        <w:t>：</w:t>
      </w:r>
      <w:r>
        <w:rPr>
          <w:rFonts w:hint="eastAsia"/>
          <w:color w:val="auto"/>
          <w:sz w:val="21"/>
          <w:szCs w:val="21"/>
          <w:highlight w:val="none"/>
          <w:u w:val="single"/>
        </w:rPr>
        <w:t xml:space="preserve">          </w:t>
      </w:r>
      <w:r>
        <w:rPr>
          <w:rFonts w:hint="eastAsia"/>
          <w:color w:val="auto"/>
          <w:sz w:val="21"/>
          <w:szCs w:val="21"/>
          <w:highlight w:val="none"/>
        </w:rPr>
        <w:t>；</w:t>
      </w:r>
    </w:p>
    <w:p w14:paraId="4CB6554D">
      <w:pPr>
        <w:pStyle w:val="12"/>
        <w:pageBreakBefore w:val="0"/>
        <w:overflowPunct/>
        <w:topLinePunct w:val="0"/>
        <w:bidi w:val="0"/>
        <w:spacing w:line="360" w:lineRule="auto"/>
        <w:ind w:firstLine="420" w:firstLineChars="200"/>
        <w:rPr>
          <w:rFonts w:hint="eastAsia"/>
          <w:color w:val="auto"/>
          <w:sz w:val="21"/>
          <w:szCs w:val="21"/>
          <w:highlight w:val="none"/>
          <w:u w:val="single"/>
        </w:rPr>
      </w:pPr>
      <w:r>
        <w:rPr>
          <w:rFonts w:hint="eastAsia"/>
          <w:color w:val="auto"/>
          <w:sz w:val="21"/>
          <w:szCs w:val="21"/>
          <w:highlight w:val="none"/>
        </w:rPr>
        <w:t>......</w:t>
      </w:r>
    </w:p>
    <w:p w14:paraId="69C49483">
      <w:pPr>
        <w:pStyle w:val="12"/>
        <w:pageBreakBefore w:val="0"/>
        <w:wordWrap w:val="0"/>
        <w:overflowPunct/>
        <w:topLinePunct w:val="0"/>
        <w:bidi w:val="0"/>
        <w:spacing w:line="360" w:lineRule="auto"/>
        <w:ind w:firstLine="420" w:firstLineChars="200"/>
        <w:rPr>
          <w:rFonts w:hAnsi="宋体" w:cs="宋体"/>
          <w:color w:val="auto"/>
          <w:highlight w:val="none"/>
          <w:u w:val="single"/>
        </w:rPr>
      </w:pPr>
      <w:r>
        <w:rPr>
          <w:rFonts w:hint="eastAsia" w:hAnsi="宋体" w:cs="宋体"/>
          <w:color w:val="auto"/>
          <w:highlight w:val="none"/>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53933DC3">
      <w:pPr>
        <w:pStyle w:val="12"/>
        <w:pageBreakBefore w:val="0"/>
        <w:wordWrap w:val="0"/>
        <w:overflowPunct/>
        <w:topLinePunct w:val="0"/>
        <w:bidi w:val="0"/>
        <w:spacing w:line="360" w:lineRule="auto"/>
        <w:ind w:firstLine="420" w:firstLineChars="200"/>
        <w:rPr>
          <w:rFonts w:hAnsi="宋体" w:cs="宋体"/>
          <w:color w:val="auto"/>
          <w:highlight w:val="none"/>
          <w:u w:val="single"/>
        </w:rPr>
      </w:pPr>
      <w:r>
        <w:rPr>
          <w:rFonts w:hint="eastAsia" w:hAnsi="宋体" w:cs="宋体"/>
          <w:color w:val="auto"/>
          <w:highlight w:val="none"/>
        </w:rPr>
        <w:t>3、我方所递交的投标文件及有关资料都是内容完整、真实和准确的。</w:t>
      </w:r>
    </w:p>
    <w:p w14:paraId="59C1E2D5">
      <w:pPr>
        <w:pStyle w:val="12"/>
        <w:pageBreakBefore w:val="0"/>
        <w:wordWrap w:val="0"/>
        <w:overflowPunct/>
        <w:topLinePunct w:val="0"/>
        <w:bidi w:val="0"/>
        <w:spacing w:line="360" w:lineRule="auto"/>
        <w:ind w:firstLine="482"/>
        <w:rPr>
          <w:rFonts w:hAnsi="宋体" w:cs="宋体"/>
          <w:color w:val="auto"/>
          <w:highlight w:val="none"/>
        </w:rPr>
      </w:pPr>
      <w:r>
        <w:rPr>
          <w:rFonts w:hint="eastAsia" w:hAnsi="宋体" w:cs="宋体"/>
          <w:color w:val="auto"/>
          <w:highlight w:val="none"/>
        </w:rPr>
        <w:t>4、</w:t>
      </w:r>
      <w:r>
        <w:rPr>
          <w:rFonts w:hint="eastAsia" w:hAnsi="宋体" w:cs="宋体"/>
          <w:color w:val="auto"/>
          <w:szCs w:val="21"/>
          <w:highlight w:val="none"/>
        </w:rPr>
        <w:t>如本项目采购内容涉及须符合国家强制规定的，我方承诺我方本次投标（包括资格条件和所投产品）均符合国家有关强制规定。</w:t>
      </w:r>
    </w:p>
    <w:p w14:paraId="74E307BA">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7660C519">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6、我方已详细审核招标文件，我方知道必须放弃提出含糊不清或误解问题的权利。</w:t>
      </w:r>
    </w:p>
    <w:p w14:paraId="7713FAF0">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7、我方同意应贵方要求提供与本投标有关的任何数据或资料。若贵方需要，我方愿意提供我方作出的一切承诺的证明材料。</w:t>
      </w:r>
    </w:p>
    <w:p w14:paraId="130F2680">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8、我方完全理解贵方不一定接受投标报价最低的投标人为中标供应商的行为。</w:t>
      </w:r>
    </w:p>
    <w:p w14:paraId="1A7253DA">
      <w:pPr>
        <w:pStyle w:val="12"/>
        <w:pageBreakBefore w:val="0"/>
        <w:wordWrap w:val="0"/>
        <w:overflowPunct/>
        <w:topLinePunct w:val="0"/>
        <w:bidi w:val="0"/>
        <w:spacing w:line="360" w:lineRule="auto"/>
        <w:ind w:firstLine="420" w:firstLineChars="200"/>
        <w:rPr>
          <w:rFonts w:hAnsi="宋体" w:cs="宋体"/>
          <w:color w:val="auto"/>
          <w:highlight w:val="none"/>
        </w:rPr>
      </w:pPr>
      <w:r>
        <w:rPr>
          <w:rFonts w:hint="eastAsia" w:hAnsi="宋体" w:cs="宋体"/>
          <w:color w:val="auto"/>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55313DA">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提供虚假材料谋取中标、成交的；</w:t>
      </w:r>
    </w:p>
    <w:p w14:paraId="316122D5">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采取不正当手段诋毁、排挤其他供应商的；</w:t>
      </w:r>
    </w:p>
    <w:p w14:paraId="782AA889">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与采购人、其他供应商或者采购代理机构恶意串通的；</w:t>
      </w:r>
    </w:p>
    <w:p w14:paraId="371986AD">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向采购人、采购代理机构行贿或者提供其他不正当利益的；</w:t>
      </w:r>
    </w:p>
    <w:p w14:paraId="2881E309">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在招标采购过程中与采购人进行协商谈判的；</w:t>
      </w:r>
    </w:p>
    <w:p w14:paraId="54239D8E">
      <w:pPr>
        <w:pStyle w:val="12"/>
        <w:pageBreakBefore w:val="0"/>
        <w:numPr>
          <w:ilvl w:val="0"/>
          <w:numId w:val="12"/>
        </w:numPr>
        <w:tabs>
          <w:tab w:val="left" w:pos="1140"/>
        </w:tabs>
        <w:wordWrap w:val="0"/>
        <w:overflowPunct/>
        <w:topLinePunct w:val="0"/>
        <w:bidi w:val="0"/>
        <w:spacing w:line="360" w:lineRule="auto"/>
        <w:rPr>
          <w:rFonts w:hAnsi="宋体" w:cs="宋体"/>
          <w:color w:val="auto"/>
          <w:highlight w:val="none"/>
        </w:rPr>
      </w:pPr>
      <w:r>
        <w:rPr>
          <w:rFonts w:hint="eastAsia" w:hAnsi="宋体" w:cs="宋体"/>
          <w:color w:val="auto"/>
          <w:highlight w:val="none"/>
        </w:rPr>
        <w:t>拒绝有关部门监督检查或提供虚假情况的。</w:t>
      </w:r>
    </w:p>
    <w:p w14:paraId="59FE500B">
      <w:pPr>
        <w:pStyle w:val="12"/>
        <w:pageBreakBefore w:val="0"/>
        <w:wordWrap w:val="0"/>
        <w:overflowPunct/>
        <w:topLinePunct w:val="0"/>
        <w:bidi w:val="0"/>
        <w:spacing w:line="360" w:lineRule="auto"/>
        <w:ind w:left="420"/>
        <w:rPr>
          <w:rFonts w:hAnsi="宋体" w:cs="宋体"/>
          <w:color w:val="auto"/>
          <w:highlight w:val="none"/>
        </w:rPr>
      </w:pPr>
      <w:r>
        <w:rPr>
          <w:rFonts w:hint="eastAsia" w:hAnsi="宋体" w:cs="宋体"/>
          <w:color w:val="auto"/>
          <w:highlight w:val="none"/>
        </w:rPr>
        <w:t>10、我方及由本人担任法定代表人的其他机构最近三年内被处罚的违法行为有：</w:t>
      </w:r>
      <w:r>
        <w:rPr>
          <w:rFonts w:hint="eastAsia" w:hAnsi="宋体" w:cs="宋体"/>
          <w:color w:val="auto"/>
          <w:highlight w:val="none"/>
          <w:u w:val="single"/>
        </w:rPr>
        <w:t xml:space="preserve">                                        </w:t>
      </w:r>
    </w:p>
    <w:p w14:paraId="421020E2">
      <w:pPr>
        <w:pStyle w:val="12"/>
        <w:pageBreakBefore w:val="0"/>
        <w:wordWrap w:val="0"/>
        <w:overflowPunct/>
        <w:topLinePunct w:val="0"/>
        <w:bidi w:val="0"/>
        <w:spacing w:line="360" w:lineRule="auto"/>
        <w:ind w:left="420"/>
        <w:rPr>
          <w:rFonts w:hAnsi="宋体" w:cs="宋体"/>
          <w:color w:val="auto"/>
          <w:highlight w:val="none"/>
        </w:rPr>
      </w:pPr>
      <w:r>
        <w:rPr>
          <w:rFonts w:hint="eastAsia" w:hAnsi="宋体" w:cs="宋体"/>
          <w:color w:val="auto"/>
          <w:highlight w:val="none"/>
          <w:u w:val="single"/>
        </w:rPr>
        <w:t xml:space="preserve">                                                                                                                        </w:t>
      </w:r>
    </w:p>
    <w:p w14:paraId="4EB7DA61">
      <w:pPr>
        <w:pStyle w:val="12"/>
        <w:pageBreakBefore w:val="0"/>
        <w:wordWrap w:val="0"/>
        <w:overflowPunct/>
        <w:topLinePunct w:val="0"/>
        <w:bidi w:val="0"/>
        <w:spacing w:line="360" w:lineRule="auto"/>
        <w:ind w:firstLine="420"/>
        <w:rPr>
          <w:rFonts w:hAnsi="宋体" w:cs="宋体"/>
          <w:color w:val="auto"/>
          <w:highlight w:val="none"/>
        </w:rPr>
      </w:pPr>
      <w:r>
        <w:rPr>
          <w:rFonts w:hint="eastAsia" w:hAnsi="宋体" w:cs="宋体"/>
          <w:color w:val="auto"/>
          <w:highlight w:val="none"/>
        </w:rPr>
        <w:t>11、以上事项如有虚假或隐瞒，我方愿意承担一切后果，并不再寻求任何旨在减轻或免除法律责任的辩解。</w:t>
      </w:r>
    </w:p>
    <w:p w14:paraId="722FF443">
      <w:pPr>
        <w:pStyle w:val="12"/>
        <w:pageBreakBefore w:val="0"/>
        <w:wordWrap w:val="0"/>
        <w:overflowPunct/>
        <w:topLinePunct w:val="0"/>
        <w:bidi w:val="0"/>
        <w:spacing w:line="360" w:lineRule="auto"/>
        <w:ind w:firstLine="420"/>
        <w:rPr>
          <w:rFonts w:hAnsi="宋体" w:cs="宋体"/>
          <w:color w:val="auto"/>
          <w:highlight w:val="none"/>
        </w:rPr>
      </w:pPr>
      <w:r>
        <w:rPr>
          <w:rFonts w:hint="eastAsia" w:hAnsi="宋体" w:cs="宋体"/>
          <w:color w:val="auto"/>
          <w:highlight w:val="none"/>
        </w:rPr>
        <w:t>12、与本投标有关的一切正式往来信函请寄：</w:t>
      </w:r>
      <w:r>
        <w:rPr>
          <w:rFonts w:hint="eastAsia" w:hAnsi="宋体" w:cs="宋体"/>
          <w:color w:val="auto"/>
          <w:highlight w:val="none"/>
          <w:u w:val="single"/>
        </w:rPr>
        <w:t xml:space="preserve"> </w:t>
      </w:r>
    </w:p>
    <w:p w14:paraId="2AD33BD4">
      <w:pPr>
        <w:pStyle w:val="12"/>
        <w:pageBreakBefore w:val="0"/>
        <w:wordWrap w:val="0"/>
        <w:overflowPunct/>
        <w:topLinePunct w:val="0"/>
        <w:bidi w:val="0"/>
        <w:spacing w:line="360" w:lineRule="auto"/>
        <w:ind w:firstLine="420"/>
        <w:rPr>
          <w:rFonts w:hAnsi="宋体" w:cs="宋体"/>
          <w:color w:val="auto"/>
          <w:highlight w:val="none"/>
        </w:rPr>
      </w:pPr>
      <w:r>
        <w:rPr>
          <w:rFonts w:hint="eastAsia" w:hAnsi="宋体" w:cs="宋体"/>
          <w:color w:val="auto"/>
          <w:highlight w:val="none"/>
        </w:rPr>
        <w:t>地址：</w:t>
      </w:r>
      <w:r>
        <w:rPr>
          <w:rFonts w:hint="eastAsia" w:hAnsi="宋体" w:cs="宋体"/>
          <w:color w:val="auto"/>
          <w:highlight w:val="none"/>
          <w:u w:val="single"/>
        </w:rPr>
        <w:t xml:space="preserve">                                                        </w:t>
      </w:r>
      <w:r>
        <w:rPr>
          <w:rFonts w:hint="eastAsia" w:hAnsi="宋体" w:cs="宋体"/>
          <w:color w:val="auto"/>
          <w:highlight w:val="none"/>
        </w:rPr>
        <w:t xml:space="preserve"> </w:t>
      </w:r>
    </w:p>
    <w:p w14:paraId="4102A654">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电话：</w:t>
      </w:r>
      <w:r>
        <w:rPr>
          <w:rFonts w:hint="eastAsia" w:hAnsi="宋体" w:cs="宋体"/>
          <w:color w:val="auto"/>
          <w:highlight w:val="none"/>
          <w:u w:val="single"/>
        </w:rPr>
        <w:t xml:space="preserve">                                      　　　　　　　　　</w:t>
      </w:r>
    </w:p>
    <w:p w14:paraId="2ED858AC">
      <w:pPr>
        <w:pStyle w:val="12"/>
        <w:pageBreakBefore w:val="0"/>
        <w:wordWrap w:val="0"/>
        <w:overflowPunct/>
        <w:topLinePunct w:val="0"/>
        <w:bidi w:val="0"/>
        <w:spacing w:line="360" w:lineRule="auto"/>
        <w:ind w:firstLine="420"/>
        <w:rPr>
          <w:rFonts w:hAnsi="宋体" w:cs="宋体"/>
          <w:color w:val="auto"/>
          <w:highlight w:val="none"/>
        </w:rPr>
      </w:pPr>
      <w:r>
        <w:rPr>
          <w:rFonts w:hint="eastAsia" w:hAnsi="宋体" w:cs="宋体"/>
          <w:color w:val="auto"/>
          <w:highlight w:val="none"/>
        </w:rPr>
        <w:t>传真：</w:t>
      </w:r>
      <w:r>
        <w:rPr>
          <w:rFonts w:hint="eastAsia" w:hAnsi="宋体" w:cs="宋体"/>
          <w:color w:val="auto"/>
          <w:highlight w:val="none"/>
          <w:u w:val="single"/>
        </w:rPr>
        <w:t>　　　　　　　　　　　　　　　　　　　　　　　　　　　　</w:t>
      </w:r>
    </w:p>
    <w:p w14:paraId="6ABCDDB2">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邮政编码：</w:t>
      </w:r>
      <w:r>
        <w:rPr>
          <w:rFonts w:hint="eastAsia" w:hAnsi="宋体" w:cs="宋体"/>
          <w:color w:val="auto"/>
          <w:highlight w:val="none"/>
          <w:u w:val="single"/>
        </w:rPr>
        <w:t xml:space="preserve">                                                    </w:t>
      </w:r>
    </w:p>
    <w:p w14:paraId="428D392A">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开户名称：</w:t>
      </w:r>
      <w:r>
        <w:rPr>
          <w:rFonts w:hint="eastAsia" w:hAnsi="宋体" w:cs="宋体"/>
          <w:color w:val="auto"/>
          <w:highlight w:val="none"/>
          <w:u w:val="single"/>
        </w:rPr>
        <w:t xml:space="preserve">                                                    </w:t>
      </w:r>
    </w:p>
    <w:p w14:paraId="0441A282">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开户银行：</w:t>
      </w:r>
      <w:r>
        <w:rPr>
          <w:rFonts w:hint="eastAsia" w:hAnsi="宋体" w:cs="宋体"/>
          <w:color w:val="auto"/>
          <w:highlight w:val="none"/>
          <w:u w:val="single"/>
        </w:rPr>
        <w:t xml:space="preserve">                                                    </w:t>
      </w:r>
    </w:p>
    <w:p w14:paraId="57DC01D8">
      <w:pPr>
        <w:pStyle w:val="12"/>
        <w:pageBreakBefore w:val="0"/>
        <w:wordWrap w:val="0"/>
        <w:overflowPunct/>
        <w:topLinePunct w:val="0"/>
        <w:bidi w:val="0"/>
        <w:spacing w:line="360" w:lineRule="auto"/>
        <w:ind w:firstLine="420"/>
        <w:rPr>
          <w:rFonts w:hAnsi="宋体" w:cs="宋体"/>
          <w:color w:val="auto"/>
          <w:highlight w:val="none"/>
          <w:u w:val="single"/>
        </w:rPr>
      </w:pPr>
      <w:r>
        <w:rPr>
          <w:rFonts w:hint="eastAsia" w:hAnsi="宋体" w:cs="宋体"/>
          <w:color w:val="auto"/>
          <w:highlight w:val="none"/>
        </w:rPr>
        <w:t>银行账号：</w:t>
      </w:r>
      <w:r>
        <w:rPr>
          <w:rFonts w:hint="eastAsia" w:hAnsi="宋体" w:cs="宋体"/>
          <w:color w:val="auto"/>
          <w:highlight w:val="none"/>
          <w:u w:val="single"/>
        </w:rPr>
        <w:t xml:space="preserve">                                                    </w:t>
      </w:r>
    </w:p>
    <w:p w14:paraId="07DEE0C0">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205E39C9">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85D3044">
      <w:pPr>
        <w:pageBreakBefore w:val="0"/>
        <w:widowControl/>
        <w:wordWrap w:val="0"/>
        <w:overflowPunct/>
        <w:topLinePunct w:val="0"/>
        <w:bidi w:val="0"/>
        <w:spacing w:line="360" w:lineRule="auto"/>
        <w:jc w:val="left"/>
        <w:rPr>
          <w:rFonts w:ascii="宋体" w:hAnsi="宋体" w:cs="宋体"/>
          <w:color w:val="auto"/>
          <w:kern w:val="0"/>
          <w:sz w:val="24"/>
          <w:highlight w:val="none"/>
          <w:lang w:val="zh-CN"/>
        </w:rPr>
        <w:sectPr>
          <w:pgSz w:w="11906" w:h="16838"/>
          <w:pgMar w:top="1440" w:right="1080" w:bottom="1440" w:left="1080" w:header="720" w:footer="720" w:gutter="0"/>
          <w:pgNumType w:fmt="decimal"/>
          <w:cols w:space="720" w:num="1"/>
          <w:docGrid w:type="lines" w:linePitch="331" w:charSpace="0"/>
        </w:sectPr>
      </w:pPr>
    </w:p>
    <w:p w14:paraId="3DC3D461">
      <w:pPr>
        <w:pStyle w:val="12"/>
        <w:pageBreakBefore w:val="0"/>
        <w:wordWrap w:val="0"/>
        <w:overflowPunct/>
        <w:topLinePunct w:val="0"/>
        <w:bidi w:val="0"/>
        <w:spacing w:line="360" w:lineRule="auto"/>
        <w:jc w:val="center"/>
        <w:rPr>
          <w:rFonts w:hAnsi="宋体" w:cs="宋体"/>
          <w:b/>
          <w:color w:val="auto"/>
          <w:sz w:val="30"/>
          <w:szCs w:val="30"/>
          <w:highlight w:val="none"/>
        </w:rPr>
      </w:pPr>
      <w:r>
        <w:rPr>
          <w:rFonts w:hint="eastAsia" w:hAnsi="宋体" w:cs="宋体"/>
          <w:color w:val="auto"/>
          <w:sz w:val="30"/>
          <w:highlight w:val="none"/>
        </w:rPr>
        <w:t>二、</w:t>
      </w:r>
      <w:r>
        <w:rPr>
          <w:rFonts w:hint="eastAsia" w:hAnsi="宋体" w:cs="宋体"/>
          <w:b/>
          <w:color w:val="auto"/>
          <w:sz w:val="30"/>
          <w:szCs w:val="30"/>
          <w:highlight w:val="none"/>
        </w:rPr>
        <w:t>开标一览表</w:t>
      </w:r>
      <w:r>
        <w:rPr>
          <w:rFonts w:hint="eastAsia" w:hAnsi="宋体" w:cs="宋体"/>
          <w:b/>
          <w:color w:val="auto"/>
          <w:kern w:val="0"/>
          <w:sz w:val="24"/>
          <w:highlight w:val="none"/>
          <w:lang w:val="zh-CN"/>
        </w:rPr>
        <w:t>(单位均为人民币元)</w:t>
      </w:r>
    </w:p>
    <w:p w14:paraId="6B1ECC2A">
      <w:pPr>
        <w:pageBreakBefore w:val="0"/>
        <w:wordWrap w:val="0"/>
        <w:overflowPunct/>
        <w:topLinePunct w:val="0"/>
        <w:bidi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1C319B8">
      <w:pPr>
        <w:pageBreakBefore w:val="0"/>
        <w:wordWrap w:val="0"/>
        <w:overflowPunct/>
        <w:topLinePunct w:val="0"/>
        <w:bidi w:val="0"/>
        <w:snapToGrid w:val="0"/>
        <w:spacing w:line="360" w:lineRule="auto"/>
        <w:rPr>
          <w:rFonts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分标：</w:t>
      </w:r>
      <w:r>
        <w:rPr>
          <w:rFonts w:hint="eastAsia" w:ascii="宋体" w:hAnsi="宋体" w:cs="宋体"/>
          <w:color w:val="auto"/>
          <w:sz w:val="24"/>
          <w:highlight w:val="none"/>
          <w:u w:val="single"/>
        </w:rPr>
        <w:t xml:space="preserve">           </w:t>
      </w:r>
    </w:p>
    <w:p w14:paraId="25A68766">
      <w:pPr>
        <w:pStyle w:val="12"/>
        <w:keepNext w:val="0"/>
        <w:keepLines w:val="0"/>
        <w:pageBreakBefore w:val="0"/>
        <w:widowControl w:val="0"/>
        <w:kinsoku/>
        <w:wordWrap w:val="0"/>
        <w:overflowPunct/>
        <w:topLinePunct w:val="0"/>
        <w:autoSpaceDE/>
        <w:autoSpaceDN/>
        <w:bidi w:val="0"/>
        <w:adjustRightInd/>
        <w:snapToGrid/>
        <w:spacing w:line="360" w:lineRule="auto"/>
        <w:ind w:left="0" w:firstLine="0" w:firstLineChars="0"/>
        <w:textAlignment w:val="auto"/>
        <w:rPr>
          <w:rFonts w:hint="eastAsia" w:hAnsi="宋体" w:cs="宋体"/>
          <w:color w:val="auto"/>
          <w:sz w:val="24"/>
          <w:highlight w:val="none"/>
        </w:rPr>
      </w:pPr>
      <w:r>
        <w:rPr>
          <w:rFonts w:hint="eastAsia" w:hAnsi="宋体" w:cs="宋体"/>
          <w:color w:val="auto"/>
          <w:sz w:val="24"/>
          <w:highlight w:val="none"/>
        </w:rPr>
        <w:t>投标人名称：</w:t>
      </w:r>
      <w:r>
        <w:rPr>
          <w:rFonts w:hint="eastAsia" w:hAnsi="宋体" w:cs="宋体"/>
          <w:color w:val="auto"/>
          <w:sz w:val="24"/>
          <w:highlight w:val="none"/>
          <w:u w:val="single"/>
        </w:rPr>
        <w:t xml:space="preserve">                     </w:t>
      </w:r>
      <w:r>
        <w:rPr>
          <w:rFonts w:hint="eastAsia" w:hAnsi="宋体" w:cs="宋体"/>
          <w:color w:val="auto"/>
          <w:sz w:val="24"/>
          <w:highlight w:val="none"/>
        </w:rPr>
        <w:t xml:space="preserve">   </w:t>
      </w:r>
    </w:p>
    <w:tbl>
      <w:tblPr>
        <w:tblStyle w:val="20"/>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579E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A568557">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EAA3FB8">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服务名称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66FADFF1">
            <w:pPr>
              <w:pageBreakBefore w:val="0"/>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具体服务内容（含具体服务范围、服务时间、服务标准等内容）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28E77CF">
            <w:pPr>
              <w:pageBreakBefore w:val="0"/>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数量①</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527C3D0">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单价(元)②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1A838C9">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单项合价（元）</w:t>
            </w:r>
          </w:p>
          <w:p w14:paraId="64DEC4F1">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③＝①×②</w:t>
            </w:r>
          </w:p>
        </w:tc>
        <w:tc>
          <w:tcPr>
            <w:tcW w:w="957" w:type="dxa"/>
            <w:tcBorders>
              <w:top w:val="single" w:color="auto" w:sz="4" w:space="0"/>
              <w:left w:val="single" w:color="auto" w:sz="4" w:space="0"/>
              <w:bottom w:val="single" w:color="auto" w:sz="4" w:space="0"/>
              <w:right w:val="single" w:color="auto" w:sz="4" w:space="0"/>
            </w:tcBorders>
            <w:noWrap w:val="0"/>
            <w:vAlign w:val="top"/>
          </w:tcPr>
          <w:p w14:paraId="62E03571">
            <w:pPr>
              <w:pageBreakBefore w:val="0"/>
              <w:overflowPunct/>
              <w:topLinePunct w:val="0"/>
              <w:bidi w:val="0"/>
              <w:spacing w:line="360" w:lineRule="auto"/>
              <w:jc w:val="center"/>
              <w:rPr>
                <w:rFonts w:hint="eastAsia" w:ascii="宋体" w:hAnsi="宋体"/>
                <w:color w:val="auto"/>
                <w:sz w:val="24"/>
                <w:szCs w:val="24"/>
                <w:highlight w:val="none"/>
              </w:rPr>
            </w:pPr>
            <w:r>
              <w:rPr>
                <w:rFonts w:hint="eastAsia" w:ascii="宋体" w:hAnsi="宋体"/>
                <w:color w:val="auto"/>
                <w:sz w:val="24"/>
                <w:szCs w:val="24"/>
                <w:highlight w:val="none"/>
              </w:rPr>
              <w:t>服务期限</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259E5552">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备注</w:t>
            </w:r>
          </w:p>
        </w:tc>
      </w:tr>
      <w:tr w14:paraId="70E9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3FF2138">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1E9A408">
            <w:pPr>
              <w:pageBreakBefore w:val="0"/>
              <w:overflowPunct/>
              <w:topLinePunct w:val="0"/>
              <w:bidi w:val="0"/>
              <w:spacing w:line="360" w:lineRule="auto"/>
              <w:rPr>
                <w:rFonts w:hint="eastAsia" w:ascii="宋体" w:hAnsi="宋体"/>
                <w:color w:val="auto"/>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1B6D6348">
            <w:pPr>
              <w:pageBreakBefore w:val="0"/>
              <w:overflowPunct/>
              <w:topLinePunct w:val="0"/>
              <w:bidi w:val="0"/>
              <w:spacing w:line="360" w:lineRule="auto"/>
              <w:rPr>
                <w:rFonts w:hint="eastAsia" w:ascii="宋体" w:hAnsi="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AE9218">
            <w:pPr>
              <w:pageBreakBefore w:val="0"/>
              <w:overflowPunct/>
              <w:topLinePunct w:val="0"/>
              <w:bidi w:val="0"/>
              <w:spacing w:line="360" w:lineRule="auto"/>
              <w:rPr>
                <w:rFonts w:hint="eastAsia" w:ascii="宋体" w:hAns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0B5B44">
            <w:pPr>
              <w:pageBreakBefore w:val="0"/>
              <w:overflowPunct/>
              <w:topLinePunct w:val="0"/>
              <w:bidi w:val="0"/>
              <w:spacing w:line="360" w:lineRule="auto"/>
              <w:rPr>
                <w:rFonts w:hint="eastAsia" w:ascii="宋体" w:hAnsi="宋体"/>
                <w:color w:val="auto"/>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05ACC0DC">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14:paraId="221BCCA0">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B2703A4">
            <w:pPr>
              <w:pageBreakBefore w:val="0"/>
              <w:overflowPunct/>
              <w:topLinePunct w:val="0"/>
              <w:bidi w:val="0"/>
              <w:spacing w:line="360" w:lineRule="auto"/>
              <w:rPr>
                <w:rFonts w:hint="eastAsia" w:ascii="宋体" w:hAnsi="宋体"/>
                <w:color w:val="auto"/>
                <w:sz w:val="24"/>
                <w:szCs w:val="24"/>
                <w:highlight w:val="none"/>
              </w:rPr>
            </w:pPr>
          </w:p>
        </w:tc>
      </w:tr>
      <w:tr w14:paraId="7260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74D8E86">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ACB0FC7">
            <w:pPr>
              <w:pageBreakBefore w:val="0"/>
              <w:overflowPunct/>
              <w:topLinePunct w:val="0"/>
              <w:bidi w:val="0"/>
              <w:spacing w:line="360" w:lineRule="auto"/>
              <w:rPr>
                <w:rFonts w:hint="eastAsia" w:ascii="宋体" w:hAnsi="宋体"/>
                <w:color w:val="auto"/>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1CA62B7E">
            <w:pPr>
              <w:pageBreakBefore w:val="0"/>
              <w:overflowPunct/>
              <w:topLinePunct w:val="0"/>
              <w:bidi w:val="0"/>
              <w:spacing w:line="360" w:lineRule="auto"/>
              <w:rPr>
                <w:rFonts w:hint="eastAsia" w:ascii="宋体" w:hAnsi="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49E5E1B">
            <w:pPr>
              <w:pageBreakBefore w:val="0"/>
              <w:overflowPunct/>
              <w:topLinePunct w:val="0"/>
              <w:bidi w:val="0"/>
              <w:spacing w:line="360" w:lineRule="auto"/>
              <w:rPr>
                <w:rFonts w:hint="eastAsia" w:ascii="宋体" w:hAns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F461B15">
            <w:pPr>
              <w:pageBreakBefore w:val="0"/>
              <w:overflowPunct/>
              <w:topLinePunct w:val="0"/>
              <w:bidi w:val="0"/>
              <w:spacing w:line="360" w:lineRule="auto"/>
              <w:rPr>
                <w:rFonts w:hint="eastAsia" w:ascii="宋体" w:hAnsi="宋体"/>
                <w:color w:val="auto"/>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DFA9999">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14:paraId="0FD2E067">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060FF116">
            <w:pPr>
              <w:pageBreakBefore w:val="0"/>
              <w:overflowPunct/>
              <w:topLinePunct w:val="0"/>
              <w:bidi w:val="0"/>
              <w:spacing w:line="360" w:lineRule="auto"/>
              <w:rPr>
                <w:rFonts w:hint="eastAsia" w:ascii="宋体" w:hAnsi="宋体"/>
                <w:color w:val="auto"/>
                <w:sz w:val="24"/>
                <w:szCs w:val="24"/>
                <w:highlight w:val="none"/>
              </w:rPr>
            </w:pPr>
          </w:p>
        </w:tc>
      </w:tr>
      <w:tr w14:paraId="3CB6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0C2CB18">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1FF7748">
            <w:pPr>
              <w:pageBreakBefore w:val="0"/>
              <w:overflowPunct/>
              <w:topLinePunct w:val="0"/>
              <w:bidi w:val="0"/>
              <w:spacing w:line="360" w:lineRule="auto"/>
              <w:rPr>
                <w:rFonts w:hint="eastAsia" w:ascii="宋体" w:hAnsi="宋体"/>
                <w:color w:val="auto"/>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1A458C37">
            <w:pPr>
              <w:pageBreakBefore w:val="0"/>
              <w:overflowPunct/>
              <w:topLinePunct w:val="0"/>
              <w:bidi w:val="0"/>
              <w:spacing w:line="360" w:lineRule="auto"/>
              <w:rPr>
                <w:rFonts w:hint="eastAsia" w:ascii="宋体" w:hAnsi="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095717">
            <w:pPr>
              <w:pageBreakBefore w:val="0"/>
              <w:overflowPunct/>
              <w:topLinePunct w:val="0"/>
              <w:bidi w:val="0"/>
              <w:spacing w:line="360" w:lineRule="auto"/>
              <w:rPr>
                <w:rFonts w:hint="eastAsia" w:ascii="宋体" w:hAns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A9191B">
            <w:pPr>
              <w:pageBreakBefore w:val="0"/>
              <w:overflowPunct/>
              <w:topLinePunct w:val="0"/>
              <w:bidi w:val="0"/>
              <w:spacing w:line="360" w:lineRule="auto"/>
              <w:rPr>
                <w:rFonts w:hint="eastAsia" w:ascii="宋体" w:hAnsi="宋体"/>
                <w:color w:val="auto"/>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2546D1E">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top"/>
          </w:tcPr>
          <w:p w14:paraId="7005ED24">
            <w:pPr>
              <w:pageBreakBefore w:val="0"/>
              <w:overflowPunct/>
              <w:topLinePunct w:val="0"/>
              <w:bidi w:val="0"/>
              <w:spacing w:line="360" w:lineRule="auto"/>
              <w:rPr>
                <w:rFonts w:hint="eastAsia" w:ascii="宋体" w:hAnsi="宋体"/>
                <w:color w:val="auto"/>
                <w:sz w:val="24"/>
                <w:szCs w:val="24"/>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81E4458">
            <w:pPr>
              <w:pageBreakBefore w:val="0"/>
              <w:overflowPunct/>
              <w:topLinePunct w:val="0"/>
              <w:bidi w:val="0"/>
              <w:spacing w:line="360" w:lineRule="auto"/>
              <w:rPr>
                <w:rFonts w:hint="eastAsia" w:ascii="宋体" w:hAnsi="宋体"/>
                <w:color w:val="auto"/>
                <w:sz w:val="24"/>
                <w:szCs w:val="24"/>
                <w:highlight w:val="none"/>
              </w:rPr>
            </w:pPr>
          </w:p>
        </w:tc>
      </w:tr>
      <w:tr w14:paraId="519A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434259D8">
            <w:pPr>
              <w:pageBreakBefore w:val="0"/>
              <w:overflowPunct/>
              <w:topLinePunct w:val="0"/>
              <w:bidi w:val="0"/>
              <w:spacing w:line="360" w:lineRule="auto"/>
              <w:jc w:val="left"/>
              <w:rPr>
                <w:rFonts w:hint="eastAsia" w:ascii="宋体" w:hAnsi="宋体"/>
                <w:color w:val="auto"/>
                <w:sz w:val="24"/>
                <w:szCs w:val="24"/>
                <w:highlight w:val="none"/>
              </w:rPr>
            </w:pPr>
            <w:r>
              <w:rPr>
                <w:rFonts w:hint="eastAsia" w:ascii="宋体" w:hAnsi="宋体" w:eastAsia="宋体" w:cs="Times New Roman"/>
                <w:color w:val="auto"/>
                <w:sz w:val="24"/>
                <w:szCs w:val="24"/>
                <w:highlight w:val="none"/>
              </w:rPr>
              <w:t xml:space="preserve">报价合计（包含税费等所有费用）：（大写）人民币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w:t>
            </w:r>
            <w:r>
              <w:rPr>
                <w:rFonts w:hint="eastAsia" w:ascii="宋体" w:hAnsi="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rPr>
              <w:t xml:space="preserve">  元）</w:t>
            </w:r>
          </w:p>
        </w:tc>
      </w:tr>
      <w:tr w14:paraId="53B2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4D7CAA40">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u w:val="single"/>
              </w:rPr>
              <w:t>　　</w:t>
            </w:r>
            <w:r>
              <w:rPr>
                <w:rFonts w:hint="eastAsia" w:ascii="宋体" w:hAnsi="宋体"/>
                <w:color w:val="auto"/>
                <w:sz w:val="24"/>
                <w:szCs w:val="24"/>
                <w:highlight w:val="none"/>
              </w:rPr>
              <w:t>分标（此处有分标时填写具体分标号，无分标时填写“无”）</w:t>
            </w:r>
          </w:p>
        </w:tc>
      </w:tr>
      <w:tr w14:paraId="1719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2397692">
            <w:pPr>
              <w:pageBreakBefore w:val="0"/>
              <w:overflowPunct/>
              <w:topLinePunct w:val="0"/>
              <w:bidi w:val="0"/>
              <w:spacing w:line="360" w:lineRule="auto"/>
              <w:rPr>
                <w:rFonts w:hint="eastAsia" w:ascii="宋体" w:hAnsi="宋体"/>
                <w:color w:val="auto"/>
                <w:sz w:val="24"/>
                <w:szCs w:val="24"/>
                <w:highlight w:val="none"/>
              </w:rPr>
            </w:pPr>
            <w:r>
              <w:rPr>
                <w:rFonts w:hint="eastAsia" w:ascii="宋体" w:hAnsi="宋体"/>
                <w:color w:val="auto"/>
                <w:sz w:val="24"/>
                <w:szCs w:val="24"/>
                <w:highlight w:val="none"/>
              </w:rPr>
              <w:t>优惠及其它：</w:t>
            </w:r>
          </w:p>
        </w:tc>
      </w:tr>
    </w:tbl>
    <w:p w14:paraId="15902160">
      <w:pPr>
        <w:pStyle w:val="6"/>
        <w:pageBreakBefore w:val="0"/>
        <w:overflowPunct/>
        <w:topLinePunct w:val="0"/>
        <w:bidi w:val="0"/>
        <w:spacing w:line="360" w:lineRule="auto"/>
        <w:rPr>
          <w:rFonts w:hint="eastAsia" w:hAnsi="宋体" w:cs="宋体"/>
          <w:color w:val="auto"/>
          <w:sz w:val="24"/>
          <w:highlight w:val="none"/>
        </w:rPr>
      </w:pPr>
    </w:p>
    <w:p w14:paraId="2625F597">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注： </w:t>
      </w:r>
    </w:p>
    <w:p w14:paraId="2174EB4F">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 投标人需按本表格式填写，不得自行更改，也不得留空, 如有多分标，按分标分别提供开标一览表，必须加盖投标人有效电子公章，</w:t>
      </w:r>
      <w:r>
        <w:rPr>
          <w:rFonts w:hint="eastAsia" w:ascii="宋体" w:hAnsi="宋体" w:cs="宋体"/>
          <w:b/>
          <w:color w:val="auto"/>
          <w:kern w:val="0"/>
          <w:sz w:val="24"/>
          <w:highlight w:val="none"/>
          <w:lang w:val="zh-CN"/>
        </w:rPr>
        <w:t>否则其投标作无效标处理。</w:t>
      </w:r>
    </w:p>
    <w:p w14:paraId="0A3F78AE">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2、本表内容均不能涂改，</w:t>
      </w:r>
      <w:r>
        <w:rPr>
          <w:rFonts w:hint="eastAsia" w:ascii="宋体" w:hAnsi="宋体" w:cs="宋体"/>
          <w:b/>
          <w:color w:val="auto"/>
          <w:kern w:val="0"/>
          <w:sz w:val="24"/>
          <w:highlight w:val="none"/>
          <w:lang w:val="zh-CN"/>
        </w:rPr>
        <w:t>否则其投标作无效标处理。</w:t>
      </w:r>
    </w:p>
    <w:p w14:paraId="1C2BE6F9">
      <w:pPr>
        <w:pageBreakBefore w:val="0"/>
        <w:wordWrap w:val="0"/>
        <w:overflowPunct/>
        <w:topLinePunct w:val="0"/>
        <w:bidi w:val="0"/>
        <w:snapToGrid w:val="0"/>
        <w:spacing w:line="360" w:lineRule="auto"/>
        <w:ind w:firstLine="480" w:firstLineChars="200"/>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3、如为联合体投标，“投标人名称”处必须列明联合体各方名称，并标注联合体牵头人名称，且盖章处须加盖联合体各方公章，</w:t>
      </w:r>
      <w:r>
        <w:rPr>
          <w:rFonts w:hint="eastAsia" w:ascii="宋体" w:hAnsi="宋体" w:cs="宋体"/>
          <w:b/>
          <w:color w:val="auto"/>
          <w:kern w:val="0"/>
          <w:sz w:val="24"/>
          <w:highlight w:val="none"/>
          <w:lang w:val="zh-CN"/>
        </w:rPr>
        <w:t>否则其投标作无效标处理。</w:t>
      </w:r>
    </w:p>
    <w:p w14:paraId="6F4EFB35">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4、以上表格要求细分项目及报价，在“具体服务内容”一栏中，填写具体服务范围、服务时间、服务标准，</w:t>
      </w:r>
      <w:r>
        <w:rPr>
          <w:rFonts w:hint="eastAsia" w:ascii="宋体" w:hAnsi="宋体" w:cs="宋体"/>
          <w:b/>
          <w:color w:val="auto"/>
          <w:kern w:val="0"/>
          <w:sz w:val="24"/>
          <w:highlight w:val="none"/>
          <w:lang w:val="zh-CN"/>
        </w:rPr>
        <w:t>否则其投标作无效标处理。</w:t>
      </w:r>
      <w:r>
        <w:rPr>
          <w:rFonts w:hint="eastAsia" w:ascii="宋体" w:hAnsi="宋体" w:cs="宋体"/>
          <w:color w:val="auto"/>
          <w:kern w:val="0"/>
          <w:sz w:val="24"/>
          <w:highlight w:val="none"/>
          <w:lang w:val="zh-CN"/>
        </w:rPr>
        <w:t>。</w:t>
      </w:r>
    </w:p>
    <w:p w14:paraId="781F2B33">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5、特别提示：采购机构将对项目名称和项目编号，中标供应商名称、地址和中标金额，主要中标标的的名称、服务范围、服务要求、服务时间、服务标准等予以公示。</w:t>
      </w:r>
    </w:p>
    <w:p w14:paraId="57A4B787">
      <w:pPr>
        <w:pageBreakBefore w:val="0"/>
        <w:wordWrap w:val="0"/>
        <w:overflowPunct/>
        <w:topLinePunct w:val="0"/>
        <w:bidi w:val="0"/>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szCs w:val="22"/>
          <w:highlight w:val="none"/>
          <w:lang w:val="zh-CN"/>
        </w:rPr>
        <w:t>6、</w:t>
      </w:r>
      <w:r>
        <w:rPr>
          <w:rFonts w:hint="eastAsia" w:ascii="宋体" w:hAnsi="宋体" w:cs="宋体"/>
          <w:color w:val="auto"/>
          <w:kern w:val="0"/>
          <w:sz w:val="24"/>
          <w:highlight w:val="none"/>
          <w:lang w:val="zh-CN"/>
        </w:rPr>
        <w:t>符合招标文件中列明的可享受中小企业扶持政策的投标人，请填写</w:t>
      </w:r>
      <w:r>
        <w:rPr>
          <w:rFonts w:hint="eastAsia" w:ascii="宋体" w:hAnsi="宋体" w:cs="宋体"/>
          <w:color w:val="auto"/>
          <w:kern w:val="0"/>
          <w:sz w:val="24"/>
          <w:highlight w:val="none"/>
          <w:lang w:val="zh-CN" w:eastAsia="zh-CN"/>
        </w:rPr>
        <w:t>中小企业声明函</w:t>
      </w:r>
      <w:r>
        <w:rPr>
          <w:rFonts w:hint="eastAsia" w:ascii="宋体" w:hAnsi="宋体" w:cs="宋体"/>
          <w:color w:val="auto"/>
          <w:kern w:val="0"/>
          <w:sz w:val="24"/>
          <w:highlight w:val="none"/>
          <w:lang w:val="zh-CN"/>
        </w:rPr>
        <w:t>。注：投标人提供的</w:t>
      </w:r>
      <w:r>
        <w:rPr>
          <w:rFonts w:hint="eastAsia" w:ascii="宋体" w:hAnsi="宋体" w:cs="宋体"/>
          <w:color w:val="auto"/>
          <w:kern w:val="0"/>
          <w:sz w:val="24"/>
          <w:highlight w:val="none"/>
          <w:lang w:val="zh-CN" w:eastAsia="zh-CN"/>
        </w:rPr>
        <w:t>中小企业声明函</w:t>
      </w:r>
      <w:r>
        <w:rPr>
          <w:rFonts w:hint="eastAsia" w:ascii="宋体" w:hAnsi="宋体" w:cs="宋体"/>
          <w:color w:val="auto"/>
          <w:kern w:val="0"/>
          <w:sz w:val="24"/>
          <w:highlight w:val="none"/>
          <w:lang w:val="zh-CN"/>
        </w:rPr>
        <w:t>内容不实的，属于提供虚假材料谋取中标、成交，依照《中华人民共和国政府采购法》等国家有关规定追究相应责任。</w:t>
      </w:r>
    </w:p>
    <w:p w14:paraId="7D092873">
      <w:pPr>
        <w:pageBreakBefore w:val="0"/>
        <w:wordWrap w:val="0"/>
        <w:overflowPunct/>
        <w:topLinePunct w:val="0"/>
        <w:bidi w:val="0"/>
        <w:snapToGri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投标人名称(电子签章)：</w:t>
      </w:r>
    </w:p>
    <w:p w14:paraId="29F6E499">
      <w:pPr>
        <w:pageBreakBefore w:val="0"/>
        <w:wordWrap w:val="0"/>
        <w:overflowPunct/>
        <w:topLinePunct w:val="0"/>
        <w:bidi w:val="0"/>
        <w:spacing w:line="360" w:lineRule="auto"/>
        <w:ind w:firstLine="5280" w:firstLineChars="2200"/>
        <w:rPr>
          <w:rFonts w:hint="eastAsia" w:ascii="宋体" w:hAnsi="宋体" w:cs="宋体"/>
          <w:color w:val="auto"/>
          <w:kern w:val="0"/>
          <w:sz w:val="24"/>
          <w:highlight w:val="none"/>
          <w:lang w:val="zh-CN"/>
        </w:rPr>
        <w:sectPr>
          <w:pgSz w:w="11906" w:h="16838"/>
          <w:pgMar w:top="1440" w:right="1080" w:bottom="1440" w:left="1080" w:header="720" w:footer="720" w:gutter="0"/>
          <w:pgNumType w:fmt="decimal"/>
          <w:cols w:space="720" w:num="1"/>
          <w:docGrid w:type="lines" w:linePitch="331" w:charSpace="0"/>
        </w:sect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57D6B0C">
      <w:pPr>
        <w:pageBreakBefore w:val="0"/>
        <w:wordWrap w:val="0"/>
        <w:overflowPunct/>
        <w:topLinePunct w:val="0"/>
        <w:bidi w:val="0"/>
        <w:snapToGrid w:val="0"/>
        <w:spacing w:line="360" w:lineRule="auto"/>
        <w:ind w:left="0" w:leftChars="0" w:firstLine="0" w:firstLineChars="0"/>
        <w:jc w:val="center"/>
        <w:rPr>
          <w:rFonts w:hAnsi="宋体" w:cs="宋体"/>
          <w:b/>
          <w:color w:val="auto"/>
          <w:sz w:val="30"/>
          <w:szCs w:val="30"/>
          <w:highlight w:val="none"/>
        </w:rPr>
      </w:pPr>
      <w:r>
        <w:rPr>
          <w:rFonts w:hint="eastAsia" w:hAnsi="宋体" w:cs="宋体"/>
          <w:b/>
          <w:color w:val="auto"/>
          <w:sz w:val="30"/>
          <w:szCs w:val="30"/>
          <w:highlight w:val="none"/>
          <w:lang w:val="en-US" w:eastAsia="zh-CN"/>
        </w:rPr>
        <w:t>七</w:t>
      </w:r>
      <w:r>
        <w:rPr>
          <w:rFonts w:hint="eastAsia" w:hAnsi="宋体" w:cs="宋体"/>
          <w:b/>
          <w:color w:val="auto"/>
          <w:sz w:val="30"/>
          <w:szCs w:val="30"/>
          <w:highlight w:val="none"/>
        </w:rPr>
        <w:t>、</w:t>
      </w:r>
      <w:r>
        <w:rPr>
          <w:rFonts w:hint="eastAsia" w:hAnsi="宋体" w:cs="宋体"/>
          <w:b/>
          <w:color w:val="auto"/>
          <w:sz w:val="30"/>
          <w:szCs w:val="30"/>
          <w:highlight w:val="none"/>
          <w:lang w:val="zh-CN" w:eastAsia="zh-CN"/>
        </w:rPr>
        <w:t>中小企业声明函</w:t>
      </w:r>
    </w:p>
    <w:p w14:paraId="73E1AC23">
      <w:pPr>
        <w:pStyle w:val="10"/>
        <w:pageBreakBefore w:val="0"/>
        <w:wordWrap w:val="0"/>
        <w:topLinePunct w:val="0"/>
        <w:bidi w:val="0"/>
        <w:spacing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54A36D9">
      <w:pPr>
        <w:pStyle w:val="10"/>
        <w:pageBreakBefore w:val="0"/>
        <w:wordWrap w:val="0"/>
        <w:topLinePunct w:val="0"/>
        <w:bidi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1、本声明函主要供参加政府采购活动的中小企业填写，非中小企业无需填写。</w:t>
      </w:r>
    </w:p>
    <w:p w14:paraId="526EDFBB">
      <w:pPr>
        <w:pStyle w:val="10"/>
        <w:pageBreakBefore w:val="0"/>
        <w:wordWrap w:val="0"/>
        <w:topLinePunct w:val="0"/>
        <w:bidi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2、小型、微型企业提供中型企业提供的服务的，视同为中型企业。</w:t>
      </w:r>
    </w:p>
    <w:p w14:paraId="3BAEFA19">
      <w:pPr>
        <w:pStyle w:val="10"/>
        <w:pageBreakBefore w:val="0"/>
        <w:wordWrap w:val="0"/>
        <w:topLinePunct w:val="0"/>
        <w:bidi w:val="0"/>
        <w:spacing w:line="360" w:lineRule="auto"/>
        <w:ind w:firstLine="464" w:firstLineChars="200"/>
        <w:rPr>
          <w:rFonts w:hint="eastAsia" w:ascii="宋体" w:hAnsi="宋体" w:eastAsia="宋体" w:cs="宋体"/>
          <w:color w:val="auto"/>
          <w:sz w:val="24"/>
          <w:szCs w:val="24"/>
          <w:highlight w:val="none"/>
        </w:rPr>
      </w:pPr>
    </w:p>
    <w:p w14:paraId="272408FC">
      <w:pPr>
        <w:pStyle w:val="9"/>
        <w:pageBreakBefore w:val="0"/>
        <w:wordWrap w:val="0"/>
        <w:topLinePunct w:val="0"/>
        <w:bidi w:val="0"/>
        <w:spacing w:after="0" w:line="360" w:lineRule="auto"/>
        <w:ind w:right="14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（采购人名称）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采购活动，服务全部由符合政策要求的中小企业承接。相关企业（含联合体中的中小企业、签订分包意向协议的中小企业）的具体情况如下：</w:t>
      </w:r>
    </w:p>
    <w:p w14:paraId="35968BE8">
      <w:pPr>
        <w:pageBreakBefore w:val="0"/>
        <w:tabs>
          <w:tab w:val="left" w:pos="1384"/>
          <w:tab w:val="left" w:pos="4562"/>
          <w:tab w:val="left" w:pos="6803"/>
        </w:tabs>
        <w:wordWrap w:val="0"/>
        <w:topLinePunct w:val="0"/>
        <w:bidi w:val="0"/>
        <w:spacing w:line="360" w:lineRule="auto"/>
        <w:ind w:right="142"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 xml:space="preserve">       （中型企业、小型企业、微型企业）</w:t>
      </w:r>
      <w:r>
        <w:rPr>
          <w:rFonts w:hint="eastAsia" w:ascii="宋体" w:hAnsi="宋体" w:eastAsia="宋体" w:cs="宋体"/>
          <w:color w:val="auto"/>
          <w:sz w:val="24"/>
          <w:szCs w:val="24"/>
          <w:highlight w:val="none"/>
        </w:rPr>
        <w:t>；</w:t>
      </w:r>
    </w:p>
    <w:p w14:paraId="6A03E92F">
      <w:pPr>
        <w:pStyle w:val="9"/>
        <w:pageBreakBefore w:val="0"/>
        <w:wordWrap w:val="0"/>
        <w:topLinePunct w:val="0"/>
        <w:bidi w:val="0"/>
        <w:spacing w:after="0" w:line="360" w:lineRule="auto"/>
        <w:ind w:left="765" w:right="142" w:hanging="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4A4C08">
      <w:pPr>
        <w:pStyle w:val="9"/>
        <w:pageBreakBefore w:val="0"/>
        <w:wordWrap w:val="0"/>
        <w:topLinePunct w:val="0"/>
        <w:bidi w:val="0"/>
        <w:spacing w:after="0" w:line="360" w:lineRule="auto"/>
        <w:ind w:right="142"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1A9D3236">
      <w:pPr>
        <w:pStyle w:val="9"/>
        <w:pageBreakBefore w:val="0"/>
        <w:wordWrap w:val="0"/>
        <w:topLinePunct w:val="0"/>
        <w:bidi w:val="0"/>
        <w:spacing w:after="0" w:line="360" w:lineRule="auto"/>
        <w:ind w:right="142" w:firstLine="480" w:firstLineChars="200"/>
        <w:rPr>
          <w:rFonts w:hint="eastAsia" w:hAnsi="宋体" w:cs="宋体"/>
          <w:b/>
          <w:bCs/>
          <w:color w:val="auto"/>
          <w:sz w:val="30"/>
          <w:szCs w:val="30"/>
          <w:highlight w:val="none"/>
          <w:lang w:val="en-US" w:eastAsia="zh-CN"/>
        </w:rPr>
        <w:sectPr>
          <w:pgSz w:w="11906" w:h="16838"/>
          <w:pgMar w:top="1440" w:right="1080" w:bottom="1440" w:left="1080" w:header="720" w:footer="720" w:gutter="0"/>
          <w:pgNumType w:fmt="decimal"/>
          <w:cols w:space="720" w:num="1"/>
          <w:docGrid w:type="lines" w:linePitch="331" w:charSpace="0"/>
        </w:sectPr>
      </w:pPr>
      <w:r>
        <w:rPr>
          <w:rFonts w:hint="eastAsia" w:ascii="宋体" w:hAnsi="宋体" w:eastAsia="宋体" w:cs="宋体"/>
          <w:color w:val="auto"/>
          <w:sz w:val="24"/>
          <w:szCs w:val="24"/>
          <w:highlight w:val="none"/>
        </w:rPr>
        <w:t>本企业对上述声明内容的真实性负责。如有虚假，将依法承担相应责任。</w:t>
      </w:r>
    </w:p>
    <w:p w14:paraId="74E4516C">
      <w:pPr>
        <w:pageBreakBefore w:val="0"/>
        <w:wordWrap w:val="0"/>
        <w:overflowPunct/>
        <w:topLinePunct w:val="0"/>
        <w:bidi w:val="0"/>
        <w:spacing w:line="360" w:lineRule="auto"/>
        <w:rPr>
          <w:rFonts w:ascii="宋体" w:hAnsi="宋体" w:cs="宋体"/>
          <w:color w:val="auto"/>
          <w:sz w:val="30"/>
          <w:szCs w:val="20"/>
          <w:highlight w:val="none"/>
        </w:rPr>
      </w:pPr>
    </w:p>
    <w:p w14:paraId="535B2AE8">
      <w:pPr>
        <w:pStyle w:val="9"/>
        <w:pageBreakBefore w:val="0"/>
        <w:wordWrap w:val="0"/>
        <w:overflowPunct/>
        <w:topLinePunct w:val="0"/>
        <w:bidi w:val="0"/>
        <w:spacing w:after="0" w:line="360" w:lineRule="auto"/>
        <w:rPr>
          <w:color w:val="auto"/>
          <w:highlight w:val="none"/>
        </w:rPr>
      </w:pPr>
    </w:p>
    <w:p w14:paraId="69EA0A9F">
      <w:pPr>
        <w:pageBreakBefore w:val="0"/>
        <w:wordWrap w:val="0"/>
        <w:overflowPunct/>
        <w:topLinePunct w:val="0"/>
        <w:bidi w:val="0"/>
        <w:snapToGrid w:val="0"/>
        <w:spacing w:line="360" w:lineRule="auto"/>
        <w:jc w:val="center"/>
        <w:outlineLvl w:val="1"/>
        <w:rPr>
          <w:rFonts w:ascii="宋体" w:hAnsi="宋体" w:cs="宋体"/>
          <w:b/>
          <w:bCs/>
          <w:color w:val="auto"/>
          <w:sz w:val="28"/>
          <w:szCs w:val="28"/>
          <w:highlight w:val="none"/>
        </w:rPr>
      </w:pPr>
      <w:bookmarkStart w:id="443" w:name="_Toc14219"/>
      <w:r>
        <w:rPr>
          <w:rFonts w:hint="eastAsia" w:ascii="宋体" w:hAnsi="宋体" w:cs="宋体"/>
          <w:b/>
          <w:bCs/>
          <w:color w:val="auto"/>
          <w:sz w:val="28"/>
          <w:szCs w:val="28"/>
          <w:highlight w:val="none"/>
        </w:rPr>
        <w:t>第六节 其他文书、文件格式</w:t>
      </w:r>
      <w:bookmarkEnd w:id="441"/>
      <w:bookmarkEnd w:id="443"/>
    </w:p>
    <w:p w14:paraId="7D349BC3">
      <w:pPr>
        <w:pageBreakBefore w:val="0"/>
        <w:wordWrap w:val="0"/>
        <w:overflowPunct/>
        <w:topLinePunct w:val="0"/>
        <w:bidi w:val="0"/>
        <w:spacing w:line="360" w:lineRule="auto"/>
        <w:jc w:val="center"/>
        <w:rPr>
          <w:rFonts w:ascii="宋体" w:hAnsi="宋体" w:cs="宋体"/>
          <w:b/>
          <w:bCs/>
          <w:color w:val="auto"/>
          <w:sz w:val="32"/>
          <w:szCs w:val="32"/>
          <w:highlight w:val="none"/>
          <w:lang w:val="en"/>
        </w:rPr>
      </w:pPr>
    </w:p>
    <w:p w14:paraId="664F06E4">
      <w:pPr>
        <w:pageBreakBefore w:val="0"/>
        <w:wordWrap w:val="0"/>
        <w:overflowPunct/>
        <w:topLinePunct w:val="0"/>
        <w:bidi w:val="0"/>
        <w:spacing w:line="360" w:lineRule="auto"/>
        <w:jc w:val="center"/>
        <w:rPr>
          <w:rFonts w:ascii="宋体" w:hAnsi="宋体" w:cs="宋体"/>
          <w:b/>
          <w:bCs/>
          <w:color w:val="auto"/>
          <w:sz w:val="32"/>
          <w:szCs w:val="32"/>
          <w:highlight w:val="none"/>
          <w:lang w:val="en"/>
        </w:rPr>
      </w:pPr>
      <w:r>
        <w:rPr>
          <w:rFonts w:hint="eastAsia" w:ascii="宋体" w:hAnsi="宋体" w:cs="宋体"/>
          <w:b/>
          <w:bCs/>
          <w:color w:val="auto"/>
          <w:sz w:val="32"/>
          <w:szCs w:val="32"/>
          <w:highlight w:val="none"/>
          <w:lang w:val="en"/>
        </w:rPr>
        <w:t>知识产权合规性声明</w:t>
      </w:r>
    </w:p>
    <w:p w14:paraId="0C3A7D8F">
      <w:pPr>
        <w:pageBreakBefore w:val="0"/>
        <w:wordWrap w:val="0"/>
        <w:overflowPunct/>
        <w:topLinePunct w:val="0"/>
        <w:bidi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    </w:t>
      </w:r>
    </w:p>
    <w:p w14:paraId="4996BC80">
      <w:pPr>
        <w:pageBreakBefore w:val="0"/>
        <w:wordWrap w:val="0"/>
        <w:overflowPunct/>
        <w:topLinePunct w:val="0"/>
        <w:bidi w:val="0"/>
        <w:spacing w:line="360" w:lineRule="auto"/>
        <w:rPr>
          <w:rFonts w:ascii="宋体" w:hAnsi="宋体" w:cs="宋体"/>
          <w:color w:val="auto"/>
          <w:sz w:val="30"/>
          <w:szCs w:val="30"/>
          <w:highlight w:val="none"/>
          <w:lang w:val="en"/>
        </w:rPr>
      </w:pPr>
      <w:r>
        <w:rPr>
          <w:rFonts w:hint="eastAsia" w:ascii="宋体" w:hAnsi="宋体" w:cs="宋体"/>
          <w:color w:val="auto"/>
          <w:sz w:val="30"/>
          <w:szCs w:val="30"/>
          <w:highlight w:val="none"/>
        </w:rPr>
        <w:t xml:space="preserve">    本</w:t>
      </w:r>
      <w:r>
        <w:rPr>
          <w:rFonts w:hint="eastAsia" w:ascii="宋体" w:hAnsi="宋体" w:cs="宋体"/>
          <w:color w:val="auto"/>
          <w:sz w:val="30"/>
          <w:szCs w:val="30"/>
          <w:highlight w:val="none"/>
          <w:lang w:val="en"/>
        </w:rPr>
        <w:t>企业自愿参与政府投资政府采购的</w:t>
      </w:r>
      <w:r>
        <w:rPr>
          <w:rFonts w:hint="eastAsia" w:ascii="宋体" w:hAnsi="宋体" w:cs="宋体"/>
          <w:color w:val="auto"/>
          <w:sz w:val="30"/>
          <w:szCs w:val="30"/>
          <w:highlight w:val="none"/>
          <w:u w:val="single"/>
          <w:lang w:val="en"/>
        </w:rPr>
        <w:t>（</w:t>
      </w:r>
      <w:r>
        <w:rPr>
          <w:rFonts w:hint="eastAsia" w:ascii="宋体" w:hAnsi="宋体" w:cs="宋体"/>
          <w:color w:val="auto"/>
          <w:sz w:val="30"/>
          <w:szCs w:val="30"/>
          <w:highlight w:val="none"/>
          <w:u w:val="single"/>
        </w:rPr>
        <w:t>项目名称</w:t>
      </w:r>
      <w:r>
        <w:rPr>
          <w:rFonts w:hint="eastAsia" w:ascii="宋体" w:hAnsi="宋体" w:cs="宋体"/>
          <w:color w:val="auto"/>
          <w:sz w:val="30"/>
          <w:szCs w:val="30"/>
          <w:highlight w:val="none"/>
          <w:u w:val="single"/>
          <w:lang w:val="en"/>
        </w:rPr>
        <w:t>）</w:t>
      </w:r>
      <w:r>
        <w:rPr>
          <w:rFonts w:hint="eastAsia" w:ascii="宋体" w:hAnsi="宋体" w:cs="宋体"/>
          <w:color w:val="auto"/>
          <w:sz w:val="30"/>
          <w:szCs w:val="30"/>
          <w:highlight w:val="none"/>
          <w:lang w:val="en"/>
        </w:rPr>
        <w:t>项目，</w:t>
      </w:r>
      <w:r>
        <w:rPr>
          <w:rFonts w:hint="eastAsia" w:ascii="宋体" w:hAnsi="宋体" w:cs="宋体"/>
          <w:b/>
          <w:bCs/>
          <w:color w:val="auto"/>
          <w:sz w:val="30"/>
          <w:szCs w:val="30"/>
          <w:highlight w:val="none"/>
          <w:lang w:val="en"/>
        </w:rPr>
        <w:t>在此郑重承诺：</w:t>
      </w:r>
      <w:r>
        <w:rPr>
          <w:rFonts w:hint="eastAsia" w:ascii="宋体" w:hAnsi="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754B87F6">
      <w:pPr>
        <w:pageBreakBefore w:val="0"/>
        <w:wordWrap w:val="0"/>
        <w:overflowPunct/>
        <w:topLinePunct w:val="0"/>
        <w:bidi w:val="0"/>
        <w:snapToGrid w:val="0"/>
        <w:spacing w:line="360" w:lineRule="auto"/>
        <w:ind w:left="5137" w:leftChars="1736" w:hanging="1491" w:hangingChars="825"/>
        <w:rPr>
          <w:rFonts w:ascii="宋体" w:hAnsi="宋体" w:cs="宋体"/>
          <w:b/>
          <w:color w:val="auto"/>
          <w:sz w:val="18"/>
          <w:szCs w:val="18"/>
          <w:highlight w:val="none"/>
        </w:rPr>
      </w:pPr>
      <w:r>
        <w:rPr>
          <w:rFonts w:hint="eastAsia" w:ascii="宋体" w:hAnsi="宋体" w:cs="宋体"/>
          <w:b/>
          <w:color w:val="auto"/>
          <w:sz w:val="18"/>
          <w:szCs w:val="18"/>
          <w:highlight w:val="none"/>
        </w:rPr>
        <w:t xml:space="preserve">           </w:t>
      </w:r>
    </w:p>
    <w:p w14:paraId="0A2A1670">
      <w:pPr>
        <w:pageBreakBefore w:val="0"/>
        <w:wordWrap w:val="0"/>
        <w:overflowPunct/>
        <w:topLinePunct w:val="0"/>
        <w:bidi w:val="0"/>
        <w:snapToGrid w:val="0"/>
        <w:spacing w:line="360" w:lineRule="auto"/>
        <w:ind w:left="5137" w:leftChars="1736" w:hanging="1491" w:hangingChars="825"/>
        <w:rPr>
          <w:rFonts w:ascii="宋体" w:hAnsi="宋体" w:cs="宋体"/>
          <w:b/>
          <w:color w:val="auto"/>
          <w:sz w:val="18"/>
          <w:szCs w:val="18"/>
          <w:highlight w:val="none"/>
        </w:rPr>
      </w:pPr>
    </w:p>
    <w:p w14:paraId="542BBFEA">
      <w:pPr>
        <w:pageBreakBefore w:val="0"/>
        <w:wordWrap w:val="0"/>
        <w:overflowPunct/>
        <w:topLinePunct w:val="0"/>
        <w:bidi w:val="0"/>
        <w:snapToGrid w:val="0"/>
        <w:spacing w:line="360" w:lineRule="auto"/>
        <w:ind w:left="5137" w:leftChars="1736" w:hanging="1491" w:hangingChars="825"/>
        <w:rPr>
          <w:rFonts w:ascii="宋体" w:hAnsi="宋体" w:cs="宋体"/>
          <w:b/>
          <w:color w:val="auto"/>
          <w:sz w:val="18"/>
          <w:szCs w:val="18"/>
          <w:highlight w:val="none"/>
        </w:rPr>
      </w:pPr>
    </w:p>
    <w:p w14:paraId="6448D423">
      <w:pPr>
        <w:pageBreakBefore w:val="0"/>
        <w:wordWrap w:val="0"/>
        <w:overflowPunct/>
        <w:topLinePunct w:val="0"/>
        <w:bidi w:val="0"/>
        <w:snapToGrid w:val="0"/>
        <w:spacing w:line="360" w:lineRule="auto"/>
        <w:ind w:left="5137" w:leftChars="1736" w:hanging="1491" w:hangingChars="825"/>
        <w:rPr>
          <w:rFonts w:ascii="宋体" w:hAnsi="宋体" w:cs="宋体"/>
          <w:b/>
          <w:color w:val="auto"/>
          <w:sz w:val="18"/>
          <w:szCs w:val="18"/>
          <w:highlight w:val="none"/>
        </w:rPr>
      </w:pPr>
    </w:p>
    <w:p w14:paraId="6A255306">
      <w:pPr>
        <w:pageBreakBefore w:val="0"/>
        <w:wordWrap w:val="0"/>
        <w:overflowPunct/>
        <w:topLinePunct w:val="0"/>
        <w:bidi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407480B5">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7DEB2F9">
      <w:pPr>
        <w:pStyle w:val="12"/>
        <w:pageBreakBefore w:val="0"/>
        <w:wordWrap w:val="0"/>
        <w:overflowPunct/>
        <w:topLinePunct w:val="0"/>
        <w:bidi w:val="0"/>
        <w:spacing w:line="360" w:lineRule="auto"/>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残疾人福利性单位声明函（如有）</w:t>
      </w:r>
    </w:p>
    <w:p w14:paraId="26F45BCD">
      <w:pPr>
        <w:pStyle w:val="12"/>
        <w:pageBreakBefore w:val="0"/>
        <w:wordWrap w:val="0"/>
        <w:overflowPunct/>
        <w:topLinePunct w:val="0"/>
        <w:bidi w:val="0"/>
        <w:spacing w:line="360" w:lineRule="auto"/>
        <w:jc w:val="center"/>
        <w:rPr>
          <w:rFonts w:hAnsi="宋体" w:cs="宋体"/>
          <w:b/>
          <w:color w:val="auto"/>
          <w:sz w:val="30"/>
          <w:szCs w:val="30"/>
          <w:highlight w:val="none"/>
        </w:rPr>
      </w:pPr>
    </w:p>
    <w:p w14:paraId="2995006C">
      <w:pPr>
        <w:pStyle w:val="12"/>
        <w:pageBreakBefore w:val="0"/>
        <w:wordWrap w:val="0"/>
        <w:overflowPunct/>
        <w:topLinePunct w:val="0"/>
        <w:bidi w:val="0"/>
        <w:spacing w:line="360" w:lineRule="auto"/>
        <w:jc w:val="left"/>
        <w:rPr>
          <w:rFonts w:hAnsi="宋体" w:cs="宋体"/>
          <w:color w:val="auto"/>
          <w:sz w:val="24"/>
          <w:szCs w:val="24"/>
          <w:highlight w:val="none"/>
        </w:rPr>
      </w:pPr>
      <w:r>
        <w:rPr>
          <w:rFonts w:hint="eastAsia" w:hAnsi="宋体" w:cs="宋体"/>
          <w:color w:val="auto"/>
          <w:sz w:val="30"/>
          <w:szCs w:val="30"/>
          <w:highlight w:val="none"/>
        </w:rPr>
        <w:t xml:space="preserve">   </w:t>
      </w:r>
      <w:r>
        <w:rPr>
          <w:rFonts w:hint="eastAsia" w:hAnsi="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color w:val="auto"/>
          <w:sz w:val="24"/>
          <w:szCs w:val="24"/>
          <w:highlight w:val="none"/>
          <w:u w:val="single"/>
        </w:rPr>
        <w:t xml:space="preserve"> （采购人名称） </w:t>
      </w:r>
      <w:r>
        <w:rPr>
          <w:rFonts w:hint="eastAsia" w:hAnsi="宋体" w:cs="宋体"/>
          <w:color w:val="auto"/>
          <w:sz w:val="24"/>
          <w:szCs w:val="24"/>
          <w:highlight w:val="none"/>
        </w:rPr>
        <w:t>单位的（项目名称）项目采购活动提供本单位制造的货物（由本单位承担工程/提供服务），或者提供其他残疾人福利性单位制造的货物（不包括使用非残疾人福利性单位注册商标的货物）。</w:t>
      </w:r>
    </w:p>
    <w:p w14:paraId="18269E8B">
      <w:pPr>
        <w:pStyle w:val="12"/>
        <w:pageBreakBefore w:val="0"/>
        <w:wordWrap w:val="0"/>
        <w:overflowPunct/>
        <w:topLinePunct w:val="0"/>
        <w:bidi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本公司对上述声明的真实性负责。如有虚假，将依法承担相应责任。</w:t>
      </w:r>
    </w:p>
    <w:p w14:paraId="6DD818DE">
      <w:pPr>
        <w:pStyle w:val="12"/>
        <w:pageBreakBefore w:val="0"/>
        <w:wordWrap w:val="0"/>
        <w:overflowPunct/>
        <w:topLinePunct w:val="0"/>
        <w:bidi w:val="0"/>
        <w:spacing w:line="360" w:lineRule="auto"/>
        <w:jc w:val="left"/>
        <w:rPr>
          <w:rFonts w:hAnsi="宋体" w:cs="宋体"/>
          <w:b/>
          <w:color w:val="auto"/>
          <w:szCs w:val="21"/>
          <w:highlight w:val="none"/>
        </w:rPr>
      </w:pPr>
    </w:p>
    <w:p w14:paraId="0C259F22">
      <w:pPr>
        <w:pStyle w:val="12"/>
        <w:pageBreakBefore w:val="0"/>
        <w:wordWrap w:val="0"/>
        <w:overflowPunct/>
        <w:topLinePunct w:val="0"/>
        <w:bidi w:val="0"/>
        <w:spacing w:line="360" w:lineRule="auto"/>
        <w:jc w:val="left"/>
        <w:rPr>
          <w:rFonts w:hAnsi="宋体" w:cs="宋体"/>
          <w:b/>
          <w:color w:val="auto"/>
          <w:szCs w:val="21"/>
          <w:highlight w:val="none"/>
        </w:rPr>
      </w:pPr>
    </w:p>
    <w:p w14:paraId="7F4E2431">
      <w:pPr>
        <w:pageBreakBefore w:val="0"/>
        <w:wordWrap w:val="0"/>
        <w:overflowPunct/>
        <w:topLinePunct w:val="0"/>
        <w:bidi w:val="0"/>
        <w:snapToGrid w:val="0"/>
        <w:spacing w:line="360" w:lineRule="auto"/>
        <w:ind w:left="5137" w:leftChars="1736" w:hanging="1491" w:hangingChars="825"/>
        <w:rPr>
          <w:rFonts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投标人名称(电子签章)：</w:t>
      </w:r>
    </w:p>
    <w:p w14:paraId="4A3082F7">
      <w:pPr>
        <w:pageBreakBefore w:val="0"/>
        <w:wordWrap w:val="0"/>
        <w:overflowPunct/>
        <w:topLinePunct w:val="0"/>
        <w:bidi w:val="0"/>
        <w:snapToGrid w:val="0"/>
        <w:spacing w:line="360" w:lineRule="auto"/>
        <w:ind w:firstLine="5160" w:firstLineChars="21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E953B10">
      <w:pPr>
        <w:pStyle w:val="12"/>
        <w:pageBreakBefore w:val="0"/>
        <w:wordWrap w:val="0"/>
        <w:overflowPunct/>
        <w:topLinePunct w:val="0"/>
        <w:bidi w:val="0"/>
        <w:spacing w:line="360" w:lineRule="auto"/>
        <w:ind w:left="5132" w:leftChars="1979" w:hanging="976" w:hangingChars="488"/>
        <w:rPr>
          <w:rFonts w:hAnsi="宋体" w:cs="宋体"/>
          <w:color w:val="auto"/>
          <w:sz w:val="20"/>
          <w:highlight w:val="none"/>
        </w:rPr>
      </w:pPr>
    </w:p>
    <w:p w14:paraId="4E3A4B13">
      <w:pPr>
        <w:pageBreakBefore w:val="0"/>
        <w:wordWrap w:val="0"/>
        <w:overflowPunct/>
        <w:topLinePunct w:val="0"/>
        <w:bidi w:val="0"/>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3B72C751">
      <w:pPr>
        <w:pageBreakBefore w:val="0"/>
        <w:widowControl/>
        <w:wordWrap w:val="0"/>
        <w:overflowPunct/>
        <w:topLinePunct w:val="0"/>
        <w:bidi w:val="0"/>
        <w:spacing w:line="360" w:lineRule="auto"/>
        <w:jc w:val="left"/>
        <w:rPr>
          <w:rFonts w:ascii="宋体" w:hAnsi="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p>
    <w:p w14:paraId="4550B77C">
      <w:pPr>
        <w:pageBreakBefore w:val="0"/>
        <w:wordWrap w:val="0"/>
        <w:overflowPunct/>
        <w:topLinePunct w:val="0"/>
        <w:bidi w:val="0"/>
        <w:snapToGrid w:val="0"/>
        <w:spacing w:line="360" w:lineRule="auto"/>
        <w:jc w:val="left"/>
        <w:rPr>
          <w:rFonts w:ascii="宋体" w:hAnsi="宋体" w:cs="宋体"/>
          <w:color w:val="auto"/>
          <w:sz w:val="20"/>
          <w:highlight w:val="none"/>
        </w:rPr>
      </w:pPr>
    </w:p>
    <w:p w14:paraId="49EEE2B5">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1E2B1491">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45A60EFF">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2887E599">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6C746EAE">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5F81FAE9">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3E12F4CA">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66F01BB2">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5AEEB2B2">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4C9D2D6F">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6BC83E93">
      <w:pPr>
        <w:pStyle w:val="12"/>
        <w:pageBreakBefore w:val="0"/>
        <w:tabs>
          <w:tab w:val="left" w:pos="2472"/>
        </w:tabs>
        <w:wordWrap w:val="0"/>
        <w:overflowPunct/>
        <w:topLinePunct w:val="0"/>
        <w:bidi w:val="0"/>
        <w:spacing w:line="360" w:lineRule="auto"/>
        <w:jc w:val="center"/>
        <w:rPr>
          <w:rFonts w:hAnsi="宋体" w:cs="宋体"/>
          <w:b/>
          <w:color w:val="auto"/>
          <w:sz w:val="36"/>
          <w:highlight w:val="none"/>
        </w:rPr>
      </w:pPr>
    </w:p>
    <w:p w14:paraId="1EA077F7">
      <w:pPr>
        <w:pStyle w:val="12"/>
        <w:pageBreakBefore w:val="0"/>
        <w:tabs>
          <w:tab w:val="left" w:pos="2472"/>
        </w:tabs>
        <w:wordWrap w:val="0"/>
        <w:overflowPunct/>
        <w:topLinePunct w:val="0"/>
        <w:bidi w:val="0"/>
        <w:spacing w:line="360" w:lineRule="auto"/>
        <w:jc w:val="center"/>
        <w:outlineLvl w:val="0"/>
        <w:rPr>
          <w:rFonts w:hAnsi="宋体" w:cs="宋体"/>
          <w:b/>
          <w:color w:val="auto"/>
          <w:sz w:val="36"/>
          <w:highlight w:val="none"/>
        </w:rPr>
      </w:pPr>
      <w:bookmarkStart w:id="444" w:name="_Toc23306"/>
      <w:r>
        <w:rPr>
          <w:rFonts w:hint="eastAsia" w:hAnsi="宋体" w:cs="宋体"/>
          <w:b/>
          <w:color w:val="auto"/>
          <w:sz w:val="36"/>
          <w:highlight w:val="none"/>
        </w:rPr>
        <w:t>第七章 质疑、投诉证明材料格式</w:t>
      </w:r>
      <w:bookmarkEnd w:id="444"/>
    </w:p>
    <w:p w14:paraId="32A952B9">
      <w:pPr>
        <w:pageBreakBefore w:val="0"/>
        <w:widowControl/>
        <w:wordWrap w:val="0"/>
        <w:overflowPunct/>
        <w:topLinePunct w:val="0"/>
        <w:bidi w:val="0"/>
        <w:spacing w:line="360" w:lineRule="auto"/>
        <w:jc w:val="left"/>
        <w:rPr>
          <w:rFonts w:ascii="宋体" w:hAnsi="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p>
    <w:p w14:paraId="69C05118">
      <w:pPr>
        <w:pageBreakBefore w:val="0"/>
        <w:widowControl/>
        <w:shd w:val="clear" w:color="auto" w:fill="FFFFFF"/>
        <w:wordWrap w:val="0"/>
        <w:overflowPunct/>
        <w:topLinePunct w:val="0"/>
        <w:bidi w:val="0"/>
        <w:spacing w:line="360" w:lineRule="auto"/>
        <w:jc w:val="left"/>
        <w:rPr>
          <w:rFonts w:ascii="宋体" w:hAnsi="宋体" w:cs="宋体"/>
          <w:b/>
          <w:bCs/>
          <w:color w:val="auto"/>
          <w:sz w:val="28"/>
          <w:szCs w:val="28"/>
          <w:highlight w:val="none"/>
        </w:rPr>
      </w:pPr>
    </w:p>
    <w:p w14:paraId="3526CB2A">
      <w:pPr>
        <w:pStyle w:val="3"/>
        <w:pageBreakBefore w:val="0"/>
        <w:wordWrap w:val="0"/>
        <w:overflowPunct/>
        <w:topLinePunct w:val="0"/>
        <w:bidi w:val="0"/>
        <w:spacing w:before="0" w:after="0" w:line="360" w:lineRule="auto"/>
        <w:jc w:val="center"/>
        <w:rPr>
          <w:rFonts w:ascii="宋体" w:hAnsi="宋体" w:eastAsia="宋体" w:cs="宋体"/>
          <w:b w:val="0"/>
          <w:bCs w:val="0"/>
          <w:color w:val="auto"/>
          <w:highlight w:val="none"/>
        </w:rPr>
      </w:pPr>
      <w:bookmarkStart w:id="445" w:name="_Toc30519"/>
      <w:r>
        <w:rPr>
          <w:rFonts w:hint="eastAsia" w:ascii="宋体" w:hAnsi="宋体" w:eastAsia="宋体" w:cs="宋体"/>
          <w:b w:val="0"/>
          <w:bCs w:val="0"/>
          <w:color w:val="auto"/>
          <w:highlight w:val="none"/>
        </w:rPr>
        <w:t>第一节 质疑函（格式）</w:t>
      </w:r>
      <w:bookmarkEnd w:id="445"/>
    </w:p>
    <w:p w14:paraId="3C5AB88B">
      <w:pPr>
        <w:pageBreakBefore w:val="0"/>
        <w:wordWrap w:val="0"/>
        <w:overflowPunct/>
        <w:topLinePunct w:val="0"/>
        <w:bidi w:val="0"/>
        <w:spacing w:line="360" w:lineRule="auto"/>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质疑函范本</w:t>
      </w:r>
    </w:p>
    <w:p w14:paraId="4B055AEE">
      <w:pPr>
        <w:pageBreakBefore w:val="0"/>
        <w:wordWrap w:val="0"/>
        <w:overflowPunct/>
        <w:topLinePunct w:val="0"/>
        <w:bidi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一、质疑供应商基本信息</w:t>
      </w:r>
    </w:p>
    <w:p w14:paraId="5A912E7C">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质疑供应商：</w:t>
      </w:r>
      <w:r>
        <w:rPr>
          <w:rFonts w:hint="eastAsia" w:ascii="宋体" w:hAnsi="宋体" w:cs="宋体"/>
          <w:color w:val="auto"/>
          <w:sz w:val="32"/>
          <w:szCs w:val="32"/>
          <w:highlight w:val="none"/>
          <w:u w:val="dotted"/>
        </w:rPr>
        <w:t xml:space="preserve">                                        </w:t>
      </w:r>
    </w:p>
    <w:p w14:paraId="470B3326">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地址：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28F7B0A0">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140C0AC2">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p>
    <w:p w14:paraId="79473C0B">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2AA43691">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地址： </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p>
    <w:p w14:paraId="52A95A4A">
      <w:pPr>
        <w:pageBreakBefore w:val="0"/>
        <w:wordWrap w:val="0"/>
        <w:overflowPunct/>
        <w:topLinePunct w:val="0"/>
        <w:bidi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二、质疑项目基本情况</w:t>
      </w:r>
    </w:p>
    <w:p w14:paraId="78495925">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2025年南宁市道路绿化养护服务政府采购项目</w:t>
      </w:r>
      <w:r>
        <w:rPr>
          <w:rFonts w:hint="eastAsia" w:ascii="宋体" w:hAnsi="宋体" w:cs="宋体"/>
          <w:color w:val="auto"/>
          <w:sz w:val="32"/>
          <w:szCs w:val="32"/>
          <w:highlight w:val="none"/>
          <w:u w:val="dotted"/>
        </w:rPr>
        <w:t xml:space="preserve">     </w:t>
      </w:r>
    </w:p>
    <w:p w14:paraId="46C24D23">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质疑项目的编号：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22B92C76">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南宁市绿化工程管理中心</w:t>
      </w:r>
      <w:r>
        <w:rPr>
          <w:rFonts w:hint="eastAsia" w:ascii="宋体" w:hAnsi="宋体" w:cs="宋体"/>
          <w:color w:val="auto"/>
          <w:sz w:val="32"/>
          <w:szCs w:val="32"/>
          <w:highlight w:val="none"/>
          <w:u w:val="dotted"/>
        </w:rPr>
        <w:t xml:space="preserve">  </w:t>
      </w:r>
    </w:p>
    <w:p w14:paraId="39923672">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采购文件获取日期：</w:t>
      </w:r>
      <w:r>
        <w:rPr>
          <w:rFonts w:hint="eastAsia" w:ascii="宋体" w:hAnsi="宋体" w:cs="宋体"/>
          <w:color w:val="auto"/>
          <w:sz w:val="32"/>
          <w:szCs w:val="32"/>
          <w:highlight w:val="none"/>
          <w:u w:val="dotted"/>
        </w:rPr>
        <w:t xml:space="preserve">                                           </w:t>
      </w:r>
    </w:p>
    <w:p w14:paraId="731317DF">
      <w:pPr>
        <w:pageBreakBefore w:val="0"/>
        <w:wordWrap w:val="0"/>
        <w:overflowPunct/>
        <w:topLinePunct w:val="0"/>
        <w:bidi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三、质疑事项具体内容</w:t>
      </w:r>
    </w:p>
    <w:p w14:paraId="50556B5B">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质疑事项1：</w:t>
      </w:r>
      <w:r>
        <w:rPr>
          <w:rFonts w:hint="eastAsia" w:ascii="宋体" w:hAnsi="宋体" w:cs="宋体"/>
          <w:color w:val="auto"/>
          <w:sz w:val="32"/>
          <w:szCs w:val="32"/>
          <w:highlight w:val="none"/>
          <w:u w:val="dotted"/>
        </w:rPr>
        <w:t xml:space="preserve">                                         </w:t>
      </w:r>
    </w:p>
    <w:p w14:paraId="27E0C1B1">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7D686B5B">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u w:val="dotted"/>
        </w:rPr>
        <w:t xml:space="preserve">                                                       </w:t>
      </w:r>
    </w:p>
    <w:p w14:paraId="27D7B897">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3AFEFF8F">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3489B5C0">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质疑事项2</w:t>
      </w:r>
    </w:p>
    <w:p w14:paraId="24B7469E">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w:t>
      </w:r>
    </w:p>
    <w:p w14:paraId="5E14B7E8">
      <w:pPr>
        <w:pageBreakBefore w:val="0"/>
        <w:wordWrap w:val="0"/>
        <w:overflowPunct/>
        <w:topLinePunct w:val="0"/>
        <w:bidi w:val="0"/>
        <w:adjustRightInd w:val="0"/>
        <w:snapToGrid w:val="0"/>
        <w:spacing w:line="360" w:lineRule="auto"/>
        <w:rPr>
          <w:rFonts w:ascii="宋体" w:hAnsi="宋体" w:cs="宋体"/>
          <w:bCs/>
          <w:color w:val="auto"/>
          <w:sz w:val="32"/>
          <w:szCs w:val="32"/>
          <w:highlight w:val="none"/>
        </w:rPr>
      </w:pPr>
      <w:r>
        <w:rPr>
          <w:rFonts w:hint="eastAsia" w:ascii="宋体" w:hAnsi="宋体" w:cs="宋体"/>
          <w:bCs/>
          <w:color w:val="auto"/>
          <w:sz w:val="32"/>
          <w:szCs w:val="32"/>
          <w:highlight w:val="none"/>
        </w:rPr>
        <w:t>四、与质疑事项相关的质疑请求</w:t>
      </w:r>
    </w:p>
    <w:p w14:paraId="3F23FDF1">
      <w:pPr>
        <w:pageBreakBefore w:val="0"/>
        <w:wordWrap w:val="0"/>
        <w:overflowPunct/>
        <w:topLinePunct w:val="0"/>
        <w:bidi w:val="0"/>
        <w:adjustRightInd w:val="0"/>
        <w:snapToGrid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p>
    <w:p w14:paraId="4E37ED8D">
      <w:pPr>
        <w:pageBreakBefore w:val="0"/>
        <w:wordWrap w:val="0"/>
        <w:overflowPunct/>
        <w:topLinePunct w:val="0"/>
        <w:bidi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签字(签章)：                   公章：                      </w:t>
      </w:r>
    </w:p>
    <w:p w14:paraId="20427B28">
      <w:pPr>
        <w:pageBreakBefore w:val="0"/>
        <w:wordWrap w:val="0"/>
        <w:overflowPunct/>
        <w:topLinePunct w:val="0"/>
        <w:bidi w:val="0"/>
        <w:spacing w:line="360" w:lineRule="auto"/>
        <w:rPr>
          <w:rFonts w:ascii="宋体" w:hAnsi="宋体" w:cs="宋体"/>
          <w:color w:val="auto"/>
          <w:sz w:val="30"/>
          <w:szCs w:val="30"/>
          <w:highlight w:val="none"/>
        </w:rPr>
      </w:pPr>
      <w:r>
        <w:rPr>
          <w:rFonts w:hint="eastAsia" w:ascii="宋体" w:hAnsi="宋体" w:cs="宋体"/>
          <w:color w:val="auto"/>
          <w:sz w:val="30"/>
          <w:szCs w:val="30"/>
          <w:highlight w:val="none"/>
        </w:rPr>
        <w:t xml:space="preserve">日期：    </w:t>
      </w:r>
    </w:p>
    <w:p w14:paraId="41529692">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p>
    <w:p w14:paraId="278884B3">
      <w:pPr>
        <w:pageBreakBefore w:val="0"/>
        <w:wordWrap w:val="0"/>
        <w:overflowPunct/>
        <w:topLinePunct w:val="0"/>
        <w:bidi w:val="0"/>
        <w:adjustRightInd w:val="0"/>
        <w:snapToGrid w:val="0"/>
        <w:spacing w:line="360" w:lineRule="auto"/>
        <w:rPr>
          <w:rFonts w:ascii="宋体" w:hAnsi="宋体" w:cs="宋体"/>
          <w:color w:val="auto"/>
          <w:sz w:val="32"/>
          <w:szCs w:val="32"/>
          <w:highlight w:val="none"/>
        </w:rPr>
      </w:pPr>
    </w:p>
    <w:p w14:paraId="594A46E1">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6DC54577">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4FF348E1">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12710B2D">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2584746B">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5D35D271">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3257DB36">
      <w:pPr>
        <w:pageBreakBefore w:val="0"/>
        <w:wordWrap w:val="0"/>
        <w:overflowPunct/>
        <w:topLinePunct w:val="0"/>
        <w:bidi w:val="0"/>
        <w:spacing w:line="360" w:lineRule="auto"/>
        <w:jc w:val="center"/>
        <w:rPr>
          <w:rFonts w:ascii="宋体" w:hAnsi="宋体" w:cs="宋体"/>
          <w:b/>
          <w:bCs/>
          <w:color w:val="auto"/>
          <w:sz w:val="32"/>
          <w:szCs w:val="32"/>
          <w:highlight w:val="none"/>
        </w:rPr>
      </w:pPr>
    </w:p>
    <w:p w14:paraId="03CD602F">
      <w:pPr>
        <w:pageBreakBefore w:val="0"/>
        <w:wordWrap w:val="0"/>
        <w:overflowPunct/>
        <w:topLinePunct w:val="0"/>
        <w:bidi w:val="0"/>
        <w:spacing w:line="360" w:lineRule="auto"/>
        <w:rPr>
          <w:rFonts w:ascii="宋体" w:hAnsi="宋体" w:cs="宋体"/>
          <w:b/>
          <w:color w:val="auto"/>
          <w:sz w:val="32"/>
          <w:szCs w:val="32"/>
          <w:highlight w:val="none"/>
        </w:rPr>
      </w:pPr>
    </w:p>
    <w:p w14:paraId="69437A5C">
      <w:pPr>
        <w:pageBreakBefore w:val="0"/>
        <w:wordWrap w:val="0"/>
        <w:overflowPunct/>
        <w:topLinePunct w:val="0"/>
        <w:bidi w:val="0"/>
        <w:spacing w:line="360" w:lineRule="auto"/>
        <w:rPr>
          <w:rFonts w:ascii="宋体" w:hAnsi="宋体" w:cs="宋体"/>
          <w:b/>
          <w:color w:val="auto"/>
          <w:sz w:val="32"/>
          <w:szCs w:val="32"/>
          <w:highlight w:val="none"/>
        </w:rPr>
      </w:pPr>
    </w:p>
    <w:p w14:paraId="7945DF74">
      <w:pPr>
        <w:pageBreakBefore w:val="0"/>
        <w:wordWrap w:val="0"/>
        <w:overflowPunct/>
        <w:topLinePunct w:val="0"/>
        <w:bidi w:val="0"/>
        <w:spacing w:line="360" w:lineRule="auto"/>
        <w:rPr>
          <w:rFonts w:ascii="宋体" w:hAnsi="宋体" w:cs="宋体"/>
          <w:b/>
          <w:color w:val="auto"/>
          <w:sz w:val="32"/>
          <w:szCs w:val="32"/>
          <w:highlight w:val="none"/>
        </w:rPr>
      </w:pPr>
    </w:p>
    <w:p w14:paraId="05C6FBB8">
      <w:pPr>
        <w:pageBreakBefore w:val="0"/>
        <w:wordWrap w:val="0"/>
        <w:overflowPunct/>
        <w:topLinePunct w:val="0"/>
        <w:bidi w:val="0"/>
        <w:spacing w:line="360" w:lineRule="auto"/>
        <w:rPr>
          <w:rFonts w:ascii="宋体" w:hAnsi="宋体" w:cs="宋体"/>
          <w:b/>
          <w:color w:val="auto"/>
          <w:sz w:val="32"/>
          <w:szCs w:val="32"/>
          <w:highlight w:val="none"/>
        </w:rPr>
      </w:pPr>
    </w:p>
    <w:p w14:paraId="44ECBEE1">
      <w:pPr>
        <w:pageBreakBefore w:val="0"/>
        <w:wordWrap w:val="0"/>
        <w:overflowPunct/>
        <w:topLinePunct w:val="0"/>
        <w:bidi w:val="0"/>
        <w:spacing w:line="360" w:lineRule="auto"/>
        <w:rPr>
          <w:rFonts w:ascii="宋体" w:hAnsi="宋体" w:cs="宋体"/>
          <w:b/>
          <w:color w:val="auto"/>
          <w:sz w:val="32"/>
          <w:szCs w:val="32"/>
          <w:highlight w:val="none"/>
        </w:rPr>
      </w:pPr>
    </w:p>
    <w:p w14:paraId="2ECB2017">
      <w:pPr>
        <w:pageBreakBefore w:val="0"/>
        <w:wordWrap w:val="0"/>
        <w:overflowPunct/>
        <w:topLinePunct w:val="0"/>
        <w:bidi w:val="0"/>
        <w:spacing w:line="360" w:lineRule="auto"/>
        <w:rPr>
          <w:rFonts w:ascii="宋体" w:hAnsi="宋体" w:cs="宋体"/>
          <w:b/>
          <w:color w:val="auto"/>
          <w:sz w:val="32"/>
          <w:szCs w:val="32"/>
          <w:highlight w:val="none"/>
        </w:rPr>
      </w:pPr>
    </w:p>
    <w:p w14:paraId="60380B70">
      <w:pPr>
        <w:pageBreakBefore w:val="0"/>
        <w:wordWrap w:val="0"/>
        <w:overflowPunct/>
        <w:topLinePunct w:val="0"/>
        <w:bidi w:val="0"/>
        <w:spacing w:line="360" w:lineRule="auto"/>
        <w:rPr>
          <w:rFonts w:ascii="宋体" w:hAnsi="宋体" w:cs="宋体"/>
          <w:b/>
          <w:color w:val="auto"/>
          <w:sz w:val="32"/>
          <w:szCs w:val="32"/>
          <w:highlight w:val="none"/>
        </w:rPr>
      </w:pPr>
    </w:p>
    <w:p w14:paraId="778E3839">
      <w:pPr>
        <w:pageBreakBefore w:val="0"/>
        <w:wordWrap w:val="0"/>
        <w:overflowPunct/>
        <w:topLinePunct w:val="0"/>
        <w:bidi w:val="0"/>
        <w:spacing w:line="360" w:lineRule="auto"/>
        <w:rPr>
          <w:rFonts w:ascii="宋体" w:hAnsi="宋体" w:cs="宋体"/>
          <w:b/>
          <w:color w:val="auto"/>
          <w:sz w:val="32"/>
          <w:szCs w:val="32"/>
          <w:highlight w:val="none"/>
        </w:rPr>
      </w:pPr>
    </w:p>
    <w:p w14:paraId="17FA9B85">
      <w:pPr>
        <w:pageBreakBefore w:val="0"/>
        <w:wordWrap w:val="0"/>
        <w:overflowPunct/>
        <w:topLinePunct w:val="0"/>
        <w:bidi w:val="0"/>
        <w:spacing w:line="360" w:lineRule="auto"/>
        <w:rPr>
          <w:rFonts w:ascii="宋体" w:hAnsi="宋体" w:cs="宋体"/>
          <w:b/>
          <w:color w:val="auto"/>
          <w:sz w:val="32"/>
          <w:szCs w:val="32"/>
          <w:highlight w:val="none"/>
        </w:rPr>
      </w:pPr>
    </w:p>
    <w:p w14:paraId="75E35A8C">
      <w:pPr>
        <w:pageBreakBefore w:val="0"/>
        <w:wordWrap w:val="0"/>
        <w:overflowPunct/>
        <w:topLinePunct w:val="0"/>
        <w:bidi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质疑函制作说明：</w:t>
      </w:r>
    </w:p>
    <w:p w14:paraId="271548A8">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1.供应商提出质疑时，应提交质疑函和必要的证明材料。</w:t>
      </w:r>
    </w:p>
    <w:p w14:paraId="58487B43">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2.质疑供应商若委托代理人进行质疑的，质疑函应按要求列明“授权代表”的有关内容，并在附件中提交由质疑</w:t>
      </w:r>
      <w:r>
        <w:rPr>
          <w:rFonts w:hint="eastAsia" w:ascii="宋体" w:hAnsi="宋体" w:cs="宋体"/>
          <w:color w:val="auto"/>
          <w:kern w:val="0"/>
          <w:sz w:val="32"/>
          <w:szCs w:val="32"/>
          <w:highlight w:val="none"/>
        </w:rPr>
        <w:t>供应商签署的授权委托书。授权委托书应载明代理人的姓名或者名称、代理事项、具体权限、期限和相关事项。</w:t>
      </w:r>
    </w:p>
    <w:p w14:paraId="533D04A6">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3.质疑供应商若对项目的某一分包进行质疑，质疑函中应列明具体分包号。</w:t>
      </w:r>
    </w:p>
    <w:p w14:paraId="59689E1F">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4.质疑函的质疑事项应具体、明确，并有必要的事实依据和法律依据。</w:t>
      </w:r>
    </w:p>
    <w:p w14:paraId="47A6181F">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5.质疑函的质疑请求应与质疑事项相关。</w:t>
      </w:r>
    </w:p>
    <w:p w14:paraId="304D2086">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6D7D11FF">
      <w:pPr>
        <w:pageBreakBefore w:val="0"/>
        <w:widowControl/>
        <w:wordWrap w:val="0"/>
        <w:overflowPunct/>
        <w:topLinePunct w:val="0"/>
        <w:bidi w:val="0"/>
        <w:spacing w:line="360" w:lineRule="auto"/>
        <w:ind w:firstLine="600" w:firstLineChars="200"/>
        <w:jc w:val="left"/>
        <w:rPr>
          <w:rFonts w:ascii="宋体" w:hAnsi="宋体" w:cs="宋体"/>
          <w:color w:val="auto"/>
          <w:sz w:val="30"/>
          <w:szCs w:val="30"/>
          <w:highlight w:val="none"/>
        </w:rPr>
      </w:pPr>
    </w:p>
    <w:p w14:paraId="25C59448">
      <w:pPr>
        <w:pageBreakBefore w:val="0"/>
        <w:widowControl/>
        <w:wordWrap w:val="0"/>
        <w:overflowPunct/>
        <w:topLinePunct w:val="0"/>
        <w:bidi w:val="0"/>
        <w:spacing w:line="360" w:lineRule="auto"/>
        <w:jc w:val="left"/>
        <w:rPr>
          <w:rFonts w:ascii="宋体" w:hAnsi="宋体" w:cs="宋体"/>
          <w:color w:val="auto"/>
          <w:kern w:val="0"/>
          <w:sz w:val="24"/>
          <w:highlight w:val="none"/>
        </w:rPr>
        <w:sectPr>
          <w:pgSz w:w="11906" w:h="16838"/>
          <w:pgMar w:top="1440" w:right="1080" w:bottom="1440" w:left="1080" w:header="720" w:footer="720" w:gutter="0"/>
          <w:pgNumType w:fmt="decimal"/>
          <w:cols w:space="720" w:num="1"/>
          <w:docGrid w:type="lines" w:linePitch="331" w:charSpace="0"/>
        </w:sectPr>
      </w:pPr>
    </w:p>
    <w:p w14:paraId="6780A065">
      <w:pPr>
        <w:pStyle w:val="3"/>
        <w:pageBreakBefore w:val="0"/>
        <w:wordWrap w:val="0"/>
        <w:overflowPunct/>
        <w:topLinePunct w:val="0"/>
        <w:bidi w:val="0"/>
        <w:spacing w:before="0" w:after="0" w:line="360" w:lineRule="auto"/>
        <w:jc w:val="center"/>
        <w:rPr>
          <w:rFonts w:ascii="宋体" w:hAnsi="宋体" w:eastAsia="宋体" w:cs="宋体"/>
          <w:b w:val="0"/>
          <w:bCs w:val="0"/>
          <w:color w:val="auto"/>
          <w:highlight w:val="none"/>
        </w:rPr>
      </w:pPr>
      <w:bookmarkStart w:id="446" w:name="_Toc32681"/>
      <w:r>
        <w:rPr>
          <w:rFonts w:hint="eastAsia" w:ascii="宋体" w:hAnsi="宋体" w:eastAsia="宋体" w:cs="宋体"/>
          <w:b w:val="0"/>
          <w:bCs w:val="0"/>
          <w:color w:val="auto"/>
          <w:highlight w:val="none"/>
        </w:rPr>
        <w:t>第二节 投诉书（格式）</w:t>
      </w:r>
      <w:bookmarkEnd w:id="446"/>
    </w:p>
    <w:p w14:paraId="1AE45C1F">
      <w:pPr>
        <w:pageBreakBefore w:val="0"/>
        <w:wordWrap w:val="0"/>
        <w:overflowPunct/>
        <w:topLinePunct w:val="0"/>
        <w:bidi w:val="0"/>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投诉书范本</w:t>
      </w:r>
    </w:p>
    <w:p w14:paraId="2AA065E2">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一、投诉相关主体基本情况</w:t>
      </w:r>
    </w:p>
    <w:p w14:paraId="62398727">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投诉人：</w:t>
      </w:r>
      <w:r>
        <w:rPr>
          <w:rFonts w:hint="eastAsia" w:ascii="宋体" w:hAnsi="宋体" w:cs="宋体"/>
          <w:color w:val="auto"/>
          <w:sz w:val="32"/>
          <w:szCs w:val="32"/>
          <w:highlight w:val="none"/>
          <w:u w:val="dotted"/>
        </w:rPr>
        <w:t xml:space="preserve">                                               </w:t>
      </w:r>
    </w:p>
    <w:p w14:paraId="22AC12F5">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3857FFD0">
      <w:pPr>
        <w:pageBreakBefore w:val="0"/>
        <w:tabs>
          <w:tab w:val="left" w:pos="6510"/>
        </w:tabs>
        <w:wordWrap w:val="0"/>
        <w:overflowPunct/>
        <w:topLinePunct w:val="0"/>
        <w:bidi w:val="0"/>
        <w:spacing w:line="360" w:lineRule="auto"/>
        <w:jc w:val="left"/>
        <w:rPr>
          <w:rFonts w:ascii="宋体" w:hAnsi="宋体" w:cs="宋体"/>
          <w:color w:val="auto"/>
          <w:sz w:val="32"/>
          <w:szCs w:val="32"/>
          <w:highlight w:val="none"/>
        </w:rPr>
      </w:pPr>
      <w:r>
        <w:rPr>
          <w:rFonts w:hint="eastAsia" w:ascii="宋体" w:hAnsi="宋体" w:cs="宋体"/>
          <w:color w:val="auto"/>
          <w:sz w:val="32"/>
          <w:szCs w:val="32"/>
          <w:highlight w:val="none"/>
        </w:rPr>
        <w:t>法定代表人/主要负责人：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4943DF3C">
      <w:pPr>
        <w:pageBreakBefore w:val="0"/>
        <w:tabs>
          <w:tab w:val="left" w:pos="6510"/>
        </w:tabs>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0AE52C80">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授权代表：</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p>
    <w:p w14:paraId="27746FEB">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u w:val="dotted"/>
        </w:rPr>
        <w:t xml:space="preserve">                   </w:t>
      </w:r>
    </w:p>
    <w:p w14:paraId="48BE3618">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被投诉人1：</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3E1F7EBB">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13C7382A">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4006A8C4">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被投诉人2</w:t>
      </w:r>
    </w:p>
    <w:p w14:paraId="1DFA819C">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0CEA1AD1">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相关供应商：</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0690957A">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地     址：</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邮编：</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306E41E9">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联系人：</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联系电话：</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single"/>
        </w:rPr>
        <w:t xml:space="preserve">      </w:t>
      </w:r>
    </w:p>
    <w:p w14:paraId="6288F088">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二、投诉项目基本情况</w:t>
      </w:r>
    </w:p>
    <w:p w14:paraId="066748D9">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采购项目名称：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2025年南宁市道路绿化养护服务政府采购项目</w:t>
      </w:r>
      <w:r>
        <w:rPr>
          <w:rFonts w:hint="eastAsia" w:ascii="宋体" w:hAnsi="宋体" w:cs="宋体"/>
          <w:color w:val="auto"/>
          <w:sz w:val="32"/>
          <w:szCs w:val="32"/>
          <w:highlight w:val="none"/>
          <w:u w:val="dotted"/>
        </w:rPr>
        <w:t xml:space="preserve">   </w:t>
      </w:r>
    </w:p>
    <w:p w14:paraId="491D8D87">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采购项目编号：</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包号：</w:t>
      </w:r>
      <w:r>
        <w:rPr>
          <w:rFonts w:hint="eastAsia" w:ascii="宋体" w:hAnsi="宋体" w:cs="宋体"/>
          <w:color w:val="auto"/>
          <w:sz w:val="32"/>
          <w:szCs w:val="32"/>
          <w:highlight w:val="none"/>
          <w:u w:val="dotted"/>
        </w:rPr>
        <w:t xml:space="preserve">              </w:t>
      </w:r>
    </w:p>
    <w:p w14:paraId="61309E38">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采购人名称：</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南宁市绿化工程管理中心</w:t>
      </w:r>
      <w:r>
        <w:rPr>
          <w:rFonts w:hint="eastAsia" w:ascii="宋体" w:hAnsi="宋体" w:cs="宋体"/>
          <w:color w:val="auto"/>
          <w:sz w:val="32"/>
          <w:szCs w:val="32"/>
          <w:highlight w:val="none"/>
          <w:u w:val="single"/>
        </w:rPr>
        <w:t xml:space="preserve">  </w:t>
      </w:r>
    </w:p>
    <w:p w14:paraId="3B9E4D41">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代理机构名称：</w:t>
      </w:r>
      <w:r>
        <w:rPr>
          <w:rFonts w:hint="eastAsia" w:ascii="宋体" w:hAnsi="宋体" w:cs="宋体"/>
          <w:color w:val="auto"/>
          <w:sz w:val="32"/>
          <w:szCs w:val="32"/>
          <w:highlight w:val="none"/>
          <w:u w:val="dotted"/>
        </w:rPr>
        <w:t xml:space="preserve">                                         </w:t>
      </w:r>
    </w:p>
    <w:p w14:paraId="42055414">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采购文件公告: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266151C6">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采购结果公告:</w:t>
      </w:r>
      <w:r>
        <w:rPr>
          <w:rFonts w:hint="eastAsia" w:ascii="宋体" w:hAnsi="宋体" w:cs="宋体"/>
          <w:color w:val="auto"/>
          <w:sz w:val="32"/>
          <w:szCs w:val="32"/>
          <w:highlight w:val="none"/>
          <w:u w:val="dotted"/>
        </w:rPr>
        <w:t xml:space="preserve">是/否 </w:t>
      </w:r>
      <w:r>
        <w:rPr>
          <w:rFonts w:hint="eastAsia" w:ascii="宋体" w:hAnsi="宋体" w:cs="宋体"/>
          <w:color w:val="auto"/>
          <w:sz w:val="32"/>
          <w:szCs w:val="32"/>
          <w:highlight w:val="none"/>
        </w:rPr>
        <w:t>公告期限：</w:t>
      </w:r>
      <w:r>
        <w:rPr>
          <w:rFonts w:hint="eastAsia" w:ascii="宋体" w:hAnsi="宋体" w:cs="宋体"/>
          <w:color w:val="auto"/>
          <w:sz w:val="32"/>
          <w:szCs w:val="32"/>
          <w:highlight w:val="none"/>
          <w:u w:val="dotted"/>
        </w:rPr>
        <w:t xml:space="preserve">                        </w:t>
      </w:r>
    </w:p>
    <w:p w14:paraId="68EECC8C">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三、质疑基本情况</w:t>
      </w:r>
    </w:p>
    <w:p w14:paraId="3DF1250B">
      <w:pPr>
        <w:pageBreakBefore w:val="0"/>
        <w:wordWrap w:val="0"/>
        <w:overflowPunct/>
        <w:topLinePunct w:val="0"/>
        <w:bidi w:val="0"/>
        <w:spacing w:line="360" w:lineRule="auto"/>
        <w:ind w:firstLine="640" w:firstLineChars="200"/>
        <w:rPr>
          <w:rFonts w:ascii="宋体" w:hAnsi="宋体" w:cs="宋体"/>
          <w:color w:val="auto"/>
          <w:sz w:val="32"/>
          <w:szCs w:val="32"/>
          <w:highlight w:val="none"/>
          <w:u w:val="dotted"/>
        </w:rPr>
      </w:pPr>
      <w:r>
        <w:rPr>
          <w:rFonts w:hint="eastAsia" w:ascii="宋体" w:hAnsi="宋体" w:cs="宋体"/>
          <w:color w:val="auto"/>
          <w:sz w:val="32"/>
          <w:szCs w:val="32"/>
          <w:highlight w:val="none"/>
        </w:rPr>
        <w:t>投诉人于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日,向</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提出质疑，质疑事项为：</w:t>
      </w:r>
      <w:r>
        <w:rPr>
          <w:rFonts w:hint="eastAsia" w:ascii="宋体" w:hAnsi="宋体" w:cs="宋体"/>
          <w:color w:val="auto"/>
          <w:sz w:val="32"/>
          <w:szCs w:val="32"/>
          <w:highlight w:val="none"/>
          <w:u w:val="dotted"/>
        </w:rPr>
        <w:t xml:space="preserve">                                </w:t>
      </w:r>
    </w:p>
    <w:p w14:paraId="5EB24BAD">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0FDEEA7F">
      <w:pPr>
        <w:pageBreakBefore w:val="0"/>
        <w:wordWrap w:val="0"/>
        <w:overflowPunct/>
        <w:topLinePunct w:val="0"/>
        <w:bidi w:val="0"/>
        <w:spacing w:line="360" w:lineRule="auto"/>
        <w:ind w:firstLine="480" w:firstLineChars="150"/>
        <w:rPr>
          <w:rFonts w:ascii="宋体" w:hAnsi="宋体" w:cs="宋体"/>
          <w:color w:val="auto"/>
          <w:sz w:val="32"/>
          <w:szCs w:val="32"/>
          <w:highlight w:val="none"/>
        </w:rPr>
      </w:pPr>
      <w:r>
        <w:rPr>
          <w:rFonts w:hint="eastAsia" w:ascii="宋体" w:hAnsi="宋体" w:cs="宋体"/>
          <w:color w:val="auto"/>
          <w:sz w:val="32"/>
          <w:szCs w:val="32"/>
          <w:highlight w:val="none"/>
          <w:u w:val="dotted"/>
        </w:rPr>
        <w:t>采购人/代理机构</w:t>
      </w:r>
      <w:r>
        <w:rPr>
          <w:rFonts w:hint="eastAsia" w:ascii="宋体" w:hAnsi="宋体" w:cs="宋体"/>
          <w:color w:val="auto"/>
          <w:sz w:val="32"/>
          <w:szCs w:val="32"/>
          <w:highlight w:val="none"/>
        </w:rPr>
        <w:t>于</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年</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日,就质疑事项作出了答复/没有在法定期限内作出答复。</w:t>
      </w:r>
    </w:p>
    <w:p w14:paraId="741139B1">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四、投诉事项具体内容</w:t>
      </w:r>
    </w:p>
    <w:p w14:paraId="5636A943">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投诉事项 1：</w:t>
      </w:r>
      <w:r>
        <w:rPr>
          <w:rFonts w:hint="eastAsia" w:ascii="宋体" w:hAnsi="宋体" w:cs="宋体"/>
          <w:color w:val="auto"/>
          <w:sz w:val="32"/>
          <w:szCs w:val="32"/>
          <w:highlight w:val="none"/>
          <w:u w:val="dotted"/>
        </w:rPr>
        <w:t xml:space="preserve">                                       </w:t>
      </w:r>
    </w:p>
    <w:p w14:paraId="0CDDAFB8">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事实依据：</w:t>
      </w:r>
      <w:r>
        <w:rPr>
          <w:rFonts w:hint="eastAsia" w:ascii="宋体" w:hAnsi="宋体" w:cs="宋体"/>
          <w:color w:val="auto"/>
          <w:sz w:val="32"/>
          <w:szCs w:val="32"/>
          <w:highlight w:val="none"/>
          <w:u w:val="dotted"/>
        </w:rPr>
        <w:t xml:space="preserve">                                         </w:t>
      </w:r>
    </w:p>
    <w:p w14:paraId="2F25812A">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797D1ADA">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法律依据：</w:t>
      </w:r>
      <w:r>
        <w:rPr>
          <w:rFonts w:hint="eastAsia" w:ascii="宋体" w:hAnsi="宋体" w:cs="宋体"/>
          <w:color w:val="auto"/>
          <w:sz w:val="32"/>
          <w:szCs w:val="32"/>
          <w:highlight w:val="none"/>
          <w:u w:val="dotted"/>
        </w:rPr>
        <w:t xml:space="preserve">                                          </w:t>
      </w:r>
    </w:p>
    <w:p w14:paraId="1B735300">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u w:val="dotted"/>
        </w:rPr>
        <w:t xml:space="preserve">                                                      </w:t>
      </w:r>
    </w:p>
    <w:p w14:paraId="3530A0FE">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投诉事项2</w:t>
      </w:r>
    </w:p>
    <w:p w14:paraId="24F9CE03">
      <w:pPr>
        <w:pageBreakBefore w:val="0"/>
        <w:wordWrap w:val="0"/>
        <w:overflowPunct/>
        <w:topLinePunct w:val="0"/>
        <w:bidi w:val="0"/>
        <w:spacing w:line="360" w:lineRule="auto"/>
        <w:rPr>
          <w:rFonts w:ascii="宋体" w:hAnsi="宋体" w:cs="宋体"/>
          <w:color w:val="auto"/>
          <w:sz w:val="32"/>
          <w:szCs w:val="32"/>
          <w:highlight w:val="none"/>
          <w:u w:val="dotted"/>
        </w:rPr>
      </w:pPr>
      <w:r>
        <w:rPr>
          <w:rFonts w:hint="eastAsia" w:ascii="宋体" w:hAnsi="宋体" w:cs="宋体"/>
          <w:color w:val="auto"/>
          <w:sz w:val="32"/>
          <w:szCs w:val="32"/>
          <w:highlight w:val="none"/>
        </w:rPr>
        <w:t>……</w:t>
      </w:r>
    </w:p>
    <w:p w14:paraId="15964BBE">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五、与投诉事项相关的投诉请求</w:t>
      </w:r>
    </w:p>
    <w:p w14:paraId="5870E11E">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请求：</w:t>
      </w:r>
      <w:r>
        <w:rPr>
          <w:rFonts w:hint="eastAsia" w:ascii="宋体" w:hAnsi="宋体" w:cs="宋体"/>
          <w:color w:val="auto"/>
          <w:sz w:val="32"/>
          <w:szCs w:val="32"/>
          <w:highlight w:val="none"/>
          <w:u w:val="dotted"/>
        </w:rPr>
        <w:t xml:space="preserve">                                              </w:t>
      </w:r>
      <w:r>
        <w:rPr>
          <w:rFonts w:hint="eastAsia" w:ascii="宋体" w:hAnsi="宋体" w:cs="宋体"/>
          <w:color w:val="auto"/>
          <w:sz w:val="32"/>
          <w:szCs w:val="32"/>
          <w:highlight w:val="none"/>
        </w:rPr>
        <w:t xml:space="preserve"> </w:t>
      </w:r>
    </w:p>
    <w:p w14:paraId="751B42CE">
      <w:pPr>
        <w:pageBreakBefore w:val="0"/>
        <w:wordWrap w:val="0"/>
        <w:overflowPunct/>
        <w:topLinePunct w:val="0"/>
        <w:bidi w:val="0"/>
        <w:spacing w:line="360" w:lineRule="auto"/>
        <w:rPr>
          <w:rFonts w:ascii="宋体" w:hAnsi="宋体" w:cs="宋体"/>
          <w:color w:val="auto"/>
          <w:sz w:val="32"/>
          <w:szCs w:val="32"/>
          <w:highlight w:val="none"/>
          <w:u w:val="single"/>
        </w:rPr>
      </w:pPr>
      <w:r>
        <w:rPr>
          <w:rFonts w:hint="eastAsia" w:ascii="宋体" w:hAnsi="宋体" w:cs="宋体"/>
          <w:color w:val="auto"/>
          <w:sz w:val="32"/>
          <w:szCs w:val="32"/>
          <w:highlight w:val="none"/>
        </w:rPr>
        <w:t xml:space="preserve">                                                                                                    </w:t>
      </w:r>
    </w:p>
    <w:p w14:paraId="473A7069">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签字(签章)：                   公章：                      </w:t>
      </w:r>
    </w:p>
    <w:p w14:paraId="2BDCC9A9">
      <w:pPr>
        <w:pageBreakBefore w:val="0"/>
        <w:wordWrap w:val="0"/>
        <w:overflowPunct/>
        <w:topLinePunct w:val="0"/>
        <w:bidi w:val="0"/>
        <w:spacing w:line="360" w:lineRule="auto"/>
        <w:rPr>
          <w:rFonts w:ascii="宋体" w:hAnsi="宋体" w:cs="宋体"/>
          <w:color w:val="auto"/>
          <w:sz w:val="32"/>
          <w:szCs w:val="32"/>
          <w:highlight w:val="none"/>
        </w:rPr>
      </w:pPr>
      <w:r>
        <w:rPr>
          <w:rFonts w:hint="eastAsia" w:ascii="宋体" w:hAnsi="宋体" w:cs="宋体"/>
          <w:color w:val="auto"/>
          <w:sz w:val="32"/>
          <w:szCs w:val="32"/>
          <w:highlight w:val="none"/>
        </w:rPr>
        <w:t xml:space="preserve">日期：    </w:t>
      </w:r>
    </w:p>
    <w:p w14:paraId="685EB297">
      <w:pPr>
        <w:pageBreakBefore w:val="0"/>
        <w:wordWrap w:val="0"/>
        <w:overflowPunct/>
        <w:topLinePunct w:val="0"/>
        <w:bidi w:val="0"/>
        <w:spacing w:line="360" w:lineRule="auto"/>
        <w:rPr>
          <w:rFonts w:ascii="宋体" w:hAnsi="宋体" w:cs="宋体"/>
          <w:b/>
          <w:color w:val="auto"/>
          <w:sz w:val="32"/>
          <w:szCs w:val="32"/>
          <w:highlight w:val="none"/>
        </w:rPr>
      </w:pPr>
    </w:p>
    <w:p w14:paraId="211FA493">
      <w:pPr>
        <w:pageBreakBefore w:val="0"/>
        <w:wordWrap w:val="0"/>
        <w:overflowPunct/>
        <w:topLinePunct w:val="0"/>
        <w:bidi w:val="0"/>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投诉书制作说明：</w:t>
      </w:r>
    </w:p>
    <w:p w14:paraId="6CEA0ED2">
      <w:pPr>
        <w:pageBreakBefore w:val="0"/>
        <w:widowControl/>
        <w:wordWrap w:val="0"/>
        <w:overflowPunct/>
        <w:topLinePunct w:val="0"/>
        <w:bidi w:val="0"/>
        <w:spacing w:line="360" w:lineRule="auto"/>
        <w:ind w:firstLine="640" w:firstLineChars="200"/>
        <w:rPr>
          <w:rFonts w:ascii="宋体" w:hAnsi="宋体" w:cs="宋体"/>
          <w:color w:val="auto"/>
          <w:kern w:val="0"/>
          <w:sz w:val="32"/>
          <w:szCs w:val="32"/>
          <w:highlight w:val="none"/>
        </w:rPr>
      </w:pPr>
      <w:r>
        <w:rPr>
          <w:rFonts w:hint="eastAsia" w:ascii="宋体" w:hAnsi="宋体" w:cs="宋体"/>
          <w:color w:val="auto"/>
          <w:sz w:val="32"/>
          <w:szCs w:val="32"/>
          <w:highlight w:val="none"/>
        </w:rPr>
        <w:t>1.投诉人提起投诉时，应当提交投诉书和必要的证明材料，并按照被投诉人和与投诉事项有关的供应商数量提供投诉书副本。</w:t>
      </w:r>
    </w:p>
    <w:p w14:paraId="68979797">
      <w:pPr>
        <w:pageBreakBefore w:val="0"/>
        <w:widowControl/>
        <w:wordWrap w:val="0"/>
        <w:overflowPunct/>
        <w:topLinePunct w:val="0"/>
        <w:bidi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2.投诉人若委托代理人进行投诉的，投诉书应按照要求列明“授权代表”的有关内容，并在附件中提交由</w:t>
      </w:r>
      <w:r>
        <w:rPr>
          <w:rFonts w:hint="eastAsia" w:ascii="宋体" w:hAnsi="宋体" w:cs="宋体"/>
          <w:color w:val="auto"/>
          <w:kern w:val="0"/>
          <w:sz w:val="32"/>
          <w:szCs w:val="32"/>
          <w:highlight w:val="none"/>
        </w:rPr>
        <w:t>投诉人签署的授权委托书。授权委托书应当载明代理人的姓名或者名称、代理事项、具体权限、期限和相关事项。</w:t>
      </w:r>
    </w:p>
    <w:p w14:paraId="2BECBCFD">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3.投诉人若对项目的某一分包进行投诉，投诉书应列明具体分包号。</w:t>
      </w:r>
    </w:p>
    <w:p w14:paraId="75338C55">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4.投诉书应简要列明质疑事项，质疑函、质疑答复等作为附件材料提供。</w:t>
      </w:r>
    </w:p>
    <w:p w14:paraId="18019291">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5.投诉书的投诉事项应具体、明确，并有必要的事实依据和法律依据。</w:t>
      </w:r>
    </w:p>
    <w:p w14:paraId="7F8B9685">
      <w:pPr>
        <w:pageBreakBefore w:val="0"/>
        <w:widowControl/>
        <w:wordWrap w:val="0"/>
        <w:overflowPunct/>
        <w:topLinePunct w:val="0"/>
        <w:bidi w:val="0"/>
        <w:spacing w:line="360" w:lineRule="auto"/>
        <w:ind w:firstLine="640" w:firstLineChars="200"/>
        <w:jc w:val="left"/>
        <w:rPr>
          <w:rFonts w:ascii="宋体" w:hAnsi="宋体" w:cs="宋体"/>
          <w:color w:val="auto"/>
          <w:sz w:val="32"/>
          <w:szCs w:val="32"/>
          <w:highlight w:val="none"/>
        </w:rPr>
      </w:pPr>
      <w:r>
        <w:rPr>
          <w:rFonts w:hint="eastAsia" w:ascii="宋体" w:hAnsi="宋体" w:cs="宋体"/>
          <w:color w:val="auto"/>
          <w:sz w:val="32"/>
          <w:szCs w:val="32"/>
          <w:highlight w:val="none"/>
        </w:rPr>
        <w:t>6.投诉书的投诉请求应与投诉事项相关。</w:t>
      </w:r>
    </w:p>
    <w:p w14:paraId="01D2AC34">
      <w:pPr>
        <w:pageBreakBefore w:val="0"/>
        <w:widowControl/>
        <w:wordWrap w:val="0"/>
        <w:overflowPunct/>
        <w:topLinePunct w:val="0"/>
        <w:bidi w:val="0"/>
        <w:spacing w:line="360" w:lineRule="auto"/>
        <w:ind w:firstLine="640" w:firstLineChars="200"/>
        <w:jc w:val="left"/>
        <w:rPr>
          <w:rFonts w:ascii="宋体" w:hAnsi="宋体" w:cs="宋体"/>
          <w:color w:val="auto"/>
          <w:kern w:val="0"/>
          <w:sz w:val="32"/>
          <w:szCs w:val="32"/>
          <w:highlight w:val="none"/>
        </w:rPr>
      </w:pPr>
      <w:r>
        <w:rPr>
          <w:rFonts w:hint="eastAsia" w:ascii="宋体" w:hAnsi="宋体" w:cs="宋体"/>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1E1D83DE">
      <w:pPr>
        <w:pageBreakBefore w:val="0"/>
        <w:wordWrap w:val="0"/>
        <w:overflowPunct/>
        <w:topLinePunct w:val="0"/>
        <w:bidi w:val="0"/>
        <w:spacing w:line="360" w:lineRule="auto"/>
        <w:rPr>
          <w:rFonts w:ascii="宋体" w:hAnsi="宋体" w:cs="宋体"/>
          <w:color w:val="auto"/>
          <w:highlight w:val="none"/>
        </w:rPr>
      </w:pPr>
    </w:p>
    <w:p w14:paraId="64C7606A">
      <w:pPr>
        <w:pageBreakBefore w:val="0"/>
        <w:overflowPunct/>
        <w:topLinePunct w:val="0"/>
        <w:bidi w:val="0"/>
        <w:spacing w:line="360" w:lineRule="auto"/>
        <w:rPr>
          <w:color w:val="auto"/>
          <w:highlight w:val="none"/>
        </w:rPr>
      </w:pPr>
    </w:p>
    <w:sectPr>
      <w:footerReference r:id="rId15" w:type="first"/>
      <w:headerReference r:id="rId12" w:type="default"/>
      <w:footerReference r:id="rId13" w:type="default"/>
      <w:footerReference r:id="rId14" w:type="even"/>
      <w:pgSz w:w="11906" w:h="16838"/>
      <w:pgMar w:top="1440" w:right="1080" w:bottom="1440" w:left="1080"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686754-9415-468C-9448-62DA6008F81C}"/>
  </w:font>
  <w:font w:name="黑体">
    <w:panose1 w:val="02010609060101010101"/>
    <w:charset w:val="86"/>
    <w:family w:val="auto"/>
    <w:pitch w:val="default"/>
    <w:sig w:usb0="800002BF" w:usb1="38CF7CFA" w:usb2="00000016" w:usb3="00000000" w:csb0="00040001" w:csb1="00000000"/>
    <w:embedRegular r:id="rId2" w:fontKey="{1C240C44-E1E5-4648-9C0E-34535A2C07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E2EDFE42-A7C8-4873-A0D7-3BE2CCD69284}"/>
  </w:font>
  <w:font w:name="仿宋">
    <w:panose1 w:val="02010609060101010101"/>
    <w:charset w:val="86"/>
    <w:family w:val="modern"/>
    <w:pitch w:val="default"/>
    <w:sig w:usb0="800002BF" w:usb1="38CF7CFA" w:usb2="00000016" w:usb3="00000000" w:csb0="00040001" w:csb1="00000000"/>
    <w:embedRegular r:id="rId4" w:fontKey="{E42EAFCD-D8E1-4811-A5BB-3B8DDA0F0CB3}"/>
  </w:font>
  <w:font w:name="方正小标宋简体">
    <w:panose1 w:val="02000000000000000000"/>
    <w:charset w:val="86"/>
    <w:family w:val="auto"/>
    <w:pitch w:val="default"/>
    <w:sig w:usb0="00000001" w:usb1="08000000" w:usb2="00000000" w:usb3="00000000" w:csb0="00040000" w:csb1="00000000"/>
    <w:embedRegular r:id="rId5" w:fontKey="{568CC3AF-6E51-4C81-8B5A-1C887D23982C}"/>
  </w:font>
  <w:font w:name="楷体_GB2312">
    <w:panose1 w:val="02010609030101010101"/>
    <w:charset w:val="86"/>
    <w:family w:val="modern"/>
    <w:pitch w:val="default"/>
    <w:sig w:usb0="00000001" w:usb1="080E0000" w:usb2="00000000" w:usb3="00000000" w:csb0="00040000" w:csb1="00000000"/>
    <w:embedRegular r:id="rId6" w:fontKey="{AFDB840F-F057-4F27-964F-B0504C2FA8E3}"/>
  </w:font>
  <w:font w:name="方正小标宋_GBK">
    <w:panose1 w:val="02000000000000000000"/>
    <w:charset w:val="86"/>
    <w:family w:val="auto"/>
    <w:pitch w:val="default"/>
    <w:sig w:usb0="A00002BF" w:usb1="38CF7CFA" w:usb2="00082016" w:usb3="00000000" w:csb0="00040001" w:csb1="00000000"/>
    <w:embedRegular r:id="rId7" w:fontKey="{E6A27C6D-F26D-4B78-B25D-4B4B4CF6F185}"/>
  </w:font>
  <w:font w:name="Wingdings 2">
    <w:panose1 w:val="05020102010507070707"/>
    <w:charset w:val="02"/>
    <w:family w:val="roman"/>
    <w:pitch w:val="default"/>
    <w:sig w:usb0="00000000" w:usb1="00000000" w:usb2="00000000" w:usb3="00000000" w:csb0="80000000" w:csb1="00000000"/>
    <w:embedRegular r:id="rId8" w:fontKey="{EB88FE88-A034-45F5-B85B-CF4A078C585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547D3">
    <w:pPr>
      <w:pStyle w:val="13"/>
      <w:tabs>
        <w:tab w:val="center" w:pos="4873"/>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45EA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045EAC">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896A">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C8A89">
                          <w:pPr>
                            <w:pStyle w:val="1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FC8A89">
                    <w:pPr>
                      <w:pStyle w:val="1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9ADF5">
    <w:pPr>
      <w:pStyle w:val="1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AB21B7">
                          <w:pPr>
                            <w:pStyle w:val="13"/>
                            <w:jc w:val="center"/>
                          </w:pPr>
                          <w:r>
                            <w:fldChar w:fldCharType="begin"/>
                          </w:r>
                          <w:r>
                            <w:instrText xml:space="preserve"> PAGE   \* MERGEFORMAT </w:instrText>
                          </w:r>
                          <w:r>
                            <w:fldChar w:fldCharType="separate"/>
                          </w:r>
                          <w:r>
                            <w:rPr>
                              <w:lang w:val="zh-CN"/>
                            </w:rPr>
                            <w:t>3</w:t>
                          </w:r>
                          <w:r>
                            <w:rPr>
                              <w:lang w:val="zh-C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tICMgBAACZ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1Jm&#10;e7oAFXY9BuxL/Qff59YpD5jMqnsVbX6jHoJ1NPd0MVf2iYj8UbkqywJLAmvzAXHY0+chQvoovSU5&#10;qGnE2xtM5cd7SGPr3JKnOX+njcE8r4z7J4GYOcMy95FjjlK/6yfiO9+cUE+HF19Th3tOifnk0Ne8&#10;I3MQ52A3B4cQ9b5FasuBF4TbQ0ISA7c8YYSdBuONDeqm7cor8fw8dD39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MbSAjIAQAAmQMAAA4AAAAAAAAAAQAgAAAAHgEAAGRycy9lMm9Eb2Mu&#10;eG1sUEsFBgAAAAAGAAYAWQEAAFgFAAAAAA==&#10;">
              <v:fill on="f" focussize="0,0"/>
              <v:stroke on="f"/>
              <v:imagedata o:title=""/>
              <o:lock v:ext="edit" aspectratio="f"/>
              <v:textbox inset="0mm,0mm,0mm,0mm" style="mso-fit-shape-to-text:t;">
                <w:txbxContent>
                  <w:p w14:paraId="6FAB21B7">
                    <w:pPr>
                      <w:pStyle w:val="13"/>
                      <w:jc w:val="center"/>
                    </w:pPr>
                    <w:r>
                      <w:fldChar w:fldCharType="begin"/>
                    </w:r>
                    <w:r>
                      <w:instrText xml:space="preserve"> PAGE   \* MERGEFORMAT </w:instrText>
                    </w:r>
                    <w:r>
                      <w:fldChar w:fldCharType="separate"/>
                    </w:r>
                    <w:r>
                      <w:rPr>
                        <w:lang w:val="zh-CN"/>
                      </w:rPr>
                      <w:t>3</w:t>
                    </w:r>
                    <w:r>
                      <w:rPr>
                        <w:lang w:val="zh-CN"/>
                      </w:rPr>
                      <w:fldChar w:fldCharType="end"/>
                    </w:r>
                  </w:p>
                </w:txbxContent>
              </v:textbox>
            </v:shape>
          </w:pict>
        </mc:Fallback>
      </mc:AlternateContent>
    </w:r>
  </w:p>
  <w:p w14:paraId="1741BA1F">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4"/>
      </w:rPr>
      <w:id w:val="1820460292"/>
    </w:sdtPr>
    <w:sdtEndPr>
      <w:rPr>
        <w:sz w:val="21"/>
        <w:szCs w:val="24"/>
      </w:rPr>
    </w:sdtEndPr>
    <w:sdtContent>
      <w:p w14:paraId="52769441">
        <w:pPr>
          <w:pStyle w:val="13"/>
          <w:jc w:val="center"/>
        </w:pPr>
        <w:r>
          <w:fldChar w:fldCharType="begin"/>
        </w:r>
        <w:r>
          <w:instrText xml:space="preserve">PAGE   \* MERGEFORMAT</w:instrText>
        </w:r>
        <w:r>
          <w:fldChar w:fldCharType="separate"/>
        </w:r>
        <w:r>
          <w:rPr>
            <w:lang w:val="zh-CN"/>
          </w:rPr>
          <w:t>44</w:t>
        </w:r>
        <w:r>
          <w:rPr>
            <w:lang w:val="zh-CN"/>
          </w:rPr>
          <w:fldChar w:fldCharType="end"/>
        </w:r>
      </w:p>
    </w:sdtContent>
  </w:sdt>
  <w:p w14:paraId="2582DB51">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6F8E1">
    <w:pPr>
      <w:pStyle w:val="13"/>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AFD22">
                          <w:pPr>
                            <w:pStyle w:val="1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1AFD22">
                    <w:pPr>
                      <w:pStyle w:val="1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38104">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965C6">
                          <w:pPr>
                            <w:pStyle w:val="13"/>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CA965C6">
                    <w:pPr>
                      <w:pStyle w:val="13"/>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F5C93">
    <w:pPr>
      <w:pStyle w:val="1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7A5F8">
                          <w:pPr>
                            <w:pStyle w:val="13"/>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427A5F8">
                    <w:pPr>
                      <w:pStyle w:val="13"/>
                    </w:pPr>
                    <w:r>
                      <w:fldChar w:fldCharType="begin"/>
                    </w:r>
                    <w:r>
                      <w:instrText xml:space="preserve"> PAGE  \* MERGEFORMAT </w:instrText>
                    </w:r>
                    <w:r>
                      <w:fldChar w:fldCharType="separate"/>
                    </w:r>
                    <w:r>
                      <w:t>144</w:t>
                    </w:r>
                    <w:r>
                      <w:fldChar w:fldCharType="end"/>
                    </w:r>
                  </w:p>
                </w:txbxContent>
              </v:textbox>
            </v:shape>
          </w:pict>
        </mc:Fallback>
      </mc:AlternateContent>
    </w:r>
  </w:p>
  <w:p w14:paraId="5E54C676">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3CFF">
    <w:pPr>
      <w:pStyle w:val="13"/>
      <w:framePr w:wrap="around" w:vAnchor="text" w:hAnchor="margin" w:xAlign="center" w:y="1"/>
      <w:rPr>
        <w:rStyle w:val="24"/>
      </w:rPr>
    </w:pPr>
    <w:r>
      <w:fldChar w:fldCharType="begin"/>
    </w:r>
    <w:r>
      <w:rPr>
        <w:rStyle w:val="24"/>
      </w:rPr>
      <w:instrText xml:space="preserve">PAGE  </w:instrText>
    </w:r>
    <w:r>
      <w:fldChar w:fldCharType="end"/>
    </w:r>
  </w:p>
  <w:p w14:paraId="1025A096">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4488">
    <w:pPr>
      <w:pStyle w:val="13"/>
      <w:framePr w:wrap="around" w:vAnchor="text" w:hAnchor="margin" w:xAlign="right" w:y="1"/>
      <w:rPr>
        <w:rStyle w:val="24"/>
      </w:rPr>
    </w:pPr>
    <w:r>
      <w:fldChar w:fldCharType="begin"/>
    </w:r>
    <w:r>
      <w:rPr>
        <w:rStyle w:val="24"/>
      </w:rPr>
      <w:instrText xml:space="preserve">PAGE  </w:instrText>
    </w:r>
    <w:r>
      <w:fldChar w:fldCharType="separate"/>
    </w:r>
    <w:r>
      <w:rPr>
        <w:rStyle w:val="24"/>
      </w:rPr>
      <w:t>122</w:t>
    </w:r>
    <w:r>
      <w:fldChar w:fldCharType="end"/>
    </w:r>
  </w:p>
  <w:p w14:paraId="24B07228">
    <w:pPr>
      <w:pStyle w:val="13"/>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7AB20">
    <w:pPr>
      <w:widowControl/>
      <w:ind w:left="-360" w:right="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C09D">
    <w:pPr>
      <w:pStyle w:val="14"/>
      <w:pBdr>
        <w:bottom w:val="none" w:color="auto" w:sz="0" w:space="1"/>
      </w:pBdr>
      <w:tabs>
        <w:tab w:val="center" w:pos="0"/>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C5B1A">
    <w:pPr>
      <w:pStyle w:val="14"/>
      <w:pBdr>
        <w:bottom w:val="none" w:color="auto" w:sz="0" w:space="1"/>
      </w:pBdr>
      <w:tabs>
        <w:tab w:val="center" w:pos="0"/>
        <w:tab w:val="clear" w:pos="4153"/>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C7D2E">
    <w:pPr>
      <w:pStyle w:val="14"/>
      <w:jc w:val="right"/>
    </w:pPr>
    <w:r>
      <w:rPr>
        <w:rFonts w:hint="eastAsia"/>
      </w:rPr>
      <w:t>项目名称：</w:t>
    </w:r>
    <w:r>
      <w:rPr>
        <w:rFonts w:hint="eastAsia"/>
        <w:lang w:eastAsia="zh-CN"/>
      </w:rPr>
      <w:t>2025年南宁市道路绿化养护服务政府采购项目</w:t>
    </w:r>
    <w:r>
      <w:rPr>
        <w:rFonts w:hint="eastAsia"/>
      </w:rPr>
      <w:t>（项目编号：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6309BA"/>
    <w:multiLevelType w:val="singleLevel"/>
    <w:tmpl w:val="A16309BA"/>
    <w:lvl w:ilvl="0" w:tentative="0">
      <w:start w:val="1"/>
      <w:numFmt w:val="chineseCounting"/>
      <w:suff w:val="nothing"/>
      <w:lvlText w:val="%1、"/>
      <w:lvlJc w:val="left"/>
      <w:rPr>
        <w:rFonts w:hint="eastAsia"/>
      </w:rPr>
    </w:lvl>
  </w:abstractNum>
  <w:abstractNum w:abstractNumId="1">
    <w:nsid w:val="DC3C4FD3"/>
    <w:multiLevelType w:val="singleLevel"/>
    <w:tmpl w:val="DC3C4FD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CBAB584"/>
    <w:multiLevelType w:val="singleLevel"/>
    <w:tmpl w:val="0CBAB584"/>
    <w:lvl w:ilvl="0" w:tentative="0">
      <w:start w:val="2"/>
      <w:numFmt w:val="decimal"/>
      <w:suff w:val="nothing"/>
      <w:lvlText w:val="（%1）"/>
      <w:lvlJc w:val="left"/>
    </w:lvl>
  </w:abstractNum>
  <w:abstractNum w:abstractNumId="4">
    <w:nsid w:val="0FE5E72B"/>
    <w:multiLevelType w:val="singleLevel"/>
    <w:tmpl w:val="0FE5E72B"/>
    <w:lvl w:ilvl="0" w:tentative="0">
      <w:start w:val="1"/>
      <w:numFmt w:val="decimal"/>
      <w:suff w:val="nothing"/>
      <w:lvlText w:val="（%1）"/>
      <w:lvlJc w:val="left"/>
    </w:lvl>
  </w:abstractNum>
  <w:abstractNum w:abstractNumId="5">
    <w:nsid w:val="3187575E"/>
    <w:multiLevelType w:val="multilevel"/>
    <w:tmpl w:val="3187575E"/>
    <w:lvl w:ilvl="0" w:tentative="0">
      <w:start w:val="1"/>
      <w:numFmt w:val="japaneseCounting"/>
      <w:lvlText w:val="（%1）"/>
      <w:lvlJc w:val="left"/>
      <w:pPr>
        <w:tabs>
          <w:tab w:val="left" w:pos="1415"/>
        </w:tabs>
        <w:ind w:left="1415" w:hanging="8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1536378"/>
    <w:multiLevelType w:val="singleLevel"/>
    <w:tmpl w:val="51536378"/>
    <w:lvl w:ilvl="0" w:tentative="0">
      <w:start w:val="1"/>
      <w:numFmt w:val="decimal"/>
      <w:suff w:val="nothing"/>
      <w:lvlText w:val="（%1）"/>
      <w:lvlJc w:val="left"/>
      <w:pPr>
        <w:ind w:left="0" w:firstLine="0"/>
      </w:pPr>
    </w:lvl>
  </w:abstractNum>
  <w:abstractNum w:abstractNumId="7">
    <w:nsid w:val="657D3FBC"/>
    <w:multiLevelType w:val="multilevel"/>
    <w:tmpl w:val="657D3FBC"/>
    <w:lvl w:ilvl="0" w:tentative="0">
      <w:start w:val="1"/>
      <w:numFmt w:val="upperLetter"/>
      <w:pStyle w:val="37"/>
      <w:suff w:val="nothing"/>
      <w:lvlText w:val="附　录　%1"/>
      <w:lvlJc w:val="left"/>
      <w:pPr>
        <w:ind w:left="0" w:firstLine="0"/>
      </w:pPr>
      <w:rPr>
        <w:rFonts w:hint="eastAsia" w:ascii="黑体" w:hAnsi="Times New Roman" w:eastAsia="黑体"/>
        <w:b w:val="0"/>
        <w:i w:val="0"/>
        <w:sz w:val="21"/>
      </w:rPr>
    </w:lvl>
    <w:lvl w:ilvl="1" w:tentative="0">
      <w:start w:val="1"/>
      <w:numFmt w:val="decimal"/>
      <w:pStyle w:val="39"/>
      <w:suff w:val="nothing"/>
      <w:lvlText w:val="%1.%2　"/>
      <w:lvlJc w:val="left"/>
      <w:pPr>
        <w:ind w:left="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8">
    <w:nsid w:val="6CEA2025"/>
    <w:multiLevelType w:val="multilevel"/>
    <w:tmpl w:val="6CEA2025"/>
    <w:lvl w:ilvl="0" w:tentative="0">
      <w:start w:val="1"/>
      <w:numFmt w:val="none"/>
      <w:pStyle w:val="38"/>
      <w:suff w:val="nothing"/>
      <w:lvlText w:val="%1"/>
      <w:lvlJc w:val="left"/>
      <w:pPr>
        <w:ind w:left="0" w:firstLine="0"/>
      </w:pPr>
      <w:rPr>
        <w:rFonts w:hint="default" w:ascii="Times New Roman" w:hAnsi="Times New Roman" w:cs="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9">
    <w:nsid w:val="704FD9C0"/>
    <w:multiLevelType w:val="singleLevel"/>
    <w:tmpl w:val="704FD9C0"/>
    <w:lvl w:ilvl="0" w:tentative="0">
      <w:start w:val="2"/>
      <w:numFmt w:val="decimal"/>
      <w:lvlText w:val="%1."/>
      <w:lvlJc w:val="left"/>
      <w:pPr>
        <w:tabs>
          <w:tab w:val="left" w:pos="312"/>
        </w:tabs>
      </w:pPr>
    </w:lvl>
  </w:abstractNum>
  <w:abstractNum w:abstractNumId="10">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7"/>
  </w:num>
  <w:num w:numId="2">
    <w:abstractNumId w:val="8"/>
  </w:num>
  <w:num w:numId="3">
    <w:abstractNumId w:val="9"/>
  </w:num>
  <w:num w:numId="4">
    <w:abstractNumId w:val="5"/>
    <w:lvlOverride w:ilvl="0">
      <w:startOverride w:val="1"/>
    </w:lvlOverride>
  </w:num>
  <w:num w:numId="5">
    <w:abstractNumId w:val="3"/>
  </w:num>
  <w:num w:numId="6">
    <w:abstractNumId w:val="0"/>
  </w:num>
  <w:num w:numId="7">
    <w:abstractNumId w:val="4"/>
  </w:num>
  <w:num w:numId="8">
    <w:abstractNumId w:val="1"/>
  </w:num>
  <w:num w:numId="9">
    <w:abstractNumId w:val="6"/>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0JLwxMqQHr9+IMKr1fhOiYY6cHg=" w:salt="qVzm108uEU6dtxSEg1h6YA=="/>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iOTFhODhhODQ5MGE1NjQ3NjcyY2IzYTY3ZGMxNDUifQ=="/>
  </w:docVars>
  <w:rsids>
    <w:rsidRoot w:val="00000000"/>
    <w:rsid w:val="00121F55"/>
    <w:rsid w:val="002630BB"/>
    <w:rsid w:val="00351550"/>
    <w:rsid w:val="003B03D5"/>
    <w:rsid w:val="009F4C1B"/>
    <w:rsid w:val="00E61C06"/>
    <w:rsid w:val="00FA3E52"/>
    <w:rsid w:val="016C134C"/>
    <w:rsid w:val="01791910"/>
    <w:rsid w:val="01916C5A"/>
    <w:rsid w:val="01A9706E"/>
    <w:rsid w:val="01C76C64"/>
    <w:rsid w:val="020F5516"/>
    <w:rsid w:val="022434AA"/>
    <w:rsid w:val="035B7934"/>
    <w:rsid w:val="03936CB9"/>
    <w:rsid w:val="03E07A24"/>
    <w:rsid w:val="03E94B2B"/>
    <w:rsid w:val="04245136"/>
    <w:rsid w:val="048B5BE2"/>
    <w:rsid w:val="04C3537C"/>
    <w:rsid w:val="04D31260"/>
    <w:rsid w:val="04E57E5F"/>
    <w:rsid w:val="04F1084B"/>
    <w:rsid w:val="04F32E10"/>
    <w:rsid w:val="05191440"/>
    <w:rsid w:val="051A66FF"/>
    <w:rsid w:val="053578FC"/>
    <w:rsid w:val="05614B95"/>
    <w:rsid w:val="059A7FF8"/>
    <w:rsid w:val="05DF50B4"/>
    <w:rsid w:val="062743A8"/>
    <w:rsid w:val="064150F8"/>
    <w:rsid w:val="064A72F9"/>
    <w:rsid w:val="068C63E6"/>
    <w:rsid w:val="069C78A6"/>
    <w:rsid w:val="06DB08CB"/>
    <w:rsid w:val="06F1685A"/>
    <w:rsid w:val="07353773"/>
    <w:rsid w:val="07A115AA"/>
    <w:rsid w:val="07AD5B26"/>
    <w:rsid w:val="07E52840"/>
    <w:rsid w:val="081C4DA3"/>
    <w:rsid w:val="08210C3F"/>
    <w:rsid w:val="082C148A"/>
    <w:rsid w:val="085530EF"/>
    <w:rsid w:val="086C047F"/>
    <w:rsid w:val="088A0AD5"/>
    <w:rsid w:val="08DC4C5E"/>
    <w:rsid w:val="095755BC"/>
    <w:rsid w:val="09633D4C"/>
    <w:rsid w:val="096832A8"/>
    <w:rsid w:val="098350DA"/>
    <w:rsid w:val="09B07E99"/>
    <w:rsid w:val="09C747F8"/>
    <w:rsid w:val="09CA2D09"/>
    <w:rsid w:val="09D5113E"/>
    <w:rsid w:val="0A627318"/>
    <w:rsid w:val="0A637914"/>
    <w:rsid w:val="0A9B6453"/>
    <w:rsid w:val="0AE33117"/>
    <w:rsid w:val="0B0C3A2C"/>
    <w:rsid w:val="0B1F337C"/>
    <w:rsid w:val="0B4474F0"/>
    <w:rsid w:val="0B62022D"/>
    <w:rsid w:val="0B85016F"/>
    <w:rsid w:val="0B9F7AE6"/>
    <w:rsid w:val="0BCE2E8C"/>
    <w:rsid w:val="0BED2CDE"/>
    <w:rsid w:val="0C156296"/>
    <w:rsid w:val="0C4261B5"/>
    <w:rsid w:val="0C660A4F"/>
    <w:rsid w:val="0C840865"/>
    <w:rsid w:val="0CC634A7"/>
    <w:rsid w:val="0DA10224"/>
    <w:rsid w:val="0DA970D9"/>
    <w:rsid w:val="0DB717F6"/>
    <w:rsid w:val="0DD5707A"/>
    <w:rsid w:val="0E19600D"/>
    <w:rsid w:val="0E5A476E"/>
    <w:rsid w:val="0E615C83"/>
    <w:rsid w:val="0E625C06"/>
    <w:rsid w:val="0E9258D1"/>
    <w:rsid w:val="0E9C0CAF"/>
    <w:rsid w:val="0F5B2655"/>
    <w:rsid w:val="0FB87AA7"/>
    <w:rsid w:val="0FBC76C1"/>
    <w:rsid w:val="100A27E6"/>
    <w:rsid w:val="102F0B7B"/>
    <w:rsid w:val="10846DA4"/>
    <w:rsid w:val="110B7B99"/>
    <w:rsid w:val="1110518E"/>
    <w:rsid w:val="11186A50"/>
    <w:rsid w:val="11473AE5"/>
    <w:rsid w:val="117328B7"/>
    <w:rsid w:val="11C26472"/>
    <w:rsid w:val="11EC157F"/>
    <w:rsid w:val="12270C23"/>
    <w:rsid w:val="12AA7B7B"/>
    <w:rsid w:val="12E007D0"/>
    <w:rsid w:val="136610BC"/>
    <w:rsid w:val="137D3BAA"/>
    <w:rsid w:val="13E7095B"/>
    <w:rsid w:val="13F53078"/>
    <w:rsid w:val="13F56E49"/>
    <w:rsid w:val="141F4BCF"/>
    <w:rsid w:val="14221993"/>
    <w:rsid w:val="14337FB3"/>
    <w:rsid w:val="146B2753"/>
    <w:rsid w:val="149803FF"/>
    <w:rsid w:val="14C03686"/>
    <w:rsid w:val="1534197E"/>
    <w:rsid w:val="15877D00"/>
    <w:rsid w:val="15A33781"/>
    <w:rsid w:val="16314110"/>
    <w:rsid w:val="16907088"/>
    <w:rsid w:val="16B801B7"/>
    <w:rsid w:val="16E561C4"/>
    <w:rsid w:val="1713015F"/>
    <w:rsid w:val="173E43E9"/>
    <w:rsid w:val="1766487A"/>
    <w:rsid w:val="1774709D"/>
    <w:rsid w:val="1872043E"/>
    <w:rsid w:val="18DF382D"/>
    <w:rsid w:val="190460D4"/>
    <w:rsid w:val="190F4842"/>
    <w:rsid w:val="19257F5C"/>
    <w:rsid w:val="19310FB2"/>
    <w:rsid w:val="19424491"/>
    <w:rsid w:val="19502AFF"/>
    <w:rsid w:val="19925B38"/>
    <w:rsid w:val="19BA73EF"/>
    <w:rsid w:val="19DE22C0"/>
    <w:rsid w:val="19F56590"/>
    <w:rsid w:val="1A2431D0"/>
    <w:rsid w:val="1A462986"/>
    <w:rsid w:val="1A5A3C35"/>
    <w:rsid w:val="1A5F12C4"/>
    <w:rsid w:val="1B1D66C9"/>
    <w:rsid w:val="1B1F6C2C"/>
    <w:rsid w:val="1B2B3823"/>
    <w:rsid w:val="1B5B0FB2"/>
    <w:rsid w:val="1B60171F"/>
    <w:rsid w:val="1BA85C48"/>
    <w:rsid w:val="1BC51582"/>
    <w:rsid w:val="1BE872A1"/>
    <w:rsid w:val="1C314E69"/>
    <w:rsid w:val="1C7A52FD"/>
    <w:rsid w:val="1C7A5F5C"/>
    <w:rsid w:val="1C84080D"/>
    <w:rsid w:val="1CBD04AB"/>
    <w:rsid w:val="1D74500E"/>
    <w:rsid w:val="1D7A639C"/>
    <w:rsid w:val="1DCA2E80"/>
    <w:rsid w:val="1DCA7323"/>
    <w:rsid w:val="1DE81558"/>
    <w:rsid w:val="1E164317"/>
    <w:rsid w:val="1E303A3C"/>
    <w:rsid w:val="1E35170E"/>
    <w:rsid w:val="1E7B23CC"/>
    <w:rsid w:val="1E995E33"/>
    <w:rsid w:val="1EAB0F03"/>
    <w:rsid w:val="1EDA1DCA"/>
    <w:rsid w:val="1F1F61E5"/>
    <w:rsid w:val="1F47634C"/>
    <w:rsid w:val="1F5C3FAB"/>
    <w:rsid w:val="1FC251E9"/>
    <w:rsid w:val="1FD87CD3"/>
    <w:rsid w:val="1FE93853"/>
    <w:rsid w:val="20CD7372"/>
    <w:rsid w:val="21957C48"/>
    <w:rsid w:val="21BE2083"/>
    <w:rsid w:val="21DE514B"/>
    <w:rsid w:val="21FF3314"/>
    <w:rsid w:val="2280357B"/>
    <w:rsid w:val="22E50A83"/>
    <w:rsid w:val="22FB7F7F"/>
    <w:rsid w:val="23166AD4"/>
    <w:rsid w:val="232272BA"/>
    <w:rsid w:val="23F12414"/>
    <w:rsid w:val="240F3D17"/>
    <w:rsid w:val="24D665AE"/>
    <w:rsid w:val="250D4C07"/>
    <w:rsid w:val="25103F1D"/>
    <w:rsid w:val="25180974"/>
    <w:rsid w:val="25A246E2"/>
    <w:rsid w:val="26705CD7"/>
    <w:rsid w:val="268737C8"/>
    <w:rsid w:val="269A19B2"/>
    <w:rsid w:val="26AD333E"/>
    <w:rsid w:val="26F655FE"/>
    <w:rsid w:val="27090EBD"/>
    <w:rsid w:val="278422F1"/>
    <w:rsid w:val="27B25B40"/>
    <w:rsid w:val="27F2725B"/>
    <w:rsid w:val="285919D0"/>
    <w:rsid w:val="285C7226"/>
    <w:rsid w:val="28884063"/>
    <w:rsid w:val="28B26DCA"/>
    <w:rsid w:val="28D15A0A"/>
    <w:rsid w:val="29401650"/>
    <w:rsid w:val="294F692F"/>
    <w:rsid w:val="295403E9"/>
    <w:rsid w:val="29713F97"/>
    <w:rsid w:val="29714AF7"/>
    <w:rsid w:val="29C410CB"/>
    <w:rsid w:val="29C54E43"/>
    <w:rsid w:val="2A5C22C2"/>
    <w:rsid w:val="2ACB6489"/>
    <w:rsid w:val="2B342280"/>
    <w:rsid w:val="2B5D231A"/>
    <w:rsid w:val="2B732DA8"/>
    <w:rsid w:val="2C3F62B4"/>
    <w:rsid w:val="2C8464BB"/>
    <w:rsid w:val="2CEB2E12"/>
    <w:rsid w:val="2D1927C5"/>
    <w:rsid w:val="2D722ADE"/>
    <w:rsid w:val="2DB03710"/>
    <w:rsid w:val="2E026666"/>
    <w:rsid w:val="2E495095"/>
    <w:rsid w:val="2E9C2D3D"/>
    <w:rsid w:val="2EBC18D7"/>
    <w:rsid w:val="2EBC4A66"/>
    <w:rsid w:val="2F100774"/>
    <w:rsid w:val="2F68074A"/>
    <w:rsid w:val="2F8A5E71"/>
    <w:rsid w:val="2FC05E73"/>
    <w:rsid w:val="2FDE30CD"/>
    <w:rsid w:val="300351A8"/>
    <w:rsid w:val="30082097"/>
    <w:rsid w:val="30584ADD"/>
    <w:rsid w:val="30596F99"/>
    <w:rsid w:val="305C34E6"/>
    <w:rsid w:val="30890978"/>
    <w:rsid w:val="30BF099B"/>
    <w:rsid w:val="30F91D1F"/>
    <w:rsid w:val="31224929"/>
    <w:rsid w:val="31631466"/>
    <w:rsid w:val="319B4E07"/>
    <w:rsid w:val="319C46DB"/>
    <w:rsid w:val="32665609"/>
    <w:rsid w:val="32805DAB"/>
    <w:rsid w:val="33026AB6"/>
    <w:rsid w:val="33362D41"/>
    <w:rsid w:val="33576B0C"/>
    <w:rsid w:val="33B421B0"/>
    <w:rsid w:val="33DE08AA"/>
    <w:rsid w:val="341A3D5E"/>
    <w:rsid w:val="34645984"/>
    <w:rsid w:val="346516FC"/>
    <w:rsid w:val="346D235F"/>
    <w:rsid w:val="348E4338"/>
    <w:rsid w:val="34993154"/>
    <w:rsid w:val="34A55F9D"/>
    <w:rsid w:val="34DD36E9"/>
    <w:rsid w:val="34FA7BA3"/>
    <w:rsid w:val="353735E2"/>
    <w:rsid w:val="35725E7F"/>
    <w:rsid w:val="357C6CFE"/>
    <w:rsid w:val="35944047"/>
    <w:rsid w:val="35E55780"/>
    <w:rsid w:val="3652180C"/>
    <w:rsid w:val="36DF5796"/>
    <w:rsid w:val="36E70D89"/>
    <w:rsid w:val="36EA1AA7"/>
    <w:rsid w:val="36F01751"/>
    <w:rsid w:val="37353608"/>
    <w:rsid w:val="3768578B"/>
    <w:rsid w:val="37A8202C"/>
    <w:rsid w:val="37AB3A86"/>
    <w:rsid w:val="38397128"/>
    <w:rsid w:val="38AD1EBD"/>
    <w:rsid w:val="38F15A12"/>
    <w:rsid w:val="397F6DBC"/>
    <w:rsid w:val="3A780170"/>
    <w:rsid w:val="3AAA1C17"/>
    <w:rsid w:val="3AD5606C"/>
    <w:rsid w:val="3AFA37B9"/>
    <w:rsid w:val="3AFD387B"/>
    <w:rsid w:val="3B181276"/>
    <w:rsid w:val="3B3C1C66"/>
    <w:rsid w:val="3B8F36BD"/>
    <w:rsid w:val="3B912DD7"/>
    <w:rsid w:val="3BCB62E9"/>
    <w:rsid w:val="3C025A83"/>
    <w:rsid w:val="3C153A08"/>
    <w:rsid w:val="3C2974B3"/>
    <w:rsid w:val="3C4E7E14"/>
    <w:rsid w:val="3D344362"/>
    <w:rsid w:val="3D7644F1"/>
    <w:rsid w:val="3D850719"/>
    <w:rsid w:val="3D994BEB"/>
    <w:rsid w:val="3DCC459A"/>
    <w:rsid w:val="3DE622E4"/>
    <w:rsid w:val="3E0D2376"/>
    <w:rsid w:val="3E78202C"/>
    <w:rsid w:val="3EA31FB1"/>
    <w:rsid w:val="3EBC016B"/>
    <w:rsid w:val="3EC15781"/>
    <w:rsid w:val="3EF47905"/>
    <w:rsid w:val="3EFF26B8"/>
    <w:rsid w:val="3F1B7587"/>
    <w:rsid w:val="3F461CB5"/>
    <w:rsid w:val="3FA4757D"/>
    <w:rsid w:val="3FAE3F57"/>
    <w:rsid w:val="404E1296"/>
    <w:rsid w:val="40867B64"/>
    <w:rsid w:val="40A324F0"/>
    <w:rsid w:val="40D37309"/>
    <w:rsid w:val="418821DE"/>
    <w:rsid w:val="42473A3F"/>
    <w:rsid w:val="428778CC"/>
    <w:rsid w:val="42DF2EEE"/>
    <w:rsid w:val="431F4F6F"/>
    <w:rsid w:val="434172B6"/>
    <w:rsid w:val="434626F9"/>
    <w:rsid w:val="436037BB"/>
    <w:rsid w:val="436777F7"/>
    <w:rsid w:val="437D46D7"/>
    <w:rsid w:val="43A7763B"/>
    <w:rsid w:val="44134CD1"/>
    <w:rsid w:val="441B5933"/>
    <w:rsid w:val="443F7B33"/>
    <w:rsid w:val="4450382F"/>
    <w:rsid w:val="44A441FA"/>
    <w:rsid w:val="45316114"/>
    <w:rsid w:val="45444DCB"/>
    <w:rsid w:val="454937BA"/>
    <w:rsid w:val="457F22CF"/>
    <w:rsid w:val="45CF2E79"/>
    <w:rsid w:val="45FF7A58"/>
    <w:rsid w:val="46566582"/>
    <w:rsid w:val="46595178"/>
    <w:rsid w:val="47013507"/>
    <w:rsid w:val="47AA76FA"/>
    <w:rsid w:val="47B46CC8"/>
    <w:rsid w:val="48362D3C"/>
    <w:rsid w:val="48855A71"/>
    <w:rsid w:val="488B3070"/>
    <w:rsid w:val="48C61658"/>
    <w:rsid w:val="49892771"/>
    <w:rsid w:val="49894027"/>
    <w:rsid w:val="49E54A1A"/>
    <w:rsid w:val="4A7851F2"/>
    <w:rsid w:val="4AD60806"/>
    <w:rsid w:val="4B413238"/>
    <w:rsid w:val="4B6C25C1"/>
    <w:rsid w:val="4B7122DD"/>
    <w:rsid w:val="4B861D1F"/>
    <w:rsid w:val="4B944949"/>
    <w:rsid w:val="4BA15CE6"/>
    <w:rsid w:val="4BB548C0"/>
    <w:rsid w:val="4BEB6533"/>
    <w:rsid w:val="4C325F10"/>
    <w:rsid w:val="4C776C96"/>
    <w:rsid w:val="4CAF130F"/>
    <w:rsid w:val="4CB4635D"/>
    <w:rsid w:val="4CF66F3E"/>
    <w:rsid w:val="4D3A4434"/>
    <w:rsid w:val="4D7B6C5B"/>
    <w:rsid w:val="4DBC3CE3"/>
    <w:rsid w:val="4DEB281B"/>
    <w:rsid w:val="4E061402"/>
    <w:rsid w:val="4E9544A2"/>
    <w:rsid w:val="4EEB1B57"/>
    <w:rsid w:val="4F4B4A43"/>
    <w:rsid w:val="4F8521C6"/>
    <w:rsid w:val="4FAE2B65"/>
    <w:rsid w:val="4FCB46B2"/>
    <w:rsid w:val="506B379F"/>
    <w:rsid w:val="50AE7DFE"/>
    <w:rsid w:val="50E13A61"/>
    <w:rsid w:val="50EC2B32"/>
    <w:rsid w:val="50F038F1"/>
    <w:rsid w:val="513444D8"/>
    <w:rsid w:val="51475FBA"/>
    <w:rsid w:val="514B6E1C"/>
    <w:rsid w:val="51A755DB"/>
    <w:rsid w:val="51AC300E"/>
    <w:rsid w:val="51C770FB"/>
    <w:rsid w:val="51E90E1F"/>
    <w:rsid w:val="522E68AE"/>
    <w:rsid w:val="523F4EE3"/>
    <w:rsid w:val="52B256B5"/>
    <w:rsid w:val="52DA28FD"/>
    <w:rsid w:val="52E66F51"/>
    <w:rsid w:val="52F368EA"/>
    <w:rsid w:val="535D45AB"/>
    <w:rsid w:val="53DA1367"/>
    <w:rsid w:val="5480660F"/>
    <w:rsid w:val="54AE2AA1"/>
    <w:rsid w:val="551F34D1"/>
    <w:rsid w:val="5537019F"/>
    <w:rsid w:val="55823A64"/>
    <w:rsid w:val="559B4B26"/>
    <w:rsid w:val="55CC7BDF"/>
    <w:rsid w:val="55D95B86"/>
    <w:rsid w:val="55EB11F2"/>
    <w:rsid w:val="5610587E"/>
    <w:rsid w:val="563034C0"/>
    <w:rsid w:val="563460EA"/>
    <w:rsid w:val="56494582"/>
    <w:rsid w:val="568A2DC4"/>
    <w:rsid w:val="56BA46BB"/>
    <w:rsid w:val="56C56A6D"/>
    <w:rsid w:val="56CA2972"/>
    <w:rsid w:val="56FE23DF"/>
    <w:rsid w:val="572E1A93"/>
    <w:rsid w:val="579D6934"/>
    <w:rsid w:val="593E4146"/>
    <w:rsid w:val="59961BB6"/>
    <w:rsid w:val="59BF3383"/>
    <w:rsid w:val="5A9D1810"/>
    <w:rsid w:val="5ABD553F"/>
    <w:rsid w:val="5ADE5637"/>
    <w:rsid w:val="5B1038C0"/>
    <w:rsid w:val="5B7B51DE"/>
    <w:rsid w:val="5B8370C6"/>
    <w:rsid w:val="5B982E74"/>
    <w:rsid w:val="5C4A2B10"/>
    <w:rsid w:val="5C5F68AD"/>
    <w:rsid w:val="5CA52C16"/>
    <w:rsid w:val="5CB50DF3"/>
    <w:rsid w:val="5D1435BD"/>
    <w:rsid w:val="5D245A96"/>
    <w:rsid w:val="5D685645"/>
    <w:rsid w:val="5D962588"/>
    <w:rsid w:val="5DA76817"/>
    <w:rsid w:val="5DCB49C8"/>
    <w:rsid w:val="5E237CC3"/>
    <w:rsid w:val="5E45329D"/>
    <w:rsid w:val="5E7626D0"/>
    <w:rsid w:val="5E7E6D93"/>
    <w:rsid w:val="5EC3791D"/>
    <w:rsid w:val="5EF84D97"/>
    <w:rsid w:val="5F382B9C"/>
    <w:rsid w:val="5F861E6A"/>
    <w:rsid w:val="5FB23198"/>
    <w:rsid w:val="604819B4"/>
    <w:rsid w:val="60C70EE9"/>
    <w:rsid w:val="60ED0EBB"/>
    <w:rsid w:val="611116A2"/>
    <w:rsid w:val="6122434D"/>
    <w:rsid w:val="6180045E"/>
    <w:rsid w:val="61834DEC"/>
    <w:rsid w:val="61B825BC"/>
    <w:rsid w:val="62054C70"/>
    <w:rsid w:val="62135F07"/>
    <w:rsid w:val="623936FD"/>
    <w:rsid w:val="62C3746A"/>
    <w:rsid w:val="636E387A"/>
    <w:rsid w:val="639F1C85"/>
    <w:rsid w:val="63E96E4E"/>
    <w:rsid w:val="648D5F82"/>
    <w:rsid w:val="64964E36"/>
    <w:rsid w:val="64E75692"/>
    <w:rsid w:val="650815C7"/>
    <w:rsid w:val="65206DF6"/>
    <w:rsid w:val="65E248C3"/>
    <w:rsid w:val="66024613"/>
    <w:rsid w:val="660C498C"/>
    <w:rsid w:val="66A51361"/>
    <w:rsid w:val="66B063DE"/>
    <w:rsid w:val="66E873CE"/>
    <w:rsid w:val="672203E0"/>
    <w:rsid w:val="6736645D"/>
    <w:rsid w:val="67376E1B"/>
    <w:rsid w:val="67803B7C"/>
    <w:rsid w:val="6809724F"/>
    <w:rsid w:val="681D65C0"/>
    <w:rsid w:val="68AF63BA"/>
    <w:rsid w:val="68BF39C2"/>
    <w:rsid w:val="68D423D1"/>
    <w:rsid w:val="6904009B"/>
    <w:rsid w:val="693469CC"/>
    <w:rsid w:val="69BB533F"/>
    <w:rsid w:val="6A640234"/>
    <w:rsid w:val="6A687275"/>
    <w:rsid w:val="6ABD22EB"/>
    <w:rsid w:val="6AD00976"/>
    <w:rsid w:val="6AFF65CB"/>
    <w:rsid w:val="6B246DE4"/>
    <w:rsid w:val="6BB51303"/>
    <w:rsid w:val="6BE22ED2"/>
    <w:rsid w:val="6BF75717"/>
    <w:rsid w:val="6C6E69FD"/>
    <w:rsid w:val="6D1A412B"/>
    <w:rsid w:val="6D65184A"/>
    <w:rsid w:val="6DB4323D"/>
    <w:rsid w:val="6E492F1A"/>
    <w:rsid w:val="6E4E4B30"/>
    <w:rsid w:val="6E6B7334"/>
    <w:rsid w:val="6EA2262A"/>
    <w:rsid w:val="6EA75E92"/>
    <w:rsid w:val="6EA945F3"/>
    <w:rsid w:val="6EB20ABF"/>
    <w:rsid w:val="6F5450B9"/>
    <w:rsid w:val="6F9208F0"/>
    <w:rsid w:val="6FA0300D"/>
    <w:rsid w:val="703F78AD"/>
    <w:rsid w:val="706E5EAC"/>
    <w:rsid w:val="70D0347E"/>
    <w:rsid w:val="71973F9C"/>
    <w:rsid w:val="71C37738"/>
    <w:rsid w:val="71F075DC"/>
    <w:rsid w:val="71F413EE"/>
    <w:rsid w:val="7246066A"/>
    <w:rsid w:val="72697560"/>
    <w:rsid w:val="72734A09"/>
    <w:rsid w:val="72B3122D"/>
    <w:rsid w:val="72BD5C84"/>
    <w:rsid w:val="72D84E2B"/>
    <w:rsid w:val="732B767C"/>
    <w:rsid w:val="733B04FD"/>
    <w:rsid w:val="73426189"/>
    <w:rsid w:val="73522870"/>
    <w:rsid w:val="7354736E"/>
    <w:rsid w:val="73E31971"/>
    <w:rsid w:val="74411BD6"/>
    <w:rsid w:val="7480340D"/>
    <w:rsid w:val="74827185"/>
    <w:rsid w:val="749D5D6D"/>
    <w:rsid w:val="74D140B1"/>
    <w:rsid w:val="75434E51"/>
    <w:rsid w:val="755754B0"/>
    <w:rsid w:val="75752CEA"/>
    <w:rsid w:val="75A20D7B"/>
    <w:rsid w:val="75DF5636"/>
    <w:rsid w:val="76277FE4"/>
    <w:rsid w:val="764947DA"/>
    <w:rsid w:val="76BC23E0"/>
    <w:rsid w:val="772267B3"/>
    <w:rsid w:val="77274014"/>
    <w:rsid w:val="772C33D8"/>
    <w:rsid w:val="778A52DF"/>
    <w:rsid w:val="77A86F03"/>
    <w:rsid w:val="7803238B"/>
    <w:rsid w:val="781C51FB"/>
    <w:rsid w:val="7827593F"/>
    <w:rsid w:val="78436C2C"/>
    <w:rsid w:val="78476C95"/>
    <w:rsid w:val="7855299C"/>
    <w:rsid w:val="785C4A07"/>
    <w:rsid w:val="786B66C7"/>
    <w:rsid w:val="78DE109B"/>
    <w:rsid w:val="79051D40"/>
    <w:rsid w:val="7920373C"/>
    <w:rsid w:val="79231CC3"/>
    <w:rsid w:val="79515378"/>
    <w:rsid w:val="795A422D"/>
    <w:rsid w:val="797641D4"/>
    <w:rsid w:val="79B53DAF"/>
    <w:rsid w:val="79F81486"/>
    <w:rsid w:val="7A1E16FE"/>
    <w:rsid w:val="7A1E7A4E"/>
    <w:rsid w:val="7A4B6656"/>
    <w:rsid w:val="7B09415C"/>
    <w:rsid w:val="7B5B24DE"/>
    <w:rsid w:val="7B98103C"/>
    <w:rsid w:val="7BA9149B"/>
    <w:rsid w:val="7BB120FE"/>
    <w:rsid w:val="7BD90913"/>
    <w:rsid w:val="7C2E374F"/>
    <w:rsid w:val="7C5104C0"/>
    <w:rsid w:val="7C5739DF"/>
    <w:rsid w:val="7CCC14D9"/>
    <w:rsid w:val="7CD16439"/>
    <w:rsid w:val="7D1C7A4B"/>
    <w:rsid w:val="7D2A7645"/>
    <w:rsid w:val="7D2D3A06"/>
    <w:rsid w:val="7D423956"/>
    <w:rsid w:val="7D6A4B3F"/>
    <w:rsid w:val="7DB66434"/>
    <w:rsid w:val="7E1F2F63"/>
    <w:rsid w:val="7E305931"/>
    <w:rsid w:val="7E3314F0"/>
    <w:rsid w:val="7E601D35"/>
    <w:rsid w:val="7E851D4C"/>
    <w:rsid w:val="7EDA1E09"/>
    <w:rsid w:val="7EDC3936"/>
    <w:rsid w:val="7F50102C"/>
    <w:rsid w:val="7F5E259D"/>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name="toc 1"/>
    <w:lsdException w:qFormat="1" w:uiPriority="39" w:name="toc 2"/>
    <w:lsdException w:qFormat="1" w:uiPriority="3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iPriority="99"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5"/>
    <w:qFormat/>
    <w:uiPriority w:val="0"/>
    <w:pPr>
      <w:keepNext/>
      <w:keepLines/>
      <w:spacing w:before="100" w:beforeLines="0" w:beforeAutospacing="0" w:after="90" w:afterLines="0" w:afterAutospacing="0" w:line="576" w:lineRule="auto"/>
      <w:outlineLvl w:val="0"/>
    </w:pPr>
    <w:rPr>
      <w:rFonts w:ascii="Times New Roman" w:hAnsi="Times New Roman" w:eastAsia="宋体" w:cs="Times New Roman"/>
      <w:b/>
      <w:kern w:val="44"/>
      <w:sz w:val="32"/>
    </w:rPr>
  </w:style>
  <w:style w:type="paragraph" w:styleId="3">
    <w:name w:val="heading 2"/>
    <w:basedOn w:val="1"/>
    <w:next w:val="1"/>
    <w:semiHidden/>
    <w:unhideWhenUsed/>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semiHidden/>
    <w:unhideWhenUsed/>
    <w:qFormat/>
    <w:uiPriority w:val="9"/>
    <w:pPr>
      <w:keepNext/>
      <w:keepLines/>
      <w:spacing w:line="600" w:lineRule="exact"/>
      <w:ind w:firstLine="643" w:firstLineChars="200"/>
      <w:outlineLvl w:val="2"/>
    </w:pPr>
    <w:rPr>
      <w:b/>
      <w:bCs/>
      <w:sz w:val="32"/>
      <w:szCs w:val="32"/>
    </w:rPr>
  </w:style>
  <w:style w:type="paragraph" w:styleId="5">
    <w:name w:val="heading 4"/>
    <w:basedOn w:val="1"/>
    <w:next w:val="1"/>
    <w:qFormat/>
    <w:uiPriority w:val="0"/>
    <w:pPr>
      <w:tabs>
        <w:tab w:val="left" w:pos="2155"/>
      </w:tabs>
      <w:adjustRightInd w:val="0"/>
      <w:spacing w:before="120" w:beforeLines="0" w:line="360" w:lineRule="auto"/>
      <w:ind w:left="2155" w:hanging="1078"/>
      <w:textAlignment w:val="baseline"/>
      <w:outlineLvl w:val="3"/>
    </w:pPr>
    <w:rPr>
      <w:rFonts w:ascii="Arial" w:eastAsia="黑体"/>
      <w:kern w:val="0"/>
      <w:sz w:val="28"/>
      <w:szCs w:val="20"/>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6">
    <w:name w:val="index 8"/>
    <w:basedOn w:val="1"/>
    <w:next w:val="1"/>
    <w:qFormat/>
    <w:uiPriority w:val="0"/>
    <w:pPr>
      <w:ind w:left="2940"/>
    </w:pPr>
    <w:rPr>
      <w:rFonts w:ascii="Calibri" w:hAnsi="Calibri" w:eastAsia="宋体" w:cs="Times New Roman"/>
    </w:rPr>
  </w:style>
  <w:style w:type="paragraph" w:styleId="7">
    <w:name w:val="Normal Indent"/>
    <w:basedOn w:val="1"/>
    <w:semiHidden/>
    <w:unhideWhenUsed/>
    <w:qFormat/>
    <w:uiPriority w:val="99"/>
    <w:pPr>
      <w:ind w:firstLine="420"/>
    </w:pPr>
    <w:rPr>
      <w:szCs w:val="20"/>
    </w:rPr>
  </w:style>
  <w:style w:type="paragraph" w:styleId="8">
    <w:name w:val="annotation text"/>
    <w:basedOn w:val="1"/>
    <w:semiHidden/>
    <w:unhideWhenUsed/>
    <w:qFormat/>
    <w:uiPriority w:val="99"/>
    <w:pPr>
      <w:jc w:val="left"/>
    </w:pPr>
  </w:style>
  <w:style w:type="paragraph" w:styleId="9">
    <w:name w:val="Body Text"/>
    <w:basedOn w:val="1"/>
    <w:next w:val="1"/>
    <w:qFormat/>
    <w:uiPriority w:val="0"/>
    <w:pPr>
      <w:spacing w:after="120"/>
    </w:pPr>
  </w:style>
  <w:style w:type="paragraph" w:styleId="10">
    <w:name w:val="Body Text Indent"/>
    <w:basedOn w:val="1"/>
    <w:semiHidden/>
    <w:unhideWhenUsed/>
    <w:qFormat/>
    <w:uiPriority w:val="99"/>
    <w:pPr>
      <w:spacing w:line="200" w:lineRule="exact"/>
      <w:ind w:firstLine="301"/>
    </w:pPr>
    <w:rPr>
      <w:rFonts w:ascii="宋体" w:hAnsi="Courier New"/>
      <w:spacing w:val="-4"/>
      <w:sz w:val="18"/>
      <w:szCs w:val="20"/>
    </w:rPr>
  </w:style>
  <w:style w:type="paragraph" w:styleId="11">
    <w:name w:val="toc 3"/>
    <w:basedOn w:val="1"/>
    <w:next w:val="1"/>
    <w:semiHidden/>
    <w:unhideWhenUsed/>
    <w:qFormat/>
    <w:uiPriority w:val="39"/>
    <w:pPr>
      <w:jc w:val="left"/>
    </w:pPr>
    <w:rPr>
      <w:rFonts w:ascii="Calibri" w:hAnsi="Calibri"/>
      <w:smallCaps/>
      <w:sz w:val="22"/>
      <w:szCs w:val="22"/>
    </w:rPr>
  </w:style>
  <w:style w:type="paragraph" w:styleId="12">
    <w:name w:val="Plain Text"/>
    <w:basedOn w:val="1"/>
    <w:next w:val="6"/>
    <w:qFormat/>
    <w:uiPriority w:val="0"/>
    <w:rPr>
      <w:rFonts w:ascii="宋体" w:hAnsi="Courier New"/>
      <w:szCs w:val="20"/>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unhideWhenUsed/>
    <w:qFormat/>
    <w:uiPriority w:val="39"/>
    <w:pPr>
      <w:spacing w:before="360" w:after="360"/>
      <w:jc w:val="left"/>
    </w:pPr>
    <w:rPr>
      <w:rFonts w:ascii="Calibri" w:hAnsi="Calibri"/>
      <w:b/>
      <w:bCs/>
      <w:caps/>
      <w:sz w:val="22"/>
      <w:szCs w:val="22"/>
      <w:u w:val="single"/>
    </w:rPr>
  </w:style>
  <w:style w:type="paragraph" w:styleId="16">
    <w:name w:val="List"/>
    <w:basedOn w:val="1"/>
    <w:semiHidden/>
    <w:unhideWhenUsed/>
    <w:qFormat/>
    <w:uiPriority w:val="99"/>
    <w:pPr>
      <w:ind w:left="200" w:hanging="200" w:hangingChars="200"/>
    </w:pPr>
    <w:rPr>
      <w:sz w:val="28"/>
    </w:rPr>
  </w:style>
  <w:style w:type="paragraph" w:styleId="17">
    <w:name w:val="toc 2"/>
    <w:basedOn w:val="1"/>
    <w:next w:val="1"/>
    <w:semiHidden/>
    <w:unhideWhenUsed/>
    <w:qFormat/>
    <w:uiPriority w:val="39"/>
    <w:pPr>
      <w:jc w:val="left"/>
    </w:pPr>
    <w:rPr>
      <w:rFonts w:ascii="Calibri" w:hAnsi="Calibri"/>
      <w:b/>
      <w:bCs/>
      <w:smallCaps/>
      <w:sz w:val="22"/>
      <w:szCs w:val="22"/>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9"/>
    <w:qFormat/>
    <w:uiPriority w:val="0"/>
    <w:pPr>
      <w:spacing w:after="120" w:afterLines="0" w:line="240" w:lineRule="auto"/>
      <w:ind w:firstLine="420" w:firstLineChars="100"/>
    </w:pPr>
    <w:rPr>
      <w:rFonts w:ascii="Times New Roman" w:hAnsi="Times New Roman" w:eastAsia="宋体" w:cs="Times New Roman"/>
      <w:sz w:val="21"/>
    </w:rPr>
  </w:style>
  <w:style w:type="table" w:styleId="21">
    <w:name w:val="Table Grid"/>
    <w:basedOn w:val="2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semiHidden/>
    <w:unhideWhenUsed/>
    <w:qFormat/>
    <w:uiPriority w:val="99"/>
  </w:style>
  <w:style w:type="character" w:styleId="25">
    <w:name w:val="Hyperlink"/>
    <w:qFormat/>
    <w:uiPriority w:val="99"/>
    <w:rPr>
      <w:color w:val="0000CC"/>
      <w:u w:val="none"/>
    </w:rPr>
  </w:style>
  <w:style w:type="paragraph" w:customStyle="1" w:styleId="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
    <w:name w:val="表格文字"/>
    <w:basedOn w:val="1"/>
    <w:next w:val="9"/>
    <w:qFormat/>
    <w:uiPriority w:val="99"/>
    <w:pPr>
      <w:spacing w:before="25" w:after="25"/>
    </w:pPr>
    <w:rPr>
      <w:bCs/>
      <w:spacing w:val="10"/>
      <w:sz w:val="24"/>
      <w:szCs w:val="20"/>
    </w:rPr>
  </w:style>
  <w:style w:type="character" w:customStyle="1" w:styleId="2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29">
    <w:name w:val="正文2"/>
    <w:basedOn w:val="1"/>
    <w:qFormat/>
    <w:uiPriority w:val="0"/>
    <w:pPr>
      <w:adjustRightInd w:val="0"/>
      <w:spacing w:before="156" w:line="360" w:lineRule="auto"/>
      <w:ind w:firstLine="510" w:firstLineChars="200"/>
    </w:pPr>
    <w:rPr>
      <w:sz w:val="24"/>
      <w:szCs w:val="20"/>
    </w:rPr>
  </w:style>
  <w:style w:type="paragraph" w:customStyle="1" w:styleId="30">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2">
    <w:name w:val="列出段落1"/>
    <w:basedOn w:val="1"/>
    <w:qFormat/>
    <w:uiPriority w:val="0"/>
    <w:pPr>
      <w:keepNext w:val="0"/>
      <w:keepLines w:val="0"/>
      <w:widowControl w:val="0"/>
      <w:suppressLineNumbers w:val="0"/>
      <w:spacing w:before="100" w:beforeAutospacing="1" w:after="100" w:afterAutospacing="1" w:line="36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customStyle="1" w:styleId="33">
    <w:name w:val="正文1"/>
    <w:qFormat/>
    <w:uiPriority w:val="0"/>
    <w:pPr>
      <w:jc w:val="both"/>
    </w:pPr>
    <w:rPr>
      <w:rFonts w:ascii="Times New Roman" w:hAnsi="Times New Roman" w:eastAsia="宋体" w:cs="Times New Roman"/>
      <w:kern w:val="2"/>
      <w:sz w:val="21"/>
      <w:szCs w:val="21"/>
      <w:lang w:val="en-US" w:eastAsia="zh-CN" w:bidi="ar-SA"/>
    </w:rPr>
  </w:style>
  <w:style w:type="paragraph" w:styleId="34">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4"/>
    </w:rPr>
  </w:style>
  <w:style w:type="character" w:customStyle="1" w:styleId="35">
    <w:name w:val="标题 1 Char"/>
    <w:link w:val="2"/>
    <w:qFormat/>
    <w:uiPriority w:val="0"/>
    <w:rPr>
      <w:rFonts w:ascii="Times New Roman" w:hAnsi="Times New Roman" w:eastAsia="宋体" w:cs="Times New Roman"/>
      <w:b/>
      <w:kern w:val="44"/>
      <w:sz w:val="32"/>
    </w:rPr>
  </w:style>
  <w:style w:type="paragraph" w:customStyle="1" w:styleId="3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
    <w:name w:val="附录标识"/>
    <w:basedOn w:val="38"/>
    <w:autoRedefine/>
    <w:qFormat/>
    <w:uiPriority w:val="0"/>
    <w:pPr>
      <w:numPr>
        <w:ilvl w:val="0"/>
        <w:numId w:val="1"/>
      </w:numPr>
      <w:tabs>
        <w:tab w:val="left" w:pos="6405"/>
      </w:tabs>
      <w:spacing w:after="200"/>
    </w:pPr>
    <w:rPr>
      <w:sz w:val="21"/>
    </w:rPr>
  </w:style>
  <w:style w:type="paragraph" w:customStyle="1" w:styleId="38">
    <w:name w:val="前言、引言标题"/>
    <w:next w:val="1"/>
    <w:autoRedefine/>
    <w:qFormat/>
    <w:uiPriority w:val="0"/>
    <w:pPr>
      <w:numPr>
        <w:ilvl w:val="0"/>
        <w:numId w:val="2"/>
      </w:numPr>
      <w:shd w:val="clear" w:color="auto"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39">
    <w:name w:val="附录章标题"/>
    <w:next w:val="36"/>
    <w:autoRedefine/>
    <w:qFormat/>
    <w:uiPriority w:val="0"/>
    <w:pPr>
      <w:numPr>
        <w:ilvl w:val="1"/>
        <w:numId w:val="1"/>
      </w:numPr>
      <w:wordWrap w:val="0"/>
      <w:overflowPunct w:val="0"/>
      <w:autoSpaceDE w:val="0"/>
      <w:spacing w:beforeLines="50" w:afterLines="50"/>
      <w:jc w:val="both"/>
      <w:outlineLvl w:val="1"/>
    </w:pPr>
    <w:rPr>
      <w:rFonts w:ascii="黑体" w:hAnsi="Times New Roman" w:eastAsia="黑体" w:cs="Times New Roman"/>
      <w:kern w:val="21"/>
      <w:sz w:val="21"/>
      <w:szCs w:val="20"/>
      <w:lang w:val="en-US" w:eastAsia="zh-CN" w:bidi="ar-SA"/>
    </w:rPr>
  </w:style>
  <w:style w:type="paragraph" w:customStyle="1" w:styleId="40">
    <w:name w:val="附录表标题"/>
    <w:next w:val="36"/>
    <w:autoRedefine/>
    <w:qFormat/>
    <w:uiPriority w:val="0"/>
    <w:pPr>
      <w:jc w:val="center"/>
    </w:pPr>
    <w:rPr>
      <w:rFonts w:ascii="黑体" w:hAnsi="Times New Roman" w:eastAsia="黑体" w:cs="Times New Roman"/>
      <w:kern w:val="21"/>
      <w:sz w:val="21"/>
      <w:szCs w:val="20"/>
      <w:lang w:val="en-US" w:eastAsia="zh-CN" w:bidi="ar-SA"/>
    </w:rPr>
  </w:style>
  <w:style w:type="paragraph" w:customStyle="1" w:styleId="41">
    <w:name w:val="封面标准文稿编辑信息"/>
    <w:autoRedefine/>
    <w:qFormat/>
    <w:uiPriority w:val="0"/>
    <w:pPr>
      <w:spacing w:before="180" w:line="180" w:lineRule="exact"/>
      <w:jc w:val="center"/>
    </w:pPr>
    <w:rPr>
      <w:rFonts w:ascii="宋体" w:hAnsi="Times New Roman" w:eastAsia="宋体" w:cs="Times New Roman"/>
      <w:kern w:val="0"/>
      <w:sz w:val="21"/>
      <w:szCs w:val="20"/>
      <w:lang w:val="en-US" w:eastAsia="zh-CN" w:bidi="ar-SA"/>
    </w:rPr>
  </w:style>
  <w:style w:type="character" w:customStyle="1" w:styleId="42">
    <w:name w:val="font51"/>
    <w:basedOn w:val="22"/>
    <w:qFormat/>
    <w:uiPriority w:val="0"/>
    <w:rPr>
      <w:rFonts w:hint="eastAsia" w:ascii="宋体" w:hAnsi="宋体" w:eastAsia="宋体" w:cs="宋体"/>
      <w:color w:val="000000"/>
      <w:sz w:val="24"/>
      <w:szCs w:val="24"/>
      <w:u w:val="none"/>
    </w:rPr>
  </w:style>
  <w:style w:type="character" w:customStyle="1" w:styleId="43">
    <w:name w:val="font11"/>
    <w:basedOn w:val="2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234</Pages>
  <Words>9644</Words>
  <Characters>10591</Characters>
  <Lines>0</Lines>
  <Paragraphs>0</Paragraphs>
  <TotalTime>3</TotalTime>
  <ScaleCrop>false</ScaleCrop>
  <LinksUpToDate>false</LinksUpToDate>
  <CharactersWithSpaces>10726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2023-03-03T07:42:00Z</dcterms:created>
  <dc:creator>user</dc:creator>
  <cp:lastModifiedBy>.</cp:lastModifiedBy>
  <cp:lastPrinted>2024-12-03T03:46:00Z</cp:lastPrinted>
  <dcterms:modified xsi:type="dcterms:W3CDTF">2025-07-25T08:21:05Z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3AD22FE6827243ACA98267A394ED17E3_13</vt:lpwstr>
  </property>
  <property fmtid="{D5CDD505-2E9C-101B-9397-08002B2CF9AE}" pid="4" name="KSOTemplateDocerSaveRecord">
    <vt:lpwstr>eyJoZGlkIjoiNWU4NWY5YmNlZmRiYmYzMDU0NzZlZDY1NzMzM2Q0NmIiLCJ1c2VySWQiOiI2MjczNDMyNTkifQ==</vt:lpwstr>
  </property>
</Properties>
</file>