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C9D0E">
      <w:pPr>
        <w:wordWrap w:val="0"/>
        <w:spacing w:line="360" w:lineRule="auto"/>
        <w:ind w:firstLine="1040"/>
        <w:jc w:val="center"/>
        <w:rPr>
          <w:rFonts w:hint="eastAsia" w:ascii="宋体" w:hAnsi="宋体" w:cs="宋体"/>
          <w:color w:val="auto"/>
          <w:sz w:val="52"/>
          <w:szCs w:val="52"/>
          <w:highlight w:val="none"/>
        </w:rPr>
      </w:pPr>
    </w:p>
    <w:p w14:paraId="6B596495">
      <w:pPr>
        <w:wordWrap w:val="0"/>
        <w:spacing w:line="360" w:lineRule="auto"/>
        <w:ind w:firstLine="104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南宁市政府采购</w:t>
      </w:r>
    </w:p>
    <w:p w14:paraId="66F0D837">
      <w:pPr>
        <w:wordWrap w:val="0"/>
        <w:spacing w:line="360" w:lineRule="auto"/>
        <w:ind w:firstLine="1040"/>
        <w:jc w:val="center"/>
        <w:rPr>
          <w:rFonts w:hint="eastAsia" w:ascii="宋体" w:hAnsi="宋体" w:cs="宋体"/>
          <w:color w:val="auto"/>
          <w:sz w:val="52"/>
          <w:szCs w:val="52"/>
          <w:highlight w:val="none"/>
        </w:rPr>
      </w:pPr>
      <w:r>
        <w:rPr>
          <w:rFonts w:hint="eastAsia" w:ascii="宋体" w:hAnsi="宋体" w:cs="宋体"/>
          <w:color w:val="auto"/>
          <w:sz w:val="52"/>
          <w:szCs w:val="52"/>
          <w:highlight w:val="none"/>
        </w:rPr>
        <w:t>公开招标文件（服务类）</w:t>
      </w:r>
    </w:p>
    <w:p w14:paraId="2DB56A2A">
      <w:pPr>
        <w:wordWrap w:val="0"/>
        <w:spacing w:line="360" w:lineRule="auto"/>
        <w:ind w:firstLine="964"/>
        <w:jc w:val="center"/>
        <w:rPr>
          <w:rFonts w:hint="eastAsia" w:ascii="宋体" w:hAnsi="宋体" w:cs="宋体"/>
          <w:b/>
          <w:color w:val="auto"/>
          <w:sz w:val="48"/>
          <w:szCs w:val="48"/>
          <w:highlight w:val="none"/>
        </w:rPr>
      </w:pPr>
    </w:p>
    <w:p w14:paraId="46A64DC2">
      <w:pPr>
        <w:wordWrap w:val="0"/>
        <w:spacing w:line="360" w:lineRule="auto"/>
        <w:ind w:firstLine="964"/>
        <w:jc w:val="center"/>
        <w:rPr>
          <w:rFonts w:hint="eastAsia" w:ascii="宋体" w:hAnsi="宋体" w:cs="宋体"/>
          <w:b/>
          <w:color w:val="auto"/>
          <w:sz w:val="48"/>
          <w:szCs w:val="48"/>
          <w:highlight w:val="none"/>
        </w:rPr>
      </w:pPr>
    </w:p>
    <w:p w14:paraId="45F37941">
      <w:pPr>
        <w:wordWrap w:val="0"/>
        <w:snapToGrid w:val="0"/>
        <w:spacing w:line="360" w:lineRule="auto"/>
        <w:ind w:firstLine="1440"/>
        <w:jc w:val="center"/>
        <w:rPr>
          <w:rFonts w:hint="eastAsia" w:ascii="宋体" w:hAnsi="宋体" w:cs="宋体"/>
          <w:color w:val="auto"/>
          <w:sz w:val="72"/>
          <w:szCs w:val="72"/>
          <w:highlight w:val="none"/>
        </w:rPr>
      </w:pPr>
      <w:r>
        <w:rPr>
          <w:rFonts w:hint="eastAsia" w:ascii="宋体" w:hAnsi="宋体" w:cs="宋体"/>
          <w:color w:val="auto"/>
          <w:sz w:val="72"/>
          <w:szCs w:val="72"/>
          <w:highlight w:val="none"/>
        </w:rPr>
        <w:t>招 标 文 件</w:t>
      </w:r>
    </w:p>
    <w:p w14:paraId="2F93C5E0">
      <w:pPr>
        <w:wordWrap w:val="0"/>
        <w:snapToGrid w:val="0"/>
        <w:spacing w:line="360" w:lineRule="auto"/>
        <w:ind w:firstLine="600"/>
        <w:jc w:val="center"/>
        <w:rPr>
          <w:rFonts w:hint="eastAsia" w:ascii="宋体" w:hAnsi="宋体" w:cs="宋体"/>
          <w:color w:val="auto"/>
          <w:sz w:val="30"/>
          <w:szCs w:val="72"/>
          <w:highlight w:val="none"/>
        </w:rPr>
      </w:pPr>
      <w:r>
        <w:rPr>
          <w:rFonts w:hint="eastAsia" w:ascii="宋体" w:hAnsi="宋体" w:cs="宋体"/>
          <w:color w:val="auto"/>
          <w:sz w:val="30"/>
          <w:szCs w:val="72"/>
          <w:highlight w:val="none"/>
        </w:rPr>
        <w:t>（全流程电子化评标）</w:t>
      </w:r>
    </w:p>
    <w:p w14:paraId="4F839E8E">
      <w:pPr>
        <w:widowControl/>
        <w:kinsoku w:val="0"/>
        <w:autoSpaceDE w:val="0"/>
        <w:autoSpaceDN w:val="0"/>
        <w:adjustRightInd w:val="0"/>
        <w:snapToGrid w:val="0"/>
        <w:spacing w:line="360" w:lineRule="auto"/>
        <w:ind w:left="1221" w:firstLine="420" w:firstLineChars="200"/>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drawing>
          <wp:anchor distT="0" distB="0" distL="114300" distR="114300" simplePos="0" relativeHeight="251663360" behindDoc="0" locked="0" layoutInCell="1" allowOverlap="1">
            <wp:simplePos x="0" y="0"/>
            <wp:positionH relativeFrom="column">
              <wp:posOffset>-9525</wp:posOffset>
            </wp:positionH>
            <wp:positionV relativeFrom="paragraph">
              <wp:posOffset>208280</wp:posOffset>
            </wp:positionV>
            <wp:extent cx="6652260" cy="3911600"/>
            <wp:effectExtent l="0" t="0" r="15240" b="1270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1"/>
                    <a:stretch>
                      <a:fillRect/>
                    </a:stretch>
                  </pic:blipFill>
                  <pic:spPr>
                    <a:xfrm>
                      <a:off x="0" y="0"/>
                      <a:ext cx="6652260" cy="3911600"/>
                    </a:xfrm>
                    <a:prstGeom prst="rect">
                      <a:avLst/>
                    </a:prstGeom>
                    <a:noFill/>
                    <a:ln>
                      <a:noFill/>
                    </a:ln>
                  </pic:spPr>
                </pic:pic>
              </a:graphicData>
            </a:graphic>
          </wp:anchor>
        </w:drawing>
      </w:r>
    </w:p>
    <w:p w14:paraId="3162908C">
      <w:pPr>
        <w:widowControl/>
        <w:kinsoku w:val="0"/>
        <w:autoSpaceDE w:val="0"/>
        <w:autoSpaceDN w:val="0"/>
        <w:adjustRightInd w:val="0"/>
        <w:snapToGrid w:val="0"/>
        <w:spacing w:line="360" w:lineRule="auto"/>
        <w:ind w:firstLine="834" w:firstLineChars="300"/>
        <w:jc w:val="both"/>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项目名称：</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仿宋" w:hAnsi="仿宋" w:eastAsia="仿宋" w:cs="仿宋"/>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t>南宁市经济信息中心2025年第二批信息化系统运维项目（重）</w:t>
      </w:r>
      <w:r>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fldChar w:fldCharType="end"/>
      </w:r>
    </w:p>
    <w:p w14:paraId="68DB7B9C">
      <w:pPr>
        <w:widowControl/>
        <w:kinsoku w:val="0"/>
        <w:autoSpaceDE w:val="0"/>
        <w:autoSpaceDN w:val="0"/>
        <w:adjustRightInd w:val="0"/>
        <w:snapToGrid w:val="0"/>
        <w:spacing w:line="360" w:lineRule="auto"/>
        <w:ind w:firstLine="834" w:firstLineChars="300"/>
        <w:textAlignment w:val="baseline"/>
        <w:rPr>
          <w:rFonts w:hint="eastAsia" w:ascii="仿宋" w:hAnsi="仿宋" w:eastAsia="仿宋" w:cs="仿宋"/>
          <w:color w:val="auto"/>
          <w:spacing w:val="-11"/>
          <w:position w:val="23"/>
          <w:sz w:val="30"/>
          <w:szCs w:val="30"/>
          <w:highlight w:val="none"/>
          <w:lang w:eastAsia="zh-CN"/>
          <w14:textOutline w14:w="6350" w14:cap="flat" w14:cmpd="sng" w14:algn="ctr">
            <w14:solidFill>
              <w14:srgbClr w14:val="000000"/>
            </w14:solidFill>
            <w14:prstDash w14:val="solid"/>
            <w14:miter w14:val="0"/>
          </w14:textOutline>
        </w:rPr>
      </w:pPr>
      <w:r>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项目编号：</w:t>
      </w:r>
      <w:r>
        <w:rPr>
          <w:rFonts w:hint="eastAsia" w:ascii="仿宋" w:hAnsi="仿宋" w:eastAsia="仿宋" w:cs="仿宋"/>
          <w:color w:val="0000FF"/>
          <w:spacing w:val="-11"/>
          <w:position w:val="23"/>
          <w:sz w:val="30"/>
          <w:szCs w:val="30"/>
          <w:highlight w:val="none"/>
          <w:lang w:eastAsia="zh-CN"/>
          <w14:textOutline w14:w="6350" w14:cap="flat" w14:cmpd="sng" w14:algn="ctr">
            <w14:solidFill>
              <w14:srgbClr w14:val="000000"/>
            </w14:solidFill>
            <w14:prstDash w14:val="solid"/>
            <w14:miter w14:val="0"/>
          </w14:textOutline>
        </w:rPr>
        <w:t>NNZC2025-G3-991166-GXYZ</w:t>
      </w:r>
    </w:p>
    <w:p w14:paraId="00CFE0D9">
      <w:pPr>
        <w:widowControl/>
        <w:kinsoku w:val="0"/>
        <w:autoSpaceDE w:val="0"/>
        <w:autoSpaceDN w:val="0"/>
        <w:adjustRightInd w:val="0"/>
        <w:snapToGrid w:val="0"/>
        <w:spacing w:line="360" w:lineRule="auto"/>
        <w:ind w:firstLine="834" w:firstLineChars="300"/>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项目所属区划：</w:t>
      </w:r>
      <w:r>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南宁市本级</w:t>
      </w:r>
    </w:p>
    <w:p w14:paraId="4945C55C">
      <w:pPr>
        <w:widowControl/>
        <w:kinsoku w:val="0"/>
        <w:autoSpaceDE w:val="0"/>
        <w:autoSpaceDN w:val="0"/>
        <w:adjustRightInd w:val="0"/>
        <w:snapToGrid w:val="0"/>
        <w:spacing w:line="360" w:lineRule="auto"/>
        <w:ind w:firstLine="834" w:firstLineChars="300"/>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采 购 人：</w:t>
      </w:r>
      <w:r>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南宁市经济信息中心</w:t>
      </w:r>
    </w:p>
    <w:p w14:paraId="6318C94E">
      <w:pPr>
        <w:widowControl/>
        <w:kinsoku w:val="0"/>
        <w:autoSpaceDE w:val="0"/>
        <w:autoSpaceDN w:val="0"/>
        <w:adjustRightInd w:val="0"/>
        <w:snapToGrid w:val="0"/>
        <w:spacing w:line="360" w:lineRule="auto"/>
        <w:ind w:firstLine="834" w:firstLineChars="300"/>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r>
        <w:rPr>
          <w:rFonts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采购代理机构：</w:t>
      </w:r>
      <w:r>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t>广西邕政采购代理有限公司</w:t>
      </w:r>
    </w:p>
    <w:p w14:paraId="2771A61D">
      <w:pPr>
        <w:widowControl/>
        <w:kinsoku w:val="0"/>
        <w:autoSpaceDE w:val="0"/>
        <w:autoSpaceDN w:val="0"/>
        <w:adjustRightInd w:val="0"/>
        <w:snapToGrid w:val="0"/>
        <w:spacing w:line="360" w:lineRule="auto"/>
        <w:textAlignment w:val="baseline"/>
        <w:rPr>
          <w:rFonts w:ascii="Arial"/>
          <w:color w:val="auto"/>
          <w:highlight w:val="none"/>
        </w:rPr>
      </w:pPr>
    </w:p>
    <w:p w14:paraId="658E747C">
      <w:pPr>
        <w:widowControl/>
        <w:kinsoku w:val="0"/>
        <w:autoSpaceDE w:val="0"/>
        <w:autoSpaceDN w:val="0"/>
        <w:adjustRightInd w:val="0"/>
        <w:snapToGrid w:val="0"/>
        <w:spacing w:line="360" w:lineRule="auto"/>
        <w:textAlignment w:val="baseline"/>
        <w:rPr>
          <w:rFonts w:ascii="Arial"/>
          <w:color w:val="auto"/>
          <w:highlight w:val="none"/>
        </w:rPr>
      </w:pPr>
    </w:p>
    <w:p w14:paraId="21B3E4C3">
      <w:pPr>
        <w:widowControl/>
        <w:kinsoku w:val="0"/>
        <w:autoSpaceDE w:val="0"/>
        <w:autoSpaceDN w:val="0"/>
        <w:adjustRightInd w:val="0"/>
        <w:snapToGrid w:val="0"/>
        <w:spacing w:line="360" w:lineRule="auto"/>
        <w:textAlignment w:val="baseline"/>
        <w:rPr>
          <w:rFonts w:ascii="Arial"/>
          <w:color w:val="auto"/>
          <w:highlight w:val="none"/>
        </w:rPr>
      </w:pPr>
    </w:p>
    <w:p w14:paraId="6111D84A">
      <w:pPr>
        <w:spacing w:line="360" w:lineRule="auto"/>
        <w:ind w:firstLine="3696" w:firstLineChars="1100"/>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pPr>
      <w:r>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t>2025</w:t>
      </w:r>
      <w:r>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t>年</w:t>
      </w:r>
      <w:r>
        <w:rPr>
          <w:rFonts w:hint="eastAsia" w:ascii="仿宋" w:hAnsi="仿宋" w:eastAsia="仿宋" w:cs="仿宋"/>
          <w:color w:val="auto"/>
          <w:spacing w:val="8"/>
          <w:sz w:val="32"/>
          <w:szCs w:val="32"/>
          <w:highlight w:val="none"/>
          <w:lang w:val="en-US" w:eastAsia="zh-CN"/>
          <w14:textOutline w14:w="6769" w14:cap="flat" w14:cmpd="sng" w14:algn="ctr">
            <w14:solidFill>
              <w14:srgbClr w14:val="000000"/>
            </w14:solidFill>
            <w14:prstDash w14:val="solid"/>
            <w14:miter w14:val="0"/>
          </w14:textOutline>
        </w:rPr>
        <w:t>10</w:t>
      </w:r>
      <w:r>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t>月</w:t>
      </w:r>
    </w:p>
    <w:p w14:paraId="364C4B8D">
      <w:pPr>
        <w:widowControl/>
        <w:kinsoku w:val="0"/>
        <w:autoSpaceDE w:val="0"/>
        <w:autoSpaceDN w:val="0"/>
        <w:adjustRightInd w:val="0"/>
        <w:snapToGrid w:val="0"/>
        <w:spacing w:line="360" w:lineRule="auto"/>
        <w:ind w:left="1221" w:firstLine="556" w:firstLineChars="200"/>
        <w:textAlignment w:val="baseline"/>
        <w:rPr>
          <w:rFonts w:hint="eastAsia" w:ascii="仿宋" w:hAnsi="仿宋" w:eastAsia="仿宋" w:cs="仿宋"/>
          <w:color w:val="auto"/>
          <w:spacing w:val="-11"/>
          <w:position w:val="23"/>
          <w:sz w:val="30"/>
          <w:szCs w:val="30"/>
          <w:highlight w:val="none"/>
          <w14:textOutline w14:w="6350" w14:cap="flat" w14:cmpd="sng" w14:algn="ctr">
            <w14:solidFill>
              <w14:srgbClr w14:val="000000"/>
            </w14:solidFill>
            <w14:prstDash w14:val="solid"/>
            <w14:miter w14:val="0"/>
          </w14:textOutline>
        </w:rPr>
      </w:pPr>
    </w:p>
    <w:p w14:paraId="31F373E4">
      <w:pPr>
        <w:spacing w:line="360" w:lineRule="auto"/>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pPr>
    </w:p>
    <w:p w14:paraId="1CDC9D5C">
      <w:pPr>
        <w:rPr>
          <w:rFonts w:hint="eastAsia"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pPr>
      <w:r>
        <w:rPr>
          <w:rFonts w:ascii="仿宋" w:hAnsi="仿宋" w:eastAsia="仿宋" w:cs="仿宋"/>
          <w:color w:val="auto"/>
          <w:spacing w:val="8"/>
          <w:sz w:val="32"/>
          <w:szCs w:val="32"/>
          <w:highlight w:val="none"/>
          <w14:textOutline w14:w="6769" w14:cap="flat" w14:cmpd="sng" w14:algn="ctr">
            <w14:solidFill>
              <w14:srgbClr w14:val="000000"/>
            </w14:solidFill>
            <w14:prstDash w14:val="solid"/>
            <w14:miter w14:val="0"/>
          </w14:textOutline>
        </w:rPr>
        <w:br w:type="page"/>
      </w:r>
    </w:p>
    <w:p w14:paraId="179ECBED">
      <w:pPr>
        <w:pStyle w:val="12"/>
        <w:rPr>
          <w:color w:val="auto"/>
          <w:highlight w:val="none"/>
        </w:rPr>
      </w:pPr>
    </w:p>
    <w:p w14:paraId="363ED77B">
      <w:pPr>
        <w:pStyle w:val="14"/>
        <w:wordWrap w:val="0"/>
        <w:spacing w:line="360" w:lineRule="auto"/>
        <w:ind w:firstLine="964"/>
        <w:jc w:val="center"/>
        <w:rPr>
          <w:rFonts w:hint="eastAsia" w:hAnsi="宋体" w:cs="宋体"/>
          <w:b/>
          <w:color w:val="auto"/>
          <w:sz w:val="48"/>
          <w:szCs w:val="48"/>
          <w:highlight w:val="none"/>
        </w:rPr>
      </w:pPr>
      <w:r>
        <w:rPr>
          <w:rFonts w:hint="eastAsia" w:hAnsi="宋体" w:cs="宋体"/>
          <w:b/>
          <w:color w:val="auto"/>
          <w:sz w:val="48"/>
          <w:szCs w:val="48"/>
          <w:highlight w:val="none"/>
        </w:rPr>
        <w:t>目     录</w:t>
      </w:r>
    </w:p>
    <w:p w14:paraId="0E3873B2">
      <w:pPr>
        <w:pStyle w:val="19"/>
        <w:tabs>
          <w:tab w:val="right" w:leader="dot" w:pos="9746"/>
        </w:tabs>
        <w:spacing w:before="0" w:after="0" w:line="360" w:lineRule="auto"/>
        <w:rPr>
          <w:color w:val="auto"/>
          <w:highlight w:val="none"/>
        </w:rPr>
      </w:pPr>
      <w:r>
        <w:rPr>
          <w:rFonts w:hint="eastAsia" w:ascii="宋体" w:hAnsi="宋体" w:cs="宋体"/>
          <w:b w:val="0"/>
          <w:bCs w:val="0"/>
          <w:caps w:val="0"/>
          <w:color w:val="auto"/>
          <w:sz w:val="32"/>
          <w:szCs w:val="32"/>
          <w:highlight w:val="none"/>
        </w:rPr>
        <w:fldChar w:fldCharType="begin"/>
      </w:r>
      <w:r>
        <w:rPr>
          <w:rFonts w:hint="eastAsia" w:ascii="宋体" w:hAnsi="宋体" w:cs="宋体"/>
          <w:b w:val="0"/>
          <w:bCs w:val="0"/>
          <w:caps w:val="0"/>
          <w:color w:val="auto"/>
          <w:sz w:val="32"/>
          <w:szCs w:val="32"/>
          <w:highlight w:val="none"/>
        </w:rPr>
        <w:instrText xml:space="preserve"> TOC \o "1-3" \h \z \u </w:instrText>
      </w:r>
      <w:r>
        <w:rPr>
          <w:rFonts w:hint="eastAsia" w:ascii="宋体" w:hAnsi="宋体" w:cs="宋体"/>
          <w:b w:val="0"/>
          <w:bCs w:val="0"/>
          <w:caps w:val="0"/>
          <w:color w:val="auto"/>
          <w:sz w:val="32"/>
          <w:szCs w:val="32"/>
          <w:highlight w:val="none"/>
        </w:rPr>
        <w:fldChar w:fldCharType="separate"/>
      </w:r>
      <w:r>
        <w:rPr>
          <w:color w:val="auto"/>
          <w:highlight w:val="none"/>
        </w:rPr>
        <w:fldChar w:fldCharType="begin"/>
      </w:r>
      <w:r>
        <w:rPr>
          <w:color w:val="auto"/>
          <w:highlight w:val="none"/>
        </w:rPr>
        <w:instrText xml:space="preserve"> HYPERLINK \l "_Toc12415" </w:instrText>
      </w:r>
      <w:r>
        <w:rPr>
          <w:color w:val="auto"/>
          <w:highlight w:val="none"/>
        </w:rPr>
        <w:fldChar w:fldCharType="separate"/>
      </w:r>
      <w:r>
        <w:rPr>
          <w:rFonts w:hint="eastAsia"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_Toc12415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3C07F3A7">
      <w:pPr>
        <w:pStyle w:val="19"/>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"_Toc2043" </w:instrText>
      </w:r>
      <w:r>
        <w:rPr>
          <w:color w:val="auto"/>
          <w:highlight w:val="none"/>
        </w:rPr>
        <w:fldChar w:fldCharType="separate"/>
      </w:r>
      <w:r>
        <w:rPr>
          <w:rFonts w:hint="eastAsia"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_Toc2043 \h </w:instrText>
      </w:r>
      <w:r>
        <w:rPr>
          <w:color w:val="auto"/>
          <w:highlight w:val="none"/>
        </w:rPr>
        <w:fldChar w:fldCharType="separate"/>
      </w:r>
      <w:r>
        <w:rPr>
          <w:color w:val="auto"/>
          <w:highlight w:val="none"/>
        </w:rPr>
        <w:t>6</w:t>
      </w:r>
      <w:r>
        <w:rPr>
          <w:color w:val="auto"/>
          <w:highlight w:val="none"/>
        </w:rPr>
        <w:fldChar w:fldCharType="end"/>
      </w:r>
      <w:r>
        <w:rPr>
          <w:color w:val="auto"/>
          <w:highlight w:val="none"/>
        </w:rPr>
        <w:fldChar w:fldCharType="end"/>
      </w:r>
    </w:p>
    <w:p w14:paraId="03F04480">
      <w:pPr>
        <w:pStyle w:val="19"/>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"_Toc29457" </w:instrText>
      </w:r>
      <w:r>
        <w:rPr>
          <w:color w:val="auto"/>
          <w:highlight w:val="none"/>
        </w:rPr>
        <w:fldChar w:fldCharType="separate"/>
      </w:r>
      <w:r>
        <w:rPr>
          <w:rFonts w:hint="eastAsia"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_Toc29457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DBD1F8F">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"_Toc26080" </w:instrText>
      </w:r>
      <w:r>
        <w:rPr>
          <w:color w:val="auto"/>
          <w:highlight w:val="none"/>
        </w:rPr>
        <w:fldChar w:fldCharType="separate"/>
      </w:r>
      <w:r>
        <w:rPr>
          <w:rFonts w:hint="eastAsia" w:hAnsi="宋体" w:cs="宋体"/>
          <w:color w:val="auto"/>
          <w:szCs w:val="30"/>
          <w:highlight w:val="none"/>
        </w:rPr>
        <w:t>第一节 投标人须知前附表</w:t>
      </w:r>
      <w:r>
        <w:rPr>
          <w:color w:val="auto"/>
          <w:highlight w:val="none"/>
        </w:rPr>
        <w:tab/>
      </w:r>
      <w:r>
        <w:rPr>
          <w:color w:val="auto"/>
          <w:highlight w:val="none"/>
        </w:rPr>
        <w:fldChar w:fldCharType="begin"/>
      </w:r>
      <w:r>
        <w:rPr>
          <w:color w:val="auto"/>
          <w:highlight w:val="none"/>
        </w:rPr>
        <w:instrText xml:space="preserve"> PAGEREF _Toc26080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108CC98">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"_Toc5937" </w:instrText>
      </w:r>
      <w:r>
        <w:rPr>
          <w:color w:val="auto"/>
          <w:highlight w:val="none"/>
        </w:rPr>
        <w:fldChar w:fldCharType="separate"/>
      </w:r>
      <w:r>
        <w:rPr>
          <w:rFonts w:hint="eastAsia" w:ascii="宋体" w:hAnsi="宋体" w:cs="宋体"/>
          <w:color w:val="auto"/>
          <w:highlight w:val="none"/>
        </w:rPr>
        <w:t>第二节 投标人须知正文</w:t>
      </w:r>
      <w:r>
        <w:rPr>
          <w:color w:val="auto"/>
          <w:highlight w:val="none"/>
        </w:rPr>
        <w:tab/>
      </w:r>
      <w:r>
        <w:rPr>
          <w:color w:val="auto"/>
          <w:highlight w:val="none"/>
        </w:rPr>
        <w:fldChar w:fldCharType="begin"/>
      </w:r>
      <w:r>
        <w:rPr>
          <w:color w:val="auto"/>
          <w:highlight w:val="none"/>
        </w:rPr>
        <w:instrText xml:space="preserve"> PAGEREF _Toc5937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58FD9820">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"_Toc13364" </w:instrText>
      </w:r>
      <w:r>
        <w:rPr>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_Toc13364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2659D7EC">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"_Toc8119" </w:instrText>
      </w:r>
      <w:r>
        <w:rPr>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_Toc8119 \h </w:instrText>
      </w:r>
      <w:r>
        <w:rPr>
          <w:color w:val="auto"/>
          <w:highlight w:val="none"/>
        </w:rPr>
        <w:fldChar w:fldCharType="separate"/>
      </w:r>
      <w:r>
        <w:rPr>
          <w:color w:val="auto"/>
          <w:highlight w:val="none"/>
        </w:rPr>
        <w:t>66</w:t>
      </w:r>
      <w:r>
        <w:rPr>
          <w:color w:val="auto"/>
          <w:highlight w:val="none"/>
        </w:rPr>
        <w:fldChar w:fldCharType="end"/>
      </w:r>
      <w:r>
        <w:rPr>
          <w:color w:val="auto"/>
          <w:highlight w:val="none"/>
        </w:rPr>
        <w:fldChar w:fldCharType="end"/>
      </w:r>
    </w:p>
    <w:p w14:paraId="5FE679F6">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"_Toc21817" </w:instrText>
      </w:r>
      <w:r>
        <w:rPr>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_Toc21817 \h </w:instrText>
      </w:r>
      <w:r>
        <w:rPr>
          <w:color w:val="auto"/>
          <w:highlight w:val="none"/>
        </w:rPr>
        <w:fldChar w:fldCharType="separate"/>
      </w:r>
      <w:r>
        <w:rPr>
          <w:color w:val="auto"/>
          <w:highlight w:val="none"/>
        </w:rPr>
        <w:t>67</w:t>
      </w:r>
      <w:r>
        <w:rPr>
          <w:color w:val="auto"/>
          <w:highlight w:val="none"/>
        </w:rPr>
        <w:fldChar w:fldCharType="end"/>
      </w:r>
      <w:r>
        <w:rPr>
          <w:color w:val="auto"/>
          <w:highlight w:val="none"/>
        </w:rPr>
        <w:fldChar w:fldCharType="end"/>
      </w:r>
    </w:p>
    <w:p w14:paraId="4DD2DC8B">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"_Toc19841" </w:instrText>
      </w:r>
      <w:r>
        <w:rPr>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_Toc19841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14:paraId="10405956">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"_Toc22384" </w:instrText>
      </w:r>
      <w:r>
        <w:rPr>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_Toc22384 \h </w:instrText>
      </w:r>
      <w:r>
        <w:rPr>
          <w:color w:val="auto"/>
          <w:highlight w:val="none"/>
        </w:rPr>
        <w:fldChar w:fldCharType="separate"/>
      </w:r>
      <w:r>
        <w:rPr>
          <w:color w:val="auto"/>
          <w:highlight w:val="none"/>
        </w:rPr>
        <w:t>70</w:t>
      </w:r>
      <w:r>
        <w:rPr>
          <w:color w:val="auto"/>
          <w:highlight w:val="none"/>
        </w:rPr>
        <w:fldChar w:fldCharType="end"/>
      </w:r>
      <w:r>
        <w:rPr>
          <w:color w:val="auto"/>
          <w:highlight w:val="none"/>
        </w:rPr>
        <w:fldChar w:fldCharType="end"/>
      </w:r>
    </w:p>
    <w:p w14:paraId="2C71331C">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"_Toc27068" </w:instrText>
      </w:r>
      <w:r>
        <w:rPr>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_Toc27068 \h </w:instrText>
      </w:r>
      <w:r>
        <w:rPr>
          <w:color w:val="auto"/>
          <w:highlight w:val="none"/>
        </w:rPr>
        <w:fldChar w:fldCharType="separate"/>
      </w:r>
      <w:r>
        <w:rPr>
          <w:color w:val="auto"/>
          <w:highlight w:val="none"/>
        </w:rPr>
        <w:t>71</w:t>
      </w:r>
      <w:r>
        <w:rPr>
          <w:color w:val="auto"/>
          <w:highlight w:val="none"/>
        </w:rPr>
        <w:fldChar w:fldCharType="end"/>
      </w:r>
      <w:r>
        <w:rPr>
          <w:color w:val="auto"/>
          <w:highlight w:val="none"/>
        </w:rPr>
        <w:fldChar w:fldCharType="end"/>
      </w:r>
    </w:p>
    <w:p w14:paraId="075F4CF0">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"_Toc18748" </w:instrText>
      </w:r>
      <w:r>
        <w:rPr>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_Toc18748 \h </w:instrText>
      </w:r>
      <w:r>
        <w:rPr>
          <w:color w:val="auto"/>
          <w:highlight w:val="none"/>
        </w:rPr>
        <w:fldChar w:fldCharType="separate"/>
      </w:r>
      <w:r>
        <w:rPr>
          <w:color w:val="auto"/>
          <w:highlight w:val="none"/>
        </w:rPr>
        <w:t>72</w:t>
      </w:r>
      <w:r>
        <w:rPr>
          <w:color w:val="auto"/>
          <w:highlight w:val="none"/>
        </w:rPr>
        <w:fldChar w:fldCharType="end"/>
      </w:r>
      <w:r>
        <w:rPr>
          <w:color w:val="auto"/>
          <w:highlight w:val="none"/>
        </w:rPr>
        <w:fldChar w:fldCharType="end"/>
      </w:r>
    </w:p>
    <w:p w14:paraId="584EE7A4">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"_Toc13189" </w:instrText>
      </w:r>
      <w:r>
        <w:rPr>
          <w:color w:val="auto"/>
          <w:highlight w:val="none"/>
        </w:rPr>
        <w:fldChar w:fldCharType="separate"/>
      </w:r>
      <w:r>
        <w:rPr>
          <w:rFonts w:hint="eastAsia" w:ascii="宋体" w:hAnsi="宋体" w:cs="宋体"/>
          <w:bCs/>
          <w:color w:val="auto"/>
          <w:szCs w:val="32"/>
          <w:highlight w:val="none"/>
        </w:rPr>
        <w:t>八、验收</w:t>
      </w:r>
      <w:r>
        <w:rPr>
          <w:color w:val="auto"/>
          <w:highlight w:val="none"/>
        </w:rPr>
        <w:tab/>
      </w:r>
      <w:r>
        <w:rPr>
          <w:color w:val="auto"/>
          <w:highlight w:val="none"/>
        </w:rPr>
        <w:fldChar w:fldCharType="begin"/>
      </w:r>
      <w:r>
        <w:rPr>
          <w:color w:val="auto"/>
          <w:highlight w:val="none"/>
        </w:rPr>
        <w:instrText xml:space="preserve"> PAGEREF _Toc13189 \h </w:instrText>
      </w:r>
      <w:r>
        <w:rPr>
          <w:color w:val="auto"/>
          <w:highlight w:val="none"/>
        </w:rPr>
        <w:fldChar w:fldCharType="separate"/>
      </w:r>
      <w:r>
        <w:rPr>
          <w:color w:val="auto"/>
          <w:highlight w:val="none"/>
        </w:rPr>
        <w:t>77</w:t>
      </w:r>
      <w:r>
        <w:rPr>
          <w:color w:val="auto"/>
          <w:highlight w:val="none"/>
        </w:rPr>
        <w:fldChar w:fldCharType="end"/>
      </w:r>
      <w:r>
        <w:rPr>
          <w:color w:val="auto"/>
          <w:highlight w:val="none"/>
        </w:rPr>
        <w:fldChar w:fldCharType="end"/>
      </w:r>
    </w:p>
    <w:p w14:paraId="11ADA103">
      <w:pPr>
        <w:pStyle w:val="13"/>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"_Toc13950" </w:instrText>
      </w:r>
      <w:r>
        <w:rPr>
          <w:color w:val="auto"/>
          <w:highlight w:val="none"/>
        </w:rPr>
        <w:fldChar w:fldCharType="separate"/>
      </w:r>
      <w:r>
        <w:rPr>
          <w:rFonts w:hint="eastAsia" w:ascii="宋体" w:hAnsi="宋体" w:cs="宋体"/>
          <w:color w:val="auto"/>
          <w:highlight w:val="none"/>
        </w:rPr>
        <w:t>九、其他事项</w:t>
      </w:r>
      <w:r>
        <w:rPr>
          <w:color w:val="auto"/>
          <w:highlight w:val="none"/>
        </w:rPr>
        <w:tab/>
      </w:r>
      <w:r>
        <w:rPr>
          <w:color w:val="auto"/>
          <w:highlight w:val="none"/>
        </w:rPr>
        <w:fldChar w:fldCharType="begin"/>
      </w:r>
      <w:r>
        <w:rPr>
          <w:color w:val="auto"/>
          <w:highlight w:val="none"/>
        </w:rPr>
        <w:instrText xml:space="preserve"> PAGEREF _Toc13950 \h </w:instrText>
      </w:r>
      <w:r>
        <w:rPr>
          <w:color w:val="auto"/>
          <w:highlight w:val="none"/>
        </w:rPr>
        <w:fldChar w:fldCharType="separate"/>
      </w:r>
      <w:r>
        <w:rPr>
          <w:color w:val="auto"/>
          <w:highlight w:val="none"/>
        </w:rPr>
        <w:t>78</w:t>
      </w:r>
      <w:r>
        <w:rPr>
          <w:color w:val="auto"/>
          <w:highlight w:val="none"/>
        </w:rPr>
        <w:fldChar w:fldCharType="end"/>
      </w:r>
      <w:r>
        <w:rPr>
          <w:color w:val="auto"/>
          <w:highlight w:val="none"/>
        </w:rPr>
        <w:fldChar w:fldCharType="end"/>
      </w:r>
    </w:p>
    <w:p w14:paraId="20C42E1F">
      <w:pPr>
        <w:pStyle w:val="19"/>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"_Toc4997" </w:instrText>
      </w:r>
      <w:r>
        <w:rPr>
          <w:color w:val="auto"/>
          <w:highlight w:val="none"/>
        </w:rPr>
        <w:fldChar w:fldCharType="separate"/>
      </w:r>
      <w:r>
        <w:rPr>
          <w:rFonts w:hint="eastAsia" w:hAnsi="宋体" w:cs="宋体"/>
          <w:color w:val="auto"/>
          <w:highlight w:val="none"/>
        </w:rPr>
        <w:t>第四章  评标方法及评分标准</w:t>
      </w:r>
      <w:r>
        <w:rPr>
          <w:color w:val="auto"/>
          <w:highlight w:val="none"/>
        </w:rPr>
        <w:tab/>
      </w:r>
      <w:r>
        <w:rPr>
          <w:color w:val="auto"/>
          <w:highlight w:val="none"/>
        </w:rPr>
        <w:fldChar w:fldCharType="begin"/>
      </w:r>
      <w:r>
        <w:rPr>
          <w:color w:val="auto"/>
          <w:highlight w:val="none"/>
        </w:rPr>
        <w:instrText xml:space="preserve"> PAGEREF _Toc4997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7DE0193F">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"_Toc2118" </w:instrText>
      </w:r>
      <w:r>
        <w:rPr>
          <w:color w:val="auto"/>
          <w:highlight w:val="none"/>
        </w:rPr>
        <w:fldChar w:fldCharType="separate"/>
      </w:r>
      <w:r>
        <w:rPr>
          <w:rFonts w:hint="eastAsia" w:hAnsi="宋体" w:cs="宋体"/>
          <w:color w:val="auto"/>
          <w:szCs w:val="32"/>
          <w:highlight w:val="none"/>
        </w:rPr>
        <w:t>第一节 评标方法</w:t>
      </w:r>
      <w:r>
        <w:rPr>
          <w:color w:val="auto"/>
          <w:highlight w:val="none"/>
        </w:rPr>
        <w:tab/>
      </w:r>
      <w:r>
        <w:rPr>
          <w:color w:val="auto"/>
          <w:highlight w:val="none"/>
        </w:rPr>
        <w:fldChar w:fldCharType="begin"/>
      </w:r>
      <w:r>
        <w:rPr>
          <w:color w:val="auto"/>
          <w:highlight w:val="none"/>
        </w:rPr>
        <w:instrText xml:space="preserve"> PAGEREF _Toc2118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58B30780">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"_Toc3444" </w:instrText>
      </w:r>
      <w:r>
        <w:rPr>
          <w:color w:val="auto"/>
          <w:highlight w:val="none"/>
        </w:rPr>
        <w:fldChar w:fldCharType="separate"/>
      </w:r>
      <w:r>
        <w:rPr>
          <w:rFonts w:hint="eastAsia" w:hAnsi="宋体" w:cs="宋体"/>
          <w:color w:val="auto"/>
          <w:szCs w:val="32"/>
          <w:highlight w:val="none"/>
        </w:rPr>
        <w:t>第二节 评标程序</w:t>
      </w:r>
      <w:r>
        <w:rPr>
          <w:color w:val="auto"/>
          <w:highlight w:val="none"/>
        </w:rPr>
        <w:tab/>
      </w:r>
      <w:r>
        <w:rPr>
          <w:color w:val="auto"/>
          <w:highlight w:val="none"/>
        </w:rPr>
        <w:fldChar w:fldCharType="begin"/>
      </w:r>
      <w:r>
        <w:rPr>
          <w:color w:val="auto"/>
          <w:highlight w:val="none"/>
        </w:rPr>
        <w:instrText xml:space="preserve"> PAGEREF _Toc3444 \h </w:instrText>
      </w:r>
      <w:r>
        <w:rPr>
          <w:color w:val="auto"/>
          <w:highlight w:val="none"/>
        </w:rPr>
        <w:fldChar w:fldCharType="separate"/>
      </w:r>
      <w:r>
        <w:rPr>
          <w:color w:val="auto"/>
          <w:highlight w:val="none"/>
        </w:rPr>
        <w:t>80</w:t>
      </w:r>
      <w:r>
        <w:rPr>
          <w:color w:val="auto"/>
          <w:highlight w:val="none"/>
        </w:rPr>
        <w:fldChar w:fldCharType="end"/>
      </w:r>
      <w:r>
        <w:rPr>
          <w:color w:val="auto"/>
          <w:highlight w:val="none"/>
        </w:rPr>
        <w:fldChar w:fldCharType="end"/>
      </w:r>
    </w:p>
    <w:p w14:paraId="70F1BD12">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"_Toc32456" </w:instrText>
      </w:r>
      <w:r>
        <w:rPr>
          <w:color w:val="auto"/>
          <w:highlight w:val="none"/>
        </w:rPr>
        <w:fldChar w:fldCharType="separate"/>
      </w:r>
      <w:r>
        <w:rPr>
          <w:rFonts w:hint="eastAsia" w:ascii="宋体" w:hAnsi="宋体" w:cs="宋体"/>
          <w:color w:val="auto"/>
          <w:szCs w:val="30"/>
          <w:highlight w:val="none"/>
        </w:rPr>
        <w:t>第三节 评分标准</w:t>
      </w:r>
      <w:r>
        <w:rPr>
          <w:color w:val="auto"/>
          <w:highlight w:val="none"/>
        </w:rPr>
        <w:tab/>
      </w:r>
      <w:r>
        <w:rPr>
          <w:color w:val="auto"/>
          <w:highlight w:val="none"/>
        </w:rPr>
        <w:fldChar w:fldCharType="begin"/>
      </w:r>
      <w:r>
        <w:rPr>
          <w:color w:val="auto"/>
          <w:highlight w:val="none"/>
        </w:rPr>
        <w:instrText xml:space="preserve"> PAGEREF _Toc32456 \h </w:instrText>
      </w:r>
      <w:r>
        <w:rPr>
          <w:color w:val="auto"/>
          <w:highlight w:val="none"/>
        </w:rPr>
        <w:fldChar w:fldCharType="separate"/>
      </w:r>
      <w:r>
        <w:rPr>
          <w:color w:val="auto"/>
          <w:highlight w:val="none"/>
        </w:rPr>
        <w:t>83</w:t>
      </w:r>
      <w:r>
        <w:rPr>
          <w:color w:val="auto"/>
          <w:highlight w:val="none"/>
        </w:rPr>
        <w:fldChar w:fldCharType="end"/>
      </w:r>
      <w:r>
        <w:rPr>
          <w:color w:val="auto"/>
          <w:highlight w:val="none"/>
        </w:rPr>
        <w:fldChar w:fldCharType="end"/>
      </w:r>
    </w:p>
    <w:p w14:paraId="59DE2EDA">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"_Toc26276" </w:instrText>
      </w:r>
      <w:r>
        <w:rPr>
          <w:color w:val="auto"/>
          <w:highlight w:val="none"/>
        </w:rPr>
        <w:fldChar w:fldCharType="separate"/>
      </w:r>
      <w:r>
        <w:rPr>
          <w:rFonts w:hint="eastAsia" w:ascii="宋体" w:hAnsi="宋体" w:cs="宋体"/>
          <w:color w:val="auto"/>
          <w:szCs w:val="30"/>
          <w:highlight w:val="none"/>
        </w:rPr>
        <w:t>第四节 中标候选人推荐原则</w:t>
      </w:r>
      <w:r>
        <w:rPr>
          <w:color w:val="auto"/>
          <w:highlight w:val="none"/>
        </w:rPr>
        <w:tab/>
      </w:r>
      <w:r>
        <w:rPr>
          <w:color w:val="auto"/>
          <w:highlight w:val="none"/>
        </w:rPr>
        <w:fldChar w:fldCharType="begin"/>
      </w:r>
      <w:r>
        <w:rPr>
          <w:color w:val="auto"/>
          <w:highlight w:val="none"/>
        </w:rPr>
        <w:instrText xml:space="preserve"> PAGEREF _Toc26276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0DC4351">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"_Toc52" </w:instrText>
      </w:r>
      <w:r>
        <w:rPr>
          <w:color w:val="auto"/>
          <w:highlight w:val="none"/>
        </w:rPr>
        <w:fldChar w:fldCharType="separate"/>
      </w:r>
      <w:r>
        <w:rPr>
          <w:rFonts w:hint="eastAsia" w:ascii="宋体" w:hAnsi="宋体" w:cs="宋体"/>
          <w:color w:val="auto"/>
          <w:szCs w:val="30"/>
          <w:highlight w:val="none"/>
        </w:rPr>
        <w:t>第五节 评标报告</w:t>
      </w:r>
      <w:r>
        <w:rPr>
          <w:color w:val="auto"/>
          <w:highlight w:val="none"/>
        </w:rPr>
        <w:tab/>
      </w:r>
      <w:r>
        <w:rPr>
          <w:color w:val="auto"/>
          <w:highlight w:val="none"/>
        </w:rPr>
        <w:fldChar w:fldCharType="begin"/>
      </w:r>
      <w:r>
        <w:rPr>
          <w:color w:val="auto"/>
          <w:highlight w:val="none"/>
        </w:rPr>
        <w:instrText xml:space="preserve"> PAGEREF _Toc52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53A63FD4">
      <w:pPr>
        <w:pStyle w:val="19"/>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"_Toc29194" </w:instrText>
      </w:r>
      <w:r>
        <w:rPr>
          <w:color w:val="auto"/>
          <w:highlight w:val="none"/>
        </w:rPr>
        <w:fldChar w:fldCharType="separate"/>
      </w:r>
      <w:r>
        <w:rPr>
          <w:rFonts w:hint="eastAsia"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_Toc29194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15008590">
      <w:pPr>
        <w:pStyle w:val="19"/>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"_Toc2856" </w:instrText>
      </w:r>
      <w:r>
        <w:rPr>
          <w:color w:val="auto"/>
          <w:highlight w:val="none"/>
        </w:rPr>
        <w:fldChar w:fldCharType="separate"/>
      </w:r>
      <w:r>
        <w:rPr>
          <w:rFonts w:hint="eastAsia"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_Toc2856 \h </w:instrText>
      </w:r>
      <w:r>
        <w:rPr>
          <w:color w:val="auto"/>
          <w:highlight w:val="none"/>
        </w:rPr>
        <w:fldChar w:fldCharType="separate"/>
      </w:r>
      <w:r>
        <w:rPr>
          <w:color w:val="auto"/>
          <w:highlight w:val="none"/>
        </w:rPr>
        <w:t>103</w:t>
      </w:r>
      <w:r>
        <w:rPr>
          <w:color w:val="auto"/>
          <w:highlight w:val="none"/>
        </w:rPr>
        <w:fldChar w:fldCharType="end"/>
      </w:r>
      <w:r>
        <w:rPr>
          <w:color w:val="auto"/>
          <w:highlight w:val="none"/>
        </w:rPr>
        <w:fldChar w:fldCharType="end"/>
      </w:r>
    </w:p>
    <w:p w14:paraId="491F7FBF">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"_Toc13658" </w:instrText>
      </w:r>
      <w:r>
        <w:rPr>
          <w:color w:val="auto"/>
          <w:highlight w:val="none"/>
        </w:rPr>
        <w:fldChar w:fldCharType="separate"/>
      </w:r>
      <w:r>
        <w:rPr>
          <w:rFonts w:hint="eastAsia" w:hAnsi="宋体" w:cs="宋体"/>
          <w:color w:val="auto"/>
          <w:szCs w:val="28"/>
          <w:highlight w:val="none"/>
        </w:rPr>
        <w:t>第一节 投标文件外层包装封面</w:t>
      </w:r>
      <w:r>
        <w:rPr>
          <w:color w:val="auto"/>
          <w:highlight w:val="none"/>
        </w:rPr>
        <w:tab/>
      </w:r>
      <w:r>
        <w:rPr>
          <w:color w:val="auto"/>
          <w:highlight w:val="none"/>
        </w:rPr>
        <w:fldChar w:fldCharType="begin"/>
      </w:r>
      <w:r>
        <w:rPr>
          <w:color w:val="auto"/>
          <w:highlight w:val="none"/>
        </w:rPr>
        <w:instrText xml:space="preserve"> PAGEREF _Toc13658 \h </w:instrText>
      </w:r>
      <w:r>
        <w:rPr>
          <w:color w:val="auto"/>
          <w:highlight w:val="none"/>
        </w:rPr>
        <w:fldChar w:fldCharType="separate"/>
      </w:r>
      <w:r>
        <w:rPr>
          <w:color w:val="auto"/>
          <w:highlight w:val="none"/>
        </w:rPr>
        <w:t>104</w:t>
      </w:r>
      <w:r>
        <w:rPr>
          <w:color w:val="auto"/>
          <w:highlight w:val="none"/>
        </w:rPr>
        <w:fldChar w:fldCharType="end"/>
      </w:r>
      <w:r>
        <w:rPr>
          <w:color w:val="auto"/>
          <w:highlight w:val="none"/>
        </w:rPr>
        <w:fldChar w:fldCharType="end"/>
      </w:r>
    </w:p>
    <w:p w14:paraId="3E09BA2B">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"_Toc20946" </w:instrText>
      </w:r>
      <w:r>
        <w:rPr>
          <w:color w:val="auto"/>
          <w:highlight w:val="none"/>
        </w:rPr>
        <w:fldChar w:fldCharType="separate"/>
      </w:r>
      <w:r>
        <w:rPr>
          <w:rFonts w:hint="eastAsia" w:hAnsi="宋体" w:cs="宋体"/>
          <w:color w:val="auto"/>
          <w:szCs w:val="28"/>
          <w:highlight w:val="none"/>
        </w:rPr>
        <w:t>第二节 资格证明文件格式</w:t>
      </w:r>
      <w:r>
        <w:rPr>
          <w:color w:val="auto"/>
          <w:highlight w:val="none"/>
        </w:rPr>
        <w:tab/>
      </w:r>
      <w:r>
        <w:rPr>
          <w:color w:val="auto"/>
          <w:highlight w:val="none"/>
        </w:rPr>
        <w:fldChar w:fldCharType="begin"/>
      </w:r>
      <w:r>
        <w:rPr>
          <w:color w:val="auto"/>
          <w:highlight w:val="none"/>
        </w:rPr>
        <w:instrText xml:space="preserve"> PAGEREF _Toc20946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14:paraId="3E242820">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"_Toc30766" </w:instrText>
      </w:r>
      <w:r>
        <w:rPr>
          <w:color w:val="auto"/>
          <w:highlight w:val="none"/>
        </w:rPr>
        <w:fldChar w:fldCharType="separate"/>
      </w:r>
      <w:r>
        <w:rPr>
          <w:rFonts w:hint="eastAsia" w:hAnsi="宋体" w:cs="宋体"/>
          <w:color w:val="auto"/>
          <w:szCs w:val="28"/>
          <w:highlight w:val="none"/>
        </w:rPr>
        <w:t>第三节 商务文件格式</w:t>
      </w:r>
      <w:r>
        <w:rPr>
          <w:color w:val="auto"/>
          <w:highlight w:val="none"/>
        </w:rPr>
        <w:tab/>
      </w:r>
      <w:r>
        <w:rPr>
          <w:color w:val="auto"/>
          <w:highlight w:val="none"/>
        </w:rPr>
        <w:fldChar w:fldCharType="begin"/>
      </w:r>
      <w:r>
        <w:rPr>
          <w:color w:val="auto"/>
          <w:highlight w:val="none"/>
        </w:rPr>
        <w:instrText xml:space="preserve"> PAGEREF _Toc30766 \h </w:instrText>
      </w:r>
      <w:r>
        <w:rPr>
          <w:color w:val="auto"/>
          <w:highlight w:val="none"/>
        </w:rPr>
        <w:fldChar w:fldCharType="separate"/>
      </w:r>
      <w:r>
        <w:rPr>
          <w:color w:val="auto"/>
          <w:highlight w:val="none"/>
        </w:rPr>
        <w:t>111</w:t>
      </w:r>
      <w:r>
        <w:rPr>
          <w:color w:val="auto"/>
          <w:highlight w:val="none"/>
        </w:rPr>
        <w:fldChar w:fldCharType="end"/>
      </w:r>
      <w:r>
        <w:rPr>
          <w:color w:val="auto"/>
          <w:highlight w:val="none"/>
        </w:rPr>
        <w:fldChar w:fldCharType="end"/>
      </w:r>
    </w:p>
    <w:p w14:paraId="18211182">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"_Toc27389" </w:instrText>
      </w:r>
      <w:r>
        <w:rPr>
          <w:color w:val="auto"/>
          <w:highlight w:val="none"/>
        </w:rPr>
        <w:fldChar w:fldCharType="separate"/>
      </w:r>
      <w:r>
        <w:rPr>
          <w:rFonts w:hint="eastAsia" w:hAnsi="宋体" w:cs="宋体"/>
          <w:color w:val="auto"/>
          <w:szCs w:val="28"/>
          <w:highlight w:val="none"/>
        </w:rPr>
        <w:t>第四节 技术文件格式</w:t>
      </w:r>
      <w:r>
        <w:rPr>
          <w:color w:val="auto"/>
          <w:highlight w:val="none"/>
        </w:rPr>
        <w:tab/>
      </w:r>
      <w:r>
        <w:rPr>
          <w:color w:val="auto"/>
          <w:highlight w:val="none"/>
        </w:rPr>
        <w:fldChar w:fldCharType="begin"/>
      </w:r>
      <w:r>
        <w:rPr>
          <w:color w:val="auto"/>
          <w:highlight w:val="none"/>
        </w:rPr>
        <w:instrText xml:space="preserve"> PAGEREF _Toc27389 \h </w:instrText>
      </w:r>
      <w:r>
        <w:rPr>
          <w:color w:val="auto"/>
          <w:highlight w:val="none"/>
        </w:rPr>
        <w:fldChar w:fldCharType="separate"/>
      </w:r>
      <w:r>
        <w:rPr>
          <w:color w:val="auto"/>
          <w:highlight w:val="none"/>
        </w:rPr>
        <w:t>126</w:t>
      </w:r>
      <w:r>
        <w:rPr>
          <w:color w:val="auto"/>
          <w:highlight w:val="none"/>
        </w:rPr>
        <w:fldChar w:fldCharType="end"/>
      </w:r>
      <w:r>
        <w:rPr>
          <w:color w:val="auto"/>
          <w:highlight w:val="none"/>
        </w:rPr>
        <w:fldChar w:fldCharType="end"/>
      </w:r>
    </w:p>
    <w:p w14:paraId="0B42D32C">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"_Toc5466" </w:instrText>
      </w:r>
      <w:r>
        <w:rPr>
          <w:color w:val="auto"/>
          <w:highlight w:val="none"/>
        </w:rPr>
        <w:fldChar w:fldCharType="separate"/>
      </w:r>
      <w:r>
        <w:rPr>
          <w:rFonts w:hint="eastAsia" w:hAnsi="宋体" w:cs="宋体"/>
          <w:color w:val="auto"/>
          <w:szCs w:val="28"/>
          <w:highlight w:val="none"/>
        </w:rPr>
        <w:t>第五节 报价文件格式</w:t>
      </w:r>
      <w:r>
        <w:rPr>
          <w:color w:val="auto"/>
          <w:highlight w:val="none"/>
        </w:rPr>
        <w:tab/>
      </w:r>
      <w:r>
        <w:rPr>
          <w:color w:val="auto"/>
          <w:highlight w:val="none"/>
        </w:rPr>
        <w:fldChar w:fldCharType="begin"/>
      </w:r>
      <w:r>
        <w:rPr>
          <w:color w:val="auto"/>
          <w:highlight w:val="none"/>
        </w:rPr>
        <w:instrText xml:space="preserve"> PAGEREF _Toc5466 \h </w:instrText>
      </w:r>
      <w:r>
        <w:rPr>
          <w:color w:val="auto"/>
          <w:highlight w:val="none"/>
        </w:rPr>
        <w:fldChar w:fldCharType="separate"/>
      </w:r>
      <w:r>
        <w:rPr>
          <w:color w:val="auto"/>
          <w:highlight w:val="none"/>
        </w:rPr>
        <w:t>134</w:t>
      </w:r>
      <w:r>
        <w:rPr>
          <w:color w:val="auto"/>
          <w:highlight w:val="none"/>
        </w:rPr>
        <w:fldChar w:fldCharType="end"/>
      </w:r>
      <w:r>
        <w:rPr>
          <w:color w:val="auto"/>
          <w:highlight w:val="none"/>
        </w:rPr>
        <w:fldChar w:fldCharType="end"/>
      </w:r>
    </w:p>
    <w:p w14:paraId="165A6561">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"_Toc12438" </w:instrText>
      </w:r>
      <w:r>
        <w:rPr>
          <w:color w:val="auto"/>
          <w:highlight w:val="none"/>
        </w:rPr>
        <w:fldChar w:fldCharType="separate"/>
      </w:r>
      <w:r>
        <w:rPr>
          <w:rFonts w:hint="eastAsia" w:ascii="宋体" w:hAnsi="宋体" w:cs="宋体"/>
          <w:color w:val="auto"/>
          <w:szCs w:val="28"/>
          <w:highlight w:val="none"/>
        </w:rPr>
        <w:t>第六节 其他文书、文件格式</w:t>
      </w:r>
      <w:r>
        <w:rPr>
          <w:color w:val="auto"/>
          <w:highlight w:val="none"/>
        </w:rPr>
        <w:tab/>
      </w:r>
      <w:r>
        <w:rPr>
          <w:color w:val="auto"/>
          <w:highlight w:val="none"/>
        </w:rPr>
        <w:fldChar w:fldCharType="begin"/>
      </w:r>
      <w:r>
        <w:rPr>
          <w:color w:val="auto"/>
          <w:highlight w:val="none"/>
        </w:rPr>
        <w:instrText xml:space="preserve"> PAGEREF _Toc12438 \h </w:instrText>
      </w:r>
      <w:r>
        <w:rPr>
          <w:color w:val="auto"/>
          <w:highlight w:val="none"/>
        </w:rPr>
        <w:fldChar w:fldCharType="separate"/>
      </w:r>
      <w:r>
        <w:rPr>
          <w:color w:val="auto"/>
          <w:highlight w:val="none"/>
        </w:rPr>
        <w:t>140</w:t>
      </w:r>
      <w:r>
        <w:rPr>
          <w:color w:val="auto"/>
          <w:highlight w:val="none"/>
        </w:rPr>
        <w:fldChar w:fldCharType="end"/>
      </w:r>
      <w:r>
        <w:rPr>
          <w:color w:val="auto"/>
          <w:highlight w:val="none"/>
        </w:rPr>
        <w:fldChar w:fldCharType="end"/>
      </w:r>
    </w:p>
    <w:p w14:paraId="41D175FD">
      <w:pPr>
        <w:pStyle w:val="19"/>
        <w:tabs>
          <w:tab w:val="right" w:leader="dot" w:pos="9746"/>
        </w:tabs>
        <w:spacing w:before="0" w:after="0" w:line="360" w:lineRule="auto"/>
        <w:rPr>
          <w:color w:val="auto"/>
          <w:highlight w:val="none"/>
        </w:rPr>
      </w:pPr>
      <w:r>
        <w:rPr>
          <w:color w:val="auto"/>
          <w:highlight w:val="none"/>
        </w:rPr>
        <w:fldChar w:fldCharType="begin"/>
      </w:r>
      <w:r>
        <w:rPr>
          <w:color w:val="auto"/>
          <w:highlight w:val="none"/>
        </w:rPr>
        <w:instrText xml:space="preserve"> HYPERLINK \l "_Toc26579" </w:instrText>
      </w:r>
      <w:r>
        <w:rPr>
          <w:color w:val="auto"/>
          <w:highlight w:val="none"/>
        </w:rPr>
        <w:fldChar w:fldCharType="separate"/>
      </w:r>
      <w:r>
        <w:rPr>
          <w:rFonts w:hint="eastAsia" w:hAnsi="宋体" w:cs="宋体"/>
          <w:color w:val="auto"/>
          <w:highlight w:val="none"/>
        </w:rPr>
        <w:t>第七章 质疑、投诉证明材料格式</w:t>
      </w:r>
      <w:r>
        <w:rPr>
          <w:color w:val="auto"/>
          <w:highlight w:val="none"/>
        </w:rPr>
        <w:tab/>
      </w:r>
      <w:r>
        <w:rPr>
          <w:color w:val="auto"/>
          <w:highlight w:val="none"/>
        </w:rPr>
        <w:fldChar w:fldCharType="begin"/>
      </w:r>
      <w:r>
        <w:rPr>
          <w:color w:val="auto"/>
          <w:highlight w:val="none"/>
        </w:rPr>
        <w:instrText xml:space="preserve"> PAGEREF _Toc26579 \h </w:instrText>
      </w:r>
      <w:r>
        <w:rPr>
          <w:color w:val="auto"/>
          <w:highlight w:val="none"/>
        </w:rPr>
        <w:fldChar w:fldCharType="separate"/>
      </w:r>
      <w:r>
        <w:rPr>
          <w:color w:val="auto"/>
          <w:highlight w:val="none"/>
        </w:rPr>
        <w:t>142</w:t>
      </w:r>
      <w:r>
        <w:rPr>
          <w:color w:val="auto"/>
          <w:highlight w:val="none"/>
        </w:rPr>
        <w:fldChar w:fldCharType="end"/>
      </w:r>
      <w:r>
        <w:rPr>
          <w:color w:val="auto"/>
          <w:highlight w:val="none"/>
        </w:rPr>
        <w:fldChar w:fldCharType="end"/>
      </w:r>
    </w:p>
    <w:p w14:paraId="5B1A29A5">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"_Toc24445" </w:instrText>
      </w:r>
      <w:r>
        <w:rPr>
          <w:color w:val="auto"/>
          <w:highlight w:val="none"/>
        </w:rPr>
        <w:fldChar w:fldCharType="separate"/>
      </w:r>
      <w:r>
        <w:rPr>
          <w:rFonts w:hint="eastAsia" w:ascii="宋体" w:hAnsi="宋体" w:cs="宋体"/>
          <w:bCs w:val="0"/>
          <w:color w:val="auto"/>
          <w:highlight w:val="none"/>
        </w:rPr>
        <w:t>第一节 质疑函（格式）</w:t>
      </w:r>
      <w:r>
        <w:rPr>
          <w:color w:val="auto"/>
          <w:highlight w:val="none"/>
        </w:rPr>
        <w:tab/>
      </w:r>
      <w:r>
        <w:rPr>
          <w:color w:val="auto"/>
          <w:highlight w:val="none"/>
        </w:rPr>
        <w:fldChar w:fldCharType="begin"/>
      </w:r>
      <w:r>
        <w:rPr>
          <w:color w:val="auto"/>
          <w:highlight w:val="none"/>
        </w:rPr>
        <w:instrText xml:space="preserve"> PAGEREF _Toc24445 \h </w:instrText>
      </w:r>
      <w:r>
        <w:rPr>
          <w:color w:val="auto"/>
          <w:highlight w:val="none"/>
        </w:rPr>
        <w:fldChar w:fldCharType="separate"/>
      </w:r>
      <w:r>
        <w:rPr>
          <w:color w:val="auto"/>
          <w:highlight w:val="none"/>
        </w:rPr>
        <w:t>143</w:t>
      </w:r>
      <w:r>
        <w:rPr>
          <w:color w:val="auto"/>
          <w:highlight w:val="none"/>
        </w:rPr>
        <w:fldChar w:fldCharType="end"/>
      </w:r>
      <w:r>
        <w:rPr>
          <w:color w:val="auto"/>
          <w:highlight w:val="none"/>
        </w:rPr>
        <w:fldChar w:fldCharType="end"/>
      </w:r>
    </w:p>
    <w:p w14:paraId="35EB2C9B">
      <w:pPr>
        <w:pStyle w:val="21"/>
        <w:tabs>
          <w:tab w:val="right" w:leader="dot" w:pos="9746"/>
        </w:tabs>
        <w:spacing w:line="360" w:lineRule="auto"/>
        <w:rPr>
          <w:color w:val="auto"/>
          <w:highlight w:val="none"/>
        </w:rPr>
      </w:pPr>
      <w:r>
        <w:rPr>
          <w:color w:val="auto"/>
          <w:highlight w:val="none"/>
        </w:rPr>
        <w:fldChar w:fldCharType="begin"/>
      </w:r>
      <w:r>
        <w:rPr>
          <w:color w:val="auto"/>
          <w:highlight w:val="none"/>
        </w:rPr>
        <w:instrText xml:space="preserve"> HYPERLINK \l "_Toc14288" </w:instrText>
      </w:r>
      <w:r>
        <w:rPr>
          <w:color w:val="auto"/>
          <w:highlight w:val="none"/>
        </w:rPr>
        <w:fldChar w:fldCharType="separate"/>
      </w:r>
      <w:r>
        <w:rPr>
          <w:rFonts w:hint="eastAsia" w:ascii="宋体" w:hAnsi="宋体" w:cs="宋体"/>
          <w:bCs w:val="0"/>
          <w:color w:val="auto"/>
          <w:highlight w:val="none"/>
        </w:rPr>
        <w:t>第二节 投诉书（格式）</w:t>
      </w:r>
      <w:r>
        <w:rPr>
          <w:color w:val="auto"/>
          <w:highlight w:val="none"/>
        </w:rPr>
        <w:tab/>
      </w:r>
      <w:r>
        <w:rPr>
          <w:color w:val="auto"/>
          <w:highlight w:val="none"/>
        </w:rPr>
        <w:fldChar w:fldCharType="begin"/>
      </w:r>
      <w:r>
        <w:rPr>
          <w:color w:val="auto"/>
          <w:highlight w:val="none"/>
        </w:rPr>
        <w:instrText xml:space="preserve"> PAGEREF _Toc14288 \h </w:instrText>
      </w:r>
      <w:r>
        <w:rPr>
          <w:color w:val="auto"/>
          <w:highlight w:val="none"/>
        </w:rPr>
        <w:fldChar w:fldCharType="separate"/>
      </w:r>
      <w:r>
        <w:rPr>
          <w:color w:val="auto"/>
          <w:highlight w:val="none"/>
        </w:rPr>
        <w:t>146</w:t>
      </w:r>
      <w:r>
        <w:rPr>
          <w:color w:val="auto"/>
          <w:highlight w:val="none"/>
        </w:rPr>
        <w:fldChar w:fldCharType="end"/>
      </w:r>
      <w:r>
        <w:rPr>
          <w:color w:val="auto"/>
          <w:highlight w:val="none"/>
        </w:rPr>
        <w:fldChar w:fldCharType="end"/>
      </w:r>
    </w:p>
    <w:p w14:paraId="4E53F7A8">
      <w:pPr>
        <w:pStyle w:val="14"/>
        <w:wordWrap w:val="0"/>
        <w:spacing w:line="360" w:lineRule="auto"/>
        <w:jc w:val="center"/>
        <w:rPr>
          <w:rFonts w:hint="eastAsia" w:hAnsi="宋体" w:cs="宋体"/>
          <w:color w:val="auto"/>
          <w:highlight w:val="none"/>
        </w:rPr>
        <w:sectPr>
          <w:headerReference r:id="rId3" w:type="default"/>
          <w:pgSz w:w="11906" w:h="16838"/>
          <w:pgMar w:top="1440" w:right="1080" w:bottom="1440" w:left="1080" w:header="720" w:footer="720" w:gutter="0"/>
          <w:pgNumType w:start="1"/>
          <w:cols w:space="720" w:num="1"/>
          <w:docGrid w:type="lines" w:linePitch="331" w:charSpace="0"/>
        </w:sectPr>
      </w:pPr>
      <w:r>
        <w:rPr>
          <w:rFonts w:hint="eastAsia" w:hAnsi="宋体" w:cs="宋体"/>
          <w:bCs/>
          <w:caps/>
          <w:color w:val="auto"/>
          <w:szCs w:val="32"/>
          <w:highlight w:val="none"/>
          <w:u w:val="single"/>
        </w:rPr>
        <w:fldChar w:fldCharType="end"/>
      </w:r>
      <w:bookmarkStart w:id="0" w:name="_Toc11954"/>
      <w:r>
        <w:rPr>
          <w:rFonts w:hint="eastAsia" w:hAnsi="宋体" w:cs="宋体"/>
          <w:color w:val="auto"/>
          <w:highlight w:val="none"/>
        </w:rPr>
        <w:tab/>
      </w:r>
      <w:bookmarkEnd w:id="0"/>
      <w:bookmarkStart w:id="1" w:name="_Toc532545041"/>
      <w:r>
        <w:rPr>
          <w:rFonts w:hint="eastAsia" w:hAnsi="宋体" w:cs="宋体"/>
          <w:color w:val="auto"/>
          <w:highlight w:val="none"/>
        </w:rPr>
        <w:t>=</w:t>
      </w:r>
    </w:p>
    <w:bookmarkEnd w:id="1"/>
    <w:p w14:paraId="16660E35">
      <w:pPr>
        <w:pStyle w:val="14"/>
        <w:wordWrap w:val="0"/>
        <w:spacing w:line="360" w:lineRule="auto"/>
        <w:ind w:firstLine="723"/>
        <w:jc w:val="center"/>
        <w:outlineLvl w:val="0"/>
        <w:rPr>
          <w:rFonts w:hint="eastAsia" w:hAnsi="宋体" w:cs="宋体"/>
          <w:b/>
          <w:color w:val="auto"/>
          <w:sz w:val="36"/>
          <w:szCs w:val="36"/>
          <w:highlight w:val="none"/>
        </w:rPr>
      </w:pPr>
      <w:bookmarkStart w:id="2" w:name="_Toc532545042"/>
      <w:r>
        <w:rPr>
          <w:rFonts w:hint="eastAsia" w:hAnsi="宋体" w:cs="宋体"/>
          <w:b/>
          <w:color w:val="auto"/>
          <w:sz w:val="36"/>
          <w:highlight w:val="none"/>
        </w:rPr>
        <w:t xml:space="preserve"> </w:t>
      </w:r>
      <w:bookmarkStart w:id="3" w:name="_Toc12415"/>
      <w:r>
        <w:rPr>
          <w:rFonts w:hint="eastAsia" w:hAnsi="宋体" w:cs="宋体"/>
          <w:b/>
          <w:color w:val="auto"/>
          <w:sz w:val="36"/>
          <w:highlight w:val="none"/>
        </w:rPr>
        <w:t>第一章  招标公告</w:t>
      </w:r>
      <w:bookmarkEnd w:id="3"/>
    </w:p>
    <w:p w14:paraId="06A9E3D7">
      <w:pPr>
        <w:pStyle w:val="14"/>
        <w:wordWrap w:val="0"/>
        <w:spacing w:line="360" w:lineRule="auto"/>
        <w:ind w:firstLine="602"/>
        <w:jc w:val="center"/>
        <w:rPr>
          <w:rFonts w:hint="eastAsia" w:hAnsi="宋体" w:cs="宋体"/>
          <w:b/>
          <w:color w:val="auto"/>
          <w:sz w:val="30"/>
          <w:szCs w:val="30"/>
          <w:highlight w:val="none"/>
        </w:rPr>
      </w:pPr>
      <w:r>
        <w:rPr>
          <w:rFonts w:hint="eastAsia" w:hAnsi="宋体" w:cs="宋体"/>
          <w:b/>
          <w:color w:val="auto"/>
          <w:sz w:val="30"/>
          <w:szCs w:val="30"/>
          <w:highlight w:val="none"/>
        </w:rPr>
        <w:t>公开招标公告</w:t>
      </w:r>
    </w:p>
    <w:p w14:paraId="3F9C1344">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474B6837">
      <w:pPr>
        <w:pBdr>
          <w:top w:val="single" w:color="auto" w:sz="4" w:space="1"/>
          <w:left w:val="single" w:color="auto" w:sz="4" w:space="4"/>
          <w:bottom w:val="single" w:color="auto" w:sz="4" w:space="1"/>
          <w:right w:val="single" w:color="auto" w:sz="4" w:space="4"/>
        </w:pBdr>
        <w:wordWrap w:val="0"/>
        <w:spacing w:line="360" w:lineRule="auto"/>
        <w:ind w:firstLine="525" w:firstLineChars="250"/>
        <w:rPr>
          <w:rFonts w:hint="eastAsia" w:ascii="宋体" w:hAnsi="宋体" w:cs="宋体"/>
          <w:color w:val="auto"/>
          <w:sz w:val="24"/>
          <w:highlight w:val="none"/>
          <w:u w:val="single"/>
        </w:rPr>
      </w:pP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u w:val="single"/>
          <w:lang w:eastAsia="zh-CN"/>
        </w:rPr>
        <w:t>南宁市经济信息中心2025年第二批信息化系统运维项目（重）</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招标项目的潜在投标人应在广西政府采购云平台（https://login.gcy.zfcg.gxzf.gov.cn/user-login/#/）获取（下载）招标文件，并于</w:t>
      </w:r>
      <w:r>
        <w:rPr>
          <w:rFonts w:hint="eastAsia" w:ascii="宋体" w:hAnsi="宋体" w:cs="宋体"/>
          <w:color w:val="auto"/>
          <w:sz w:val="24"/>
          <w:highlight w:val="none"/>
          <w:u w:val="single"/>
          <w:lang w:bidi="ar"/>
        </w:rPr>
        <w:t>2025年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3</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09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w:t>
      </w:r>
      <w:r>
        <w:rPr>
          <w:rFonts w:hint="eastAsia" w:ascii="宋体" w:hAnsi="宋体" w:cs="宋体"/>
          <w:color w:val="auto"/>
          <w:sz w:val="24"/>
          <w:highlight w:val="none"/>
          <w:u w:val="single"/>
          <w:lang w:bidi="ar"/>
        </w:rPr>
        <w:t>0分00秒</w:t>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11772DD2">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一、项目基本情况</w:t>
      </w:r>
    </w:p>
    <w:p w14:paraId="2564B8C4">
      <w:pPr>
        <w:wordWrap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项目编号：</w:t>
      </w:r>
      <w:r>
        <w:rPr>
          <w:rFonts w:hint="eastAsia" w:ascii="宋体" w:hAnsi="宋体" w:cs="宋体"/>
          <w:color w:val="auto"/>
          <w:sz w:val="24"/>
          <w:highlight w:val="none"/>
          <w:lang w:eastAsia="zh-CN"/>
        </w:rPr>
        <w:t>NNZC2025-G3-991166-GXYZ</w:t>
      </w:r>
    </w:p>
    <w:p w14:paraId="41B011D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采购计划文号：NNZC[2025]5970号-004、NNZC[2025]2066号-002、NNZC[2025]5970号-003、NNZC[2025]5970号-002、NNZC[2025]5970号-001</w:t>
      </w:r>
    </w:p>
    <w:p w14:paraId="127AB8D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项目名称：</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lang w:eastAsia="zh-CN"/>
        </w:rPr>
        <w:t>南宁市经济信息中心2025年第二批信息化系统运维项目（重）</w:t>
      </w:r>
      <w:r>
        <w:rPr>
          <w:rFonts w:hint="eastAsia" w:ascii="宋体" w:hAnsi="宋体" w:cs="宋体"/>
          <w:color w:val="auto"/>
          <w:sz w:val="24"/>
          <w:highlight w:val="none"/>
        </w:rPr>
        <w:fldChar w:fldCharType="end"/>
      </w:r>
    </w:p>
    <w:p w14:paraId="7FBEA92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预算金额：人民币壹佰零肆万叁仟元整（¥1043000.00）</w:t>
      </w:r>
    </w:p>
    <w:p w14:paraId="3160FE7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最高限价：人民币壹佰零肆万叁仟元整（¥1043000.00）</w:t>
      </w:r>
    </w:p>
    <w:p w14:paraId="0CC7F381">
      <w:pPr>
        <w:wordWrap w:val="0"/>
        <w:spacing w:line="360" w:lineRule="auto"/>
        <w:ind w:firstLine="480" w:firstLineChars="200"/>
        <w:rPr>
          <w:color w:val="auto"/>
          <w:highlight w:val="none"/>
        </w:rPr>
      </w:pPr>
      <w:r>
        <w:rPr>
          <w:rFonts w:hint="eastAsia" w:ascii="宋体" w:hAnsi="宋体" w:cs="宋体"/>
          <w:color w:val="auto"/>
          <w:sz w:val="24"/>
          <w:highlight w:val="none"/>
        </w:rPr>
        <w:t xml:space="preserve">采购需求： </w:t>
      </w:r>
    </w:p>
    <w:tbl>
      <w:tblPr>
        <w:tblStyle w:val="26"/>
        <w:tblW w:w="1017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1"/>
        <w:gridCol w:w="2350"/>
        <w:gridCol w:w="790"/>
        <w:gridCol w:w="919"/>
        <w:gridCol w:w="5443"/>
      </w:tblGrid>
      <w:tr w14:paraId="053646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48D6725A">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序号</w:t>
            </w:r>
          </w:p>
        </w:tc>
        <w:tc>
          <w:tcPr>
            <w:tcW w:w="2350" w:type="dxa"/>
            <w:tcBorders>
              <w:top w:val="single" w:color="auto" w:sz="4" w:space="0"/>
              <w:left w:val="single" w:color="auto" w:sz="4" w:space="0"/>
              <w:bottom w:val="single" w:color="auto" w:sz="4" w:space="0"/>
              <w:right w:val="single" w:color="auto" w:sz="4" w:space="0"/>
            </w:tcBorders>
            <w:vAlign w:val="center"/>
          </w:tcPr>
          <w:p w14:paraId="0A2AA608">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标的的名称</w:t>
            </w:r>
          </w:p>
        </w:tc>
        <w:tc>
          <w:tcPr>
            <w:tcW w:w="790" w:type="dxa"/>
            <w:tcBorders>
              <w:top w:val="single" w:color="auto" w:sz="4" w:space="0"/>
              <w:left w:val="single" w:color="auto" w:sz="4" w:space="0"/>
              <w:bottom w:val="single" w:color="auto" w:sz="4" w:space="0"/>
              <w:right w:val="single" w:color="auto" w:sz="4" w:space="0"/>
            </w:tcBorders>
            <w:vAlign w:val="center"/>
          </w:tcPr>
          <w:p w14:paraId="185E2ACF">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单位</w:t>
            </w:r>
          </w:p>
        </w:tc>
        <w:tc>
          <w:tcPr>
            <w:tcW w:w="919" w:type="dxa"/>
            <w:tcBorders>
              <w:top w:val="single" w:color="auto" w:sz="4" w:space="0"/>
              <w:left w:val="single" w:color="auto" w:sz="4" w:space="0"/>
              <w:bottom w:val="single" w:color="auto" w:sz="4" w:space="0"/>
              <w:right w:val="single" w:color="auto" w:sz="4" w:space="0"/>
            </w:tcBorders>
            <w:vAlign w:val="center"/>
          </w:tcPr>
          <w:p w14:paraId="3C815862">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数量</w:t>
            </w:r>
          </w:p>
        </w:tc>
        <w:tc>
          <w:tcPr>
            <w:tcW w:w="5443" w:type="dxa"/>
            <w:tcBorders>
              <w:top w:val="single" w:color="auto" w:sz="4" w:space="0"/>
              <w:left w:val="single" w:color="auto" w:sz="4" w:space="0"/>
              <w:bottom w:val="single" w:color="auto" w:sz="4" w:space="0"/>
              <w:right w:val="single" w:color="auto" w:sz="4" w:space="0"/>
            </w:tcBorders>
            <w:vAlign w:val="center"/>
          </w:tcPr>
          <w:p w14:paraId="3C2A7DBE">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简要服务要求或者技术需求</w:t>
            </w:r>
          </w:p>
        </w:tc>
      </w:tr>
      <w:tr w14:paraId="224423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51E143FD">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1</w:t>
            </w:r>
          </w:p>
        </w:tc>
        <w:tc>
          <w:tcPr>
            <w:tcW w:w="2350" w:type="dxa"/>
            <w:tcBorders>
              <w:top w:val="single" w:color="auto" w:sz="4" w:space="0"/>
              <w:left w:val="single" w:color="auto" w:sz="4" w:space="0"/>
              <w:bottom w:val="single" w:color="auto" w:sz="4" w:space="0"/>
              <w:right w:val="single" w:color="auto" w:sz="4" w:space="0"/>
            </w:tcBorders>
            <w:vAlign w:val="center"/>
          </w:tcPr>
          <w:p w14:paraId="6666ACDF">
            <w:pPr>
              <w:wordWrap w:val="0"/>
              <w:spacing w:line="360" w:lineRule="auto"/>
              <w:rPr>
                <w:rFonts w:hint="eastAsia" w:ascii="新宋体" w:hAnsi="新宋体" w:eastAsia="新宋体" w:cs="新宋体"/>
                <w:color w:val="auto"/>
                <w:sz w:val="24"/>
                <w:highlight w:val="none"/>
              </w:rPr>
            </w:pPr>
            <w:r>
              <w:rPr>
                <w:rFonts w:hint="eastAsia" w:ascii="宋体" w:hAnsi="宋体" w:cs="宋体"/>
                <w:bCs/>
                <w:color w:val="auto"/>
                <w:sz w:val="24"/>
                <w:highlight w:val="none"/>
              </w:rPr>
              <w:t>2025年南宁市发展改革委重要工作精细化管理系统及南宁市发改委内控一体化系统技术运维服务</w:t>
            </w:r>
          </w:p>
        </w:tc>
        <w:tc>
          <w:tcPr>
            <w:tcW w:w="790" w:type="dxa"/>
            <w:tcBorders>
              <w:top w:val="single" w:color="auto" w:sz="4" w:space="0"/>
              <w:left w:val="single" w:color="auto" w:sz="4" w:space="0"/>
              <w:bottom w:val="single" w:color="auto" w:sz="4" w:space="0"/>
              <w:right w:val="single" w:color="auto" w:sz="4" w:space="0"/>
            </w:tcBorders>
            <w:vAlign w:val="center"/>
          </w:tcPr>
          <w:p w14:paraId="6E92516C">
            <w:pPr>
              <w:wordWrap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w:t>
            </w:r>
          </w:p>
        </w:tc>
        <w:tc>
          <w:tcPr>
            <w:tcW w:w="919" w:type="dxa"/>
            <w:tcBorders>
              <w:top w:val="single" w:color="auto" w:sz="4" w:space="0"/>
              <w:left w:val="single" w:color="auto" w:sz="4" w:space="0"/>
              <w:bottom w:val="single" w:color="auto" w:sz="4" w:space="0"/>
              <w:right w:val="single" w:color="auto" w:sz="4" w:space="0"/>
            </w:tcBorders>
            <w:vAlign w:val="center"/>
          </w:tcPr>
          <w:p w14:paraId="3A3D357A">
            <w:pPr>
              <w:wordWrap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bCs/>
                <w:color w:val="auto"/>
                <w:sz w:val="24"/>
                <w:highlight w:val="none"/>
              </w:rPr>
              <w:t>1</w:t>
            </w:r>
          </w:p>
        </w:tc>
        <w:tc>
          <w:tcPr>
            <w:tcW w:w="5443" w:type="dxa"/>
            <w:tcBorders>
              <w:top w:val="single" w:color="auto" w:sz="4" w:space="0"/>
              <w:left w:val="single" w:color="auto" w:sz="4" w:space="0"/>
              <w:bottom w:val="single" w:color="auto" w:sz="4" w:space="0"/>
              <w:right w:val="single" w:color="auto" w:sz="4" w:space="0"/>
            </w:tcBorders>
            <w:vAlign w:val="center"/>
          </w:tcPr>
          <w:p w14:paraId="3FFBC604">
            <w:pPr>
              <w:pStyle w:val="21"/>
              <w:widowControl/>
              <w:tabs>
                <w:tab w:val="right" w:leader="dot" w:pos="9628"/>
              </w:tabs>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一、移动流量服务</w:t>
            </w:r>
          </w:p>
          <w:p w14:paraId="5F3786CD">
            <w:pPr>
              <w:pStyle w:val="21"/>
              <w:widowControl/>
              <w:tabs>
                <w:tab w:val="right" w:leader="dot" w:pos="9628"/>
              </w:tabs>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为南宁市发展改革委重要工作精细化管理系统的移动终端提供网络数据接入服务，数据流量每月20GB（含12个月），具体数量可根据采购人需求定，最多不超过22套。</w:t>
            </w:r>
          </w:p>
          <w:p w14:paraId="3A9AAECC">
            <w:pPr>
              <w:wordWrap w:val="0"/>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w:t>
            </w:r>
            <w:r>
              <w:rPr>
                <w:rFonts w:hint="eastAsia" w:ascii="新宋体" w:hAnsi="新宋体" w:eastAsia="新宋体" w:cs="新宋体"/>
                <w:b/>
                <w:color w:val="auto"/>
                <w:sz w:val="24"/>
                <w:highlight w:val="none"/>
              </w:rPr>
              <w:t>具体详见公开招标文件“第二章 采购需求”。</w:t>
            </w:r>
          </w:p>
        </w:tc>
      </w:tr>
      <w:tr w14:paraId="5E13A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03411237">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w:t>
            </w:r>
          </w:p>
        </w:tc>
        <w:tc>
          <w:tcPr>
            <w:tcW w:w="2350" w:type="dxa"/>
            <w:tcBorders>
              <w:top w:val="single" w:color="auto" w:sz="4" w:space="0"/>
              <w:left w:val="single" w:color="auto" w:sz="4" w:space="0"/>
              <w:bottom w:val="single" w:color="auto" w:sz="4" w:space="0"/>
              <w:right w:val="single" w:color="auto" w:sz="4" w:space="0"/>
            </w:tcBorders>
            <w:vAlign w:val="center"/>
          </w:tcPr>
          <w:p w14:paraId="77779C1B">
            <w:pPr>
              <w:wordWrap w:val="0"/>
              <w:spacing w:line="360" w:lineRule="auto"/>
              <w:rPr>
                <w:rFonts w:hint="eastAsia" w:ascii="宋体" w:hAnsi="宋体" w:cs="宋体"/>
                <w:color w:val="auto"/>
                <w:sz w:val="24"/>
                <w:highlight w:val="none"/>
              </w:rPr>
            </w:pPr>
            <w:r>
              <w:rPr>
                <w:rFonts w:hint="eastAsia" w:ascii="新宋体" w:hAnsi="新宋体" w:eastAsia="新宋体" w:cs="新宋体"/>
                <w:color w:val="auto"/>
                <w:sz w:val="24"/>
                <w:highlight w:val="none"/>
              </w:rPr>
              <w:t>……</w:t>
            </w:r>
          </w:p>
        </w:tc>
        <w:tc>
          <w:tcPr>
            <w:tcW w:w="790" w:type="dxa"/>
            <w:tcBorders>
              <w:top w:val="single" w:color="auto" w:sz="4" w:space="0"/>
              <w:left w:val="single" w:color="auto" w:sz="4" w:space="0"/>
              <w:bottom w:val="single" w:color="auto" w:sz="4" w:space="0"/>
              <w:right w:val="single" w:color="auto" w:sz="4" w:space="0"/>
            </w:tcBorders>
            <w:vAlign w:val="center"/>
          </w:tcPr>
          <w:p w14:paraId="47C576DE">
            <w:pPr>
              <w:wordWrap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w:t>
            </w:r>
          </w:p>
        </w:tc>
        <w:tc>
          <w:tcPr>
            <w:tcW w:w="919" w:type="dxa"/>
            <w:tcBorders>
              <w:top w:val="single" w:color="auto" w:sz="4" w:space="0"/>
              <w:left w:val="single" w:color="auto" w:sz="4" w:space="0"/>
              <w:bottom w:val="single" w:color="auto" w:sz="4" w:space="0"/>
              <w:right w:val="single" w:color="auto" w:sz="4" w:space="0"/>
            </w:tcBorders>
            <w:vAlign w:val="center"/>
          </w:tcPr>
          <w:p w14:paraId="1294CB17">
            <w:pPr>
              <w:wordWrap w:val="0"/>
              <w:spacing w:line="360" w:lineRule="auto"/>
              <w:jc w:val="center"/>
              <w:rPr>
                <w:rFonts w:hint="eastAsia" w:ascii="新宋体" w:hAnsi="新宋体" w:eastAsia="新宋体" w:cs="新宋体"/>
                <w:bCs/>
                <w:color w:val="auto"/>
                <w:sz w:val="24"/>
                <w:highlight w:val="none"/>
              </w:rPr>
            </w:pPr>
            <w:r>
              <w:rPr>
                <w:rFonts w:hint="eastAsia" w:ascii="新宋体" w:hAnsi="新宋体" w:eastAsia="新宋体" w:cs="新宋体"/>
                <w:color w:val="auto"/>
                <w:sz w:val="24"/>
                <w:highlight w:val="none"/>
              </w:rPr>
              <w:t>……</w:t>
            </w:r>
          </w:p>
        </w:tc>
        <w:tc>
          <w:tcPr>
            <w:tcW w:w="5443" w:type="dxa"/>
            <w:tcBorders>
              <w:top w:val="single" w:color="auto" w:sz="4" w:space="0"/>
              <w:left w:val="single" w:color="auto" w:sz="4" w:space="0"/>
              <w:bottom w:val="single" w:color="auto" w:sz="4" w:space="0"/>
              <w:right w:val="single" w:color="auto" w:sz="4" w:space="0"/>
            </w:tcBorders>
            <w:vAlign w:val="center"/>
          </w:tcPr>
          <w:p w14:paraId="1F603EC2">
            <w:pPr>
              <w:wordWrap w:val="0"/>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w:t>
            </w:r>
          </w:p>
        </w:tc>
      </w:tr>
      <w:tr w14:paraId="2F0A6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71" w:type="dxa"/>
            <w:tcBorders>
              <w:top w:val="single" w:color="auto" w:sz="4" w:space="0"/>
              <w:left w:val="single" w:color="auto" w:sz="4" w:space="0"/>
              <w:bottom w:val="single" w:color="auto" w:sz="4" w:space="0"/>
              <w:right w:val="single" w:color="auto" w:sz="4" w:space="0"/>
            </w:tcBorders>
            <w:vAlign w:val="center"/>
          </w:tcPr>
          <w:p w14:paraId="4A8938DF">
            <w:pPr>
              <w:wordWrap w:val="0"/>
              <w:snapToGrid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5</w:t>
            </w:r>
          </w:p>
        </w:tc>
        <w:tc>
          <w:tcPr>
            <w:tcW w:w="2350" w:type="dxa"/>
            <w:tcBorders>
              <w:top w:val="single" w:color="auto" w:sz="4" w:space="0"/>
              <w:left w:val="single" w:color="auto" w:sz="4" w:space="0"/>
              <w:bottom w:val="single" w:color="auto" w:sz="4" w:space="0"/>
              <w:right w:val="single" w:color="auto" w:sz="4" w:space="0"/>
            </w:tcBorders>
            <w:vAlign w:val="center"/>
          </w:tcPr>
          <w:p w14:paraId="4AA58942">
            <w:pPr>
              <w:wordWrap w:val="0"/>
              <w:spacing w:line="360" w:lineRule="auto"/>
              <w:rPr>
                <w:rFonts w:hint="eastAsia" w:ascii="宋体" w:hAnsi="宋体" w:cs="宋体"/>
                <w:color w:val="auto"/>
                <w:sz w:val="24"/>
                <w:highlight w:val="none"/>
              </w:rPr>
            </w:pPr>
            <w:r>
              <w:rPr>
                <w:rFonts w:hint="eastAsia" w:ascii="宋体" w:hAnsi="宋体" w:cs="宋体"/>
                <w:bCs/>
                <w:color w:val="auto"/>
                <w:spacing w:val="-6"/>
                <w:sz w:val="24"/>
                <w:highlight w:val="none"/>
              </w:rPr>
              <w:t>2025年强首府作战云可视化系统及智能展示调度系统</w:t>
            </w:r>
            <w:r>
              <w:rPr>
                <w:rFonts w:hint="eastAsia" w:ascii="宋体" w:hAnsi="宋体" w:cs="宋体"/>
                <w:bCs/>
                <w:color w:val="auto"/>
                <w:sz w:val="24"/>
                <w:highlight w:val="none"/>
              </w:rPr>
              <w:t>运维服务</w:t>
            </w:r>
          </w:p>
        </w:tc>
        <w:tc>
          <w:tcPr>
            <w:tcW w:w="790" w:type="dxa"/>
            <w:tcBorders>
              <w:top w:val="single" w:color="auto" w:sz="4" w:space="0"/>
              <w:left w:val="single" w:color="auto" w:sz="4" w:space="0"/>
              <w:bottom w:val="single" w:color="auto" w:sz="4" w:space="0"/>
              <w:right w:val="single" w:color="auto" w:sz="4" w:space="0"/>
            </w:tcBorders>
            <w:vAlign w:val="center"/>
          </w:tcPr>
          <w:p w14:paraId="147B882A">
            <w:pPr>
              <w:wordWrap w:val="0"/>
              <w:spacing w:line="360" w:lineRule="auto"/>
              <w:jc w:val="center"/>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项</w:t>
            </w:r>
          </w:p>
        </w:tc>
        <w:tc>
          <w:tcPr>
            <w:tcW w:w="919" w:type="dxa"/>
            <w:tcBorders>
              <w:top w:val="single" w:color="auto" w:sz="4" w:space="0"/>
              <w:left w:val="single" w:color="auto" w:sz="4" w:space="0"/>
              <w:bottom w:val="single" w:color="auto" w:sz="4" w:space="0"/>
              <w:right w:val="single" w:color="auto" w:sz="4" w:space="0"/>
            </w:tcBorders>
            <w:vAlign w:val="center"/>
          </w:tcPr>
          <w:p w14:paraId="446F87A5">
            <w:pPr>
              <w:wordWrap w:val="0"/>
              <w:spacing w:line="360" w:lineRule="auto"/>
              <w:jc w:val="center"/>
              <w:rPr>
                <w:rFonts w:hint="eastAsia" w:ascii="新宋体" w:hAnsi="新宋体" w:eastAsia="新宋体" w:cs="新宋体"/>
                <w:bCs/>
                <w:color w:val="auto"/>
                <w:sz w:val="24"/>
                <w:highlight w:val="none"/>
              </w:rPr>
            </w:pPr>
            <w:r>
              <w:rPr>
                <w:rFonts w:hint="eastAsia" w:ascii="新宋体" w:hAnsi="新宋体" w:eastAsia="新宋体" w:cs="新宋体"/>
                <w:bCs/>
                <w:color w:val="auto"/>
                <w:sz w:val="24"/>
                <w:highlight w:val="none"/>
              </w:rPr>
              <w:t>1</w:t>
            </w:r>
          </w:p>
        </w:tc>
        <w:tc>
          <w:tcPr>
            <w:tcW w:w="5443" w:type="dxa"/>
            <w:tcBorders>
              <w:top w:val="single" w:color="auto" w:sz="4" w:space="0"/>
              <w:left w:val="single" w:color="auto" w:sz="4" w:space="0"/>
              <w:bottom w:val="single" w:color="auto" w:sz="4" w:space="0"/>
              <w:right w:val="single" w:color="auto" w:sz="4" w:space="0"/>
            </w:tcBorders>
            <w:vAlign w:val="center"/>
          </w:tcPr>
          <w:p w14:paraId="40F87261">
            <w:pPr>
              <w:pStyle w:val="21"/>
              <w:tabs>
                <w:tab w:val="right" w:leader="dot" w:pos="9628"/>
              </w:tabs>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一、日常保障服务</w:t>
            </w:r>
          </w:p>
          <w:p w14:paraId="498128A9">
            <w:pPr>
              <w:pStyle w:val="21"/>
              <w:tabs>
                <w:tab w:val="right" w:leader="dot" w:pos="9628"/>
              </w:tabs>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（一）日常安全巡检服务</w:t>
            </w:r>
          </w:p>
          <w:p w14:paraId="317536C9">
            <w:pPr>
              <w:pStyle w:val="21"/>
              <w:tabs>
                <w:tab w:val="right" w:leader="dot" w:pos="9628"/>
              </w:tabs>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2FDCF1C2">
            <w:pPr>
              <w:wordWrap w:val="0"/>
              <w:spacing w:line="360" w:lineRule="auto"/>
              <w:ind w:firstLine="48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4"/>
                <w:highlight w:val="none"/>
              </w:rPr>
              <w:t>……</w:t>
            </w:r>
            <w:r>
              <w:rPr>
                <w:rFonts w:hint="eastAsia" w:ascii="新宋体" w:hAnsi="新宋体" w:eastAsia="新宋体" w:cs="新宋体"/>
                <w:b/>
                <w:color w:val="auto"/>
                <w:sz w:val="24"/>
                <w:highlight w:val="none"/>
              </w:rPr>
              <w:t>具体详见公开招标文件“第二章 采购需求”。</w:t>
            </w:r>
          </w:p>
        </w:tc>
      </w:tr>
    </w:tbl>
    <w:p w14:paraId="00ADAA04">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合同履行期限：详见公开招标文件。</w:t>
      </w:r>
    </w:p>
    <w:p w14:paraId="774C9A1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是否接受联合体投标：本项目不接受联合体。</w:t>
      </w:r>
    </w:p>
    <w:p w14:paraId="00593FC3">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二、投标人的资格要求：</w:t>
      </w:r>
    </w:p>
    <w:p w14:paraId="08A9594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1.满足《中华人民共和国政府采购法》第二十二条规定；</w:t>
      </w:r>
    </w:p>
    <w:p w14:paraId="21639EC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2.落实政府采购政策需满足的资格要求：专门面向中小企业采购的项目（供应商应为中小微企业、监狱企业、残疾人福利性单位)</w:t>
      </w:r>
    </w:p>
    <w:p w14:paraId="7E22073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3.本项目的特定资格要求：无。</w:t>
      </w:r>
    </w:p>
    <w:p w14:paraId="2F1398D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4.本项目的特定条件：无。</w:t>
      </w:r>
    </w:p>
    <w:p w14:paraId="5D1DC54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8BBA60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23E4BD73">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p>
    <w:p w14:paraId="7D7B0C5A">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时间：自公告发布之日起。</w:t>
      </w:r>
    </w:p>
    <w:p w14:paraId="76087EA4">
      <w:pPr>
        <w:wordWrap w:val="0"/>
        <w:spacing w:line="360" w:lineRule="auto"/>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获取方式:网上下载。本项目不发放纸质文件，供应商可自行在</w:t>
      </w:r>
      <w:r>
        <w:rPr>
          <w:color w:val="auto"/>
          <w:highlight w:val="none"/>
        </w:rPr>
        <w:fldChar w:fldCharType="begin"/>
      </w:r>
      <w:r>
        <w:rPr>
          <w:color w:val="auto"/>
          <w:highlight w:val="none"/>
        </w:rPr>
        <w:instrText xml:space="preserve"> HYPERLINK </w:instrText>
      </w:r>
      <w:r>
        <w:rPr>
          <w:color w:val="auto"/>
          <w:highlight w:val="none"/>
        </w:rPr>
        <w:fldChar w:fldCharType="separate"/>
      </w:r>
      <w:r>
        <w:rPr>
          <w:color w:val="auto"/>
          <w:highlight w:val="none"/>
        </w:rPr>
        <w:fldChar w:fldCharType="end"/>
      </w:r>
      <w:r>
        <w:rPr>
          <w:rFonts w:hint="eastAsia" w:ascii="宋体" w:hAnsi="宋体" w:cs="宋体"/>
          <w:color w:val="auto"/>
          <w:sz w:val="24"/>
          <w:highlight w:val="none"/>
        </w:rPr>
        <w:t>广西政府采购云平台（https://login.gcy.zfcg.gxzf.gov.cn/user-login/#/）下载招标文件（操作路径：登录广西政府采购云平台-项目采购-获取采购文件-找到本项目-点击“申请获取采购文件”），电子投标文件制作需要基于广西政府采购云平台获取的招标文件编制。</w:t>
      </w:r>
    </w:p>
    <w:p w14:paraId="5C5F5D2A">
      <w:pPr>
        <w:wordWrap w:val="0"/>
        <w:snapToGrid w:val="0"/>
        <w:spacing w:line="360" w:lineRule="auto"/>
        <w:ind w:firstLine="540" w:firstLineChars="225"/>
        <w:rPr>
          <w:rFonts w:hint="eastAsia" w:ascii="宋体" w:hAnsi="宋体" w:cs="宋体"/>
          <w:color w:val="auto"/>
          <w:sz w:val="24"/>
          <w:highlight w:val="none"/>
        </w:rPr>
      </w:pPr>
      <w:r>
        <w:rPr>
          <w:rFonts w:hint="eastAsia" w:ascii="宋体" w:hAnsi="宋体" w:cs="宋体"/>
          <w:color w:val="auto"/>
          <w:sz w:val="24"/>
          <w:highlight w:val="none"/>
        </w:rPr>
        <w:t>售价：0元。</w:t>
      </w:r>
    </w:p>
    <w:p w14:paraId="0561B479">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四、提交投标文件截止时间、开标时间和地点</w:t>
      </w:r>
    </w:p>
    <w:p w14:paraId="02E5705E">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bCs/>
          <w:color w:val="auto"/>
          <w:sz w:val="24"/>
          <w:highlight w:val="none"/>
        </w:rPr>
        <w:t>1、提交投标文件截止时间和开标时间：</w:t>
      </w:r>
      <w:r>
        <w:rPr>
          <w:rFonts w:hint="eastAsia" w:ascii="宋体" w:hAnsi="宋体" w:cs="宋体"/>
          <w:color w:val="auto"/>
          <w:sz w:val="24"/>
          <w:highlight w:val="none"/>
          <w:u w:val="single"/>
          <w:lang w:bidi="ar"/>
        </w:rPr>
        <w:t>2025年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3</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09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w:t>
      </w:r>
      <w:r>
        <w:rPr>
          <w:rFonts w:hint="eastAsia" w:ascii="宋体" w:hAnsi="宋体" w:cs="宋体"/>
          <w:color w:val="auto"/>
          <w:sz w:val="24"/>
          <w:highlight w:val="none"/>
          <w:u w:val="single"/>
          <w:lang w:bidi="ar"/>
        </w:rPr>
        <w:t>0分00秒</w:t>
      </w:r>
      <w:r>
        <w:rPr>
          <w:rFonts w:hint="eastAsia" w:ascii="宋体" w:hAnsi="宋体" w:cs="宋体"/>
          <w:bCs/>
          <w:color w:val="auto"/>
          <w:sz w:val="24"/>
          <w:highlight w:val="none"/>
        </w:rPr>
        <w:t>（北京时间）</w:t>
      </w:r>
    </w:p>
    <w:p w14:paraId="5E50B56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2、投标和开标地点：</w:t>
      </w:r>
    </w:p>
    <w:p w14:paraId="257FA8CD">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文件提交方式：本项目为南宁市全流程电子化项目，通过广西政府采购云平台（https://login.gcy.zfcg.gxzf.gov.cn/user-login/#/）实行在线电子投标，供应商应先安装“政采云电子交易客户端”（请自行前往广西政府采购云平台进行下载），并按照本项目招标文件和广西政府采购云平台的要求编制、加密后在投标截止时间前通过网络上传至南宁市广西政府采购云平台，</w:t>
      </w:r>
      <w:r>
        <w:rPr>
          <w:rFonts w:hint="eastAsia" w:ascii="宋体" w:hAnsi="宋体" w:cs="宋体"/>
          <w:b/>
          <w:color w:val="auto"/>
          <w:sz w:val="24"/>
          <w:highlight w:val="none"/>
        </w:rPr>
        <w:t>供应商在广西政府采购云平台提交电子版投标文件时，请填写参加远程开标活动经办人联系方式，</w:t>
      </w:r>
      <w:r>
        <w:rPr>
          <w:rFonts w:hint="eastAsia" w:ascii="宋体" w:hAnsi="宋体" w:cs="宋体"/>
          <w:color w:val="auto"/>
          <w:sz w:val="24"/>
          <w:highlight w:val="none"/>
        </w:rPr>
        <w:t>电子投标具体操作流程详见本公告附件 。</w:t>
      </w:r>
    </w:p>
    <w:p w14:paraId="4699ADA1">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未进行网上注册并办理数字证书（CA认证）的供应商将无法参与本项目政府采购活动，潜在供应商应当在投标截止时间前，完成电子交易平台上的CA数字证书办理（申领流程见本公告附件2）及投标文件的提交。完成CA数字证书办理预计7日左右，投标人只需办理其中一家CA数字证书及签章，建议各投标人抓紧时间办理。</w:t>
      </w:r>
    </w:p>
    <w:p w14:paraId="43D0A1C5">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（3）为确保网上操作合法、有效和安全，请投标人确保在电子投标过程中能够对相关数据电文进行加密和使用电子签章，妥善保管CA数字证书并使用有效的CA数字证书参与整个招标活动。</w:t>
      </w:r>
    </w:p>
    <w:p w14:paraId="2F954271">
      <w:pPr>
        <w:wordWrap w:val="0"/>
        <w:spacing w:line="360" w:lineRule="auto"/>
        <w:ind w:firstLine="480" w:firstLineChars="200"/>
        <w:rPr>
          <w:rFonts w:hint="eastAsia" w:ascii="宋体" w:hAnsi="宋体" w:cs="宋体"/>
          <w:bCs/>
          <w:color w:val="auto"/>
          <w:sz w:val="24"/>
          <w:highlight w:val="none"/>
          <w:u w:val="single"/>
        </w:rPr>
      </w:pPr>
      <w:r>
        <w:rPr>
          <w:rFonts w:hint="eastAsia" w:ascii="宋体" w:hAnsi="宋体" w:cs="宋体"/>
          <w:bCs/>
          <w:color w:val="auto"/>
          <w:sz w:val="24"/>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6C3FAB4F">
      <w:pPr>
        <w:widowControl/>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（4）开标地点：本次招标将于</w:t>
      </w:r>
      <w:r>
        <w:rPr>
          <w:rFonts w:hint="eastAsia" w:ascii="宋体" w:hAnsi="宋体" w:cs="宋体"/>
          <w:color w:val="auto"/>
          <w:sz w:val="24"/>
          <w:highlight w:val="none"/>
          <w:u w:val="single"/>
          <w:lang w:bidi="ar"/>
        </w:rPr>
        <w:t>2025年</w:t>
      </w:r>
      <w:r>
        <w:rPr>
          <w:rFonts w:hint="eastAsia" w:ascii="宋体" w:hAnsi="宋体" w:cs="宋体"/>
          <w:color w:val="auto"/>
          <w:sz w:val="24"/>
          <w:highlight w:val="none"/>
          <w:u w:val="single"/>
          <w:lang w:val="en-US" w:eastAsia="zh-CN" w:bidi="ar"/>
        </w:rPr>
        <w:t>11</w:t>
      </w:r>
      <w:r>
        <w:rPr>
          <w:rFonts w:hint="eastAsia" w:ascii="宋体" w:hAnsi="宋体" w:cs="宋体"/>
          <w:color w:val="auto"/>
          <w:sz w:val="24"/>
          <w:highlight w:val="none"/>
          <w:u w:val="single"/>
          <w:lang w:bidi="ar"/>
        </w:rPr>
        <w:t>月</w:t>
      </w:r>
      <w:r>
        <w:rPr>
          <w:rFonts w:hint="eastAsia" w:ascii="宋体" w:hAnsi="宋体" w:cs="宋体"/>
          <w:color w:val="auto"/>
          <w:sz w:val="24"/>
          <w:highlight w:val="none"/>
          <w:u w:val="single"/>
          <w:lang w:val="en-US" w:eastAsia="zh-CN" w:bidi="ar"/>
        </w:rPr>
        <w:t>3</w:t>
      </w:r>
      <w:r>
        <w:rPr>
          <w:rFonts w:hint="eastAsia" w:ascii="宋体" w:hAnsi="宋体" w:cs="宋体"/>
          <w:color w:val="auto"/>
          <w:sz w:val="24"/>
          <w:highlight w:val="none"/>
          <w:u w:val="single"/>
          <w:lang w:bidi="ar"/>
        </w:rPr>
        <w:t>日</w:t>
      </w:r>
      <w:r>
        <w:rPr>
          <w:rFonts w:hint="eastAsia" w:ascii="宋体" w:hAnsi="宋体" w:cs="宋体"/>
          <w:color w:val="auto"/>
          <w:sz w:val="24"/>
          <w:highlight w:val="none"/>
          <w:u w:val="single"/>
          <w:lang w:val="en-US" w:eastAsia="zh-CN" w:bidi="ar"/>
        </w:rPr>
        <w:t>09</w:t>
      </w:r>
      <w:r>
        <w:rPr>
          <w:rFonts w:hint="eastAsia" w:ascii="宋体" w:hAnsi="宋体" w:cs="宋体"/>
          <w:color w:val="auto"/>
          <w:sz w:val="24"/>
          <w:highlight w:val="none"/>
          <w:u w:val="single"/>
          <w:lang w:bidi="ar"/>
        </w:rPr>
        <w:t>时</w:t>
      </w:r>
      <w:r>
        <w:rPr>
          <w:rFonts w:hint="eastAsia" w:ascii="宋体" w:hAnsi="宋体" w:cs="宋体"/>
          <w:color w:val="auto"/>
          <w:sz w:val="24"/>
          <w:highlight w:val="none"/>
          <w:u w:val="single"/>
          <w:lang w:val="en-US" w:eastAsia="zh-CN" w:bidi="ar"/>
        </w:rPr>
        <w:t>3</w:t>
      </w:r>
      <w:r>
        <w:rPr>
          <w:rFonts w:hint="eastAsia" w:ascii="宋体" w:hAnsi="宋体" w:cs="宋体"/>
          <w:color w:val="auto"/>
          <w:sz w:val="24"/>
          <w:highlight w:val="none"/>
          <w:u w:val="single"/>
          <w:lang w:bidi="ar"/>
        </w:rPr>
        <w:t>0分00秒</w:t>
      </w:r>
      <w:r>
        <w:rPr>
          <w:rFonts w:hint="eastAsia" w:ascii="宋体" w:hAnsi="宋体" w:cs="宋体"/>
          <w:color w:val="auto"/>
          <w:sz w:val="24"/>
          <w:highlight w:val="none"/>
        </w:rPr>
        <w:t>在广西政府采购云平台电子开标大厅开标。</w:t>
      </w:r>
    </w:p>
    <w:p w14:paraId="379B3260">
      <w:pPr>
        <w:wordWrap w:val="0"/>
        <w:snapToGrid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（5）CA证书在线解密：供应商投标时，需携带制作投标文件时用来加密的有效数字证书（CA认证）登录广西政府采购云平台电子开标大厅现场按规定时间对加密的投标文件进行解密，</w:t>
      </w:r>
      <w:r>
        <w:rPr>
          <w:rFonts w:ascii="宋体" w:hAnsi="宋体" w:cs="宋体"/>
          <w:color w:val="auto"/>
          <w:sz w:val="24"/>
          <w:highlight w:val="none"/>
        </w:rPr>
        <w:t>未能按要求进行解 密的，由此产生的后果由投标人自行承担</w:t>
      </w:r>
      <w:r>
        <w:rPr>
          <w:rFonts w:hint="eastAsia" w:ascii="宋体" w:hAnsi="宋体" w:cs="宋体"/>
          <w:color w:val="auto"/>
          <w:kern w:val="0"/>
          <w:sz w:val="24"/>
          <w:highlight w:val="none"/>
        </w:rPr>
        <w:t>。</w:t>
      </w:r>
    </w:p>
    <w:p w14:paraId="179A7697">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五、公告期限</w:t>
      </w:r>
    </w:p>
    <w:p w14:paraId="5851C96B">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自本公告发布之日起5个工作日。</w:t>
      </w:r>
    </w:p>
    <w:p w14:paraId="6FA1DFBC">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六、其他补充事宜</w:t>
      </w:r>
    </w:p>
    <w:p w14:paraId="23F02254">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1.投标保证金：本项目不收取投标保证金</w:t>
      </w:r>
    </w:p>
    <w:p w14:paraId="5617CF78">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2.采购意向公开链接：南宁市发展和改革委员会2025年6月至8月（集中）政府采购意向：http://www.ccgp-guangxi.gov.cn/site/detail?parentId=66601&amp;articleId=hjWp/E1B9XYbJMQc+aphnQ==&amp;utm=web-micro-app-back-front.76d3c914.cPlanInfo.3.f2c505905d3a11f08d0003ba4f03c1ff</w:t>
      </w:r>
    </w:p>
    <w:p w14:paraId="6F6BB5B1">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3.</w:t>
      </w:r>
      <w:r>
        <w:rPr>
          <w:rFonts w:hint="eastAsia" w:ascii="宋体" w:hAnsi="宋体" w:cs="宋体"/>
          <w:color w:val="auto"/>
          <w:sz w:val="24"/>
          <w:highlight w:val="none"/>
        </w:rPr>
        <w:t xml:space="preserve"> </w:t>
      </w:r>
      <w:r>
        <w:rPr>
          <w:rFonts w:hint="eastAsia" w:ascii="宋体" w:hAnsi="宋体" w:cs="宋体"/>
          <w:color w:val="auto"/>
          <w:kern w:val="0"/>
          <w:sz w:val="24"/>
          <w:highlight w:val="none"/>
        </w:rPr>
        <w:t>网上查询地址</w:t>
      </w:r>
    </w:p>
    <w:p w14:paraId="6748CF5A">
      <w:pPr>
        <w:wordWrap w:val="0"/>
        <w:spacing w:line="360" w:lineRule="auto"/>
        <w:ind w:firstLine="360" w:firstLineChars="150"/>
        <w:rPr>
          <w:rFonts w:hint="eastAsia" w:ascii="宋体" w:hAnsi="宋体" w:cs="宋体"/>
          <w:color w:val="auto"/>
          <w:kern w:val="0"/>
          <w:sz w:val="24"/>
          <w:highlight w:val="none"/>
        </w:rPr>
      </w:pPr>
      <w:r>
        <w:rPr>
          <w:rFonts w:hint="eastAsia" w:ascii="宋体" w:hAnsi="宋体" w:cs="宋体"/>
          <w:color w:val="auto"/>
          <w:kern w:val="0"/>
          <w:sz w:val="24"/>
          <w:highlight w:val="none"/>
        </w:rPr>
        <w:t>中国政府采购网（www.ccgp.gov.cn）、广西壮族自治区政府采购网（http://zfcg.gxzf.gov.cn/）、全国公共资源交易平台（广西·南宁）（http://ggzy.jgswj.gxzf.gov.cn/nnggzy/）；</w:t>
      </w:r>
    </w:p>
    <w:p w14:paraId="5B221430">
      <w:pPr>
        <w:wordWrap w:val="0"/>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4.本项目需要落实的政府采购政策：</w:t>
      </w:r>
    </w:p>
    <w:p w14:paraId="45568C31">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（1）政府采购促进中小企业发展。</w:t>
      </w:r>
    </w:p>
    <w:p w14:paraId="7A26776A">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（2）政府采购支持采用本国产品的政策。</w:t>
      </w:r>
    </w:p>
    <w:p w14:paraId="233E4242">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（3）政府采购促进残疾人就业政策。</w:t>
      </w:r>
    </w:p>
    <w:p w14:paraId="42C848FF">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（4）政府采购支持监狱企业发展。</w:t>
      </w:r>
    </w:p>
    <w:p w14:paraId="757C6448">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（5）扶持不发达地区和少数民族地区政策。</w:t>
      </w:r>
    </w:p>
    <w:p w14:paraId="10621C7E">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095A6D8C">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6.若对项目采购电子交易系统操作有疑问，可登录广西政府采购云平台（https://login.gcy.zfcg.gxzf.gov.cn/user-login/#/），点击右侧咨询小采，获取采小蜜智能服务管家帮助，或拨打政采云服务热线95763获取热线服务帮助。</w:t>
      </w:r>
    </w:p>
    <w:p w14:paraId="1A12B98A">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p>
    <w:p w14:paraId="4060C740">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1.采购人信息</w:t>
      </w:r>
    </w:p>
    <w:p w14:paraId="0E2AA796">
      <w:pPr>
        <w:wordWrap w:val="0"/>
        <w:spacing w:line="360" w:lineRule="auto"/>
        <w:ind w:left="1079" w:leftChars="371" w:hanging="300" w:hangingChars="125"/>
        <w:jc w:val="left"/>
        <w:rPr>
          <w:rFonts w:hint="eastAsia"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南宁市经济信息中心</w:t>
      </w:r>
    </w:p>
    <w:p w14:paraId="7165851D">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single"/>
        </w:rPr>
        <w:t>南宁市青秀区桂春路南一里1号</w:t>
      </w:r>
    </w:p>
    <w:p w14:paraId="4A40B35C">
      <w:pPr>
        <w:wordWrap w:val="0"/>
        <w:spacing w:line="360" w:lineRule="auto"/>
        <w:ind w:left="1079" w:leftChars="371" w:hanging="300" w:hangingChars="125"/>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项目联系人：</w:t>
      </w:r>
      <w:r>
        <w:rPr>
          <w:rFonts w:hint="eastAsia" w:ascii="宋体" w:hAnsi="宋体" w:eastAsia="宋体" w:cs="宋体"/>
          <w:color w:val="auto"/>
          <w:sz w:val="24"/>
          <w:szCs w:val="24"/>
          <w:highlight w:val="none"/>
          <w:u w:val="single"/>
        </w:rPr>
        <w:t xml:space="preserve">廖焕双 </w:t>
      </w:r>
    </w:p>
    <w:p w14:paraId="43E291A8">
      <w:pPr>
        <w:wordWrap w:val="0"/>
        <w:spacing w:line="360" w:lineRule="auto"/>
        <w:ind w:left="1079" w:leftChars="371" w:hanging="300" w:hangingChars="125"/>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联系电话：</w:t>
      </w:r>
      <w:r>
        <w:rPr>
          <w:rFonts w:hint="eastAsia" w:ascii="宋体" w:hAnsi="宋体" w:eastAsia="宋体" w:cs="宋体"/>
          <w:color w:val="auto"/>
          <w:sz w:val="24"/>
          <w:szCs w:val="24"/>
          <w:highlight w:val="none"/>
          <w:u w:val="single"/>
        </w:rPr>
        <w:t>0771-5539885</w:t>
      </w:r>
    </w:p>
    <w:p w14:paraId="4D98B792">
      <w:pPr>
        <w:wordWrap w:val="0"/>
        <w:spacing w:line="360" w:lineRule="auto"/>
        <w:ind w:left="1079" w:leftChars="371" w:hanging="300" w:hangingChars="125"/>
        <w:jc w:val="left"/>
        <w:rPr>
          <w:rFonts w:hint="eastAsia" w:ascii="宋体" w:hAnsi="宋体" w:cs="宋体"/>
          <w:color w:val="auto"/>
          <w:sz w:val="24"/>
          <w:highlight w:val="none"/>
        </w:rPr>
      </w:pPr>
      <w:r>
        <w:rPr>
          <w:rFonts w:hint="eastAsia" w:ascii="宋体" w:hAnsi="宋体" w:cs="宋体"/>
          <w:color w:val="auto"/>
          <w:sz w:val="24"/>
          <w:highlight w:val="none"/>
        </w:rPr>
        <w:t>2.采购代理机构信息</w:t>
      </w:r>
    </w:p>
    <w:p w14:paraId="6B777591">
      <w:pPr>
        <w:wordWrap w:val="0"/>
        <w:spacing w:line="360" w:lineRule="auto"/>
        <w:ind w:firstLine="840" w:firstLineChars="350"/>
        <w:rPr>
          <w:rFonts w:hint="eastAsia" w:ascii="宋体" w:hAnsi="宋体" w:cs="宋体"/>
          <w:color w:val="auto"/>
          <w:sz w:val="24"/>
          <w:highlight w:val="none"/>
          <w:u w:val="single"/>
        </w:rPr>
      </w:pPr>
      <w:r>
        <w:rPr>
          <w:rFonts w:hint="eastAsia" w:ascii="宋体" w:hAnsi="宋体" w:cs="宋体"/>
          <w:color w:val="auto"/>
          <w:sz w:val="24"/>
          <w:highlight w:val="none"/>
        </w:rPr>
        <w:t>名 称：</w:t>
      </w:r>
      <w:r>
        <w:rPr>
          <w:rFonts w:hint="eastAsia" w:ascii="宋体" w:hAnsi="宋体" w:cs="宋体"/>
          <w:color w:val="auto"/>
          <w:sz w:val="24"/>
          <w:highlight w:val="none"/>
          <w:u w:val="single"/>
        </w:rPr>
        <w:t>广西邕政采购代理有限公司</w:t>
      </w:r>
    </w:p>
    <w:p w14:paraId="64256694">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南宁市青秀区民族大道180号（威壮大厦）22层2210～2217室</w:t>
      </w:r>
    </w:p>
    <w:p w14:paraId="68E257D1">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single"/>
        </w:rPr>
        <w:t>0771-2225338</w:t>
      </w:r>
    </w:p>
    <w:p w14:paraId="4C98D2B4">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3.项目联系方式</w:t>
      </w:r>
    </w:p>
    <w:p w14:paraId="69C678C2">
      <w:pPr>
        <w:wordWrap w:val="0"/>
        <w:spacing w:line="360" w:lineRule="auto"/>
        <w:ind w:firstLine="840" w:firstLineChars="35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u w:val="single"/>
        </w:rPr>
        <w:t>欧昌梅、</w:t>
      </w:r>
      <w:r>
        <w:rPr>
          <w:rFonts w:hint="eastAsia" w:ascii="宋体" w:hAnsi="宋体" w:cs="宋体"/>
          <w:color w:val="auto"/>
          <w:sz w:val="24"/>
          <w:highlight w:val="none"/>
          <w:u w:val="single"/>
          <w:lang w:eastAsia="zh-CN"/>
        </w:rPr>
        <w:t>黄秋梅、罗霞</w:t>
      </w:r>
    </w:p>
    <w:p w14:paraId="3B4BCC7F">
      <w:pPr>
        <w:wordWrap w:val="0"/>
        <w:spacing w:line="360" w:lineRule="auto"/>
        <w:ind w:firstLine="840" w:firstLineChars="350"/>
        <w:rPr>
          <w:rFonts w:hint="eastAsia" w:ascii="宋体" w:hAnsi="宋体" w:cs="宋体"/>
          <w:color w:val="auto"/>
          <w:sz w:val="24"/>
          <w:highlight w:val="none"/>
        </w:rPr>
      </w:pPr>
      <w:r>
        <w:rPr>
          <w:rFonts w:hint="eastAsia" w:ascii="宋体" w:hAnsi="宋体" w:cs="宋体"/>
          <w:color w:val="auto"/>
          <w:sz w:val="24"/>
          <w:highlight w:val="none"/>
        </w:rPr>
        <w:t>电    话：</w:t>
      </w:r>
      <w:r>
        <w:rPr>
          <w:rFonts w:hint="eastAsia" w:ascii="宋体" w:hAnsi="宋体" w:cs="宋体"/>
          <w:color w:val="auto"/>
          <w:sz w:val="24"/>
          <w:highlight w:val="none"/>
          <w:u w:val="single"/>
        </w:rPr>
        <w:t>0771-2225338</w:t>
      </w:r>
    </w:p>
    <w:p w14:paraId="1639D817">
      <w:pPr>
        <w:wordWrap w:val="0"/>
        <w:spacing w:line="360" w:lineRule="auto"/>
        <w:rPr>
          <w:rFonts w:hint="eastAsia" w:ascii="宋体" w:hAnsi="宋体" w:cs="宋体"/>
          <w:color w:val="auto"/>
          <w:sz w:val="24"/>
          <w:highlight w:val="none"/>
        </w:rPr>
      </w:pPr>
    </w:p>
    <w:p w14:paraId="53A9A330">
      <w:pPr>
        <w:spacing w:line="360" w:lineRule="auto"/>
        <w:rPr>
          <w:rFonts w:hint="eastAsia" w:ascii="宋体" w:hAnsi="宋体" w:cs="宋体"/>
          <w:color w:val="auto"/>
          <w:sz w:val="24"/>
          <w:highlight w:val="none"/>
          <w:u w:val="single"/>
        </w:rPr>
      </w:pPr>
      <w:r>
        <w:rPr>
          <w:rFonts w:ascii="宋体" w:hAnsi="宋体" w:cs="宋体"/>
          <w:color w:val="auto"/>
          <w:sz w:val="24"/>
          <w:highlight w:val="none"/>
          <w:u w:val="single"/>
        </w:rPr>
        <w:t xml:space="preserve">附件： 1.CA 证书申请方式及操作指南下载地址（登陆 http://nncz.nanning.gov.cn/（南宁市财政局官 网）-业务专题-政府采购监督管理-资料下载-“广西政采云西部 CA 办理方式”或“南宁市政采云 CA 证 书办理操作指南”） </w:t>
      </w:r>
    </w:p>
    <w:p w14:paraId="00297FD3">
      <w:pPr>
        <w:spacing w:line="360" w:lineRule="auto"/>
        <w:rPr>
          <w:rFonts w:hint="eastAsia" w:ascii="宋体" w:hAnsi="宋体" w:cs="宋体"/>
          <w:color w:val="auto"/>
          <w:sz w:val="24"/>
          <w:highlight w:val="none"/>
          <w:u w:val="single"/>
        </w:rPr>
      </w:pPr>
      <w:r>
        <w:rPr>
          <w:rFonts w:ascii="宋体" w:hAnsi="宋体" w:cs="宋体"/>
          <w:color w:val="auto"/>
          <w:sz w:val="24"/>
          <w:highlight w:val="none"/>
          <w:u w:val="single"/>
        </w:rPr>
        <w:t>2.电子投标文件制作与投送教程（在此网址下载：http://nncz.nanning.gov.cn/（南宁市财政局官网）- 业务专题-政府采购监督管理-资料下载-南宁市政府采购项目全流程电子化交易操作指南）</w:t>
      </w:r>
    </w:p>
    <w:p w14:paraId="17E6F016">
      <w:pPr>
        <w:wordWrap w:val="0"/>
        <w:spacing w:line="360" w:lineRule="auto"/>
        <w:jc w:val="right"/>
        <w:rPr>
          <w:rFonts w:hint="eastAsia" w:ascii="宋体" w:hAnsi="宋体" w:cs="宋体"/>
          <w:color w:val="auto"/>
          <w:sz w:val="24"/>
          <w:highlight w:val="none"/>
        </w:rPr>
      </w:pPr>
      <w:r>
        <w:rPr>
          <w:rFonts w:hint="eastAsia" w:ascii="宋体" w:hAnsi="宋体" w:cs="宋体"/>
          <w:color w:val="auto"/>
          <w:sz w:val="24"/>
          <w:highlight w:val="none"/>
          <w:u w:val="single"/>
        </w:rPr>
        <w:t>广西邕政采购代理有限公司</w:t>
      </w:r>
    </w:p>
    <w:p w14:paraId="2B464E12">
      <w:pPr>
        <w:wordWrap w:val="0"/>
        <w:spacing w:line="360" w:lineRule="auto"/>
        <w:ind w:firstLine="240" w:firstLineChars="100"/>
        <w:jc w:val="right"/>
        <w:rPr>
          <w:rFonts w:hint="eastAsia" w:ascii="宋体" w:hAnsi="宋体" w:cs="宋体"/>
          <w:color w:val="auto"/>
          <w:sz w:val="24"/>
          <w:highlight w:val="none"/>
        </w:rPr>
      </w:pP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u w:val="single"/>
          <w:lang w:val="en-US" w:eastAsia="zh-CN"/>
        </w:rPr>
        <w:t>10</w:t>
      </w:r>
      <w:r>
        <w:rPr>
          <w:rFonts w:hint="eastAsia" w:ascii="宋体" w:hAnsi="宋体" w:cs="宋体"/>
          <w:color w:val="auto"/>
          <w:sz w:val="24"/>
          <w:highlight w:val="none"/>
        </w:rPr>
        <w:t>月</w:t>
      </w:r>
      <w:r>
        <w:rPr>
          <w:rFonts w:hint="eastAsia" w:ascii="宋体" w:hAnsi="宋体" w:cs="宋体"/>
          <w:color w:val="auto"/>
          <w:sz w:val="24"/>
          <w:highlight w:val="none"/>
          <w:u w:val="single"/>
          <w:lang w:val="en-US" w:eastAsia="zh-CN"/>
        </w:rPr>
        <w:t>11</w:t>
      </w:r>
      <w:r>
        <w:rPr>
          <w:rFonts w:hint="eastAsia" w:ascii="宋体" w:hAnsi="宋体" w:cs="宋体"/>
          <w:color w:val="auto"/>
          <w:sz w:val="24"/>
          <w:highlight w:val="none"/>
        </w:rPr>
        <w:t>日</w:t>
      </w:r>
    </w:p>
    <w:p w14:paraId="6A5A55B5">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br w:type="page"/>
      </w:r>
    </w:p>
    <w:p w14:paraId="2A32DAD4">
      <w:pPr>
        <w:pStyle w:val="12"/>
        <w:wordWrap w:val="0"/>
        <w:spacing w:after="0" w:line="360" w:lineRule="auto"/>
        <w:rPr>
          <w:color w:val="auto"/>
          <w:highlight w:val="none"/>
        </w:rPr>
      </w:pPr>
    </w:p>
    <w:p w14:paraId="34BAEFE5">
      <w:pPr>
        <w:pStyle w:val="14"/>
        <w:wordWrap w:val="0"/>
        <w:spacing w:line="360" w:lineRule="auto"/>
        <w:ind w:firstLine="723"/>
        <w:jc w:val="center"/>
        <w:outlineLvl w:val="0"/>
        <w:rPr>
          <w:rFonts w:hint="eastAsia" w:hAnsi="宋体" w:cs="宋体"/>
          <w:b/>
          <w:color w:val="auto"/>
          <w:sz w:val="36"/>
          <w:highlight w:val="none"/>
        </w:rPr>
      </w:pPr>
      <w:bookmarkStart w:id="4" w:name="_Toc2043"/>
      <w:r>
        <w:rPr>
          <w:rFonts w:hint="eastAsia" w:hAnsi="宋体" w:cs="宋体"/>
          <w:b/>
          <w:color w:val="auto"/>
          <w:sz w:val="36"/>
          <w:highlight w:val="none"/>
        </w:rPr>
        <w:t xml:space="preserve">第二章  </w:t>
      </w:r>
      <w:bookmarkEnd w:id="2"/>
      <w:r>
        <w:rPr>
          <w:rFonts w:hint="eastAsia" w:hAnsi="宋体" w:cs="宋体"/>
          <w:b/>
          <w:color w:val="auto"/>
          <w:sz w:val="36"/>
          <w:highlight w:val="none"/>
        </w:rPr>
        <w:t>采购需求</w:t>
      </w:r>
      <w:bookmarkEnd w:id="4"/>
    </w:p>
    <w:p w14:paraId="6EEE0D8B">
      <w:pPr>
        <w:wordWrap w:val="0"/>
        <w:adjustRightInd w:val="0"/>
        <w:spacing w:line="360" w:lineRule="auto"/>
        <w:ind w:firstLine="482"/>
        <w:rPr>
          <w:rFonts w:hint="eastAsia" w:ascii="宋体" w:hAnsi="宋体" w:cs="宋体"/>
          <w:b/>
          <w:color w:val="auto"/>
          <w:szCs w:val="21"/>
          <w:highlight w:val="none"/>
        </w:rPr>
      </w:pPr>
    </w:p>
    <w:p w14:paraId="75359666">
      <w:pPr>
        <w:wordWrap w:val="0"/>
        <w:adjustRightInd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说明：</w:t>
      </w:r>
    </w:p>
    <w:p w14:paraId="3FDD7C11">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 为落实政府采购政策需满足的要求：</w:t>
      </w:r>
    </w:p>
    <w:p w14:paraId="38BB77EE">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（1）本招标文件所称中小企业必须符合《政府采购促进中小企业发展管理办法》（财库〔2020〕46号）的规定。</w:t>
      </w:r>
    </w:p>
    <w:p w14:paraId="06A601C4">
      <w:p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详见“第四章 评标方法和评标标准”。</w:t>
      </w:r>
    </w:p>
    <w:p w14:paraId="76C81458">
      <w:pPr>
        <w:wordWrap w:val="0"/>
        <w:spacing w:line="360" w:lineRule="auto"/>
        <w:ind w:firstLine="484" w:firstLineChars="202"/>
        <w:jc w:val="left"/>
        <w:rPr>
          <w:rFonts w:hint="eastAsia" w:ascii="宋体" w:hAnsi="宋体" w:cs="宋体"/>
          <w:b/>
          <w:color w:val="auto"/>
          <w:sz w:val="24"/>
          <w:highlight w:val="none"/>
        </w:rPr>
      </w:pPr>
      <w:r>
        <w:rPr>
          <w:rFonts w:hint="eastAsia" w:ascii="宋体" w:hAnsi="宋体" w:cs="宋体"/>
          <w:color w:val="auto"/>
          <w:sz w:val="24"/>
          <w:highlight w:val="none"/>
        </w:rPr>
        <w:t>（3）</w:t>
      </w:r>
      <w:r>
        <w:rPr>
          <w:rFonts w:hint="eastAsia" w:ascii="宋体" w:hAnsi="宋体" w:cs="宋体"/>
          <w:b/>
          <w:color w:val="auto"/>
          <w:sz w:val="24"/>
          <w:highlight w:val="none"/>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14:paraId="4B47461F">
      <w:pPr>
        <w:numPr>
          <w:ilvl w:val="0"/>
          <w:numId w:val="2"/>
        </w:num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“实质性要求”是指招标文件中已经指明不满足则投标无效的条款，或者不能负偏离的条款，或者采购需求中带“▲”的条款。</w:t>
      </w:r>
    </w:p>
    <w:p w14:paraId="15B9DBD0">
      <w:pPr>
        <w:numPr>
          <w:ilvl w:val="0"/>
          <w:numId w:val="2"/>
        </w:numPr>
        <w:wordWrap w:val="0"/>
        <w:spacing w:line="360" w:lineRule="auto"/>
        <w:ind w:firstLine="484" w:firstLineChars="202"/>
        <w:jc w:val="left"/>
        <w:rPr>
          <w:rFonts w:hint="eastAsia" w:ascii="宋体" w:hAnsi="宋体" w:cs="宋体"/>
          <w:color w:val="auto"/>
          <w:sz w:val="24"/>
          <w:highlight w:val="none"/>
        </w:rPr>
      </w:pPr>
      <w:r>
        <w:rPr>
          <w:rFonts w:hint="eastAsia" w:ascii="宋体" w:hAnsi="宋体" w:cs="宋体"/>
          <w:color w:val="auto"/>
          <w:sz w:val="24"/>
          <w:highlight w:val="none"/>
        </w:rPr>
        <w:t>不需要投标人对采购需求响应为具体数值的，此采购需求的数值后将以◆号标注。</w:t>
      </w:r>
    </w:p>
    <w:p w14:paraId="7F7D8B99">
      <w:pPr>
        <w:numPr>
          <w:ilvl w:val="0"/>
          <w:numId w:val="2"/>
        </w:numPr>
        <w:wordWrap w:val="0"/>
        <w:spacing w:line="360" w:lineRule="auto"/>
        <w:ind w:firstLine="484" w:firstLineChars="202"/>
        <w:jc w:val="left"/>
        <w:rPr>
          <w:rFonts w:hint="eastAsia" w:ascii="宋体" w:hAnsi="宋体" w:cs="宋体"/>
          <w:color w:val="auto"/>
          <w:sz w:val="24"/>
          <w:highlight w:val="none"/>
        </w:rPr>
        <w:sectPr>
          <w:footerReference r:id="rId4" w:type="default"/>
          <w:pgSz w:w="11906" w:h="16838"/>
          <w:pgMar w:top="1440" w:right="1080" w:bottom="1440" w:left="1080" w:header="720" w:footer="720" w:gutter="0"/>
          <w:pgNumType w:start="1"/>
          <w:cols w:space="720" w:num="1"/>
          <w:docGrid w:type="lines" w:linePitch="331" w:charSpace="0"/>
        </w:sectPr>
      </w:pPr>
      <w:r>
        <w:rPr>
          <w:rFonts w:hint="eastAsia" w:ascii="宋体" w:hAnsi="宋体" w:cs="宋体"/>
          <w:color w:val="auto"/>
          <w:sz w:val="24"/>
          <w:highlight w:val="none"/>
        </w:rPr>
        <w:t>如投标人投标产品存在侵犯他人的知识产权或者专利成果行为的，应承担相应法律责任</w:t>
      </w:r>
      <w:bookmarkStart w:id="5" w:name="PO_TDCUS_ITEM_PB_REQ_TITLE_1"/>
      <w:r>
        <w:rPr>
          <w:rFonts w:hint="eastAsia" w:ascii="宋体" w:hAnsi="宋体" w:cs="宋体"/>
          <w:color w:val="auto"/>
          <w:sz w:val="24"/>
          <w:highlight w:val="none"/>
        </w:rPr>
        <w:t>。</w:t>
      </w:r>
    </w:p>
    <w:bookmarkEnd w:id="5"/>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558"/>
        <w:gridCol w:w="1121"/>
        <w:gridCol w:w="570"/>
        <w:gridCol w:w="585"/>
        <w:gridCol w:w="4120"/>
        <w:gridCol w:w="1164"/>
        <w:gridCol w:w="1371"/>
      </w:tblGrid>
      <w:tr w14:paraId="23588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1" w:type="dxa"/>
            <w:gridSpan w:val="8"/>
            <w:vAlign w:val="center"/>
          </w:tcPr>
          <w:p w14:paraId="4F11FC3E">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服务需求一览表</w:t>
            </w:r>
          </w:p>
        </w:tc>
      </w:tr>
      <w:tr w14:paraId="0321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Merge w:val="restart"/>
          </w:tcPr>
          <w:p w14:paraId="1A68FF6F">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采购清单及服务参数</w:t>
            </w:r>
          </w:p>
        </w:tc>
        <w:tc>
          <w:tcPr>
            <w:tcW w:w="558" w:type="dxa"/>
            <w:tcMar>
              <w:top w:w="0" w:type="dxa"/>
              <w:left w:w="0" w:type="dxa"/>
              <w:bottom w:w="0" w:type="dxa"/>
              <w:right w:w="0" w:type="dxa"/>
            </w:tcMar>
            <w:vAlign w:val="center"/>
          </w:tcPr>
          <w:p w14:paraId="3D62AB99">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1121" w:type="dxa"/>
            <w:vAlign w:val="center"/>
          </w:tcPr>
          <w:p w14:paraId="7C04D960">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采购服务名称</w:t>
            </w:r>
          </w:p>
        </w:tc>
        <w:tc>
          <w:tcPr>
            <w:tcW w:w="570" w:type="dxa"/>
            <w:vAlign w:val="center"/>
          </w:tcPr>
          <w:p w14:paraId="5945E500">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单位</w:t>
            </w:r>
          </w:p>
        </w:tc>
        <w:tc>
          <w:tcPr>
            <w:tcW w:w="585" w:type="dxa"/>
            <w:vAlign w:val="center"/>
          </w:tcPr>
          <w:p w14:paraId="7C19BF29">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数量</w:t>
            </w:r>
          </w:p>
        </w:tc>
        <w:tc>
          <w:tcPr>
            <w:tcW w:w="4120" w:type="dxa"/>
            <w:vAlign w:val="center"/>
          </w:tcPr>
          <w:p w14:paraId="326F1ED3">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服务参数</w:t>
            </w:r>
          </w:p>
        </w:tc>
        <w:tc>
          <w:tcPr>
            <w:tcW w:w="1164" w:type="dxa"/>
            <w:vAlign w:val="center"/>
          </w:tcPr>
          <w:p w14:paraId="50C68A31">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分项预算合计（元）</w:t>
            </w:r>
          </w:p>
        </w:tc>
        <w:tc>
          <w:tcPr>
            <w:tcW w:w="1371" w:type="dxa"/>
            <w:vAlign w:val="center"/>
          </w:tcPr>
          <w:p w14:paraId="29C00A51">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中小企业划分标准所属行业名称（行业名称及划分见本章附件3）</w:t>
            </w:r>
          </w:p>
        </w:tc>
      </w:tr>
      <w:tr w14:paraId="70DF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Merge w:val="continue"/>
            <w:vAlign w:val="center"/>
          </w:tcPr>
          <w:p w14:paraId="13A4E0E3">
            <w:pPr>
              <w:keepLines/>
              <w:wordWrap w:val="0"/>
              <w:spacing w:line="360" w:lineRule="auto"/>
              <w:jc w:val="left"/>
              <w:rPr>
                <w:rFonts w:hint="eastAsia" w:ascii="宋体" w:hAnsi="宋体" w:cs="宋体"/>
                <w:bCs/>
                <w:color w:val="auto"/>
                <w:sz w:val="24"/>
                <w:highlight w:val="none"/>
              </w:rPr>
            </w:pPr>
          </w:p>
        </w:tc>
        <w:tc>
          <w:tcPr>
            <w:tcW w:w="558" w:type="dxa"/>
            <w:vAlign w:val="center"/>
          </w:tcPr>
          <w:p w14:paraId="546D1E5E">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1121" w:type="dxa"/>
            <w:vAlign w:val="center"/>
          </w:tcPr>
          <w:p w14:paraId="271D0C0F">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2025年南宁市发展改革委重要工作精细化管理系统及南宁市发改委内控一体化系统技术运维服务</w:t>
            </w:r>
          </w:p>
        </w:tc>
        <w:tc>
          <w:tcPr>
            <w:tcW w:w="570" w:type="dxa"/>
            <w:vAlign w:val="center"/>
          </w:tcPr>
          <w:p w14:paraId="5A4E11BF">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w:t>
            </w:r>
          </w:p>
        </w:tc>
        <w:tc>
          <w:tcPr>
            <w:tcW w:w="585" w:type="dxa"/>
            <w:vAlign w:val="center"/>
          </w:tcPr>
          <w:p w14:paraId="1D8BCB33">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4120" w:type="dxa"/>
          </w:tcPr>
          <w:p w14:paraId="0434BDD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一、移动流量服务</w:t>
            </w:r>
          </w:p>
          <w:p w14:paraId="39F3EF3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为南宁市发展改革委重要工作精细化管理系统的移动终端提供网络数据接入服务，数据流量每月20GB（含12个月），具体数量可根据采购人需求定，最多不超过22套。</w:t>
            </w:r>
          </w:p>
          <w:p w14:paraId="1F8C202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二、在线编辑服务</w:t>
            </w:r>
          </w:p>
          <w:p w14:paraId="58B06FC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提供在线编辑服务，满足南宁市发展改革委重要工作精细化管理系统内部文档的在线预览、编辑服务，支持打开单个文档最大尺寸为100M，最大并发文档数为100</w:t>
            </w:r>
            <w:r>
              <w:rPr>
                <w:rFonts w:hint="eastAsia" w:ascii="宋体" w:hAnsi="宋体" w:cs="宋体"/>
                <w:b w:val="0"/>
                <w:color w:val="auto"/>
                <w:sz w:val="24"/>
                <w:szCs w:val="24"/>
                <w:highlight w:val="none"/>
                <w:lang w:val="en-US" w:eastAsia="zh-CN"/>
              </w:rPr>
              <w:t>个</w:t>
            </w:r>
            <w:r>
              <w:rPr>
                <w:rFonts w:hint="eastAsia" w:ascii="宋体" w:hAnsi="宋体" w:cs="宋体"/>
                <w:b w:val="0"/>
                <w:color w:val="auto"/>
                <w:sz w:val="24"/>
                <w:szCs w:val="24"/>
                <w:highlight w:val="none"/>
              </w:rPr>
              <w:t>。</w:t>
            </w:r>
          </w:p>
          <w:p w14:paraId="6A27479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三、短信提醒服务</w:t>
            </w:r>
          </w:p>
          <w:p w14:paraId="3A6821B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为南宁市发展改革委重要工作精细化管理系统内提供手机号码的用户，提供各项功能短信提醒服务，最多不超过10万条。</w:t>
            </w:r>
          </w:p>
          <w:p w14:paraId="4A15E62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四、即时通讯服务</w:t>
            </w:r>
          </w:p>
          <w:p w14:paraId="384658E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为南宁市发展改革委重要工作精细化管理系统的移动终端提供即时通讯、系统推送消息提醒服务。</w:t>
            </w:r>
          </w:p>
          <w:p w14:paraId="2106166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五、系统运维服务</w:t>
            </w:r>
          </w:p>
          <w:p w14:paraId="5DE28FC2">
            <w:pPr>
              <w:pStyle w:val="21"/>
              <w:keepNext w:val="0"/>
              <w:keepLines/>
              <w:pageBreakBefore w:val="0"/>
              <w:widowControl w:val="0"/>
              <w:tabs>
                <w:tab w:val="right" w:leader="dot" w:pos="9628"/>
              </w:tabs>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系统运维服务包含南宁市发展改革委重要工作精细化管理系统及南宁市发改委内控一体化系统的系统功能维护服务、系统安全维护服务、日常保障服务。其中南宁市发展改革委重要工作精细化管理系统要完成</w:t>
            </w:r>
            <w:r>
              <w:rPr>
                <w:rFonts w:hint="eastAsia" w:ascii="宋体" w:hAnsi="宋体" w:cs="宋体"/>
                <w:b w:val="0"/>
                <w:color w:val="auto"/>
                <w:sz w:val="24"/>
                <w:szCs w:val="24"/>
                <w:highlight w:val="none"/>
                <w:lang w:val="en-US" w:eastAsia="zh-CN"/>
              </w:rPr>
              <w:t>国产化改造</w:t>
            </w:r>
            <w:r>
              <w:rPr>
                <w:rFonts w:hint="eastAsia" w:ascii="宋体" w:hAnsi="宋体" w:cs="宋体"/>
                <w:b w:val="0"/>
                <w:color w:val="auto"/>
                <w:sz w:val="24"/>
                <w:szCs w:val="24"/>
                <w:highlight w:val="none"/>
              </w:rPr>
              <w:t>。</w:t>
            </w:r>
          </w:p>
          <w:p w14:paraId="59067C7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（一）系统功能维护服务要求如下：</w:t>
            </w:r>
          </w:p>
          <w:p w14:paraId="0904AD3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1.南宁市发展改革委重要工作精细化管理系统</w:t>
            </w:r>
          </w:p>
          <w:p w14:paraId="57EA975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对PC端及移动端的公文管理、行政管理分类信息、公务邮件、行程安排、重大行政决策、范文库等功能模块及子模块进行日常维护，以及其他涉及的定制功能模块维护。</w:t>
            </w:r>
          </w:p>
          <w:p w14:paraId="0D2E631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2.南宁市发改委内控一体化系统</w:t>
            </w:r>
          </w:p>
          <w:p w14:paraId="282457E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（1）对系统的预算管理、支出管理、采购管理、合同管理等功能模块及子模块进行日常维护，以及其他涉及的定制功能模块维护。</w:t>
            </w:r>
          </w:p>
          <w:p w14:paraId="2E9AFCD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（2）系统安全维护服务须按照网络安全法、数据安全法、信息系统安全等级保护相关要求，保障系统安全、数据安全，并确保系统正常运行。</w:t>
            </w:r>
          </w:p>
          <w:p w14:paraId="459A039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（3）日常保障服务包括安全巡检服务、基本技术支持服务、现场技术支持服务、应急响应服务。日常保障服务要求如下：</w:t>
            </w:r>
          </w:p>
          <w:p w14:paraId="6727D38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A.安全巡检服务</w:t>
            </w:r>
          </w:p>
          <w:p w14:paraId="254087A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安全巡检服务，根据采购人情况，建立日常安全服务工作巡检计划，记录巡检情况、问题及相应的问题处置过程和结果，对巡检发现的问题提供处理处置反馈，形成台账，做好安全防护加固优化。服务期内按计划提供安全巡检，日常巡检处置记录按季度形成季度报告。</w:t>
            </w:r>
          </w:p>
          <w:p w14:paraId="1BAA6C8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重要时段系统全面检查服务，供应商需在包括春节、国庆、清明、三月三、东盟博览会等重要节假日或重要活动期间，提前对项目下系统所在服务器的状态、应用程序、备份情况等进行全面检查，并出具重大节假日值班表、重大节假日巡检报告，确保系统稳定运行。</w:t>
            </w:r>
          </w:p>
          <w:p w14:paraId="0F84F43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服务成果：《巡检计划》、《季度巡检工作报告》、《运维支持服务工作总结报告》、《重大节假日值班表》、《重大节假日巡检报告》。</w:t>
            </w:r>
          </w:p>
          <w:p w14:paraId="24CF56E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B.基本技术支持服务</w:t>
            </w:r>
          </w:p>
          <w:p w14:paraId="37EFC06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提供系统运维技术支持，包括7×24小时30分钟内响应的专门客服电话和远程接入方式对系统问题进行检查、诊断分析和解决，保证系统正常稳定的运行，为采购人使用提供保障。</w:t>
            </w:r>
          </w:p>
          <w:p w14:paraId="61C3A13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服务成果：《系统维护记录》。</w:t>
            </w:r>
          </w:p>
          <w:p w14:paraId="121B67E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C.现场技术支持服务</w:t>
            </w:r>
          </w:p>
          <w:p w14:paraId="68E8652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运维人员驻点服务，常驻采购人现场进行专职维护工作；一般故障响应时间：接到故障通知后30分钟内到达采购人指定现场，并在2个小时内解决一般问题；重大故障响应时间：接到故障通知后30分钟内到达采购人指定现场，并在2个工作日内提供功能一致或优于原系统的技术解决方案；提供相关的现场维护流程说明，流程说明如下：</w:t>
            </w:r>
          </w:p>
          <w:p w14:paraId="032A8DA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运维人员现场判定维护服务情况，维护服务情况包含：一类主动服务及巡检服务；二类出现问题及解决问题，包括因操作问题引起的软件故障进行检测分析和纠正；三类属接口的调整，包括软件项的接口；四类属功能扩充或改进，包括各种需求的变更，即软件的二次开发；依据采购人业务需求，严格遵循AI南宁城市智能体平台发布的接口标准及协议（包括但不限于API、MCP协议），开发标准化接口或构建相关智能体，实现与数据分析、自动化控制等应用智能体的功能无缝集成及实时数据交互。</w:t>
            </w:r>
          </w:p>
          <w:p w14:paraId="16D1598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运维人员在提供现场驻点服务时，为采购人的系统管理员培训系统简单的维护知识。培训时，运维人员应对软件数据备份、恢复操作重点介绍，并说明日常维护工作对工作的重要性。</w:t>
            </w:r>
          </w:p>
          <w:p w14:paraId="00246AA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服务成果：《系统维护记录》。</w:t>
            </w:r>
          </w:p>
          <w:p w14:paraId="6EF0A79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D.应急响应服务</w:t>
            </w:r>
          </w:p>
          <w:p w14:paraId="7E80E21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应急事件如非法言论事件、网络舆情事件、网络安全事件、数据安全事件等，供应商在接到采购人应急响应事件的申告后30分钟内由相关工程师即时处理，同时应根据采购人要求立即派遣工程师赶到现场，提供不间断处理服务。</w:t>
            </w:r>
          </w:p>
          <w:p w14:paraId="12F1EC1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0606B33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六、服务成果汇总</w:t>
            </w:r>
          </w:p>
          <w:p w14:paraId="52E8CE2D">
            <w:pPr>
              <w:keepLines/>
              <w:wordWrap w:val="0"/>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根据各项服务提交成果：《巡检计划》、《季度巡检工作报告》、《运维支持服务工作总结报告》、《重大节假日值班表》、《重大节假日巡检报告》、《系统维护记录》、《安全事件应急响应处置报告》。</w:t>
            </w:r>
          </w:p>
        </w:tc>
        <w:tc>
          <w:tcPr>
            <w:tcW w:w="1164" w:type="dxa"/>
            <w:vAlign w:val="center"/>
          </w:tcPr>
          <w:p w14:paraId="6913893C">
            <w:pPr>
              <w:keepLines/>
              <w:wordWrap w:val="0"/>
              <w:spacing w:line="360" w:lineRule="auto"/>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275000.00</w:t>
            </w:r>
          </w:p>
        </w:tc>
        <w:tc>
          <w:tcPr>
            <w:tcW w:w="1371" w:type="dxa"/>
            <w:vAlign w:val="center"/>
          </w:tcPr>
          <w:p w14:paraId="47F6F0DC">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软件和信息技术服务业</w:t>
            </w:r>
          </w:p>
        </w:tc>
      </w:tr>
      <w:tr w14:paraId="63BF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41B2C91A">
            <w:pPr>
              <w:keepLines/>
              <w:wordWrap w:val="0"/>
              <w:spacing w:line="360" w:lineRule="auto"/>
              <w:jc w:val="left"/>
              <w:rPr>
                <w:rFonts w:hint="eastAsia" w:ascii="宋体" w:hAnsi="宋体" w:cs="宋体"/>
                <w:bCs/>
                <w:color w:val="auto"/>
                <w:sz w:val="24"/>
                <w:highlight w:val="none"/>
              </w:rPr>
            </w:pPr>
          </w:p>
        </w:tc>
        <w:tc>
          <w:tcPr>
            <w:tcW w:w="558" w:type="dxa"/>
            <w:vAlign w:val="center"/>
          </w:tcPr>
          <w:p w14:paraId="5EB11494">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w:t>
            </w:r>
          </w:p>
        </w:tc>
        <w:tc>
          <w:tcPr>
            <w:tcW w:w="1121" w:type="dxa"/>
            <w:vAlign w:val="center"/>
          </w:tcPr>
          <w:p w14:paraId="0C0A96FC">
            <w:pPr>
              <w:keepLines/>
              <w:wordWrap w:val="0"/>
              <w:spacing w:line="360" w:lineRule="auto"/>
              <w:jc w:val="center"/>
              <w:outlineLvl w:val="0"/>
              <w:rPr>
                <w:rFonts w:hint="eastAsia" w:ascii="宋体" w:hAnsi="宋体" w:cs="宋体"/>
                <w:bCs/>
                <w:color w:val="auto"/>
                <w:sz w:val="24"/>
                <w:highlight w:val="none"/>
              </w:rPr>
            </w:pPr>
            <w:r>
              <w:rPr>
                <w:rFonts w:hint="eastAsia" w:ascii="宋体" w:hAnsi="宋体" w:cs="宋体"/>
                <w:bCs/>
                <w:color w:val="auto"/>
                <w:spacing w:val="-11"/>
                <w:sz w:val="24"/>
                <w:highlight w:val="none"/>
              </w:rPr>
              <w:t>2025年“发改书吧”信息共享系统运维服务</w:t>
            </w:r>
          </w:p>
        </w:tc>
        <w:tc>
          <w:tcPr>
            <w:tcW w:w="570" w:type="dxa"/>
            <w:vAlign w:val="center"/>
          </w:tcPr>
          <w:p w14:paraId="12BD0D9B">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w:t>
            </w:r>
          </w:p>
        </w:tc>
        <w:tc>
          <w:tcPr>
            <w:tcW w:w="585" w:type="dxa"/>
            <w:vAlign w:val="center"/>
          </w:tcPr>
          <w:p w14:paraId="440C53B9">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4120" w:type="dxa"/>
          </w:tcPr>
          <w:p w14:paraId="2EFE3BEB">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一、运维内容</w:t>
            </w:r>
          </w:p>
          <w:p w14:paraId="7B2FD31A">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（一）系统日常运行维护</w:t>
            </w:r>
          </w:p>
          <w:p w14:paraId="1E2D3E10">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1.定期巡检：每周记录系统运行、检查日志；每月对系统进行一次全面检查，清理优化系统，对系统环境、系统配置、系统安全性、系统稳定性进行检查维护，以保证正常运行。</w:t>
            </w:r>
          </w:p>
          <w:p w14:paraId="1D9F6155">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2.系统故障检测及排除：因误操作导致的数据错误维护，系统突发事件的诊断、排除。</w:t>
            </w:r>
          </w:p>
          <w:p w14:paraId="5256A563">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3.系统运行状态监控及预警：通过技术手段对系统运行状态进行记录监控，设置预警阀值，实现系统故障隐患的预先发现和预警。</w:t>
            </w:r>
          </w:p>
          <w:p w14:paraId="315CE0F9">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4.数据备份/恢复：制定系统备份制度，明确备份的策略和备份要求，并根据备份制度定期（每日、每周、每月）进行数据备份工作。同时对故障恢复后以及程序变更后的系统进行数据恢复工作。</w:t>
            </w:r>
          </w:p>
          <w:p w14:paraId="2AABD199">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5.系统重部署和调试：在系统进行设备更新和软件升级后，完成系统的重部署和调试。</w:t>
            </w:r>
          </w:p>
          <w:p w14:paraId="4BBA913B">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6.系统性能优化：调整系统运行参数优化系统性能，定期清理运维过程中所生成的临时数据，从应用系统角度提高应用系统运行速度等。</w:t>
            </w:r>
          </w:p>
          <w:p w14:paraId="3C423C0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7.运行环境的维护：定期对“发改书吧”信息共享系统运行环境（包括服务器、网络等）进行维护，内容包括“操作系统补丁安装、系统安全扫描、主机故障排除、ARP、DDOS、CC等网络攻击处理、服务器硬件定期监测、服务器安全策略、网络连接状态监控、网络周流量报表、网络安全策略”等。</w:t>
            </w:r>
          </w:p>
          <w:p w14:paraId="0C47E931">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8.根据业务需求完善原有的功能模块。根据《中华人民共和国网络安全法》规定，把网络日志留存时间不少于六个月。</w:t>
            </w:r>
          </w:p>
          <w:p w14:paraId="052681FF">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9.根据业务需要，开发系统系统与外部相关应用的各种数据交换接口。</w:t>
            </w:r>
          </w:p>
          <w:p w14:paraId="53466FB5">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10.依据业务需求，对系统界面、功能等相关内容实施改版优化。</w:t>
            </w:r>
          </w:p>
          <w:p w14:paraId="5693A211">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11.依据采购人业务需求，严格遵循AI南宁城市智能体平台发布的接口标准及协议（包括但不限于API、MCP协议），开发标准化接口或构建相关智能体，实现与数据分析、自动化控制等应用智能体的功能无缝集成及实时数据交互。</w:t>
            </w:r>
          </w:p>
          <w:p w14:paraId="54558807">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（二）咨询、技术、培训服务</w:t>
            </w:r>
          </w:p>
          <w:p w14:paraId="4CEC47C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1.咨询服务：帮助解答采购人提出的系统相关的各种业务和技术问题。</w:t>
            </w:r>
          </w:p>
          <w:p w14:paraId="235796EE">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2.技术服务：参与采购人对与系统相关的系统功能调研、需求分析、系统设计，并提供技术解决方案。</w:t>
            </w:r>
          </w:p>
          <w:p w14:paraId="02FFC27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3.系统管理服务：承担系统管理员角色，负责系统的系统设置、基础数据管理、用户添加和权限分配等。</w:t>
            </w:r>
          </w:p>
          <w:p w14:paraId="06343D33">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4.培训服务：根据需要，对采购人进行系统运行管理、日常维护、使用操作及开发技术等方面的培训和对业务人员进行系统使用操作等方面的培训。</w:t>
            </w:r>
          </w:p>
          <w:p w14:paraId="38175D59">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（三）运维模式要求</w:t>
            </w:r>
          </w:p>
          <w:p w14:paraId="4089329C">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本地化运维：为保证运维维修响应的及时性，供应商提供本地化服务能力（能够提供本地化服务的相关证明）或承诺中标后在项目所在地设有专门的服务机构网点（承诺书格式自拟），投标时需提供承诺书并加盖公章。供应商须组成运维小组，必要时提供现场技术支持，进行日常的运维工作。</w:t>
            </w:r>
          </w:p>
          <w:p w14:paraId="05DB1466">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2.故障响应时效：从接到故障报告后，首先由运维小组工程师进行解决。对于出现运行中止的重大故障时，运维小组至少一名成员应</w:t>
            </w:r>
            <w:r>
              <w:rPr>
                <w:rFonts w:hint="eastAsia" w:ascii="宋体" w:hAnsi="宋体" w:cs="宋体"/>
                <w:bCs/>
                <w:color w:val="auto"/>
                <w:sz w:val="24"/>
                <w:highlight w:val="none"/>
                <w:lang w:val="en-US" w:eastAsia="zh-CN"/>
              </w:rPr>
              <w:t>30分钟</w:t>
            </w:r>
            <w:r>
              <w:rPr>
                <w:rFonts w:hint="eastAsia" w:ascii="宋体" w:hAnsi="宋体" w:cs="宋体"/>
                <w:bCs/>
                <w:color w:val="auto"/>
                <w:sz w:val="24"/>
                <w:highlight w:val="none"/>
              </w:rPr>
              <w:t>内赶到现场进行处理。故障解决时间原则上不应超过1小时（视具体情况而定）。</w:t>
            </w:r>
          </w:p>
          <w:p w14:paraId="12FFCC98">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（四）保密要求</w:t>
            </w:r>
          </w:p>
          <w:p w14:paraId="4A041604">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供应商及相关工作人员需与采购人签订《“发改书吧”信息共享系统保密协议》，严格遵守国家相关保密制度。</w:t>
            </w:r>
          </w:p>
          <w:p w14:paraId="0A7285B6">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（五）其他</w:t>
            </w:r>
          </w:p>
          <w:p w14:paraId="72A7D1D6">
            <w:pPr>
              <w:keepLines/>
              <w:wordWrap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重大活动支持：遇到系统上线或重大参观活动，须提前一周制定完整的技术支持与应急方案，进行演练后报业主备案。每次活动前须安排专业技术人员做好系统及数据检查工作，若发现问题应在活动开始前解决完成，确保系统稳定、数据正确。活动当天须提供现场技术支持，保障活动正常进行。</w:t>
            </w:r>
          </w:p>
        </w:tc>
        <w:tc>
          <w:tcPr>
            <w:tcW w:w="1164" w:type="dxa"/>
            <w:vAlign w:val="center"/>
          </w:tcPr>
          <w:p w14:paraId="2AEB7413">
            <w:pPr>
              <w:keepLines/>
              <w:wordWrap w:val="0"/>
              <w:spacing w:line="360" w:lineRule="auto"/>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100000.00</w:t>
            </w:r>
          </w:p>
        </w:tc>
        <w:tc>
          <w:tcPr>
            <w:tcW w:w="1371" w:type="dxa"/>
            <w:vAlign w:val="center"/>
          </w:tcPr>
          <w:p w14:paraId="56C1405B">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软件和信息技术服务业</w:t>
            </w:r>
          </w:p>
        </w:tc>
      </w:tr>
      <w:tr w14:paraId="65085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302DD516">
            <w:pPr>
              <w:keepLines/>
              <w:wordWrap w:val="0"/>
              <w:spacing w:line="360" w:lineRule="auto"/>
              <w:jc w:val="left"/>
              <w:rPr>
                <w:rFonts w:hint="eastAsia" w:ascii="宋体" w:hAnsi="宋体" w:cs="宋体"/>
                <w:bCs/>
                <w:color w:val="auto"/>
                <w:sz w:val="24"/>
                <w:highlight w:val="none"/>
              </w:rPr>
            </w:pPr>
          </w:p>
        </w:tc>
        <w:tc>
          <w:tcPr>
            <w:tcW w:w="558" w:type="dxa"/>
            <w:vAlign w:val="center"/>
          </w:tcPr>
          <w:p w14:paraId="2081FDA8">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w:t>
            </w:r>
          </w:p>
        </w:tc>
        <w:tc>
          <w:tcPr>
            <w:tcW w:w="1121" w:type="dxa"/>
            <w:vAlign w:val="center"/>
          </w:tcPr>
          <w:p w14:paraId="0DD0379B">
            <w:pPr>
              <w:keepLines/>
              <w:wordWrap w:val="0"/>
              <w:spacing w:line="360" w:lineRule="auto"/>
              <w:rPr>
                <w:rFonts w:hint="eastAsia" w:ascii="宋体" w:hAnsi="宋体" w:cs="宋体"/>
                <w:bCs/>
                <w:color w:val="auto"/>
                <w:sz w:val="24"/>
                <w:highlight w:val="none"/>
              </w:rPr>
            </w:pPr>
            <w:r>
              <w:rPr>
                <w:rFonts w:hint="eastAsia" w:ascii="宋体" w:hAnsi="宋体" w:cs="宋体"/>
                <w:bCs/>
                <w:color w:val="auto"/>
                <w:spacing w:val="-6"/>
                <w:sz w:val="24"/>
                <w:highlight w:val="none"/>
              </w:rPr>
              <w:t>2025年城建计划管理分析支持系统运维服务</w:t>
            </w:r>
          </w:p>
        </w:tc>
        <w:tc>
          <w:tcPr>
            <w:tcW w:w="570" w:type="dxa"/>
            <w:vAlign w:val="center"/>
          </w:tcPr>
          <w:p w14:paraId="65F4200E">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w:t>
            </w:r>
          </w:p>
        </w:tc>
        <w:tc>
          <w:tcPr>
            <w:tcW w:w="585" w:type="dxa"/>
            <w:vAlign w:val="center"/>
          </w:tcPr>
          <w:p w14:paraId="01DEA699">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4120" w:type="dxa"/>
          </w:tcPr>
          <w:p w14:paraId="5748FBE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一、服务内容</w:t>
            </w:r>
          </w:p>
          <w:p w14:paraId="0F870C0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（一）系统日常运行维护</w:t>
            </w:r>
          </w:p>
          <w:p w14:paraId="1D6C07A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1.定期巡检：每周记录系统运行、检查日志；每月对系统进行一次全面检查，清理优化系统，对系统环境、系统配置、系统安全性、系统稳定性进行检查维护，以保证正常运行。</w:t>
            </w:r>
          </w:p>
          <w:p w14:paraId="43C699F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2.系统故障检测及排除：因误操作导致的数据错误维护，系统突发事件的诊断、排除。</w:t>
            </w:r>
          </w:p>
          <w:p w14:paraId="2CABC4F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3.系统运行状态监控及预警：通过技术手段对系统运行状态进行记录监控，设置预警阀值，实现系统故障隐患的预先发现和预警。</w:t>
            </w:r>
          </w:p>
          <w:p w14:paraId="650284F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4.数据备份/恢复：制定系统备份制度，明确备份的策略和备份要求，并根据备份制度定期（每日、每周、每月）进行数据备份工作。同时对故障恢复后以及程序变更后的系统进行数据恢复工作。</w:t>
            </w:r>
          </w:p>
          <w:p w14:paraId="3343FEF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5.系统重部署和调试：在系统进行设备更新和软件升级后，完成系统的重部署和调试。</w:t>
            </w:r>
          </w:p>
          <w:p w14:paraId="63FCDD1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6.系统性能优化：调整系统运行参数优化系统性能，定期清理运维过程中所生成的临时数据，从应用系统角度提高应用系统运行速度等。</w:t>
            </w:r>
          </w:p>
          <w:p w14:paraId="3C3AF34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运行环境的维护：定期对城建计划管理分析支持系统运行环境（包括服务器、网络等）进行维护，内容包括“操作系统补丁安装、系统安全扫描、主机故障排除、ARP、DDOS、CC等网络攻击处理、服务器硬件定期监测、服务器安全策略、网络连接状态监控、网络周流量报表、网络安全策略”等。</w:t>
            </w:r>
          </w:p>
          <w:p w14:paraId="0CEFFA6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8.根据业务需求完善原有的功能模块。根据《中华人民共和国网络安全法》规定，把网络日志留存时间不少于六个月。</w:t>
            </w:r>
          </w:p>
          <w:p w14:paraId="2292C37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9.依据采购人业务需求，严格遵循AI南宁城市智能体平台发布的接口标准及协议（包括但不限于API、MCP协议），开发标准化接口或构建相关智能体，实现与数据分析、自动化控制等应用智能体的功能无缝集成及实时数据交互。</w:t>
            </w:r>
          </w:p>
          <w:p w14:paraId="0F2D053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（二）咨询/技术/培训服务</w:t>
            </w:r>
          </w:p>
          <w:p w14:paraId="51889A7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1.咨询服务：帮助解答采购人提出的系统相关的各种业务和技术问题。</w:t>
            </w:r>
          </w:p>
          <w:p w14:paraId="3E74642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2.技术服务：参与采购人对与系统相关的系统功能调研、需求分析、系统设计，并提供技术解决方案。</w:t>
            </w:r>
          </w:p>
          <w:p w14:paraId="3595F21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3.系统管理服务：承担系统管理员角色，负责系统的系统设置、基础数据管理、用户添加和权限分配等。</w:t>
            </w:r>
          </w:p>
          <w:p w14:paraId="2533F27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4.培训服务：根据需要，对采购人进行系统运行管理、日常维护、使用操作及开发技术等方面的培训和对业务人员进行系统使用操作等方面的培训。</w:t>
            </w:r>
          </w:p>
          <w:p w14:paraId="5CBCB71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（三）运维服务要求</w:t>
            </w:r>
          </w:p>
          <w:p w14:paraId="16745A6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1.驻场要求：供应商须组成至少3人的运维小组。</w:t>
            </w:r>
          </w:p>
          <w:p w14:paraId="024A302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故障响应时间：工作时间接到一般故障报告后，由运维小组工程师15分钟内进行响应，60分钟内进行解决。休息日、节假日等非行政日工作时间接到一般故障报告后，由运维小组成员于30分钟内进行响应，120分钟内进行解决。</w:t>
            </w:r>
          </w:p>
          <w:p w14:paraId="6082074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在接到重大故障报告后，无论是否为行政日工作时间，运维小组中至少1人</w:t>
            </w:r>
            <w:r>
              <w:rPr>
                <w:rFonts w:hint="eastAsia" w:ascii="宋体" w:hAnsi="宋体" w:cs="宋体"/>
                <w:b w:val="0"/>
                <w:color w:val="auto"/>
                <w:sz w:val="24"/>
                <w:szCs w:val="24"/>
                <w:highlight w:val="none"/>
                <w:lang w:val="en-US" w:eastAsia="zh-CN"/>
              </w:rPr>
              <w:t>立即</w:t>
            </w:r>
            <w:r>
              <w:rPr>
                <w:rFonts w:hint="eastAsia" w:ascii="宋体" w:hAnsi="宋体" w:cs="宋体"/>
                <w:b w:val="0"/>
                <w:color w:val="auto"/>
                <w:sz w:val="24"/>
                <w:szCs w:val="24"/>
                <w:highlight w:val="none"/>
              </w:rPr>
              <w:t>响应，原则上40分钟内进行解决。因客观原因无法40分钟内解决的应向采购人说明情况。</w:t>
            </w:r>
          </w:p>
          <w:p w14:paraId="6C43362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重大活动支持：中标供应商在重点保障时段提前对参保设备和系统进行全面检查并出具巡检报告，确保系统稳定运行；在国家、自治区、南宁市等重大政治活动以及重点节假日期间，提供1人/天的关键时点值守服务，做好网络安全监测、分析保障服务，并提供非驻场安全保障服务，快速应对可能出现的安全事件，协助做好网络安全保障工作。</w:t>
            </w:r>
          </w:p>
          <w:p w14:paraId="4C6896D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二、服务成果</w:t>
            </w:r>
          </w:p>
          <w:p w14:paraId="06A2ACE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1.中标供应商应提供5x7小时（国家法定工作日上午8：00-12：00，下午15：00-18：00）支持服务。</w:t>
            </w:r>
          </w:p>
          <w:p w14:paraId="1B2EB5A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2.日常保障服务主要成果</w:t>
            </w:r>
          </w:p>
          <w:p w14:paraId="5CA5A34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（1）服务期内每月10日前，提交《巡检工作及系统日常维护月报》1份；</w:t>
            </w:r>
          </w:p>
          <w:p w14:paraId="6D5E3E1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（2）服务期结束后30日内提交《巡检工作及系统日常维护总结报告》1份。</w:t>
            </w:r>
          </w:p>
          <w:p w14:paraId="64F1049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3.应急响应和重保服务主要成果</w:t>
            </w:r>
          </w:p>
          <w:p w14:paraId="29ADEE8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（1）每起应急事件或者故障发生并妥善处置后30日内出具《应急响应处置报告》1份；</w:t>
            </w:r>
          </w:p>
          <w:p w14:paraId="63AEB6E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（2）服务期结束后30日内提交《重要时期安全保障工作总结报告》1份。</w:t>
            </w:r>
          </w:p>
          <w:p w14:paraId="200EA8E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4.功能维护服务主要成果</w:t>
            </w:r>
          </w:p>
          <w:p w14:paraId="2D73218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（1）日常例行更新并于服务期结束后30日内提交《系统日常及更新维护记录》1份；</w:t>
            </w:r>
          </w:p>
          <w:p w14:paraId="6418C80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（2）根据采购人的实际回访需求，填写并于服务期结束后30日内提交《回访服务响应记录表》1份。</w:t>
            </w:r>
          </w:p>
          <w:p w14:paraId="03EAEBA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5.其他成果</w:t>
            </w:r>
          </w:p>
          <w:p w14:paraId="78F0E1AC">
            <w:pPr>
              <w:keepLines/>
              <w:wordWrap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合同签订后30日内，每名中标供应商的项目成员提交《城建计划管理分析支持系统运维服务项目保密承诺书》1份。</w:t>
            </w:r>
          </w:p>
        </w:tc>
        <w:tc>
          <w:tcPr>
            <w:tcW w:w="1164" w:type="dxa"/>
            <w:vAlign w:val="center"/>
          </w:tcPr>
          <w:p w14:paraId="37ABF6D0">
            <w:pPr>
              <w:keepLines/>
              <w:wordWrap w:val="0"/>
              <w:spacing w:line="360" w:lineRule="auto"/>
              <w:jc w:val="center"/>
              <w:textAlignment w:val="center"/>
              <w:rPr>
                <w:rFonts w:hint="eastAsia" w:ascii="宋体" w:hAnsi="宋体" w:cs="宋体"/>
                <w:bCs/>
                <w:color w:val="auto"/>
                <w:sz w:val="24"/>
                <w:highlight w:val="none"/>
              </w:rPr>
            </w:pPr>
            <w:r>
              <w:rPr>
                <w:rFonts w:hint="eastAsia" w:ascii="宋体" w:hAnsi="宋体"/>
                <w:color w:val="auto"/>
                <w:szCs w:val="21"/>
                <w:highlight w:val="none"/>
              </w:rPr>
              <w:t>240000.00</w:t>
            </w:r>
          </w:p>
        </w:tc>
        <w:tc>
          <w:tcPr>
            <w:tcW w:w="1371" w:type="dxa"/>
            <w:vAlign w:val="center"/>
          </w:tcPr>
          <w:p w14:paraId="07858590">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软件和信息技术服务业</w:t>
            </w:r>
          </w:p>
        </w:tc>
      </w:tr>
      <w:tr w14:paraId="5326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1A4BC0FC">
            <w:pPr>
              <w:keepLines/>
              <w:wordWrap w:val="0"/>
              <w:spacing w:line="360" w:lineRule="auto"/>
              <w:jc w:val="left"/>
              <w:rPr>
                <w:rFonts w:hint="eastAsia" w:ascii="宋体" w:hAnsi="宋体" w:cs="宋体"/>
                <w:bCs/>
                <w:color w:val="auto"/>
                <w:sz w:val="24"/>
                <w:highlight w:val="none"/>
              </w:rPr>
            </w:pPr>
          </w:p>
        </w:tc>
        <w:tc>
          <w:tcPr>
            <w:tcW w:w="558" w:type="dxa"/>
            <w:vAlign w:val="center"/>
          </w:tcPr>
          <w:p w14:paraId="757D18FC">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4</w:t>
            </w:r>
          </w:p>
        </w:tc>
        <w:tc>
          <w:tcPr>
            <w:tcW w:w="1121" w:type="dxa"/>
            <w:vAlign w:val="center"/>
          </w:tcPr>
          <w:p w14:paraId="3044FC23">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2025年强首府战略作战云运维服务</w:t>
            </w:r>
          </w:p>
        </w:tc>
        <w:tc>
          <w:tcPr>
            <w:tcW w:w="570" w:type="dxa"/>
            <w:vAlign w:val="center"/>
          </w:tcPr>
          <w:p w14:paraId="0793B6D6">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w:t>
            </w:r>
          </w:p>
        </w:tc>
        <w:tc>
          <w:tcPr>
            <w:tcW w:w="585" w:type="dxa"/>
            <w:vAlign w:val="center"/>
          </w:tcPr>
          <w:p w14:paraId="6B5B2398">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4120" w:type="dxa"/>
          </w:tcPr>
          <w:p w14:paraId="0B6AC73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一、日常保障服务</w:t>
            </w:r>
          </w:p>
          <w:p w14:paraId="6AC4A19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（一）日常运行维护巡检服务</w:t>
            </w:r>
          </w:p>
          <w:p w14:paraId="06868E8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5C4DD6F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66729AE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1.提供日常运行巡检服务，建立日常运行服务工作巡检计划，每日将巡检情况进行记录并报送至</w:t>
            </w:r>
            <w:r>
              <w:rPr>
                <w:rFonts w:hint="eastAsia" w:ascii="宋体" w:hAnsi="宋体" w:cs="宋体"/>
                <w:b w:val="0"/>
                <w:color w:val="auto"/>
                <w:sz w:val="24"/>
                <w:szCs w:val="24"/>
                <w:highlight w:val="none"/>
                <w:lang w:val="zh-CN"/>
              </w:rPr>
              <w:t>南宁市固定资产投资项目前期服务中心</w:t>
            </w:r>
            <w:r>
              <w:rPr>
                <w:rFonts w:hint="eastAsia" w:ascii="宋体" w:hAnsi="宋体" w:cs="宋体"/>
                <w:b w:val="0"/>
                <w:color w:val="auto"/>
                <w:sz w:val="24"/>
                <w:szCs w:val="24"/>
                <w:highlight w:val="none"/>
              </w:rPr>
              <w:t>，同时记录问题处置过程和结果，每周记录系统运行、检查日志；每月对系统进行一次全面检查，清理优化系统，对系统环境、系统配置、系统安全性、系统稳定性进行检查维护。</w:t>
            </w:r>
          </w:p>
          <w:p w14:paraId="0C5D2A2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2.对巡检发现的问题提供处理处置反馈，形成台帐，做安全防护加固优化。</w:t>
            </w:r>
          </w:p>
          <w:p w14:paraId="44F81BC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3.通过技术手段对系统运行状态进行记录监控，设置预警阀值，实现系统故障隐患的预先发现和预警。</w:t>
            </w:r>
          </w:p>
          <w:p w14:paraId="439E4A2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4.制定系统备份制度，明确备份的策略和备份要求，并根据备份制度定期（每日、每周、每月）进行数据备份工作。</w:t>
            </w:r>
          </w:p>
          <w:p w14:paraId="0DBA1E7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5.系统重部署和调试：在系统进行设备更新和软件升级后，完成系统的重部署和调试。</w:t>
            </w:r>
          </w:p>
          <w:p w14:paraId="305C71E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6.根据业务需求完善原有的功能模块。根据《中华人民共和国网络安全法》规定，把网络日志留存时间不少于六个月。</w:t>
            </w:r>
          </w:p>
          <w:p w14:paraId="1026F0E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7.服务期内按计划提供运行维护巡检，日常巡检处置记录按周提交周报。</w:t>
            </w:r>
          </w:p>
          <w:p w14:paraId="1FA13FE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服务成果：《巡检工作周报》《巡检工作总结报告》</w:t>
            </w:r>
          </w:p>
          <w:p w14:paraId="68A97B9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（二）基本技术支持服务</w:t>
            </w:r>
          </w:p>
          <w:p w14:paraId="147894F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5FCB395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提供日常的系统运维技术支持，包括7×24小时30分钟响应的专门客服电话和远程接入方式对用系统问题进行检查、诊断分析和解决，保证系统可以正常稳定的运行，为用户使用提供保障。承担系统管理员角色，负责系统的系统设置、基础数据管理、系统用户添加和权限分配等。对与系统相关的系统功能调研、需求分析、系统设计，并提供技术解决方案。</w:t>
            </w:r>
          </w:p>
          <w:p w14:paraId="101746A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w:t>
            </w:r>
          </w:p>
          <w:p w14:paraId="2E13F43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（三）现场技术支持服务</w:t>
            </w:r>
          </w:p>
          <w:p w14:paraId="6FA9027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2656809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3E008F7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1.一般故障响应时间：接到故障通知后在30分钟内到达采购人指定现场，并应在1个小时内解决一般问题。</w:t>
            </w:r>
          </w:p>
          <w:p w14:paraId="5BAB315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2.重大故障响应时间：接到故障通知后在30分钟内到达采购人指定现场，并在1个工作日内提供功能一致或优于原系统的技术解决方案。</w:t>
            </w:r>
          </w:p>
          <w:p w14:paraId="533BAAF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提供相关的现场维护流程说明，流程说明如下：</w:t>
            </w:r>
          </w:p>
          <w:p w14:paraId="0B4723C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运行维护人员现场判定维护服务种类，维护服务种类包含：a类主动服务及巡检服务；b类出现问题及解决问题，包括因操作问题引起的软件故障进行检测分析和纠正；c类属接口的调整，包括软件项的接口；d类属功能扩充或改进，包括各种需求的变更，即软件的二次开发。</w:t>
            </w:r>
          </w:p>
          <w:p w14:paraId="545E669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运行维护人员现场培训用户掌握系统简单的维护知识。培训时，培训人员应对软件数据备份、恢复操作重点介绍，说明日常维护工作对工作的重要性。</w:t>
            </w:r>
          </w:p>
          <w:p w14:paraId="493D46F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维护前由运行维护人员对系统状态进行确认并将结果记录在《工作记录》上。对于用户的委托维护，运行维护人员维护前须将制定的维护计划交用户确认方可进行。</w:t>
            </w:r>
          </w:p>
          <w:p w14:paraId="060B2B3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现场维护时，首先要做好采购人数据的备份，然后分析问题原因，设计解决方案，再着手解决问题，维护过程应详细记录在《工作记录》和《任务单》上，当时解决与否，事后均应由用户在《工作记录》上签字确认。对于b类需要维护的问题，负责人根据《客户维护请求记录》，确定是否应予维护。对于c类要维护的问题，负责人将《客户维护请求记录》转交单位领导，领导审核认为可行后，将《客户维护请求记录》转发给开发人员进行处理。若问题原因不属于系统软件原因，而属于提供方的原因，运行维护人员与采购人协商找相关单位解决。</w:t>
            </w:r>
          </w:p>
          <w:p w14:paraId="6FEB761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服务成果：《系统日常维护记录》《工作记录》《任务单》</w:t>
            </w:r>
          </w:p>
          <w:p w14:paraId="5325E2E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（四）紧急故障处理服务</w:t>
            </w:r>
          </w:p>
          <w:p w14:paraId="4CD1C17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21D5FA1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7D30CDF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当用户系统发生紧急故障时，在10分钟内及时响应，并通过多种渠道提供技术支持服务。在接到用户紧急故障申告后于30分钟内由相关工程师开始处理，同时应根据用户要求立即派遣工程师并赶到用户现场，提供不间断故障处理服务。</w:t>
            </w:r>
          </w:p>
          <w:p w14:paraId="2105E77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2.提供相关紧急故障处理流程说明，流程说明详见《附件一》</w:t>
            </w:r>
          </w:p>
          <w:p w14:paraId="75322DB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服务成果：《系统故障应急响应处置报告》</w:t>
            </w:r>
          </w:p>
          <w:p w14:paraId="23529EF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二、应急响应服务</w:t>
            </w:r>
          </w:p>
          <w:p w14:paraId="2F56DDD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（一）应急响应服务</w:t>
            </w:r>
          </w:p>
          <w:p w14:paraId="728F6FA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服务对象：强首府战略作战云相关的网络安全事件</w:t>
            </w:r>
          </w:p>
          <w:p w14:paraId="53119EE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7E541E7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（1）加强网络安全管理</w:t>
            </w:r>
          </w:p>
          <w:p w14:paraId="3CD65C5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建立健全网络与信息安全管理预案，加强对网络信息的日常监测、监控，强化安全管理，对可能引发网络与信息安全事件的有关信息，要认真收集、分析判断，发现有异常情况时，及时处理并逐级报告。</w:t>
            </w:r>
          </w:p>
          <w:p w14:paraId="627BB26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（2）定期数据备份</w:t>
            </w:r>
          </w:p>
          <w:p w14:paraId="4D937BD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做好文件和数据库备份。备份采用完全备份策略与部分备份策略相结合，数据库管理员负责每天对数据库进行一次完整备份，每季度对系统文件进行一次完全备份。</w:t>
            </w:r>
          </w:p>
          <w:p w14:paraId="39CC525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（3）重要时期值守</w:t>
            </w:r>
          </w:p>
          <w:p w14:paraId="1C29D70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特殊时期启动网络与信息安全应急值班制度。在特殊时期进行24小时应急值班，对网络和信息数据加强保护，进行不间断监控，一旦发生网络与信息安全事件，立即启动应急预案，判定事件危害程度，采取应急处置措施，并立即将情况报告有关领导。在处置过程中，及时报告处置工作进展情况，直至处置工作结束。属于重大事件或存在非法犯罪行为的，及时向公安机关报告。</w:t>
            </w:r>
          </w:p>
          <w:p w14:paraId="635343D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（4）协调支持</w:t>
            </w:r>
          </w:p>
          <w:p w14:paraId="27FCF4B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保持与系统开发厂商沟通渠道的畅通，确保在应急处理过程中遇到困难或问题时能及时获得系统开发厂商的技术支持。</w:t>
            </w:r>
          </w:p>
          <w:p w14:paraId="38BCC30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制定应急措施及相关流程，以保障系统在用户规定时间内恢复正常运行。制定的应急措施包括系统出现非法言论事件紧急处置措施、黑客攻击事件紧急处置措施、病毒事件紧急处置措施、软件系统遭破坏性攻击的紧急处置措施、数据库安全紧急处置措施、设备安全紧急处置措施。</w:t>
            </w:r>
          </w:p>
          <w:p w14:paraId="77348AB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048C3CB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（二）系统出现非法言论事件紧急处置措施</w:t>
            </w:r>
          </w:p>
          <w:p w14:paraId="4636DB3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0D528EB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服务内容和要求：运行维护人员负责查看系统信息，发现在系统上出现非法信息时，应立即向采购人报告；情况紧急的，在保留原始信息后，应先采取删除等处理措施，再按程序报告。</w:t>
            </w:r>
          </w:p>
          <w:p w14:paraId="42E4025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1.运行维护人员应在接到报告后首先做好必要记录，清理非法信息，妥善保存有关记录及日志，强化安全防范措施，并将系统重新投入使用。</w:t>
            </w:r>
          </w:p>
          <w:p w14:paraId="2CABEE1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2.追查非法信息来源，并将有关情况向采购人汇报。</w:t>
            </w:r>
          </w:p>
          <w:p w14:paraId="1894D0E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3.运维负责人按照事态严重程度，决定是否并向政府信息化主管部门报告和公安部门报警。</w:t>
            </w:r>
          </w:p>
          <w:p w14:paraId="18E2DE9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2F29262A">
            <w:pPr>
              <w:pStyle w:val="21"/>
              <w:keepLines/>
              <w:numPr>
                <w:ilvl w:val="0"/>
                <w:numId w:val="3"/>
              </w:numPr>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黑客攻击事件紧急处置措施</w:t>
            </w:r>
          </w:p>
          <w:p w14:paraId="1415BDB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06FE08E3">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服务内容和要求：</w:t>
            </w:r>
          </w:p>
          <w:p w14:paraId="5155DC39">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1.恢复还没有得到或破坏机密数据的被入侵系统，先对系统当前状态做一个备份，用来做事后分析和证据，然后使用IP追捕软件来反向追踪攻击者，再断开与他的网络连接，通过添加防火墙规则来阻止。</w:t>
            </w:r>
          </w:p>
          <w:p w14:paraId="616F2607">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2.修改数据库管理员账号名称和登录密码，重新为操作数据的用户建立新的账户和密码，并且修改数据库的访问规则。</w:t>
            </w:r>
          </w:p>
          <w:p w14:paraId="48DCE5DF">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3.恢复已经得到或删除了机密数据的被入侵系统，发现系统已经被入侵时，攻击者已经得到或删除了系统中全部或部分的机密数据，应尽快断开与攻击源的网络连接。断开与攻击源的连接后，应当立即分析数据损失的范围和严重程度，了解哪些数据还没有被影响到，并立即将这些没有影响到的数据进行备份或隔离保护。</w:t>
            </w:r>
          </w:p>
          <w:p w14:paraId="6E7F2512">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4.运维负责人按照事态严重程度，决定是否并向政府信息化主管部门报告和公安部门报警。</w:t>
            </w:r>
          </w:p>
          <w:p w14:paraId="1EDCC9F5">
            <w:pPr>
              <w:pStyle w:val="16"/>
              <w:keepLines/>
              <w:wordWrap w:val="0"/>
              <w:spacing w:line="360" w:lineRule="auto"/>
              <w:ind w:firstLine="420"/>
              <w:rPr>
                <w:rFonts w:hint="eastAsia" w:ascii="宋体" w:hAnsi="宋体" w:cs="宋体"/>
                <w:bCs/>
                <w:color w:val="auto"/>
                <w:sz w:val="24"/>
                <w:szCs w:val="24"/>
                <w:highlight w:val="none"/>
              </w:rPr>
            </w:pPr>
            <w:r>
              <w:rPr>
                <w:rFonts w:hint="eastAsia" w:ascii="宋体" w:hAnsi="宋体" w:cs="宋体"/>
                <w:bCs/>
                <w:color w:val="auto"/>
                <w:sz w:val="24"/>
                <w:szCs w:val="24"/>
                <w:highlight w:val="none"/>
              </w:rPr>
              <w:t>服务成果：《安全事件应急响应处置报告》</w:t>
            </w:r>
          </w:p>
          <w:p w14:paraId="6D3F0466">
            <w:pPr>
              <w:pStyle w:val="21"/>
              <w:keepLines/>
              <w:numPr>
                <w:ilvl w:val="0"/>
                <w:numId w:val="3"/>
              </w:numPr>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病毒事件紧急处置措施</w:t>
            </w:r>
          </w:p>
          <w:p w14:paraId="3E057AB8">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服务对象：强首府战略作战云</w:t>
            </w:r>
          </w:p>
          <w:p w14:paraId="2940F848">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服务内容和要求：</w:t>
            </w:r>
          </w:p>
          <w:p w14:paraId="1CAB7993">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1.当运行维护人员发现有计算机被感染上病毒后，应立即将该机与网络隔离。如果短时间内无法处理完成，需要启动备用设备。</w:t>
            </w:r>
          </w:p>
          <w:p w14:paraId="110183AF">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2.运行维护人员对该计算机进行数据备份。启用反病毒软件对该进行杀毒处理，同时通过病毒检测软件对其他该网络中的计算机进行病毒扫描和清除工作。如果现行反病毒软件无法清除该病毒，应立即向用户、运维负责人报告，并迅速联系有解决能力的软件厂商研究解决。病毒清除，通过专业检测后，隔离的设备可重新投入使用。</w:t>
            </w:r>
          </w:p>
          <w:p w14:paraId="5F06EA21">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服务成果：《安全事件应急响应处置报告》</w:t>
            </w:r>
          </w:p>
          <w:p w14:paraId="017E9411">
            <w:pPr>
              <w:pStyle w:val="21"/>
              <w:keepLines/>
              <w:numPr>
                <w:ilvl w:val="0"/>
                <w:numId w:val="3"/>
              </w:numPr>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软件系统遭破坏性攻击的紧急处置措施</w:t>
            </w:r>
          </w:p>
          <w:p w14:paraId="01007CE3">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服务对象：强首府战略作战云</w:t>
            </w:r>
          </w:p>
          <w:p w14:paraId="72A6E06B">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服务内容和要求：</w:t>
            </w:r>
          </w:p>
          <w:p w14:paraId="36595081">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1.重要的软件系统日常维护时必须指定专人负责，将它们备份并保存于安全处。一旦软件遭到破坏性攻击，运行维护人员应立即向采购人报告，并将该系统停止运行。</w:t>
            </w:r>
          </w:p>
          <w:p w14:paraId="4C8A1320">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2.运行维护人员检查信息系统的日志等资料，确定攻击来源，并将有关情况向采购人汇报，再恢复软件系统和数据。</w:t>
            </w:r>
          </w:p>
          <w:p w14:paraId="584636EB">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服务成果：《安全事件应急响应处置报告》</w:t>
            </w:r>
          </w:p>
          <w:p w14:paraId="540C491D">
            <w:pPr>
              <w:pStyle w:val="21"/>
              <w:keepLines/>
              <w:numPr>
                <w:ilvl w:val="0"/>
                <w:numId w:val="3"/>
              </w:numPr>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数据库安全紧急处置措施</w:t>
            </w:r>
          </w:p>
          <w:p w14:paraId="441D77E4">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服务对象：强首府战略作战云</w:t>
            </w:r>
          </w:p>
          <w:p w14:paraId="3EEC7AA0">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服务内容和要求：</w:t>
            </w:r>
          </w:p>
          <w:p w14:paraId="509286CD">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1.主要数据库系统应按要求做好数据库备份。一旦数据库崩溃，运行维护人员应立即启动备用系统，并向采购人报告。</w:t>
            </w:r>
          </w:p>
          <w:p w14:paraId="70F312E6">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2.在备用系统运行期间，运行维护人员应对主机系统进行维修并作数据恢复。如果系统崩溃而无法恢复，运行维护人员应立即向采购人汇报，并联系有解决能力的厂商请求紧急支援。</w:t>
            </w:r>
          </w:p>
          <w:p w14:paraId="18E69CEE">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服务成果：《安全事件应急响应处置报告》</w:t>
            </w:r>
          </w:p>
          <w:p w14:paraId="703AAAEB">
            <w:pPr>
              <w:pStyle w:val="21"/>
              <w:keepLines/>
              <w:numPr>
                <w:ilvl w:val="0"/>
                <w:numId w:val="3"/>
              </w:numPr>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设备安全紧急处置措施</w:t>
            </w:r>
          </w:p>
          <w:p w14:paraId="19709E83">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服务对象：强首府战略作战云</w:t>
            </w:r>
          </w:p>
          <w:p w14:paraId="250ECF7D">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内容和要求：服务器等关键设备损坏后，运行维护人员立即查明原因。如果短时间内无法解决，应该立即启用备用设备，保证业务连续性。如果能够自行修复，应立即用备件替换受损部件。如属不能自行修复的，立即与设备提供商联系，要求派工程师立即前来维修。</w:t>
            </w:r>
          </w:p>
          <w:p w14:paraId="2311AAF8">
            <w:pPr>
              <w:keepLines/>
              <w:wordWrap w:val="0"/>
              <w:spacing w:line="360" w:lineRule="auto"/>
              <w:ind w:firstLine="420"/>
              <w:rPr>
                <w:rFonts w:hint="eastAsia" w:ascii="宋体" w:hAnsi="宋体" w:cs="宋体"/>
                <w:bCs/>
                <w:color w:val="auto"/>
                <w:sz w:val="24"/>
                <w:highlight w:val="none"/>
              </w:rPr>
            </w:pPr>
            <w:r>
              <w:rPr>
                <w:rFonts w:hint="eastAsia" w:ascii="宋体" w:hAnsi="宋体" w:cs="宋体"/>
                <w:bCs/>
                <w:color w:val="auto"/>
                <w:sz w:val="24"/>
                <w:highlight w:val="none"/>
              </w:rPr>
              <w:t>服务成果：《安全事件应急响应处置报告》</w:t>
            </w:r>
          </w:p>
          <w:p w14:paraId="4DBC43A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（八）重要时期安全保障服务</w:t>
            </w:r>
          </w:p>
          <w:p w14:paraId="36768F8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09D498E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在国家、自治区、南宁市等各种重大政治活动以及重点节假日期间为强首府战略作战云提供网络安全监测、分析保障服务，每次活动前须安排专业技术人员做好系统及数据检查工作，若发现问题应在活动开始前解决完成，确保系统稳定、数据正确。并提供二线专家快速应对可能出现的安全事件，协助做好网络安全保障工作。</w:t>
            </w:r>
          </w:p>
          <w:p w14:paraId="39FDC39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服务成果：《重要时期安全保障工作日报》《重要时期安全保障工作总结报告》</w:t>
            </w:r>
          </w:p>
          <w:p w14:paraId="37DEA85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三、功能维护服务</w:t>
            </w:r>
          </w:p>
          <w:p w14:paraId="3D785BC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（一）基础功能维护服务</w:t>
            </w:r>
          </w:p>
          <w:p w14:paraId="1D00C83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1556DD5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6A867D1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对强首府战略大数据资源中心、强首府指标管理云、强首府监管云、强首府项目服务云、强首府基础服务云、日常事务管理系统、强首府战略大脑的功能模块进行日常维护，以及对系统内管理的各类项目的基础信息、形象进度、相关文件等数据进行收集、整理、维护管理等，包括重点任务、重点目标、重点方向、重点项目、治理措施、“6+1”专项工作衍生指标情况和“双百双新”项目数据等功能模块应用的日常使用维护，对系统数据共享进行维护，确保系统数据共享，满足对强首府项目监管调度、问题调度和督导的工作要求。</w:t>
            </w:r>
          </w:p>
          <w:p w14:paraId="1DAD768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w:t>
            </w:r>
          </w:p>
          <w:p w14:paraId="5438895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w:t>
            </w:r>
            <w:bookmarkStart w:id="6" w:name="_Toc14412"/>
            <w:bookmarkStart w:id="7" w:name="_Toc17312"/>
            <w:bookmarkStart w:id="8" w:name="_Toc309"/>
            <w:bookmarkStart w:id="9" w:name="_Toc13442"/>
            <w:r>
              <w:rPr>
                <w:rFonts w:hint="eastAsia" w:ascii="宋体" w:hAnsi="宋体" w:cs="宋体"/>
                <w:b w:val="0"/>
                <w:color w:val="auto"/>
                <w:sz w:val="24"/>
                <w:szCs w:val="24"/>
                <w:highlight w:val="none"/>
              </w:rPr>
              <w:t>项目数据维护</w:t>
            </w:r>
            <w:bookmarkEnd w:id="6"/>
            <w:bookmarkEnd w:id="7"/>
            <w:bookmarkEnd w:id="8"/>
            <w:bookmarkEnd w:id="9"/>
            <w:r>
              <w:rPr>
                <w:rFonts w:hint="eastAsia" w:ascii="宋体" w:hAnsi="宋体" w:cs="宋体"/>
                <w:b w:val="0"/>
                <w:color w:val="auto"/>
                <w:sz w:val="24"/>
                <w:szCs w:val="24"/>
                <w:highlight w:val="none"/>
              </w:rPr>
              <w:t>服务</w:t>
            </w:r>
          </w:p>
          <w:p w14:paraId="7DA7FD7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2DA5E71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199B363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根据建立的信息报送机制，系统数据采用上报制度，对数据进行动态跟踪管理。按照周、旬、月、季等形式由系统运营人员向相关单位对接收集相应数据，整合后进行更新和可视化展示。同时系统运营人员会对提供数据进行真实性、准确性、时效性核查，遇到问题及时反馈。</w:t>
            </w:r>
          </w:p>
          <w:p w14:paraId="7E03FBC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2.建立预警管理机制，根据收集数据和建设单位需求，系统设置智能预警体系，对预警规则管理维护，实现系统可视化预警跟踪。</w:t>
            </w:r>
          </w:p>
          <w:p w14:paraId="6860405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w:t>
            </w:r>
          </w:p>
          <w:p w14:paraId="73E0787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w:t>
            </w:r>
            <w:bookmarkStart w:id="10" w:name="_Toc3491"/>
            <w:bookmarkStart w:id="11" w:name="_Toc3210"/>
            <w:bookmarkStart w:id="12" w:name="_Toc30738"/>
            <w:bookmarkStart w:id="13" w:name="_Toc12403"/>
            <w:r>
              <w:rPr>
                <w:rFonts w:hint="eastAsia" w:ascii="宋体" w:hAnsi="宋体" w:cs="宋体"/>
                <w:b w:val="0"/>
                <w:color w:val="auto"/>
                <w:sz w:val="24"/>
                <w:szCs w:val="24"/>
                <w:highlight w:val="none"/>
              </w:rPr>
              <w:t>系统功能调整服务</w:t>
            </w:r>
            <w:bookmarkEnd w:id="10"/>
            <w:bookmarkEnd w:id="11"/>
            <w:bookmarkEnd w:id="12"/>
            <w:bookmarkEnd w:id="13"/>
          </w:p>
          <w:p w14:paraId="56DAD6F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1AA126A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为推进项目管理系统的集约化管理，统筹信息资源与系统资源，需将强首府项目的建设、计划、业务核心数据信息整合到“项目为王”项目云平台，形成信息集中共享、系统统一管控的协同模式，提升强首府项目的管理效能和业务协同效率；依据采购人业务需求，严格遵循AI南宁城市智能体平台发布的接口标准及协议（包括但不限于API、MCP协议），开发标准化接口或构建相关智能体，实现与数据分析、自动化控制等应用智能体的功能无缝集成及实时数据交互。</w:t>
            </w:r>
          </w:p>
          <w:p w14:paraId="795FFD6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服务成果：《系统更新维护记录》《新功能上线安全评估报告》</w:t>
            </w:r>
          </w:p>
          <w:p w14:paraId="108D027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（四）定期运维汇报</w:t>
            </w:r>
          </w:p>
          <w:p w14:paraId="0C18B39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026B341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67AA0D2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1.每月提供运维总结报告，报告内容包括：系统问题汇总分析、常见故障处理、使用经验、设备维护内容等。</w:t>
            </w:r>
          </w:p>
          <w:p w14:paraId="7DF9928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2.运维服务人员尽可能把所有情况记录到文档中。发生重大信息安全事件的应当在事件处理完毕后5个工作日内将处理结果整理进行备案。</w:t>
            </w:r>
          </w:p>
          <w:p w14:paraId="470041B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服务成果：《系统日常维护记录》《系统更新维护记录》《安全事件应急响应处置报告》《巡检工作周报》《巡检工作总结报告》</w:t>
            </w:r>
          </w:p>
          <w:p w14:paraId="7AE6022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（五）定期回访服务 </w:t>
            </w:r>
          </w:p>
          <w:p w14:paraId="6F60505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服务对象：强首府战略作战云</w:t>
            </w:r>
          </w:p>
          <w:p w14:paraId="2677D9F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服务内容和要求：签订的支持服务协议规定，提供定期现场回访或不定期电话回访服务，与用户一起共同对系统进行性能调优、系统诊断，系统日常维护管理方面的交流，为用户进行定期的预防性维护服务。</w:t>
            </w:r>
          </w:p>
          <w:p w14:paraId="3B52683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服务成果：《定期回访服务响应表》</w:t>
            </w:r>
          </w:p>
          <w:p w14:paraId="6188B7B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四、服务成果汇总</w:t>
            </w:r>
          </w:p>
          <w:p w14:paraId="283B4C0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根据以上项目服务需求，按照类别提交如下服务成果：</w:t>
            </w:r>
          </w:p>
          <w:p w14:paraId="47E6ED8E">
            <w:pPr>
              <w:pStyle w:val="21"/>
              <w:keepLines/>
              <w:numPr>
                <w:ilvl w:val="0"/>
                <w:numId w:val="4"/>
              </w:numPr>
              <w:tabs>
                <w:tab w:val="right" w:leader="dot" w:pos="9628"/>
              </w:tabs>
              <w:wordWrap w:val="0"/>
              <w:spacing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日常保障服务主要成果</w:t>
            </w:r>
          </w:p>
          <w:p w14:paraId="78A0FD13">
            <w:pPr>
              <w:pStyle w:val="21"/>
              <w:keepLines/>
              <w:tabs>
                <w:tab w:val="right" w:leader="dot" w:pos="9628"/>
              </w:tabs>
              <w:wordWrap w:val="0"/>
              <w:spacing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《巡检工作周报》</w:t>
            </w:r>
          </w:p>
          <w:p w14:paraId="26577A4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《巡检工作总结报告》</w:t>
            </w:r>
          </w:p>
          <w:p w14:paraId="642F567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《系统日常维护记录》</w:t>
            </w:r>
          </w:p>
          <w:p w14:paraId="4AD6F3A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《工作记录》</w:t>
            </w:r>
          </w:p>
          <w:p w14:paraId="555DF5C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《任务单》</w:t>
            </w:r>
          </w:p>
          <w:p w14:paraId="188165F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《系统故障应急响应处置报告》</w:t>
            </w:r>
          </w:p>
          <w:p w14:paraId="060102C0">
            <w:pPr>
              <w:pStyle w:val="21"/>
              <w:keepLines/>
              <w:numPr>
                <w:ilvl w:val="0"/>
                <w:numId w:val="4"/>
              </w:numPr>
              <w:tabs>
                <w:tab w:val="right" w:leader="dot" w:pos="9628"/>
              </w:tabs>
              <w:wordWrap w:val="0"/>
              <w:spacing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应急响应服务主要成果</w:t>
            </w:r>
          </w:p>
          <w:p w14:paraId="52D65FA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《安全事件应急响应处置报告》</w:t>
            </w:r>
          </w:p>
          <w:p w14:paraId="6211B30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《重要时期安全保障工作日报》</w:t>
            </w:r>
          </w:p>
          <w:p w14:paraId="605AA6A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《重要时期安全保障工作总结报告》</w:t>
            </w:r>
          </w:p>
          <w:p w14:paraId="3AA7C489">
            <w:pPr>
              <w:pStyle w:val="21"/>
              <w:keepLines/>
              <w:numPr>
                <w:ilvl w:val="0"/>
                <w:numId w:val="4"/>
              </w:numPr>
              <w:tabs>
                <w:tab w:val="right" w:leader="dot" w:pos="9628"/>
              </w:tabs>
              <w:wordWrap w:val="0"/>
              <w:spacing w:line="360" w:lineRule="auto"/>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功能维护服务主要成果</w:t>
            </w:r>
          </w:p>
          <w:p w14:paraId="00868A3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《系统日常维护记录》</w:t>
            </w:r>
          </w:p>
          <w:p w14:paraId="404F7B3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《系统更新维护记录》</w:t>
            </w:r>
          </w:p>
          <w:p w14:paraId="563AA2F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《新功能上线安全评估报告》</w:t>
            </w:r>
          </w:p>
          <w:p w14:paraId="67D3C9E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《巡检工作周报》</w:t>
            </w:r>
          </w:p>
          <w:p w14:paraId="46EC71F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《巡检工作总结报告》</w:t>
            </w:r>
          </w:p>
          <w:p w14:paraId="7A1C443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《安全事件应急响应处置报告》</w:t>
            </w:r>
          </w:p>
          <w:p w14:paraId="1B99FA9D">
            <w:pPr>
              <w:keepLines/>
              <w:wordWrap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《定期回访服务响应表》</w:t>
            </w:r>
          </w:p>
        </w:tc>
        <w:tc>
          <w:tcPr>
            <w:tcW w:w="1164" w:type="dxa"/>
            <w:vAlign w:val="center"/>
          </w:tcPr>
          <w:p w14:paraId="18F873FA">
            <w:pPr>
              <w:keepLines/>
              <w:wordWrap w:val="0"/>
              <w:spacing w:line="360" w:lineRule="auto"/>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323500.00</w:t>
            </w:r>
          </w:p>
        </w:tc>
        <w:tc>
          <w:tcPr>
            <w:tcW w:w="1371" w:type="dxa"/>
            <w:vAlign w:val="center"/>
          </w:tcPr>
          <w:p w14:paraId="6764F1E6">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软件和信息技术服务业</w:t>
            </w:r>
          </w:p>
        </w:tc>
      </w:tr>
      <w:tr w14:paraId="52F8C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16D5EB58">
            <w:pPr>
              <w:keepLines/>
              <w:wordWrap w:val="0"/>
              <w:spacing w:line="360" w:lineRule="auto"/>
              <w:jc w:val="left"/>
              <w:rPr>
                <w:rFonts w:hint="eastAsia" w:ascii="宋体" w:hAnsi="宋体" w:cs="宋体"/>
                <w:bCs/>
                <w:color w:val="auto"/>
                <w:sz w:val="24"/>
                <w:highlight w:val="none"/>
              </w:rPr>
            </w:pPr>
          </w:p>
        </w:tc>
        <w:tc>
          <w:tcPr>
            <w:tcW w:w="558" w:type="dxa"/>
            <w:vAlign w:val="center"/>
          </w:tcPr>
          <w:p w14:paraId="36A22D50">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5</w:t>
            </w:r>
          </w:p>
        </w:tc>
        <w:tc>
          <w:tcPr>
            <w:tcW w:w="1121" w:type="dxa"/>
            <w:vAlign w:val="center"/>
          </w:tcPr>
          <w:p w14:paraId="7A869457">
            <w:pPr>
              <w:keepLines/>
              <w:wordWrap w:val="0"/>
              <w:spacing w:line="360" w:lineRule="auto"/>
              <w:rPr>
                <w:rFonts w:hint="eastAsia" w:ascii="宋体" w:hAnsi="宋体" w:cs="宋体"/>
                <w:bCs/>
                <w:color w:val="auto"/>
                <w:sz w:val="24"/>
                <w:highlight w:val="none"/>
              </w:rPr>
            </w:pPr>
            <w:r>
              <w:rPr>
                <w:rFonts w:hint="eastAsia" w:ascii="宋体" w:hAnsi="宋体" w:cs="宋体"/>
                <w:bCs/>
                <w:color w:val="auto"/>
                <w:spacing w:val="-6"/>
                <w:sz w:val="24"/>
                <w:highlight w:val="none"/>
              </w:rPr>
              <w:t>2025年强首府作战云可视化系统及智能展示调度系统</w:t>
            </w:r>
            <w:r>
              <w:rPr>
                <w:rFonts w:hint="eastAsia" w:ascii="宋体" w:hAnsi="宋体" w:cs="宋体"/>
                <w:bCs/>
                <w:color w:val="auto"/>
                <w:sz w:val="24"/>
                <w:highlight w:val="none"/>
              </w:rPr>
              <w:t>运维服务</w:t>
            </w:r>
          </w:p>
        </w:tc>
        <w:tc>
          <w:tcPr>
            <w:tcW w:w="570" w:type="dxa"/>
            <w:vAlign w:val="center"/>
          </w:tcPr>
          <w:p w14:paraId="3C1E2F4F">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项</w:t>
            </w:r>
          </w:p>
        </w:tc>
        <w:tc>
          <w:tcPr>
            <w:tcW w:w="585" w:type="dxa"/>
            <w:vAlign w:val="center"/>
          </w:tcPr>
          <w:p w14:paraId="73944703">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4120" w:type="dxa"/>
          </w:tcPr>
          <w:p w14:paraId="62AD821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一、日常保障服务</w:t>
            </w:r>
          </w:p>
          <w:p w14:paraId="2FE59E3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（一）日常安全巡检服务</w:t>
            </w:r>
          </w:p>
          <w:p w14:paraId="7B416EB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5084AA2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服务内容和要求：提供日常安全巡检服务，建立日常安全服务工作巡检计划，每日记录巡检情况并报送至</w:t>
            </w:r>
            <w:r>
              <w:rPr>
                <w:rFonts w:hint="eastAsia" w:ascii="宋体" w:hAnsi="宋体" w:cs="宋体"/>
                <w:b w:val="0"/>
                <w:color w:val="auto"/>
                <w:sz w:val="24"/>
                <w:szCs w:val="24"/>
                <w:highlight w:val="none"/>
                <w:lang w:val="zh-CN"/>
              </w:rPr>
              <w:t>南宁市固定资产投资项目前期服务中心</w:t>
            </w:r>
            <w:r>
              <w:rPr>
                <w:rFonts w:hint="eastAsia" w:ascii="宋体" w:hAnsi="宋体" w:cs="宋体"/>
                <w:b w:val="0"/>
                <w:color w:val="auto"/>
                <w:sz w:val="24"/>
                <w:szCs w:val="24"/>
                <w:highlight w:val="none"/>
              </w:rPr>
              <w:t>，同时记录问题处置过程和结果，对巡检发现的问题提供处理处置反馈，形成台帐，做安全防护加固优化。服务期内按计划提供安全巡检，日常巡检处置记录按周提交周报。</w:t>
            </w:r>
          </w:p>
          <w:p w14:paraId="539A1FB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服务成果：《巡检工作周报》《巡检工作总结报告》</w:t>
            </w:r>
          </w:p>
          <w:p w14:paraId="3A199FF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w:t>
            </w:r>
            <w:bookmarkStart w:id="14" w:name="_Toc27755"/>
            <w:bookmarkStart w:id="15" w:name="_Toc13735"/>
            <w:bookmarkStart w:id="16" w:name="_Toc387"/>
            <w:bookmarkStart w:id="17" w:name="_Toc30627"/>
            <w:r>
              <w:rPr>
                <w:rFonts w:hint="eastAsia" w:ascii="宋体" w:hAnsi="宋体" w:cs="宋体"/>
                <w:b w:val="0"/>
                <w:color w:val="auto"/>
                <w:sz w:val="24"/>
                <w:szCs w:val="24"/>
                <w:highlight w:val="none"/>
              </w:rPr>
              <w:t>基本技术支持服务</w:t>
            </w:r>
            <w:bookmarkEnd w:id="14"/>
            <w:bookmarkEnd w:id="15"/>
            <w:bookmarkEnd w:id="16"/>
            <w:bookmarkEnd w:id="17"/>
          </w:p>
          <w:p w14:paraId="418643E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15CE2F3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服务内容和要求：提供日常的系统运维技术支持，包括7×24小时30分钟内响应的专门客服电话和远程接入方式对用系统问题进行检查、诊断分析和解决，保证系统正常稳定的运行，为采购人使用提供保障。</w:t>
            </w:r>
          </w:p>
          <w:p w14:paraId="2A93935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w:t>
            </w:r>
          </w:p>
          <w:p w14:paraId="3E0570D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w:t>
            </w:r>
            <w:bookmarkStart w:id="18" w:name="_Toc14997"/>
            <w:bookmarkStart w:id="19" w:name="_Toc8813"/>
            <w:bookmarkStart w:id="20" w:name="_Toc30840"/>
            <w:bookmarkStart w:id="21" w:name="_Toc25065"/>
            <w:r>
              <w:rPr>
                <w:rFonts w:hint="eastAsia" w:ascii="宋体" w:hAnsi="宋体" w:cs="宋体"/>
                <w:b w:val="0"/>
                <w:color w:val="auto"/>
                <w:sz w:val="24"/>
                <w:szCs w:val="24"/>
                <w:highlight w:val="none"/>
              </w:rPr>
              <w:t>现场技术支持服务</w:t>
            </w:r>
            <w:bookmarkEnd w:id="18"/>
            <w:bookmarkEnd w:id="19"/>
            <w:bookmarkEnd w:id="20"/>
            <w:bookmarkEnd w:id="21"/>
          </w:p>
          <w:p w14:paraId="2EFCE8D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005F2DC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6EBA1D8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1.一般故障响应时间：接到故障通知后30分钟内到达采购人指定现场，并在1个小时内解决一般问题。</w:t>
            </w:r>
          </w:p>
          <w:p w14:paraId="66B16E9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2.重大故障响应时间：接到故障通知后30分钟内到达采购人指定现场，并在1个工作日内提供功能一致或优于原系统的技术解决方案。</w:t>
            </w:r>
          </w:p>
          <w:p w14:paraId="5082A18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提供相关的现场维护流程说明，流程说明如下：</w:t>
            </w:r>
          </w:p>
          <w:p w14:paraId="53EBFB8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运行维护人员现场判定维护服务种类，维护服务种类包含：a类主动服务及巡检服务；b类出现问题及解决问题，包括因操作问题引起的软件故障进行检测分析和纠正；c类属接口的调整，包括软件项的接口；d类属功能扩充或改进，包括各种需求的变更，即软件的二次开发。</w:t>
            </w:r>
          </w:p>
          <w:p w14:paraId="7E0B698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运行维护人员现场培训系统用户掌握系统简单的维护知识。培训时，培训人员应对软件数据备份、恢复操作重点介绍，说明日常维护工作对工作的重要性。</w:t>
            </w:r>
          </w:p>
          <w:p w14:paraId="2F1168B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维护前由运行维护人员对系统状态进行确认并将结果记录在《工作记录》上。对于采购人的委托维护，运行维护人员维护前须将制定的维护计划交至采购人确认方可进行。</w:t>
            </w:r>
          </w:p>
          <w:p w14:paraId="2496D58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现场维护时，对于A类维护服务，运维人员应做好采购人或其他用户数据的备份，分析问题原因，设计解决方案，待方案确认后再着手解决问题，维护过程应详细记录在《工作记录》和《任务单》上，事后均由采购人在《工作记录》上签字确认。对于B类需要维护的问题，运维人员根据《客户维护请求记录》，确定是否应予维护。对于C类要维护的问题，运维人员将《客户维护请求记录》转交采购人审核认为可行后，将《客户维护请求记录》转发给开发人员进行处理。若问题原因不属于系统软件原因，而属于提供方的原因，运行维护人员与采购人协商找相关单位解决。</w:t>
            </w:r>
          </w:p>
          <w:p w14:paraId="27899D9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服务成果：《系统日常维护记录》《工作记录》《任务单》</w:t>
            </w:r>
          </w:p>
          <w:p w14:paraId="5A628DA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（四）</w:t>
            </w:r>
            <w:bookmarkStart w:id="22" w:name="_Toc4418"/>
            <w:bookmarkStart w:id="23" w:name="_Toc139"/>
            <w:bookmarkStart w:id="24" w:name="_Toc9290"/>
            <w:bookmarkStart w:id="25" w:name="_Toc22505"/>
            <w:r>
              <w:rPr>
                <w:rFonts w:hint="eastAsia" w:ascii="宋体" w:hAnsi="宋体" w:cs="宋体"/>
                <w:b w:val="0"/>
                <w:color w:val="auto"/>
                <w:sz w:val="24"/>
                <w:szCs w:val="24"/>
                <w:highlight w:val="none"/>
              </w:rPr>
              <w:t>紧急故障处理服务</w:t>
            </w:r>
            <w:bookmarkEnd w:id="22"/>
            <w:bookmarkEnd w:id="23"/>
            <w:bookmarkEnd w:id="24"/>
            <w:bookmarkEnd w:id="25"/>
          </w:p>
          <w:p w14:paraId="79699C0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39BDDBD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5B23B92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当采购人系统发生紧急故障时，在10分钟内及时响应，并通过多种渠道提供技术支持服务。在接到采购人紧急故障申告后于30分钟内由相关运维人员开始处理，同时应根据采购人要求立即派遣运维人员赶到采购人现场，提供不间断故障处理服务。</w:t>
            </w:r>
          </w:p>
          <w:p w14:paraId="5532E42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2.提供相关紧急故障处理流程说明，流程说明详见《附件</w:t>
            </w:r>
            <w:r>
              <w:rPr>
                <w:rFonts w:hint="eastAsia" w:ascii="宋体" w:hAnsi="宋体" w:cs="宋体"/>
                <w:b w:val="0"/>
                <w:color w:val="auto"/>
                <w:sz w:val="24"/>
                <w:szCs w:val="24"/>
                <w:highlight w:val="none"/>
                <w:lang w:val="en-US" w:eastAsia="zh-CN"/>
              </w:rPr>
              <w:t>一</w:t>
            </w:r>
            <w:r>
              <w:rPr>
                <w:rFonts w:hint="eastAsia" w:ascii="宋体" w:hAnsi="宋体" w:cs="宋体"/>
                <w:b w:val="0"/>
                <w:color w:val="auto"/>
                <w:sz w:val="24"/>
                <w:szCs w:val="24"/>
                <w:highlight w:val="none"/>
              </w:rPr>
              <w:t>》</w:t>
            </w:r>
          </w:p>
          <w:p w14:paraId="36CD055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服务成果：《系统故障应急响应处置报告》</w:t>
            </w:r>
          </w:p>
          <w:p w14:paraId="113754D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二、应急响应服务</w:t>
            </w:r>
          </w:p>
          <w:p w14:paraId="0D42FA6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（一）应急响应服务</w:t>
            </w:r>
          </w:p>
          <w:p w14:paraId="15D3B8A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服务对象：强首府作战云可视化系统及智能展示调度系统相关的网络安全事件</w:t>
            </w:r>
          </w:p>
          <w:p w14:paraId="0F9EB7C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制定应急措施及相关流程，以保障系统在采购人规定时间内恢复正常运行。制定的应急措施包括系统出现非法言论事件紧急处置措施、黑客攻击事件紧急处置措施、病毒事件紧急处置措施、软件系统遭破坏性攻击的紧急处置措施、数据库安全紧急处置措施、设备安全紧急处置措施。</w:t>
            </w:r>
          </w:p>
          <w:p w14:paraId="5B1B126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6E84812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（二）系统出现非法言论事件紧急处置措施</w:t>
            </w:r>
          </w:p>
          <w:p w14:paraId="7CF2B2A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047FDC3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服务内容和要求：运行维护人员负责查看系统信息，发现在系统上出现非法信息时，应立即向采购人报告；情况紧急的，在保留原始信息后，应先采取删除等处理措施，再按程序报告。</w:t>
            </w:r>
          </w:p>
          <w:p w14:paraId="3A595CE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1.运行维护人员应在接到报告后首先做好必要记录，清理非法信息，妥善保存有关记录及日志，强化安全防范措施，并将系统重新投入使用。</w:t>
            </w:r>
          </w:p>
          <w:p w14:paraId="1FAFAEF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2.追查非法信息来源，并将有关情况向采购人方汇报。</w:t>
            </w:r>
          </w:p>
          <w:p w14:paraId="5F22C93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3.运维人员按照事态严重程度，决定是否并向政府信息化主管部门报告和公安部门报警。</w:t>
            </w:r>
          </w:p>
          <w:p w14:paraId="4CC939E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75EE76A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黑客攻击事件紧急处置措施</w:t>
            </w:r>
          </w:p>
          <w:p w14:paraId="082A253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7EBA74C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6BC7868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1.恢复还没有得到或破坏机密数据的被入侵系统，先对系统当前状态做备份，用来做事后分析和证据，然后使用IP追捕软件来反向追踪攻击者，再断开与他的网络连接，通过添加防火墙规则来阻止。</w:t>
            </w:r>
          </w:p>
          <w:p w14:paraId="1C06D4D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2.修改数据库管理员账号名称和登录密码，重新为操作数据的相关用户建立新的账户和密码，并且修改数据库的访问规则。</w:t>
            </w:r>
          </w:p>
          <w:p w14:paraId="6A385DB4">
            <w:pPr>
              <w:pStyle w:val="21"/>
              <w:keepLines/>
              <w:tabs>
                <w:tab w:val="right" w:leader="dot" w:pos="9628"/>
              </w:tabs>
              <w:wordWrap w:val="0"/>
              <w:topLinePunct/>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3.恢复已经得到或删除了机密数据的被入侵系统，发现系统已经被入侵时，攻击者已经得到或删除了系统中全部或部分的机密数据，应尽快断开与攻击源的网络连接。断开与攻击源的连接后，应当立即分析数据损失的范围和严重程度，了解哪些数据还没有被影响到，并立即将这些没有影响到的数据进行备份或隔离保护。</w:t>
            </w:r>
          </w:p>
          <w:p w14:paraId="7FAC162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4.运维人员按照事态严重程度，决定是否并向政府信息化主管部门报告和公安部门报警。</w:t>
            </w:r>
          </w:p>
          <w:p w14:paraId="0148209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7D7B7DD7">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病毒事件紧急处置措施</w:t>
            </w:r>
          </w:p>
          <w:p w14:paraId="43C4292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6E380DC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47239BE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1.当运行维护人员发现有计算机被感染上病毒后，应立即将该机与网络隔离，并立即进行安全处理。</w:t>
            </w:r>
          </w:p>
          <w:p w14:paraId="479D27C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运行维护人员对系统进行数据备份。启用反病毒软件对该进行杀毒处理，同时通过病毒检测软件对其他该网络中的计算机进行病毒扫描和清除工作。如果现行反病毒软件无法清除该病毒，应立即向采购人和运维人员上级主管报告，并迅速联系有解决能力的软件厂商研究解决。病毒清除，通过专业检测后，隔离的设备可重新投入使用。</w:t>
            </w:r>
          </w:p>
          <w:p w14:paraId="5274D05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3367B98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软件系统遭破坏性攻击的紧急处置措施</w:t>
            </w:r>
          </w:p>
          <w:p w14:paraId="3DA9998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4C78E80C">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0CF9409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1.重要的软件系统日常维护时必须指定专人负责，将相关软件和数据进行备份并保存于安全处。一旦软件遭到破坏性攻击，运行维护人员应立即向采购人方报告，并将该系统停止运行。</w:t>
            </w:r>
          </w:p>
          <w:p w14:paraId="01DEA47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2.运行维护人员检查信息系统的日志等资料，确定攻击来源，并将有关情况向采购人方汇报，再恢复软件系统和数据。</w:t>
            </w:r>
          </w:p>
          <w:p w14:paraId="66923FB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4E80EDC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数据库安全紧急处置措施</w:t>
            </w:r>
          </w:p>
          <w:p w14:paraId="63A4769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70B7E38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141A021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1.主要数据库系统应按要求做好数据库备份。一旦数据库因故障导致不可用，运行维护人员应立即启动备用系统，并向采购人方报告。</w:t>
            </w:r>
          </w:p>
          <w:p w14:paraId="447487D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2.在备用系统运行期间，运行维护人员应对主机系统进行应急维护并作数据恢复。若系统由于故障而无法恢复，运行维护人员应立即向采购人方汇报，并联系有解决能力的厂商请求紧急支援。</w:t>
            </w:r>
          </w:p>
          <w:p w14:paraId="0E0F0B5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3E64C83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设备安全紧急处置措施</w:t>
            </w:r>
          </w:p>
          <w:p w14:paraId="586DD16A">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24741CE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服务器等关键设备损坏后，运行维护人员立即查明原因，并及时解决。如果短时间内无法解决，应该立即启用备用设备，保证业务连续性。如果能够自行修复，应立即用备件替换受损部件。如属不能自行修复的，立即与设备提供商联系提供支持。</w:t>
            </w:r>
          </w:p>
          <w:p w14:paraId="5109278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服务成果：《安全事件应急响应处置报告》</w:t>
            </w:r>
          </w:p>
          <w:p w14:paraId="0D48F4E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（八）重要时期安全保障服务</w:t>
            </w:r>
          </w:p>
          <w:p w14:paraId="1EB57A7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00670AB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在国家、自治区、南宁市等各种重大政治活动以及重点节假日期间为强首府作战云可视化系统及智能展示调度系统提供网络安全监测、分析保障服务，并提供非驻场安全保障服务快速应对可能出现的安全事件，协助做好网络安全保障工作。</w:t>
            </w:r>
          </w:p>
          <w:p w14:paraId="79F8188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服务成果：《重要时期安全保障工作日报》《重要时期安全保障工作总结报告》</w:t>
            </w:r>
          </w:p>
          <w:p w14:paraId="15CA40F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三、</w:t>
            </w:r>
            <w:bookmarkStart w:id="26" w:name="_Toc25067"/>
            <w:bookmarkStart w:id="27" w:name="_Toc7598"/>
            <w:bookmarkStart w:id="28" w:name="_Toc12066"/>
            <w:bookmarkStart w:id="29" w:name="_Toc26894"/>
            <w:r>
              <w:rPr>
                <w:rFonts w:hint="eastAsia" w:ascii="宋体" w:hAnsi="宋体" w:cs="宋体"/>
                <w:b w:val="0"/>
                <w:color w:val="auto"/>
                <w:sz w:val="24"/>
                <w:szCs w:val="24"/>
                <w:highlight w:val="none"/>
              </w:rPr>
              <w:t>功能维护服务</w:t>
            </w:r>
            <w:bookmarkEnd w:id="26"/>
            <w:bookmarkEnd w:id="27"/>
            <w:bookmarkEnd w:id="28"/>
            <w:bookmarkEnd w:id="29"/>
          </w:p>
          <w:p w14:paraId="2EC5966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（一）</w:t>
            </w:r>
            <w:bookmarkStart w:id="30" w:name="_Toc27522"/>
            <w:bookmarkStart w:id="31" w:name="_Toc21458"/>
            <w:bookmarkStart w:id="32" w:name="_Toc24283"/>
            <w:bookmarkStart w:id="33" w:name="_Toc11894"/>
            <w:r>
              <w:rPr>
                <w:rFonts w:hint="eastAsia" w:ascii="宋体" w:hAnsi="宋体" w:cs="宋体"/>
                <w:b w:val="0"/>
                <w:color w:val="auto"/>
                <w:sz w:val="24"/>
                <w:szCs w:val="24"/>
                <w:highlight w:val="none"/>
              </w:rPr>
              <w:t>基础功能维护</w:t>
            </w:r>
            <w:bookmarkEnd w:id="30"/>
            <w:bookmarkEnd w:id="31"/>
            <w:bookmarkEnd w:id="32"/>
            <w:bookmarkEnd w:id="33"/>
            <w:r>
              <w:rPr>
                <w:rFonts w:hint="eastAsia" w:ascii="宋体" w:hAnsi="宋体" w:cs="宋体"/>
                <w:b w:val="0"/>
                <w:color w:val="auto"/>
                <w:sz w:val="24"/>
                <w:szCs w:val="24"/>
                <w:highlight w:val="none"/>
              </w:rPr>
              <w:t>服务</w:t>
            </w:r>
          </w:p>
          <w:p w14:paraId="58E1337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3272E98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4F760EE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对强首府战略全景图、强首府专项调度可视化、项目监管调度可视化、问题调度和督导可视化4个应用分析系统，以及系统集成服务完成的显示系统、音频系统、中央控制系统的模块进行日常维护，对系统内管理的各类项目的基础信息、形象进度、相关文件等数据进行收集、整理、维护管理等，包括重点任务、重点目标、重点方向、重点项目、专项工作衍生指标情况和项目“全生命周期”等功能模块应用的日常使用维护，保障数据互联互通，对系统数据共享进行维护，满足对强首府项目监管调度、问题调度和督导的工作要求。</w:t>
            </w:r>
          </w:p>
          <w:p w14:paraId="1E3FA7E4">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w:t>
            </w:r>
          </w:p>
          <w:p w14:paraId="00E778B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（二）</w:t>
            </w:r>
            <w:bookmarkStart w:id="34" w:name="_Toc4270"/>
            <w:bookmarkStart w:id="35" w:name="_Toc743"/>
            <w:bookmarkStart w:id="36" w:name="_Toc24177"/>
            <w:bookmarkStart w:id="37" w:name="_Toc22418"/>
            <w:r>
              <w:rPr>
                <w:rFonts w:hint="eastAsia" w:ascii="宋体" w:hAnsi="宋体" w:cs="宋体"/>
                <w:b w:val="0"/>
                <w:color w:val="auto"/>
                <w:sz w:val="24"/>
                <w:szCs w:val="24"/>
                <w:highlight w:val="none"/>
              </w:rPr>
              <w:t>定期运维汇报</w:t>
            </w:r>
            <w:bookmarkEnd w:id="34"/>
            <w:bookmarkEnd w:id="35"/>
            <w:bookmarkEnd w:id="36"/>
            <w:bookmarkEnd w:id="37"/>
          </w:p>
          <w:p w14:paraId="7F2E03B1">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5BA644A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w:t>
            </w:r>
          </w:p>
          <w:p w14:paraId="7F8ABD46">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1.每月提供运维总结报告，报告内容包括：系统问题汇总分析、常见故障处理、使用经验、设备维护内容等。</w:t>
            </w:r>
          </w:p>
          <w:p w14:paraId="4D07FD2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2.运维服务人员将系统运维情况记录到文档中。发生重大信息安全事件的应当在事件处理完毕后5个工作日内将处理结果整理进行备案。</w:t>
            </w:r>
          </w:p>
          <w:p w14:paraId="628CFF3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服务成果：《系统日常维护记录》《系统更新维护记录》《安全事件应急响应处置报告》《巡检工作周报》《巡检工作总结报告》</w:t>
            </w:r>
          </w:p>
          <w:p w14:paraId="3D0B496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 xml:space="preserve">（三）系统整合及改版 </w:t>
            </w:r>
          </w:p>
          <w:p w14:paraId="1D86A8F8">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服务对象：强首府作战云可视化系统及智能展示调度系统</w:t>
            </w:r>
          </w:p>
          <w:p w14:paraId="043FDDE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服务内容和要求：将系统的展示功能升级为覆盖全市投资项目数据的可视化平台。</w:t>
            </w:r>
          </w:p>
          <w:p w14:paraId="5803382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服务成果：《系统更新维护记录》《新功能上线安全评估报告》</w:t>
            </w:r>
          </w:p>
          <w:p w14:paraId="3E3A08F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四、服务成果汇总</w:t>
            </w:r>
          </w:p>
          <w:p w14:paraId="5AB0118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根据以上项目服务需求，按照类别提交如下服务成果：</w:t>
            </w:r>
          </w:p>
          <w:p w14:paraId="06011392">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日常保障服务主要成果</w:t>
            </w:r>
          </w:p>
          <w:p w14:paraId="497494D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《巡检工作周报》</w:t>
            </w:r>
          </w:p>
          <w:p w14:paraId="6C6BAEA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《巡检工作总结报告》</w:t>
            </w:r>
          </w:p>
          <w:p w14:paraId="6AFA22C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《系统日常维护记录》</w:t>
            </w:r>
          </w:p>
          <w:p w14:paraId="2D53071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《工作记录》</w:t>
            </w:r>
          </w:p>
          <w:p w14:paraId="5E2C16F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《任务单》</w:t>
            </w:r>
          </w:p>
          <w:p w14:paraId="60025EF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《系统故障应急响应处置报告》</w:t>
            </w:r>
          </w:p>
          <w:p w14:paraId="29413A59">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应急响应服务主要成果</w:t>
            </w:r>
          </w:p>
          <w:p w14:paraId="512A3665">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《安全事件应急响应处置报告》</w:t>
            </w:r>
          </w:p>
          <w:p w14:paraId="3E1EC76B">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《重要时期安全保障工作日报》</w:t>
            </w:r>
          </w:p>
          <w:p w14:paraId="3E9C347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《重要时期安全保障工作总结报告》</w:t>
            </w:r>
          </w:p>
          <w:p w14:paraId="38A4750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功能维护服务主要成果</w:t>
            </w:r>
          </w:p>
          <w:p w14:paraId="77852333">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《系统日常维护记录》</w:t>
            </w:r>
          </w:p>
          <w:p w14:paraId="46CE9B0E">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《系统更新维护记录》</w:t>
            </w:r>
          </w:p>
          <w:p w14:paraId="43514ED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《新功能上线安全评估报告》</w:t>
            </w:r>
          </w:p>
          <w:p w14:paraId="52D32B20">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《巡检工作周报》</w:t>
            </w:r>
          </w:p>
          <w:p w14:paraId="768A01CF">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《巡检工作总结报告》</w:t>
            </w:r>
          </w:p>
          <w:p w14:paraId="76B5C68D">
            <w:pPr>
              <w:pStyle w:val="21"/>
              <w:keepLines/>
              <w:tabs>
                <w:tab w:val="right" w:leader="dot" w:pos="9628"/>
              </w:tabs>
              <w:wordWrap w:val="0"/>
              <w:spacing w:line="360" w:lineRule="auto"/>
              <w:ind w:firstLine="480" w:firstLineChars="200"/>
              <w:rPr>
                <w:rFonts w:hint="eastAsia" w:ascii="宋体" w:hAnsi="宋体" w:cs="宋体"/>
                <w:b w:val="0"/>
                <w:color w:val="auto"/>
                <w:sz w:val="24"/>
                <w:szCs w:val="24"/>
                <w:highlight w:val="none"/>
              </w:rPr>
            </w:pPr>
            <w:r>
              <w:rPr>
                <w:rFonts w:hint="eastAsia" w:ascii="宋体" w:hAnsi="宋体" w:cs="宋体"/>
                <w:b w:val="0"/>
                <w:color w:val="auto"/>
                <w:sz w:val="24"/>
                <w:szCs w:val="24"/>
                <w:highlight w:val="none"/>
              </w:rPr>
              <w:t>《安全事件应急响应处置报告》</w:t>
            </w:r>
          </w:p>
          <w:p w14:paraId="003B17AB">
            <w:pPr>
              <w:keepLines/>
              <w:wordWrap w:val="0"/>
              <w:spacing w:line="360" w:lineRule="auto"/>
              <w:ind w:firstLine="480" w:firstLineChars="200"/>
              <w:jc w:val="left"/>
              <w:rPr>
                <w:rFonts w:hint="eastAsia" w:ascii="宋体" w:hAnsi="宋体" w:cs="宋体"/>
                <w:bCs/>
                <w:color w:val="auto"/>
                <w:sz w:val="24"/>
                <w:highlight w:val="none"/>
              </w:rPr>
            </w:pPr>
            <w:r>
              <w:rPr>
                <w:rFonts w:hint="eastAsia" w:ascii="宋体" w:hAnsi="宋体" w:cs="宋体"/>
                <w:bCs/>
                <w:color w:val="auto"/>
                <w:sz w:val="24"/>
                <w:highlight w:val="none"/>
              </w:rPr>
              <w:t>《定期回访服务响应表》</w:t>
            </w:r>
          </w:p>
        </w:tc>
        <w:tc>
          <w:tcPr>
            <w:tcW w:w="1164" w:type="dxa"/>
            <w:vAlign w:val="center"/>
          </w:tcPr>
          <w:p w14:paraId="51E5CDD8">
            <w:pPr>
              <w:keepLines/>
              <w:wordWrap w:val="0"/>
              <w:spacing w:line="360" w:lineRule="auto"/>
              <w:jc w:val="center"/>
              <w:textAlignment w:val="center"/>
              <w:rPr>
                <w:rFonts w:hint="eastAsia" w:ascii="宋体" w:hAnsi="宋体" w:cs="宋体"/>
                <w:bCs/>
                <w:color w:val="auto"/>
                <w:sz w:val="24"/>
                <w:highlight w:val="none"/>
              </w:rPr>
            </w:pPr>
            <w:r>
              <w:rPr>
                <w:rFonts w:hint="eastAsia" w:ascii="宋体" w:hAnsi="宋体" w:cs="宋体"/>
                <w:bCs/>
                <w:color w:val="auto"/>
                <w:sz w:val="24"/>
                <w:highlight w:val="none"/>
              </w:rPr>
              <w:t>104500.00</w:t>
            </w:r>
          </w:p>
        </w:tc>
        <w:tc>
          <w:tcPr>
            <w:tcW w:w="1371" w:type="dxa"/>
            <w:vAlign w:val="center"/>
          </w:tcPr>
          <w:p w14:paraId="59B5386A">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软件和信息技术服务业</w:t>
            </w:r>
          </w:p>
        </w:tc>
      </w:tr>
      <w:tr w14:paraId="06680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67742A9">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商务条款</w:t>
            </w:r>
          </w:p>
        </w:tc>
        <w:tc>
          <w:tcPr>
            <w:tcW w:w="9489" w:type="dxa"/>
            <w:gridSpan w:val="7"/>
            <w:vAlign w:val="center"/>
          </w:tcPr>
          <w:p w14:paraId="41D7C96D">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▲一、合同签订期：自成交通知书发出之日起25日内。</w:t>
            </w:r>
          </w:p>
          <w:p w14:paraId="4E2F07F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▲二、服务运维期：</w:t>
            </w:r>
            <w:r>
              <w:rPr>
                <w:rFonts w:hint="eastAsia" w:ascii="宋体" w:hAnsi="宋体" w:cs="宋体"/>
                <w:color w:val="auto"/>
                <w:sz w:val="24"/>
                <w:highlight w:val="none"/>
              </w:rPr>
              <w:t>自合同签订之日起一年（其中2025年强首府战略作战云运维服务服务期限为：自合同签订之日起6个月）</w:t>
            </w:r>
            <w:r>
              <w:rPr>
                <w:rFonts w:hint="eastAsia" w:ascii="宋体" w:hAnsi="宋体" w:cs="宋体"/>
                <w:bCs/>
                <w:color w:val="auto"/>
                <w:sz w:val="24"/>
                <w:highlight w:val="none"/>
              </w:rPr>
              <w:t>。</w:t>
            </w:r>
          </w:p>
          <w:p w14:paraId="26A306AC">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三、提交服务成果地点：采购人指定地点。</w:t>
            </w:r>
          </w:p>
          <w:p w14:paraId="7159CF7F">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▲四、售后服务要求：</w:t>
            </w:r>
          </w:p>
          <w:p w14:paraId="3B41A13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1、质量保证期：自提供服务之日起至服务完成之日后30天。</w:t>
            </w:r>
          </w:p>
          <w:p w14:paraId="42A837AC">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2</w:t>
            </w:r>
            <w:r>
              <w:rPr>
                <w:rFonts w:hint="eastAsia" w:ascii="宋体" w:hAnsi="宋体" w:cs="宋体"/>
                <w:bCs/>
                <w:color w:val="auto"/>
                <w:sz w:val="24"/>
                <w:highlight w:val="none"/>
              </w:rPr>
              <w:t>、质保期后，承诺继续优惠提供以下维护服务：</w:t>
            </w:r>
          </w:p>
          <w:p w14:paraId="22A75641">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（1）对于产品安全问题应及时提供补丁；</w:t>
            </w:r>
          </w:p>
          <w:p w14:paraId="77057774">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（2）对于因升级开发时软件设计等技术原因而引起的故障，供应商应提供解决方案；</w:t>
            </w:r>
          </w:p>
          <w:p w14:paraId="7B128B5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▲五、其他要求：</w:t>
            </w:r>
          </w:p>
          <w:p w14:paraId="52E8140E">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1、报价必须含以下部分，包括：</w:t>
            </w:r>
          </w:p>
          <w:p w14:paraId="78ACFD07">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（1）服务的价格；</w:t>
            </w:r>
          </w:p>
          <w:p w14:paraId="2F98A531">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（2）必要的保险费用和各项税金；</w:t>
            </w:r>
          </w:p>
          <w:p w14:paraId="2CA22D88">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（3）验收费；</w:t>
            </w:r>
          </w:p>
          <w:p w14:paraId="6B2AFD6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（4）安装、调试、培训、技术支持、售后服务、更新升级等费用。</w:t>
            </w:r>
          </w:p>
          <w:p w14:paraId="636B20D2">
            <w:pPr>
              <w:keepLines/>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2、付款方式：</w:t>
            </w:r>
          </w:p>
          <w:p w14:paraId="30136203">
            <w:pPr>
              <w:keepLines/>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（1）2025年南宁市发展改革委重要工作精细化管理系统及南宁市发改委内控一体化系统技术运维服务：分两次付款，</w:t>
            </w:r>
            <w:r>
              <w:rPr>
                <w:rFonts w:hint="eastAsia" w:ascii="宋体" w:hAnsi="宋体" w:cs="宋体"/>
                <w:bCs/>
                <w:color w:val="auto"/>
                <w:sz w:val="24"/>
                <w:highlight w:val="none"/>
              </w:rPr>
              <w:t>合同签订且财政资金拨款到位后</w:t>
            </w:r>
            <w:r>
              <w:rPr>
                <w:rFonts w:hint="eastAsia" w:ascii="宋体" w:hAnsi="宋体" w:cs="宋体"/>
                <w:color w:val="auto"/>
                <w:sz w:val="24"/>
                <w:highlight w:val="none"/>
              </w:rPr>
              <w:t>10个工作日内付50%合同款，运维服务验收通过后10个工作日内付50%合同款。</w:t>
            </w:r>
          </w:p>
          <w:p w14:paraId="3A7C97A2">
            <w:pPr>
              <w:pStyle w:val="16"/>
              <w:keepLines/>
              <w:wordWrap w:val="0"/>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（2）2025年“发改书吧”信息共享系统运维服务、2025年城建计划管理分析支持系统运维服务、2025年强首府战略作战云运维服务、2025年强首府作战云可视化系统及智能展示调度系统运维服务：</w:t>
            </w:r>
            <w:r>
              <w:rPr>
                <w:rFonts w:hint="eastAsia" w:ascii="宋体" w:hAnsi="宋体" w:cs="宋体"/>
                <w:bCs/>
                <w:color w:val="auto"/>
                <w:sz w:val="24"/>
                <w:szCs w:val="24"/>
                <w:highlight w:val="none"/>
              </w:rPr>
              <w:t>合同签订且财政资金拨款到位后10个工作日内一次性支付合同款。</w:t>
            </w:r>
          </w:p>
          <w:p w14:paraId="2C37CCE0">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、供应商须保证系统稳定运行。如在合同期内，由于软件问题导致平台出现运行异常、系统漏洞、服务停止等故障，一切后果由供应商承担。</w:t>
            </w:r>
          </w:p>
          <w:p w14:paraId="3E2DEF94">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、供应商须保证系统数据完整。未经有关单位许可，供应商不能擅自修改、删除系统有关数据，由此造成系统数据丢失、数据错误的，一切后果由供应商承担。</w:t>
            </w:r>
          </w:p>
          <w:p w14:paraId="15AA6282">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5</w:t>
            </w:r>
            <w:r>
              <w:rPr>
                <w:rFonts w:hint="eastAsia" w:ascii="宋体" w:hAnsi="宋体" w:cs="宋体"/>
                <w:bCs/>
                <w:color w:val="auto"/>
                <w:sz w:val="24"/>
                <w:highlight w:val="none"/>
              </w:rPr>
              <w:t>、供应商须严格遵守有关系统保密规定，相关人员必须签订保密协议和安全责任书后才能上岗，未经采购人同意，不得将系统资料、文档、数据等向外泄露，因信息泄露造成影响的由供应商承担全部责任。</w:t>
            </w:r>
          </w:p>
          <w:p w14:paraId="22315B10">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6</w:t>
            </w:r>
            <w:r>
              <w:rPr>
                <w:rFonts w:hint="eastAsia" w:ascii="宋体" w:hAnsi="宋体" w:cs="宋体"/>
                <w:bCs/>
                <w:color w:val="auto"/>
                <w:sz w:val="24"/>
                <w:highlight w:val="none"/>
              </w:rPr>
              <w:t>、供应商须严格遵守系统运维管理规范、安全规范，以及其他相关管理规定，确保相关人员按要求开展系统运维服务，保障系统规范管理。</w:t>
            </w:r>
          </w:p>
          <w:p w14:paraId="4FDFF4AD">
            <w:pPr>
              <w:keepLines/>
              <w:wordWrap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lang w:val="en-US" w:eastAsia="zh-CN"/>
              </w:rPr>
              <w:t>7</w:t>
            </w:r>
            <w:r>
              <w:rPr>
                <w:rFonts w:hint="eastAsia" w:ascii="宋体" w:hAnsi="宋体" w:cs="宋体"/>
                <w:bCs/>
                <w:color w:val="auto"/>
                <w:sz w:val="24"/>
                <w:highlight w:val="none"/>
              </w:rPr>
              <w:t>、合同维护期到期两周内提交整个年度的维护工作总结，全面总结维护期间的各项工作情况；将整个年度维护等各种资料按要求规范装订整理成册；以上作为服务合同验收的重要依据；提交验收申请报告及有关资料。</w:t>
            </w:r>
          </w:p>
        </w:tc>
      </w:tr>
      <w:tr w14:paraId="4AC8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1ACD4EE0">
            <w:pPr>
              <w:keepLines/>
              <w:wordWrap w:val="0"/>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其他说明</w:t>
            </w:r>
          </w:p>
        </w:tc>
        <w:tc>
          <w:tcPr>
            <w:tcW w:w="9489" w:type="dxa"/>
            <w:gridSpan w:val="7"/>
          </w:tcPr>
          <w:p w14:paraId="18FB422A">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1、本项目采购标的的需执行的国家相关标准、行业标准、地方标准或其他强制性标准、规范等要求：按国家相关标准、中标供应商承诺进行验收。</w:t>
            </w:r>
          </w:p>
          <w:p w14:paraId="2A4AFF76">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2、本项目合同文本中的条款如与项目需求不一致的，以招标文件项目需求表、中标供应商响应条款为准。</w:t>
            </w:r>
          </w:p>
          <w:p w14:paraId="1A535574">
            <w:pPr>
              <w:keepLines/>
              <w:wordWrap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3、合同延续年限、条件和方式：本项目合同到期后不续签。</w:t>
            </w:r>
          </w:p>
        </w:tc>
      </w:tr>
    </w:tbl>
    <w:p w14:paraId="619D4CDB">
      <w:pPr>
        <w:pStyle w:val="12"/>
        <w:spacing w:after="0" w:line="360" w:lineRule="auto"/>
        <w:rPr>
          <w:color w:val="auto"/>
          <w:highlight w:val="none"/>
        </w:rPr>
        <w:sectPr>
          <w:pgSz w:w="12240" w:h="15840"/>
          <w:pgMar w:top="1440" w:right="1080" w:bottom="1440" w:left="1080" w:header="720" w:footer="720" w:gutter="0"/>
          <w:cols w:space="720" w:num="1"/>
        </w:sectPr>
      </w:pPr>
    </w:p>
    <w:p w14:paraId="5032215C">
      <w:pPr>
        <w:rPr>
          <w:rFonts w:hint="eastAsia" w:ascii="宋体" w:hAnsi="宋体" w:cs="宋体"/>
          <w:color w:val="auto"/>
          <w:sz w:val="32"/>
          <w:szCs w:val="32"/>
          <w:highlight w:val="none"/>
        </w:rPr>
      </w:pPr>
      <w:r>
        <w:rPr>
          <w:rFonts w:hint="eastAsia" w:ascii="宋体" w:hAnsi="宋体" w:cs="宋体"/>
          <w:color w:val="auto"/>
          <w:sz w:val="32"/>
          <w:szCs w:val="32"/>
          <w:highlight w:val="none"/>
        </w:rPr>
        <w:t>附件一：</w:t>
      </w:r>
    </w:p>
    <w:p w14:paraId="6C9DD3F4">
      <w:pPr>
        <w:jc w:val="center"/>
        <w:rPr>
          <w:rFonts w:hint="eastAsia" w:ascii="仿宋_GB2312" w:hAnsi="仿宋_GB2312" w:eastAsia="仿宋_GB2312" w:cs="仿宋_GB2312"/>
          <w:color w:val="auto"/>
          <w:sz w:val="32"/>
          <w:szCs w:val="32"/>
          <w:highlight w:val="none"/>
        </w:rPr>
        <w:sectPr>
          <w:pgSz w:w="11906" w:h="16838"/>
          <w:pgMar w:top="1440" w:right="1080" w:bottom="1440" w:left="1080" w:header="720" w:footer="720" w:gutter="0"/>
          <w:cols w:space="720" w:num="1"/>
          <w:docGrid w:type="lines" w:linePitch="331" w:charSpace="0"/>
        </w:sectPr>
      </w:pPr>
      <w:r>
        <w:rPr>
          <w:rFonts w:ascii="仿宋_GB2312" w:hAnsi="仿宋_GB2312" w:eastAsia="仿宋_GB2312" w:cs="仿宋_GB2312"/>
          <w:color w:val="auto"/>
          <w:sz w:val="32"/>
          <w:szCs w:val="32"/>
          <w:highlight w:val="none"/>
        </w:rPr>
        <w:drawing>
          <wp:inline distT="0" distB="0" distL="114300" distR="114300">
            <wp:extent cx="5520690" cy="7682230"/>
            <wp:effectExtent l="0" t="0" r="3810" b="13970"/>
            <wp:docPr id="1" name="图片 1" descr="Draw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rawing1"/>
                    <pic:cNvPicPr>
                      <a:picLocks noChangeAspect="1"/>
                    </pic:cNvPicPr>
                  </pic:nvPicPr>
                  <pic:blipFill>
                    <a:blip r:embed="rId12"/>
                    <a:stretch>
                      <a:fillRect/>
                    </a:stretch>
                  </pic:blipFill>
                  <pic:spPr>
                    <a:xfrm>
                      <a:off x="0" y="0"/>
                      <a:ext cx="5520690" cy="7682230"/>
                    </a:xfrm>
                    <a:prstGeom prst="rect">
                      <a:avLst/>
                    </a:prstGeom>
                    <a:noFill/>
                    <a:ln>
                      <a:noFill/>
                    </a:ln>
                  </pic:spPr>
                </pic:pic>
              </a:graphicData>
            </a:graphic>
          </wp:inline>
        </w:drawing>
      </w:r>
    </w:p>
    <w:p w14:paraId="244408DE">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附件：1</w:t>
      </w:r>
    </w:p>
    <w:p w14:paraId="276454D6">
      <w:pPr>
        <w:wordWrap w:val="0"/>
        <w:spacing w:line="360" w:lineRule="auto"/>
        <w:ind w:firstLine="340"/>
        <w:rPr>
          <w:rFonts w:hint="eastAsia" w:ascii="宋体" w:hAnsi="宋体" w:cs="宋体"/>
          <w:color w:val="auto"/>
          <w:sz w:val="17"/>
          <w:szCs w:val="17"/>
          <w:highlight w:val="none"/>
        </w:rPr>
      </w:pPr>
    </w:p>
    <w:p w14:paraId="44B47037">
      <w:pPr>
        <w:wordWrap w:val="0"/>
        <w:spacing w:line="360" w:lineRule="auto"/>
        <w:ind w:left="1871" w:firstLine="800"/>
        <w:rPr>
          <w:rFonts w:hint="eastAsia" w:ascii="宋体" w:hAnsi="宋体" w:cs="宋体"/>
          <w:color w:val="auto"/>
          <w:sz w:val="40"/>
          <w:szCs w:val="40"/>
          <w:highlight w:val="none"/>
        </w:rPr>
      </w:pPr>
      <w:r>
        <w:rPr>
          <w:rFonts w:hint="eastAsia" w:ascii="宋体" w:hAnsi="宋体" w:cs="宋体"/>
          <w:color w:val="auto"/>
          <w:sz w:val="40"/>
          <w:szCs w:val="40"/>
          <w:highlight w:val="none"/>
        </w:rPr>
        <w:t>节能产品政府采购品目清单</w:t>
      </w:r>
    </w:p>
    <w:tbl>
      <w:tblPr>
        <w:tblStyle w:val="26"/>
        <w:tblW w:w="9220" w:type="dxa"/>
        <w:tblInd w:w="93" w:type="dxa"/>
        <w:tblLayout w:type="fixed"/>
        <w:tblCellMar>
          <w:top w:w="0" w:type="dxa"/>
          <w:left w:w="108" w:type="dxa"/>
          <w:bottom w:w="0" w:type="dxa"/>
          <w:right w:w="108" w:type="dxa"/>
        </w:tblCellMar>
      </w:tblPr>
      <w:tblGrid>
        <w:gridCol w:w="660"/>
        <w:gridCol w:w="1080"/>
        <w:gridCol w:w="1320"/>
        <w:gridCol w:w="1620"/>
        <w:gridCol w:w="4540"/>
      </w:tblGrid>
      <w:tr w14:paraId="361AB682">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tcPr>
          <w:p w14:paraId="37A33691">
            <w:pPr>
              <w:widowControl/>
              <w:wordWrap w:val="0"/>
              <w:spacing w:line="360" w:lineRule="auto"/>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vAlign w:val="center"/>
          </w:tcPr>
          <w:p w14:paraId="198B8582">
            <w:pPr>
              <w:widowControl/>
              <w:wordWrap w:val="0"/>
              <w:spacing w:line="360" w:lineRule="auto"/>
              <w:ind w:firstLine="442"/>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vAlign w:val="center"/>
          </w:tcPr>
          <w:p w14:paraId="594622A8">
            <w:pPr>
              <w:widowControl/>
              <w:wordWrap w:val="0"/>
              <w:spacing w:line="360" w:lineRule="auto"/>
              <w:ind w:firstLine="442"/>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7F3324CD">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DDA0D8E">
            <w:pPr>
              <w:widowControl/>
              <w:wordWrap w:val="0"/>
              <w:spacing w:line="360" w:lineRule="auto"/>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vAlign w:val="center"/>
          </w:tcPr>
          <w:p w14:paraId="25217FEC">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vAlign w:val="center"/>
          </w:tcPr>
          <w:p w14:paraId="05F6545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vAlign w:val="center"/>
          </w:tcPr>
          <w:p w14:paraId="5A1EE0A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CF51900">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2057D0E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34CD885">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8DD1E47">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C77108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vAlign w:val="center"/>
          </w:tcPr>
          <w:p w14:paraId="79D010F1">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1BEACA2">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684FC91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FD253D0">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0FAF87">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71B081B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vAlign w:val="center"/>
          </w:tcPr>
          <w:p w14:paraId="0FF3E64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1A9290E">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52CB01EC">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E8963EE">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vAlign w:val="center"/>
          </w:tcPr>
          <w:p w14:paraId="7B3772C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vAlign w:val="center"/>
          </w:tcPr>
          <w:p w14:paraId="5C3768D9">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vAlign w:val="center"/>
          </w:tcPr>
          <w:p w14:paraId="3020ED5B">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vAlign w:val="center"/>
          </w:tcPr>
          <w:p w14:paraId="19FFFBFD">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2A248D2">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94646C3">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7E204D3">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1B81B85">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7348A3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vAlign w:val="center"/>
          </w:tcPr>
          <w:p w14:paraId="48952253">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63EEB9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5FD1373">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91559EF">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3065CE75">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096BDA1">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vAlign w:val="center"/>
          </w:tcPr>
          <w:p w14:paraId="24931253">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3B559A21">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56A99A46">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B685B88">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0CE4B7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vAlign w:val="center"/>
          </w:tcPr>
          <w:p w14:paraId="2412855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vAlign w:val="center"/>
          </w:tcPr>
          <w:p w14:paraId="2416C5A6">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0D131A1C">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84F436D">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93228EA">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567D517">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vAlign w:val="center"/>
          </w:tcPr>
          <w:p w14:paraId="200FE4F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vAlign w:val="center"/>
          </w:tcPr>
          <w:p w14:paraId="1D3F9212">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6675E54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B146A6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vAlign w:val="center"/>
          </w:tcPr>
          <w:p w14:paraId="7AC6F86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vAlign w:val="center"/>
          </w:tcPr>
          <w:p w14:paraId="38145FE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6E6FB3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BA8CEF3">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0CE93873">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6C5B53B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vAlign w:val="center"/>
          </w:tcPr>
          <w:p w14:paraId="70ABA28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vAlign w:val="center"/>
          </w:tcPr>
          <w:p w14:paraId="5448EB6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150B2D50">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0D6BBA64">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6F7DF8D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C34113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vAlign w:val="center"/>
          </w:tcPr>
          <w:p w14:paraId="7A5F9FF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vAlign w:val="center"/>
          </w:tcPr>
          <w:p w14:paraId="0AD10C1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vAlign w:val="center"/>
          </w:tcPr>
          <w:p w14:paraId="49220D9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59D2801">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62538C13">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vAlign w:val="center"/>
          </w:tcPr>
          <w:p w14:paraId="2622A3E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vAlign w:val="center"/>
          </w:tcPr>
          <w:p w14:paraId="11A699B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vAlign w:val="center"/>
          </w:tcPr>
          <w:p w14:paraId="60349A9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vAlign w:val="center"/>
          </w:tcPr>
          <w:p w14:paraId="14E96C2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vAlign w:val="center"/>
          </w:tcPr>
          <w:p w14:paraId="6276AF0E">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05D7C8F3">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7D86A0DD">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EC7835">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B17AEF3">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03FAC26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vAlign w:val="center"/>
          </w:tcPr>
          <w:p w14:paraId="3516BEA8">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1C5FBBD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23958961">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22CF420">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712678CE">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3CA9651">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vAlign w:val="center"/>
          </w:tcPr>
          <w:p w14:paraId="7C3DB27F">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15AA074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29C05892">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0FEB0EE">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578E024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vAlign w:val="center"/>
          </w:tcPr>
          <w:p w14:paraId="1063FB4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vAlign w:val="center"/>
          </w:tcPr>
          <w:p w14:paraId="1192FC93">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1D4DE587">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6E1F2715">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4BDF12">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1F19E3A5">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6A20BA6F">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vAlign w:val="center"/>
          </w:tcPr>
          <w:p w14:paraId="24973531">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5936BF9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35042D48">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DA2FF49">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42555BD7">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vAlign w:val="center"/>
          </w:tcPr>
          <w:p w14:paraId="509AB76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vAlign w:val="center"/>
          </w:tcPr>
          <w:p w14:paraId="5F937330">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6996FA7C">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1FD34AC">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E2D4A80">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2B3379B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vAlign w:val="center"/>
          </w:tcPr>
          <w:p w14:paraId="73322C6E">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vAlign w:val="center"/>
          </w:tcPr>
          <w:p w14:paraId="0A269D4C">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1F01391E">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F9B8EA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vAlign w:val="center"/>
          </w:tcPr>
          <w:p w14:paraId="1384E52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vAlign w:val="center"/>
          </w:tcPr>
          <w:p w14:paraId="6B12E6EF">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78694E2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BC160AA">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15D30C96">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7E26482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vAlign w:val="center"/>
          </w:tcPr>
          <w:p w14:paraId="2B9AEFD7">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vAlign w:val="center"/>
          </w:tcPr>
          <w:p w14:paraId="2BD652EE">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vAlign w:val="center"/>
          </w:tcPr>
          <w:p w14:paraId="2745A8B9">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F85E895">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0818F77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0E5564D0">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vAlign w:val="center"/>
          </w:tcPr>
          <w:p w14:paraId="17B77F6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vAlign w:val="center"/>
          </w:tcPr>
          <w:p w14:paraId="7B6CF0C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vAlign w:val="center"/>
          </w:tcPr>
          <w:p w14:paraId="7FA5FC5B">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F418356">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737C4C03">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5DCED51C">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vAlign w:val="center"/>
          </w:tcPr>
          <w:p w14:paraId="2C39779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vAlign w:val="center"/>
          </w:tcPr>
          <w:p w14:paraId="09B93F6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vAlign w:val="center"/>
          </w:tcPr>
          <w:p w14:paraId="49EB1247">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8484107">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289B1142">
        <w:tblPrEx>
          <w:tblCellMar>
            <w:top w:w="0" w:type="dxa"/>
            <w:left w:w="108" w:type="dxa"/>
            <w:bottom w:w="0" w:type="dxa"/>
            <w:right w:w="108" w:type="dxa"/>
          </w:tblCellMar>
        </w:tblPrEx>
        <w:trPr>
          <w:trHeight w:val="975" w:hRule="atLeast"/>
        </w:trPr>
        <w:tc>
          <w:tcPr>
            <w:tcW w:w="660" w:type="dxa"/>
            <w:vMerge w:val="continue"/>
            <w:tcBorders>
              <w:top w:val="nil"/>
              <w:left w:val="single" w:color="000000" w:sz="8" w:space="0"/>
              <w:bottom w:val="single" w:color="000000" w:sz="8" w:space="0"/>
              <w:right w:val="single" w:color="000000" w:sz="8" w:space="0"/>
            </w:tcBorders>
            <w:vAlign w:val="center"/>
          </w:tcPr>
          <w:p w14:paraId="4D9E1128">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0C38C5EA">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340726C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vAlign w:val="center"/>
          </w:tcPr>
          <w:p w14:paraId="43C6392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vAlign w:val="center"/>
          </w:tcPr>
          <w:p w14:paraId="561CBDE8">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0E6D2C94">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1193F9E7">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E30788B">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385EE87">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5209A8EF">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vAlign w:val="center"/>
          </w:tcPr>
          <w:p w14:paraId="11E8A923">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577B5223">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4FDF392A">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221B81AD">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BB38334">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75195BF0">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vAlign w:val="center"/>
          </w:tcPr>
          <w:p w14:paraId="09384EF6">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2D4ECBB9">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156C18B">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650447D">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02F43A1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vAlign w:val="center"/>
          </w:tcPr>
          <w:p w14:paraId="30C2458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036011E">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20232DBB">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1C93AE54">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F3614B6">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vAlign w:val="center"/>
          </w:tcPr>
          <w:p w14:paraId="6C31DD0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vAlign w:val="center"/>
          </w:tcPr>
          <w:p w14:paraId="11060509">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vAlign w:val="center"/>
          </w:tcPr>
          <w:p w14:paraId="0EC27CC2">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12BC175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54B5E89">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BA89756">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3469C87">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4E837010">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vAlign w:val="center"/>
          </w:tcPr>
          <w:p w14:paraId="2AA52A01">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798F28EA">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4AF9F56">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1AAA5C44">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6A5AC683">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28E6672E">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vAlign w:val="center"/>
          </w:tcPr>
          <w:p w14:paraId="6682991A">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1D9F29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47F45CC9">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E761BB8">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vMerge w:val="continue"/>
            <w:tcBorders>
              <w:top w:val="nil"/>
              <w:left w:val="single" w:color="000000" w:sz="8" w:space="0"/>
              <w:bottom w:val="single" w:color="000000" w:sz="8" w:space="0"/>
              <w:right w:val="single" w:color="000000" w:sz="8" w:space="0"/>
            </w:tcBorders>
            <w:vAlign w:val="center"/>
          </w:tcPr>
          <w:p w14:paraId="08F5FD34">
            <w:pPr>
              <w:widowControl/>
              <w:wordWrap w:val="0"/>
              <w:spacing w:line="360" w:lineRule="auto"/>
              <w:ind w:firstLine="400"/>
              <w:jc w:val="left"/>
              <w:rPr>
                <w:rFonts w:hint="eastAsia"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vAlign w:val="center"/>
          </w:tcPr>
          <w:p w14:paraId="19971D9D">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vAlign w:val="center"/>
          </w:tcPr>
          <w:p w14:paraId="5E1960E8">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74770B8B">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vAlign w:val="center"/>
          </w:tcPr>
          <w:p w14:paraId="7A82D6C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vAlign w:val="center"/>
          </w:tcPr>
          <w:p w14:paraId="6AF0514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vAlign w:val="center"/>
          </w:tcPr>
          <w:p w14:paraId="721457A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vAlign w:val="center"/>
          </w:tcPr>
          <w:p w14:paraId="588ED29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29F32D3E">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7F4FBA60">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B204ED7">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47048833">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E6D6DBF">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vAlign w:val="center"/>
          </w:tcPr>
          <w:p w14:paraId="397A8B7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48BC02F5">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448262B8">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63E02AF1">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6968A520">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DFDC0F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000000" w:sz="8" w:space="0"/>
              <w:right w:val="single" w:color="000000" w:sz="8" w:space="0"/>
            </w:tcBorders>
            <w:vAlign w:val="center"/>
          </w:tcPr>
          <w:p w14:paraId="4F5D05F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58D07E80">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0FBA3CDD">
        <w:tblPrEx>
          <w:tblCellMar>
            <w:top w:w="0" w:type="dxa"/>
            <w:left w:w="108" w:type="dxa"/>
            <w:bottom w:w="0" w:type="dxa"/>
            <w:right w:w="108" w:type="dxa"/>
          </w:tblCellMar>
        </w:tblPrEx>
        <w:trPr>
          <w:trHeight w:val="735" w:hRule="atLeast"/>
        </w:trPr>
        <w:tc>
          <w:tcPr>
            <w:tcW w:w="660" w:type="dxa"/>
            <w:vMerge w:val="continue"/>
            <w:tcBorders>
              <w:top w:val="nil"/>
              <w:left w:val="single" w:color="000000" w:sz="8" w:space="0"/>
              <w:bottom w:val="single" w:color="000000" w:sz="8" w:space="0"/>
              <w:right w:val="single" w:color="000000" w:sz="8" w:space="0"/>
            </w:tcBorders>
            <w:vAlign w:val="center"/>
          </w:tcPr>
          <w:p w14:paraId="7345E96B">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645AF4A">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361FAEAC">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vAlign w:val="center"/>
          </w:tcPr>
          <w:p w14:paraId="4F16706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D25EC4C">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768C036D">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vAlign w:val="center"/>
          </w:tcPr>
          <w:p w14:paraId="5257EA8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000000" w:sz="8" w:space="0"/>
              <w:right w:val="single" w:color="000000" w:sz="8" w:space="0"/>
            </w:tcBorders>
            <w:vAlign w:val="center"/>
          </w:tcPr>
          <w:p w14:paraId="4337A9E8">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vAlign w:val="center"/>
          </w:tcPr>
          <w:p w14:paraId="125364DF">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vAlign w:val="center"/>
          </w:tcPr>
          <w:p w14:paraId="6C2BF81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844A997">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513A18A9">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vAlign w:val="center"/>
          </w:tcPr>
          <w:p w14:paraId="216E5D7C">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000000" w:sz="8" w:space="0"/>
              <w:right w:val="single" w:color="000000" w:sz="8" w:space="0"/>
            </w:tcBorders>
            <w:vAlign w:val="center"/>
          </w:tcPr>
          <w:p w14:paraId="5924F8C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vAlign w:val="center"/>
          </w:tcPr>
          <w:p w14:paraId="510C5E7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vAlign w:val="center"/>
          </w:tcPr>
          <w:p w14:paraId="0700D37B">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000000" w:sz="8" w:space="0"/>
              <w:right w:val="single" w:color="000000" w:sz="8" w:space="0"/>
            </w:tcBorders>
            <w:vAlign w:val="center"/>
          </w:tcPr>
          <w:p w14:paraId="1C08D0B3">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72AB9FF9">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230EC17E">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000000" w:sz="8" w:space="0"/>
              <w:right w:val="single" w:color="000000" w:sz="8" w:space="0"/>
            </w:tcBorders>
            <w:vAlign w:val="center"/>
          </w:tcPr>
          <w:p w14:paraId="4DFB622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vAlign w:val="center"/>
          </w:tcPr>
          <w:p w14:paraId="78CF2B41">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vAlign w:val="center"/>
          </w:tcPr>
          <w:p w14:paraId="0CB3A14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201FA8C">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7C29DA20">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vAlign w:val="center"/>
          </w:tcPr>
          <w:p w14:paraId="3FB59C9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vAlign w:val="center"/>
          </w:tcPr>
          <w:p w14:paraId="1C905659">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000000" w:sz="8" w:space="0"/>
              <w:right w:val="single" w:color="000000" w:sz="8" w:space="0"/>
            </w:tcBorders>
            <w:vAlign w:val="center"/>
          </w:tcPr>
          <w:p w14:paraId="0C8B807F">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000000" w:sz="8" w:space="0"/>
              <w:right w:val="single" w:color="000000" w:sz="8" w:space="0"/>
            </w:tcBorders>
            <w:vAlign w:val="center"/>
          </w:tcPr>
          <w:p w14:paraId="1BFC3220">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64EED618">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606000E6">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2F8608F">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5C6D7685">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6D512DE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000000" w:sz="8" w:space="0"/>
              <w:right w:val="single" w:color="000000" w:sz="8" w:space="0"/>
            </w:tcBorders>
            <w:vAlign w:val="center"/>
          </w:tcPr>
          <w:p w14:paraId="11164115">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1C0A9FB5">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30A2B755">
        <w:tblPrEx>
          <w:tblCellMar>
            <w:top w:w="0" w:type="dxa"/>
            <w:left w:w="108" w:type="dxa"/>
            <w:bottom w:w="0" w:type="dxa"/>
            <w:right w:w="108" w:type="dxa"/>
          </w:tblCellMar>
        </w:tblPrEx>
        <w:trPr>
          <w:trHeight w:val="495" w:hRule="atLeast"/>
        </w:trPr>
        <w:tc>
          <w:tcPr>
            <w:tcW w:w="660" w:type="dxa"/>
            <w:vMerge w:val="continue"/>
            <w:tcBorders>
              <w:top w:val="nil"/>
              <w:left w:val="single" w:color="000000" w:sz="8" w:space="0"/>
              <w:bottom w:val="single" w:color="000000" w:sz="8" w:space="0"/>
              <w:right w:val="single" w:color="000000" w:sz="8" w:space="0"/>
            </w:tcBorders>
            <w:vAlign w:val="center"/>
          </w:tcPr>
          <w:p w14:paraId="09887F76">
            <w:pPr>
              <w:widowControl/>
              <w:wordWrap w:val="0"/>
              <w:spacing w:line="360" w:lineRule="auto"/>
              <w:ind w:firstLine="400"/>
              <w:jc w:val="left"/>
              <w:rPr>
                <w:rFonts w:hint="eastAsia" w:ascii="宋体" w:hAnsi="宋体" w:cs="宋体"/>
                <w:color w:val="auto"/>
                <w:kern w:val="0"/>
                <w:sz w:val="20"/>
                <w:szCs w:val="20"/>
                <w:highlight w:val="none"/>
              </w:rPr>
            </w:pPr>
          </w:p>
        </w:tc>
        <w:tc>
          <w:tcPr>
            <w:tcW w:w="1080" w:type="dxa"/>
            <w:vMerge w:val="continue"/>
            <w:tcBorders>
              <w:top w:val="nil"/>
              <w:left w:val="single" w:color="000000" w:sz="8" w:space="0"/>
              <w:bottom w:val="single" w:color="000000" w:sz="8" w:space="0"/>
              <w:right w:val="single" w:color="000000" w:sz="8" w:space="0"/>
            </w:tcBorders>
            <w:vAlign w:val="center"/>
          </w:tcPr>
          <w:p w14:paraId="33DABD56">
            <w:pPr>
              <w:widowControl/>
              <w:wordWrap w:val="0"/>
              <w:spacing w:line="360" w:lineRule="auto"/>
              <w:ind w:firstLine="400"/>
              <w:jc w:val="left"/>
              <w:rPr>
                <w:rFonts w:hint="eastAsia"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vAlign w:val="center"/>
          </w:tcPr>
          <w:p w14:paraId="1A76EA17">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000000" w:sz="8" w:space="0"/>
              <w:right w:val="single" w:color="000000" w:sz="8" w:space="0"/>
            </w:tcBorders>
            <w:vAlign w:val="center"/>
          </w:tcPr>
          <w:p w14:paraId="29E978D1">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785BC4FC">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B807BD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C82DAF0">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vAlign w:val="center"/>
          </w:tcPr>
          <w:p w14:paraId="32A3A25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vAlign w:val="center"/>
          </w:tcPr>
          <w:p w14:paraId="0188FE22">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43FA29B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A34666C">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2B998DB4">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5232AE4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vAlign w:val="center"/>
          </w:tcPr>
          <w:p w14:paraId="35A0F5A6">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vAlign w:val="center"/>
          </w:tcPr>
          <w:p w14:paraId="5AED5413">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6E694DC4">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63028D2">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2FB32FD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vAlign w:val="center"/>
          </w:tcPr>
          <w:p w14:paraId="3D0967E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vAlign w:val="center"/>
          </w:tcPr>
          <w:p w14:paraId="74063DBC">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vAlign w:val="center"/>
          </w:tcPr>
          <w:p w14:paraId="2DEABF77">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vAlign w:val="center"/>
          </w:tcPr>
          <w:p w14:paraId="0C27A5AA">
            <w:pPr>
              <w:widowControl/>
              <w:wordWrap w:val="0"/>
              <w:spacing w:line="360" w:lineRule="auto"/>
              <w:ind w:firstLine="400"/>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vAlign w:val="center"/>
          </w:tcPr>
          <w:p w14:paraId="3A3CFF0D">
            <w:pPr>
              <w:widowControl/>
              <w:wordWrap w:val="0"/>
              <w:spacing w:line="360" w:lineRule="auto"/>
              <w:ind w:firstLine="4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670A726C">
      <w:pPr>
        <w:pStyle w:val="12"/>
        <w:wordWrap w:val="0"/>
        <w:spacing w:after="0" w:line="360" w:lineRule="auto"/>
        <w:ind w:firstLine="468"/>
        <w:rPr>
          <w:rFonts w:hint="eastAsia" w:ascii="宋体" w:hAnsi="宋体" w:cs="宋体"/>
          <w:color w:val="auto"/>
          <w:spacing w:val="-3"/>
          <w:szCs w:val="21"/>
          <w:highlight w:val="none"/>
        </w:rPr>
      </w:pPr>
    </w:p>
    <w:p w14:paraId="0A2AF6DF">
      <w:pPr>
        <w:pStyle w:val="12"/>
        <w:wordWrap w:val="0"/>
        <w:spacing w:after="0" w:line="360" w:lineRule="auto"/>
        <w:ind w:firstLine="468"/>
        <w:rPr>
          <w:rFonts w:hint="eastAsia" w:ascii="宋体" w:hAnsi="宋体" w:cs="宋体"/>
          <w:color w:val="auto"/>
          <w:szCs w:val="21"/>
          <w:highlight w:val="none"/>
        </w:rPr>
      </w:pPr>
      <w:r>
        <w:rPr>
          <w:rFonts w:hint="eastAsia" w:ascii="宋体" w:hAnsi="宋体" w:cs="宋体"/>
          <w:color w:val="auto"/>
          <w:spacing w:val="-3"/>
          <w:szCs w:val="21"/>
          <w:highlight w:val="none"/>
        </w:rPr>
        <w:t>注：1.节能产品认证应依据相关国家标准的最新版本，依据国家标准中二级能效（水效）</w:t>
      </w:r>
      <w:r>
        <w:rPr>
          <w:rFonts w:hint="eastAsia" w:ascii="宋体" w:hAnsi="宋体" w:cs="宋体"/>
          <w:color w:val="auto"/>
          <w:szCs w:val="21"/>
          <w:highlight w:val="none"/>
        </w:rPr>
        <w:t>指标。</w:t>
      </w:r>
    </w:p>
    <w:p w14:paraId="29C4A0F3">
      <w:pPr>
        <w:pStyle w:val="12"/>
        <w:wordWrap w:val="0"/>
        <w:spacing w:after="0" w:line="360" w:lineRule="auto"/>
        <w:rPr>
          <w:rFonts w:hint="eastAsia" w:ascii="宋体" w:hAnsi="宋体" w:cs="宋体"/>
          <w:b/>
          <w:bCs/>
          <w:color w:val="auto"/>
          <w:szCs w:val="21"/>
          <w:highlight w:val="none"/>
        </w:rPr>
      </w:pPr>
      <w:r>
        <w:rPr>
          <w:rFonts w:hint="eastAsia" w:ascii="宋体" w:hAnsi="宋体" w:cs="宋体"/>
          <w:color w:val="auto"/>
          <w:szCs w:val="21"/>
          <w:highlight w:val="none"/>
        </w:rPr>
        <w:t xml:space="preserve">    2</w:t>
      </w:r>
      <w:r>
        <w:rPr>
          <w:rFonts w:hint="eastAsia" w:ascii="宋体" w:hAnsi="宋体" w:cs="宋体"/>
          <w:b/>
          <w:bCs/>
          <w:color w:val="auto"/>
          <w:szCs w:val="21"/>
          <w:highlight w:val="none"/>
        </w:rPr>
        <w:t>.以“★”标注的为政府强制采购产品。</w:t>
      </w:r>
    </w:p>
    <w:p w14:paraId="30D3EA71">
      <w:pPr>
        <w:pStyle w:val="14"/>
        <w:wordWrap w:val="0"/>
        <w:spacing w:line="360" w:lineRule="auto"/>
        <w:jc w:val="left"/>
        <w:rPr>
          <w:rFonts w:hint="eastAsia" w:hAnsi="宋体" w:cs="宋体"/>
          <w:color w:val="auto"/>
          <w:sz w:val="32"/>
          <w:szCs w:val="32"/>
          <w:highlight w:val="none"/>
        </w:rPr>
      </w:pPr>
      <w:r>
        <w:rPr>
          <w:rFonts w:hint="eastAsia" w:hAnsi="宋体" w:cs="宋体"/>
          <w:color w:val="auto"/>
          <w:highlight w:val="none"/>
        </w:rPr>
        <w:br w:type="page"/>
      </w:r>
      <w:r>
        <w:rPr>
          <w:rFonts w:hint="eastAsia" w:hAnsi="宋体" w:cs="宋体"/>
          <w:color w:val="auto"/>
          <w:sz w:val="32"/>
          <w:szCs w:val="32"/>
          <w:highlight w:val="none"/>
        </w:rPr>
        <w:t>附件2：</w:t>
      </w:r>
    </w:p>
    <w:p w14:paraId="0D518561">
      <w:pPr>
        <w:wordWrap w:val="0"/>
        <w:spacing w:line="360" w:lineRule="auto"/>
        <w:ind w:left="1871" w:firstLine="800"/>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37" w:type="dxa"/>
        <w:tblInd w:w="250" w:type="dxa"/>
        <w:tblLayout w:type="fixed"/>
        <w:tblCellMar>
          <w:top w:w="0" w:type="dxa"/>
          <w:left w:w="108" w:type="dxa"/>
          <w:bottom w:w="0" w:type="dxa"/>
          <w:right w:w="108" w:type="dxa"/>
        </w:tblCellMar>
      </w:tblPr>
      <w:tblGrid>
        <w:gridCol w:w="2033"/>
        <w:gridCol w:w="1653"/>
        <w:gridCol w:w="1091"/>
        <w:gridCol w:w="1935"/>
        <w:gridCol w:w="1720"/>
        <w:gridCol w:w="1105"/>
      </w:tblGrid>
      <w:tr w14:paraId="30585B42">
        <w:tblPrEx>
          <w:tblCellMar>
            <w:top w:w="0" w:type="dxa"/>
            <w:left w:w="108" w:type="dxa"/>
            <w:bottom w:w="0" w:type="dxa"/>
            <w:right w:w="108" w:type="dxa"/>
          </w:tblCellMar>
        </w:tblPrEx>
        <w:trPr>
          <w:trHeight w:val="285" w:hRule="atLeast"/>
        </w:trPr>
        <w:tc>
          <w:tcPr>
            <w:tcW w:w="2033" w:type="dxa"/>
            <w:tcBorders>
              <w:top w:val="single" w:color="auto" w:sz="4" w:space="0"/>
              <w:left w:val="single" w:color="auto" w:sz="4" w:space="0"/>
              <w:bottom w:val="single" w:color="auto" w:sz="4" w:space="0"/>
              <w:right w:val="single" w:color="auto" w:sz="4" w:space="0"/>
            </w:tcBorders>
            <w:vAlign w:val="center"/>
          </w:tcPr>
          <w:p w14:paraId="3C810336">
            <w:pPr>
              <w:widowControl/>
              <w:wordWrap w:val="0"/>
              <w:spacing w:line="360"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653" w:type="dxa"/>
            <w:tcBorders>
              <w:top w:val="single" w:color="auto" w:sz="4" w:space="0"/>
              <w:left w:val="nil"/>
              <w:bottom w:val="single" w:color="auto" w:sz="4" w:space="0"/>
              <w:right w:val="single" w:color="auto" w:sz="4" w:space="0"/>
            </w:tcBorders>
            <w:vAlign w:val="center"/>
          </w:tcPr>
          <w:p w14:paraId="53948382">
            <w:pPr>
              <w:widowControl/>
              <w:wordWrap w:val="0"/>
              <w:spacing w:line="360"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1091" w:type="dxa"/>
            <w:tcBorders>
              <w:top w:val="single" w:color="auto" w:sz="4" w:space="0"/>
              <w:left w:val="nil"/>
              <w:bottom w:val="single" w:color="auto" w:sz="4" w:space="0"/>
              <w:right w:val="single" w:color="auto" w:sz="4" w:space="0"/>
            </w:tcBorders>
            <w:vAlign w:val="center"/>
          </w:tcPr>
          <w:p w14:paraId="0E88F0CA">
            <w:pPr>
              <w:widowControl/>
              <w:wordWrap w:val="0"/>
              <w:spacing w:line="360"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935" w:type="dxa"/>
            <w:tcBorders>
              <w:top w:val="single" w:color="auto" w:sz="4" w:space="0"/>
              <w:left w:val="nil"/>
              <w:bottom w:val="single" w:color="auto" w:sz="4" w:space="0"/>
              <w:right w:val="single" w:color="auto" w:sz="4" w:space="0"/>
            </w:tcBorders>
            <w:vAlign w:val="center"/>
          </w:tcPr>
          <w:p w14:paraId="2C8B879F">
            <w:pPr>
              <w:widowControl/>
              <w:wordWrap w:val="0"/>
              <w:spacing w:line="360"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20" w:type="dxa"/>
            <w:tcBorders>
              <w:top w:val="single" w:color="auto" w:sz="4" w:space="0"/>
              <w:left w:val="nil"/>
              <w:bottom w:val="single" w:color="auto" w:sz="4" w:space="0"/>
              <w:right w:val="single" w:color="auto" w:sz="4" w:space="0"/>
            </w:tcBorders>
            <w:vAlign w:val="center"/>
          </w:tcPr>
          <w:p w14:paraId="646C26FD">
            <w:pPr>
              <w:widowControl/>
              <w:wordWrap w:val="0"/>
              <w:spacing w:line="360"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05" w:type="dxa"/>
            <w:tcBorders>
              <w:top w:val="single" w:color="auto" w:sz="4" w:space="0"/>
              <w:left w:val="nil"/>
              <w:bottom w:val="single" w:color="auto" w:sz="4" w:space="0"/>
              <w:right w:val="single" w:color="auto" w:sz="4" w:space="0"/>
            </w:tcBorders>
            <w:vAlign w:val="center"/>
          </w:tcPr>
          <w:p w14:paraId="622829F9">
            <w:pPr>
              <w:widowControl/>
              <w:wordWrap w:val="0"/>
              <w:spacing w:line="360" w:lineRule="auto"/>
              <w:ind w:firstLine="482"/>
              <w:jc w:val="left"/>
              <w:rPr>
                <w:rFonts w:hint="eastAsia"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09554A9D">
        <w:tblPrEx>
          <w:tblCellMar>
            <w:top w:w="0" w:type="dxa"/>
            <w:left w:w="108" w:type="dxa"/>
            <w:bottom w:w="0" w:type="dxa"/>
            <w:right w:w="108" w:type="dxa"/>
          </w:tblCellMar>
        </w:tblPrEx>
        <w:trPr>
          <w:trHeight w:val="90" w:hRule="atLeast"/>
        </w:trPr>
        <w:tc>
          <w:tcPr>
            <w:tcW w:w="2033" w:type="dxa"/>
            <w:tcBorders>
              <w:top w:val="nil"/>
              <w:left w:val="single" w:color="auto" w:sz="4" w:space="0"/>
              <w:bottom w:val="single" w:color="auto" w:sz="4" w:space="0"/>
              <w:right w:val="single" w:color="auto" w:sz="4" w:space="0"/>
            </w:tcBorders>
            <w:vAlign w:val="bottom"/>
          </w:tcPr>
          <w:p w14:paraId="2183254E">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653" w:type="dxa"/>
            <w:tcBorders>
              <w:top w:val="nil"/>
              <w:left w:val="nil"/>
              <w:bottom w:val="single" w:color="auto" w:sz="4" w:space="0"/>
              <w:right w:val="single" w:color="auto" w:sz="4" w:space="0"/>
            </w:tcBorders>
            <w:vAlign w:val="center"/>
          </w:tcPr>
          <w:p w14:paraId="0AC386D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92F491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0528B6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4234133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05" w:type="dxa"/>
            <w:tcBorders>
              <w:top w:val="nil"/>
              <w:left w:val="nil"/>
              <w:bottom w:val="single" w:color="auto" w:sz="4" w:space="0"/>
              <w:right w:val="single" w:color="auto" w:sz="4" w:space="0"/>
            </w:tcBorders>
            <w:vAlign w:val="center"/>
          </w:tcPr>
          <w:p w14:paraId="14ADFB3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2FD2C1C">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6D813FE">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653" w:type="dxa"/>
            <w:tcBorders>
              <w:top w:val="nil"/>
              <w:left w:val="nil"/>
              <w:bottom w:val="single" w:color="auto" w:sz="4" w:space="0"/>
              <w:right w:val="single" w:color="auto" w:sz="4" w:space="0"/>
            </w:tcBorders>
            <w:vAlign w:val="center"/>
          </w:tcPr>
          <w:p w14:paraId="335B93A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344775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8DD82D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16FB0F8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347FF7E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5414DF3">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C015E50">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6C5A55B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D79A80B">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0EBF7D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20" w:type="dxa"/>
            <w:tcBorders>
              <w:top w:val="nil"/>
              <w:left w:val="nil"/>
              <w:bottom w:val="single" w:color="auto" w:sz="4" w:space="0"/>
              <w:right w:val="single" w:color="auto" w:sz="4" w:space="0"/>
            </w:tcBorders>
            <w:vAlign w:val="center"/>
          </w:tcPr>
          <w:p w14:paraId="39340D7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05" w:type="dxa"/>
            <w:tcBorders>
              <w:top w:val="nil"/>
              <w:left w:val="nil"/>
              <w:bottom w:val="single" w:color="auto" w:sz="4" w:space="0"/>
              <w:right w:val="single" w:color="auto" w:sz="4" w:space="0"/>
            </w:tcBorders>
            <w:vAlign w:val="center"/>
          </w:tcPr>
          <w:p w14:paraId="225B9D1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2E25806">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16E495E">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653" w:type="dxa"/>
            <w:tcBorders>
              <w:top w:val="nil"/>
              <w:left w:val="nil"/>
              <w:bottom w:val="single" w:color="auto" w:sz="4" w:space="0"/>
              <w:right w:val="single" w:color="auto" w:sz="4" w:space="0"/>
            </w:tcBorders>
            <w:vAlign w:val="center"/>
          </w:tcPr>
          <w:p w14:paraId="4196309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37A4ED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C5E70A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20" w:type="dxa"/>
            <w:tcBorders>
              <w:top w:val="nil"/>
              <w:left w:val="nil"/>
              <w:bottom w:val="single" w:color="auto" w:sz="4" w:space="0"/>
              <w:right w:val="single" w:color="auto" w:sz="4" w:space="0"/>
            </w:tcBorders>
            <w:vAlign w:val="center"/>
          </w:tcPr>
          <w:p w14:paraId="171019F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05" w:type="dxa"/>
            <w:tcBorders>
              <w:top w:val="nil"/>
              <w:left w:val="nil"/>
              <w:bottom w:val="single" w:color="auto" w:sz="4" w:space="0"/>
              <w:right w:val="single" w:color="auto" w:sz="4" w:space="0"/>
            </w:tcBorders>
            <w:vAlign w:val="center"/>
          </w:tcPr>
          <w:p w14:paraId="740681C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6233E87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457C484">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04FC27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5AA1674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C6889C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20" w:type="dxa"/>
            <w:tcBorders>
              <w:top w:val="nil"/>
              <w:left w:val="nil"/>
              <w:bottom w:val="single" w:color="auto" w:sz="4" w:space="0"/>
              <w:right w:val="single" w:color="auto" w:sz="4" w:space="0"/>
            </w:tcBorders>
            <w:vAlign w:val="center"/>
          </w:tcPr>
          <w:p w14:paraId="3BB1F29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05" w:type="dxa"/>
            <w:tcBorders>
              <w:top w:val="nil"/>
              <w:left w:val="nil"/>
              <w:bottom w:val="single" w:color="auto" w:sz="4" w:space="0"/>
              <w:right w:val="single" w:color="auto" w:sz="4" w:space="0"/>
            </w:tcBorders>
            <w:vAlign w:val="center"/>
          </w:tcPr>
          <w:p w14:paraId="0574B16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F07594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7C9F74CC">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653" w:type="dxa"/>
            <w:tcBorders>
              <w:top w:val="nil"/>
              <w:left w:val="nil"/>
              <w:bottom w:val="single" w:color="auto" w:sz="4" w:space="0"/>
              <w:right w:val="single" w:color="auto" w:sz="4" w:space="0"/>
            </w:tcBorders>
            <w:vAlign w:val="center"/>
          </w:tcPr>
          <w:p w14:paraId="7700519B">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32A6E8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C9325D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20" w:type="dxa"/>
            <w:tcBorders>
              <w:top w:val="nil"/>
              <w:left w:val="nil"/>
              <w:bottom w:val="single" w:color="auto" w:sz="4" w:space="0"/>
              <w:right w:val="single" w:color="auto" w:sz="4" w:space="0"/>
            </w:tcBorders>
            <w:vAlign w:val="center"/>
          </w:tcPr>
          <w:p w14:paraId="4159230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05" w:type="dxa"/>
            <w:tcBorders>
              <w:top w:val="nil"/>
              <w:left w:val="nil"/>
              <w:bottom w:val="single" w:color="auto" w:sz="4" w:space="0"/>
              <w:right w:val="single" w:color="auto" w:sz="4" w:space="0"/>
            </w:tcBorders>
            <w:vAlign w:val="center"/>
          </w:tcPr>
          <w:p w14:paraId="3EA9A23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EE5106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A9B4D9C">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0644F4F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37BAD3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1AFB943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20" w:type="dxa"/>
            <w:tcBorders>
              <w:top w:val="nil"/>
              <w:left w:val="nil"/>
              <w:bottom w:val="single" w:color="auto" w:sz="4" w:space="0"/>
              <w:right w:val="single" w:color="auto" w:sz="4" w:space="0"/>
            </w:tcBorders>
            <w:vAlign w:val="center"/>
          </w:tcPr>
          <w:p w14:paraId="53C4AE9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05" w:type="dxa"/>
            <w:tcBorders>
              <w:top w:val="nil"/>
              <w:left w:val="nil"/>
              <w:bottom w:val="single" w:color="auto" w:sz="4" w:space="0"/>
              <w:right w:val="single" w:color="auto" w:sz="4" w:space="0"/>
            </w:tcBorders>
            <w:vAlign w:val="center"/>
          </w:tcPr>
          <w:p w14:paraId="2C05984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40CE12B1">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0B2A49F">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653" w:type="dxa"/>
            <w:tcBorders>
              <w:top w:val="nil"/>
              <w:left w:val="nil"/>
              <w:bottom w:val="single" w:color="auto" w:sz="4" w:space="0"/>
              <w:right w:val="single" w:color="auto" w:sz="4" w:space="0"/>
            </w:tcBorders>
            <w:vAlign w:val="center"/>
          </w:tcPr>
          <w:p w14:paraId="0D7474E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20BEF86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0CA4CEA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20" w:type="dxa"/>
            <w:tcBorders>
              <w:top w:val="nil"/>
              <w:left w:val="nil"/>
              <w:bottom w:val="single" w:color="auto" w:sz="4" w:space="0"/>
              <w:right w:val="single" w:color="auto" w:sz="4" w:space="0"/>
            </w:tcBorders>
            <w:vAlign w:val="center"/>
          </w:tcPr>
          <w:p w14:paraId="174237D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05" w:type="dxa"/>
            <w:tcBorders>
              <w:top w:val="nil"/>
              <w:left w:val="nil"/>
              <w:bottom w:val="single" w:color="auto" w:sz="4" w:space="0"/>
              <w:right w:val="single" w:color="auto" w:sz="4" w:space="0"/>
            </w:tcBorders>
            <w:vAlign w:val="center"/>
          </w:tcPr>
          <w:p w14:paraId="776B64AB">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00CCF5D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73A5517">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B9676E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5A26EF7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26A64A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20" w:type="dxa"/>
            <w:tcBorders>
              <w:top w:val="nil"/>
              <w:left w:val="nil"/>
              <w:bottom w:val="single" w:color="auto" w:sz="4" w:space="0"/>
              <w:right w:val="single" w:color="auto" w:sz="4" w:space="0"/>
            </w:tcBorders>
            <w:vAlign w:val="center"/>
          </w:tcPr>
          <w:p w14:paraId="2732505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05" w:type="dxa"/>
            <w:tcBorders>
              <w:top w:val="nil"/>
              <w:left w:val="nil"/>
              <w:bottom w:val="single" w:color="auto" w:sz="4" w:space="0"/>
              <w:right w:val="single" w:color="auto" w:sz="4" w:space="0"/>
            </w:tcBorders>
            <w:vAlign w:val="center"/>
          </w:tcPr>
          <w:p w14:paraId="4855261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3CB5675">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6C3EACF">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653" w:type="dxa"/>
            <w:tcBorders>
              <w:top w:val="nil"/>
              <w:left w:val="nil"/>
              <w:bottom w:val="single" w:color="auto" w:sz="4" w:space="0"/>
              <w:right w:val="single" w:color="auto" w:sz="4" w:space="0"/>
            </w:tcBorders>
            <w:vAlign w:val="center"/>
          </w:tcPr>
          <w:p w14:paraId="5138EF1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05E0DD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3A62FDE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47B3A6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0014DFF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602D7B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1BAA671D">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6536B9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9AAF62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DB1F29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20" w:type="dxa"/>
            <w:tcBorders>
              <w:top w:val="nil"/>
              <w:left w:val="nil"/>
              <w:bottom w:val="single" w:color="auto" w:sz="4" w:space="0"/>
              <w:right w:val="single" w:color="auto" w:sz="4" w:space="0"/>
            </w:tcBorders>
            <w:vAlign w:val="center"/>
          </w:tcPr>
          <w:p w14:paraId="57FD1C1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05" w:type="dxa"/>
            <w:tcBorders>
              <w:top w:val="nil"/>
              <w:left w:val="nil"/>
              <w:bottom w:val="single" w:color="auto" w:sz="4" w:space="0"/>
              <w:right w:val="single" w:color="auto" w:sz="4" w:space="0"/>
            </w:tcBorders>
            <w:vAlign w:val="center"/>
          </w:tcPr>
          <w:p w14:paraId="2F97117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D07317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5566AC5">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653" w:type="dxa"/>
            <w:tcBorders>
              <w:top w:val="nil"/>
              <w:left w:val="nil"/>
              <w:bottom w:val="single" w:color="auto" w:sz="4" w:space="0"/>
              <w:right w:val="single" w:color="auto" w:sz="4" w:space="0"/>
            </w:tcBorders>
            <w:vAlign w:val="center"/>
          </w:tcPr>
          <w:p w14:paraId="29FE481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376731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2C3CB70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20" w:type="dxa"/>
            <w:tcBorders>
              <w:top w:val="nil"/>
              <w:left w:val="nil"/>
              <w:bottom w:val="single" w:color="auto" w:sz="4" w:space="0"/>
              <w:right w:val="single" w:color="auto" w:sz="4" w:space="0"/>
            </w:tcBorders>
            <w:vAlign w:val="center"/>
          </w:tcPr>
          <w:p w14:paraId="49E4865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05" w:type="dxa"/>
            <w:tcBorders>
              <w:top w:val="nil"/>
              <w:left w:val="nil"/>
              <w:bottom w:val="single" w:color="auto" w:sz="4" w:space="0"/>
              <w:right w:val="single" w:color="auto" w:sz="4" w:space="0"/>
            </w:tcBorders>
            <w:vAlign w:val="center"/>
          </w:tcPr>
          <w:p w14:paraId="10ABB8C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C997197">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CB68E7C">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9A7E06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C1FB34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C810A3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20" w:type="dxa"/>
            <w:tcBorders>
              <w:top w:val="nil"/>
              <w:left w:val="nil"/>
              <w:bottom w:val="single" w:color="auto" w:sz="4" w:space="0"/>
              <w:right w:val="single" w:color="auto" w:sz="4" w:space="0"/>
            </w:tcBorders>
            <w:vAlign w:val="center"/>
          </w:tcPr>
          <w:p w14:paraId="6EF0F75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61F7197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7E6ADC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2BFD1C7F">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653" w:type="dxa"/>
            <w:tcBorders>
              <w:top w:val="nil"/>
              <w:left w:val="nil"/>
              <w:bottom w:val="single" w:color="auto" w:sz="4" w:space="0"/>
              <w:right w:val="single" w:color="auto" w:sz="4" w:space="0"/>
            </w:tcBorders>
            <w:vAlign w:val="center"/>
          </w:tcPr>
          <w:p w14:paraId="3531338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DC85BE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A36409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429B4A2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05" w:type="dxa"/>
            <w:tcBorders>
              <w:top w:val="nil"/>
              <w:left w:val="nil"/>
              <w:bottom w:val="single" w:color="auto" w:sz="4" w:space="0"/>
              <w:right w:val="single" w:color="auto" w:sz="4" w:space="0"/>
            </w:tcBorders>
            <w:vAlign w:val="center"/>
          </w:tcPr>
          <w:p w14:paraId="18EB29F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35C9528">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F21EDBD">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436CEED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FEA9D9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6CDEA13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20" w:type="dxa"/>
            <w:tcBorders>
              <w:top w:val="nil"/>
              <w:left w:val="nil"/>
              <w:bottom w:val="single" w:color="auto" w:sz="4" w:space="0"/>
              <w:right w:val="single" w:color="auto" w:sz="4" w:space="0"/>
            </w:tcBorders>
            <w:vAlign w:val="center"/>
          </w:tcPr>
          <w:p w14:paraId="73F31F9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0C8D2CE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3C2406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303DFCC">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653" w:type="dxa"/>
            <w:tcBorders>
              <w:top w:val="nil"/>
              <w:left w:val="nil"/>
              <w:bottom w:val="single" w:color="auto" w:sz="4" w:space="0"/>
              <w:right w:val="single" w:color="auto" w:sz="4" w:space="0"/>
            </w:tcBorders>
            <w:vAlign w:val="center"/>
          </w:tcPr>
          <w:p w14:paraId="5471707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04378A2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ED8482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0DDC1F5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AEA43E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560136A">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4B44F934">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8EDACA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4F46F72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3D8A96D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37D1D41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E4EBA9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02797DD7">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03E60E77">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653" w:type="dxa"/>
            <w:tcBorders>
              <w:top w:val="nil"/>
              <w:left w:val="nil"/>
              <w:bottom w:val="single" w:color="auto" w:sz="4" w:space="0"/>
              <w:right w:val="single" w:color="auto" w:sz="4" w:space="0"/>
            </w:tcBorders>
            <w:vAlign w:val="center"/>
          </w:tcPr>
          <w:p w14:paraId="6ACFF91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44C55F9B">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5B2652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F9D103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21D5A0C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6651B">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BFF5682">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A87600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0479A26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A8F4CE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20" w:type="dxa"/>
            <w:tcBorders>
              <w:top w:val="nil"/>
              <w:left w:val="nil"/>
              <w:bottom w:val="single" w:color="auto" w:sz="4" w:space="0"/>
              <w:right w:val="single" w:color="auto" w:sz="4" w:space="0"/>
            </w:tcBorders>
            <w:vAlign w:val="center"/>
          </w:tcPr>
          <w:p w14:paraId="64577D2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05" w:type="dxa"/>
            <w:tcBorders>
              <w:top w:val="nil"/>
              <w:left w:val="nil"/>
              <w:bottom w:val="single" w:color="auto" w:sz="4" w:space="0"/>
              <w:right w:val="single" w:color="auto" w:sz="4" w:space="0"/>
            </w:tcBorders>
            <w:vAlign w:val="center"/>
          </w:tcPr>
          <w:p w14:paraId="798FA55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648129A">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DEACCD7">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653" w:type="dxa"/>
            <w:tcBorders>
              <w:top w:val="nil"/>
              <w:left w:val="nil"/>
              <w:bottom w:val="single" w:color="auto" w:sz="4" w:space="0"/>
              <w:right w:val="single" w:color="auto" w:sz="4" w:space="0"/>
            </w:tcBorders>
            <w:vAlign w:val="center"/>
          </w:tcPr>
          <w:p w14:paraId="18E6B1D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6CB7D6B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17674FC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20" w:type="dxa"/>
            <w:tcBorders>
              <w:top w:val="nil"/>
              <w:left w:val="nil"/>
              <w:bottom w:val="single" w:color="auto" w:sz="4" w:space="0"/>
              <w:right w:val="single" w:color="auto" w:sz="4" w:space="0"/>
            </w:tcBorders>
            <w:vAlign w:val="center"/>
          </w:tcPr>
          <w:p w14:paraId="6601273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74BD1D1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09B5EC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2AEBC40">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37C9784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71A5451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7D7A9AA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20" w:type="dxa"/>
            <w:tcBorders>
              <w:top w:val="nil"/>
              <w:left w:val="nil"/>
              <w:bottom w:val="single" w:color="auto" w:sz="4" w:space="0"/>
              <w:right w:val="single" w:color="auto" w:sz="4" w:space="0"/>
            </w:tcBorders>
            <w:vAlign w:val="center"/>
          </w:tcPr>
          <w:p w14:paraId="7B8F4937">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05" w:type="dxa"/>
            <w:tcBorders>
              <w:top w:val="nil"/>
              <w:left w:val="nil"/>
              <w:bottom w:val="single" w:color="auto" w:sz="4" w:space="0"/>
              <w:right w:val="single" w:color="auto" w:sz="4" w:space="0"/>
            </w:tcBorders>
            <w:vAlign w:val="center"/>
          </w:tcPr>
          <w:p w14:paraId="63D30E4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6FD8970B">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421E273F">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653" w:type="dxa"/>
            <w:tcBorders>
              <w:top w:val="nil"/>
              <w:left w:val="nil"/>
              <w:bottom w:val="single" w:color="auto" w:sz="4" w:space="0"/>
              <w:right w:val="single" w:color="auto" w:sz="4" w:space="0"/>
            </w:tcBorders>
            <w:vAlign w:val="center"/>
          </w:tcPr>
          <w:p w14:paraId="56CFC216">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349BBA8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5E9DB95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131AE89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0D1BFC3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6B5D105">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23934038">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2A54A64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6662E00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464A513B">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20" w:type="dxa"/>
            <w:tcBorders>
              <w:top w:val="nil"/>
              <w:left w:val="nil"/>
              <w:bottom w:val="single" w:color="auto" w:sz="4" w:space="0"/>
              <w:right w:val="single" w:color="auto" w:sz="4" w:space="0"/>
            </w:tcBorders>
            <w:vAlign w:val="center"/>
          </w:tcPr>
          <w:p w14:paraId="13EB9A4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05" w:type="dxa"/>
            <w:tcBorders>
              <w:top w:val="nil"/>
              <w:left w:val="nil"/>
              <w:bottom w:val="single" w:color="auto" w:sz="4" w:space="0"/>
              <w:right w:val="single" w:color="auto" w:sz="4" w:space="0"/>
            </w:tcBorders>
            <w:vAlign w:val="center"/>
          </w:tcPr>
          <w:p w14:paraId="7E4B07D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0788AE4">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38478B66">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653" w:type="dxa"/>
            <w:tcBorders>
              <w:top w:val="nil"/>
              <w:left w:val="nil"/>
              <w:bottom w:val="single" w:color="auto" w:sz="4" w:space="0"/>
              <w:right w:val="single" w:color="auto" w:sz="4" w:space="0"/>
            </w:tcBorders>
            <w:vAlign w:val="center"/>
          </w:tcPr>
          <w:p w14:paraId="751CE86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2B4C318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091D7E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20" w:type="dxa"/>
            <w:tcBorders>
              <w:top w:val="nil"/>
              <w:left w:val="nil"/>
              <w:bottom w:val="single" w:color="auto" w:sz="4" w:space="0"/>
              <w:right w:val="single" w:color="auto" w:sz="4" w:space="0"/>
            </w:tcBorders>
            <w:vAlign w:val="center"/>
          </w:tcPr>
          <w:p w14:paraId="6B9A995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05" w:type="dxa"/>
            <w:tcBorders>
              <w:top w:val="nil"/>
              <w:left w:val="nil"/>
              <w:bottom w:val="single" w:color="auto" w:sz="4" w:space="0"/>
              <w:right w:val="single" w:color="auto" w:sz="4" w:space="0"/>
            </w:tcBorders>
            <w:vAlign w:val="center"/>
          </w:tcPr>
          <w:p w14:paraId="5A5230E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7E67511D">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76C98494">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759143C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2406DA7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2F77865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20" w:type="dxa"/>
            <w:tcBorders>
              <w:top w:val="nil"/>
              <w:left w:val="nil"/>
              <w:bottom w:val="single" w:color="auto" w:sz="4" w:space="0"/>
              <w:right w:val="single" w:color="auto" w:sz="4" w:space="0"/>
            </w:tcBorders>
            <w:vAlign w:val="center"/>
          </w:tcPr>
          <w:p w14:paraId="4CA3D68F">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05" w:type="dxa"/>
            <w:tcBorders>
              <w:top w:val="nil"/>
              <w:left w:val="nil"/>
              <w:bottom w:val="single" w:color="auto" w:sz="4" w:space="0"/>
              <w:right w:val="single" w:color="auto" w:sz="4" w:space="0"/>
            </w:tcBorders>
            <w:vAlign w:val="center"/>
          </w:tcPr>
          <w:p w14:paraId="7C086FC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472960B9">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6F284EA5">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653" w:type="dxa"/>
            <w:tcBorders>
              <w:top w:val="nil"/>
              <w:left w:val="nil"/>
              <w:bottom w:val="single" w:color="auto" w:sz="4" w:space="0"/>
              <w:right w:val="single" w:color="auto" w:sz="4" w:space="0"/>
            </w:tcBorders>
            <w:vAlign w:val="center"/>
          </w:tcPr>
          <w:p w14:paraId="61B6693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5A20CB6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6ED883A">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20" w:type="dxa"/>
            <w:tcBorders>
              <w:top w:val="nil"/>
              <w:left w:val="nil"/>
              <w:bottom w:val="single" w:color="auto" w:sz="4" w:space="0"/>
              <w:right w:val="single" w:color="auto" w:sz="4" w:space="0"/>
            </w:tcBorders>
            <w:vAlign w:val="center"/>
          </w:tcPr>
          <w:p w14:paraId="6AD3856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05" w:type="dxa"/>
            <w:tcBorders>
              <w:top w:val="nil"/>
              <w:left w:val="nil"/>
              <w:bottom w:val="single" w:color="auto" w:sz="4" w:space="0"/>
              <w:right w:val="single" w:color="auto" w:sz="4" w:space="0"/>
            </w:tcBorders>
            <w:vAlign w:val="center"/>
          </w:tcPr>
          <w:p w14:paraId="10FEF12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6283FF46">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65880D2E">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5A2246B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1091" w:type="dxa"/>
            <w:tcBorders>
              <w:top w:val="nil"/>
              <w:left w:val="nil"/>
              <w:bottom w:val="single" w:color="auto" w:sz="4" w:space="0"/>
              <w:right w:val="single" w:color="auto" w:sz="4" w:space="0"/>
            </w:tcBorders>
            <w:vAlign w:val="center"/>
          </w:tcPr>
          <w:p w14:paraId="1FB13B9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5067967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20" w:type="dxa"/>
            <w:tcBorders>
              <w:top w:val="nil"/>
              <w:left w:val="nil"/>
              <w:bottom w:val="single" w:color="auto" w:sz="4" w:space="0"/>
              <w:right w:val="single" w:color="auto" w:sz="4" w:space="0"/>
            </w:tcBorders>
            <w:vAlign w:val="center"/>
          </w:tcPr>
          <w:p w14:paraId="31040E11">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05" w:type="dxa"/>
            <w:tcBorders>
              <w:top w:val="nil"/>
              <w:left w:val="nil"/>
              <w:bottom w:val="single" w:color="auto" w:sz="4" w:space="0"/>
              <w:right w:val="single" w:color="auto" w:sz="4" w:space="0"/>
            </w:tcBorders>
            <w:vAlign w:val="center"/>
          </w:tcPr>
          <w:p w14:paraId="7E182C3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B10F858">
        <w:tblPrEx>
          <w:tblCellMar>
            <w:top w:w="0" w:type="dxa"/>
            <w:left w:w="108" w:type="dxa"/>
            <w:bottom w:w="0" w:type="dxa"/>
            <w:right w:w="108" w:type="dxa"/>
          </w:tblCellMar>
        </w:tblPrEx>
        <w:trPr>
          <w:trHeight w:val="225" w:hRule="atLeast"/>
        </w:trPr>
        <w:tc>
          <w:tcPr>
            <w:tcW w:w="2033" w:type="dxa"/>
            <w:vMerge w:val="restart"/>
            <w:tcBorders>
              <w:top w:val="nil"/>
              <w:left w:val="single" w:color="auto" w:sz="4" w:space="0"/>
              <w:bottom w:val="single" w:color="auto" w:sz="4" w:space="0"/>
              <w:right w:val="single" w:color="auto" w:sz="4" w:space="0"/>
            </w:tcBorders>
            <w:vAlign w:val="bottom"/>
          </w:tcPr>
          <w:p w14:paraId="56E63C0A">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653" w:type="dxa"/>
            <w:tcBorders>
              <w:top w:val="nil"/>
              <w:left w:val="nil"/>
              <w:bottom w:val="single" w:color="auto" w:sz="4" w:space="0"/>
              <w:right w:val="single" w:color="auto" w:sz="4" w:space="0"/>
            </w:tcBorders>
            <w:vAlign w:val="center"/>
          </w:tcPr>
          <w:p w14:paraId="4DC891E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1D3E713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66B10B83">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771F2AB0">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65389042">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86713CC">
        <w:tblPrEx>
          <w:tblCellMar>
            <w:top w:w="0" w:type="dxa"/>
            <w:left w:w="108" w:type="dxa"/>
            <w:bottom w:w="0" w:type="dxa"/>
            <w:right w:w="108" w:type="dxa"/>
          </w:tblCellMar>
        </w:tblPrEx>
        <w:trPr>
          <w:trHeight w:val="225" w:hRule="atLeast"/>
        </w:trPr>
        <w:tc>
          <w:tcPr>
            <w:tcW w:w="2033" w:type="dxa"/>
            <w:vMerge w:val="continue"/>
            <w:tcBorders>
              <w:top w:val="nil"/>
              <w:left w:val="single" w:color="auto" w:sz="4" w:space="0"/>
              <w:bottom w:val="single" w:color="auto" w:sz="4" w:space="0"/>
              <w:right w:val="single" w:color="auto" w:sz="4" w:space="0"/>
            </w:tcBorders>
            <w:vAlign w:val="center"/>
          </w:tcPr>
          <w:p w14:paraId="378D7FC7">
            <w:pPr>
              <w:widowControl/>
              <w:wordWrap w:val="0"/>
              <w:spacing w:line="360" w:lineRule="auto"/>
              <w:ind w:firstLine="361"/>
              <w:jc w:val="left"/>
              <w:rPr>
                <w:rFonts w:hint="eastAsia" w:ascii="宋体" w:hAnsi="宋体" w:cs="宋体"/>
                <w:b/>
                <w:bCs/>
                <w:color w:val="auto"/>
                <w:kern w:val="0"/>
                <w:sz w:val="18"/>
                <w:szCs w:val="18"/>
                <w:highlight w:val="none"/>
              </w:rPr>
            </w:pPr>
          </w:p>
        </w:tc>
        <w:tc>
          <w:tcPr>
            <w:tcW w:w="1653" w:type="dxa"/>
            <w:tcBorders>
              <w:top w:val="nil"/>
              <w:left w:val="nil"/>
              <w:bottom w:val="single" w:color="auto" w:sz="4" w:space="0"/>
              <w:right w:val="single" w:color="auto" w:sz="4" w:space="0"/>
            </w:tcBorders>
            <w:vAlign w:val="center"/>
          </w:tcPr>
          <w:p w14:paraId="1D39980E">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1091" w:type="dxa"/>
            <w:tcBorders>
              <w:top w:val="nil"/>
              <w:left w:val="nil"/>
              <w:bottom w:val="single" w:color="auto" w:sz="4" w:space="0"/>
              <w:right w:val="single" w:color="auto" w:sz="4" w:space="0"/>
            </w:tcBorders>
            <w:vAlign w:val="center"/>
          </w:tcPr>
          <w:p w14:paraId="55DEA8C5">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935" w:type="dxa"/>
            <w:tcBorders>
              <w:top w:val="nil"/>
              <w:left w:val="nil"/>
              <w:bottom w:val="single" w:color="auto" w:sz="4" w:space="0"/>
              <w:right w:val="single" w:color="auto" w:sz="4" w:space="0"/>
            </w:tcBorders>
            <w:vAlign w:val="center"/>
          </w:tcPr>
          <w:p w14:paraId="073E911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20" w:type="dxa"/>
            <w:tcBorders>
              <w:top w:val="nil"/>
              <w:left w:val="nil"/>
              <w:bottom w:val="single" w:color="auto" w:sz="4" w:space="0"/>
              <w:right w:val="single" w:color="auto" w:sz="4" w:space="0"/>
            </w:tcBorders>
            <w:vAlign w:val="center"/>
          </w:tcPr>
          <w:p w14:paraId="4FB0F7FD">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05" w:type="dxa"/>
            <w:tcBorders>
              <w:top w:val="nil"/>
              <w:left w:val="nil"/>
              <w:bottom w:val="single" w:color="auto" w:sz="4" w:space="0"/>
              <w:right w:val="single" w:color="auto" w:sz="4" w:space="0"/>
            </w:tcBorders>
            <w:vAlign w:val="center"/>
          </w:tcPr>
          <w:p w14:paraId="4F7D4024">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1943013">
        <w:tblPrEx>
          <w:tblCellMar>
            <w:top w:w="0" w:type="dxa"/>
            <w:left w:w="108" w:type="dxa"/>
            <w:bottom w:w="0" w:type="dxa"/>
            <w:right w:w="108" w:type="dxa"/>
          </w:tblCellMar>
        </w:tblPrEx>
        <w:trPr>
          <w:trHeight w:val="225" w:hRule="atLeast"/>
        </w:trPr>
        <w:tc>
          <w:tcPr>
            <w:tcW w:w="2033" w:type="dxa"/>
            <w:tcBorders>
              <w:top w:val="nil"/>
              <w:left w:val="single" w:color="auto" w:sz="4" w:space="0"/>
              <w:bottom w:val="single" w:color="auto" w:sz="4" w:space="0"/>
              <w:right w:val="single" w:color="auto" w:sz="4" w:space="0"/>
            </w:tcBorders>
            <w:vAlign w:val="bottom"/>
          </w:tcPr>
          <w:p w14:paraId="3941F06E">
            <w:pPr>
              <w:widowControl/>
              <w:wordWrap w:val="0"/>
              <w:spacing w:line="360" w:lineRule="auto"/>
              <w:ind w:firstLine="361"/>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653" w:type="dxa"/>
            <w:tcBorders>
              <w:top w:val="nil"/>
              <w:left w:val="nil"/>
              <w:bottom w:val="single" w:color="auto" w:sz="4" w:space="0"/>
              <w:right w:val="single" w:color="auto" w:sz="4" w:space="0"/>
            </w:tcBorders>
            <w:vAlign w:val="center"/>
          </w:tcPr>
          <w:p w14:paraId="6FB33DDB">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1091" w:type="dxa"/>
            <w:tcBorders>
              <w:top w:val="nil"/>
              <w:left w:val="nil"/>
              <w:bottom w:val="single" w:color="auto" w:sz="4" w:space="0"/>
              <w:right w:val="single" w:color="auto" w:sz="4" w:space="0"/>
            </w:tcBorders>
            <w:vAlign w:val="center"/>
          </w:tcPr>
          <w:p w14:paraId="7374FE59">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935" w:type="dxa"/>
            <w:tcBorders>
              <w:top w:val="nil"/>
              <w:left w:val="nil"/>
              <w:bottom w:val="single" w:color="auto" w:sz="4" w:space="0"/>
              <w:right w:val="single" w:color="auto" w:sz="4" w:space="0"/>
            </w:tcBorders>
            <w:vAlign w:val="center"/>
          </w:tcPr>
          <w:p w14:paraId="77C02FC8">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20" w:type="dxa"/>
            <w:tcBorders>
              <w:top w:val="nil"/>
              <w:left w:val="nil"/>
              <w:bottom w:val="single" w:color="auto" w:sz="4" w:space="0"/>
              <w:right w:val="single" w:color="auto" w:sz="4" w:space="0"/>
            </w:tcBorders>
            <w:vAlign w:val="center"/>
          </w:tcPr>
          <w:p w14:paraId="30148FB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05" w:type="dxa"/>
            <w:tcBorders>
              <w:top w:val="nil"/>
              <w:left w:val="nil"/>
              <w:bottom w:val="single" w:color="auto" w:sz="4" w:space="0"/>
              <w:right w:val="single" w:color="auto" w:sz="4" w:space="0"/>
            </w:tcBorders>
            <w:vAlign w:val="center"/>
          </w:tcPr>
          <w:p w14:paraId="5B9FF4BC">
            <w:pPr>
              <w:widowControl/>
              <w:wordWrap w:val="0"/>
              <w:spacing w:line="360" w:lineRule="auto"/>
              <w:ind w:firstLine="36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4D1023A1">
      <w:pPr>
        <w:wordWrap w:val="0"/>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7FE5D6E">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38F2DA80">
      <w:pPr>
        <w:pStyle w:val="14"/>
        <w:wordWrap w:val="0"/>
        <w:spacing w:line="360" w:lineRule="auto"/>
        <w:ind w:firstLine="723"/>
        <w:jc w:val="center"/>
        <w:outlineLvl w:val="0"/>
        <w:rPr>
          <w:rFonts w:hint="eastAsia" w:hAnsi="宋体" w:cs="宋体"/>
          <w:b/>
          <w:color w:val="auto"/>
          <w:sz w:val="36"/>
          <w:szCs w:val="36"/>
          <w:highlight w:val="none"/>
        </w:rPr>
      </w:pPr>
      <w:bookmarkStart w:id="38" w:name="_Toc29457"/>
      <w:bookmarkStart w:id="39" w:name="_Toc532545044"/>
      <w:r>
        <w:rPr>
          <w:rFonts w:hint="eastAsia" w:hAnsi="宋体" w:cs="宋体"/>
          <w:b/>
          <w:color w:val="auto"/>
          <w:sz w:val="36"/>
          <w:highlight w:val="none"/>
        </w:rPr>
        <w:t>第三章  投标人须知</w:t>
      </w:r>
      <w:bookmarkEnd w:id="38"/>
      <w:bookmarkEnd w:id="39"/>
    </w:p>
    <w:p w14:paraId="500568C3">
      <w:pPr>
        <w:pStyle w:val="14"/>
        <w:wordWrap w:val="0"/>
        <w:spacing w:line="360" w:lineRule="auto"/>
        <w:ind w:firstLine="602"/>
        <w:jc w:val="center"/>
        <w:outlineLvl w:val="1"/>
        <w:rPr>
          <w:rFonts w:hint="eastAsia" w:hAnsi="宋体" w:cs="宋体"/>
          <w:b/>
          <w:color w:val="auto"/>
          <w:sz w:val="30"/>
          <w:szCs w:val="30"/>
          <w:highlight w:val="none"/>
        </w:rPr>
      </w:pPr>
      <w:bookmarkStart w:id="40" w:name="_Toc26080"/>
      <w:r>
        <w:rPr>
          <w:rFonts w:hint="eastAsia" w:hAnsi="宋体" w:cs="宋体"/>
          <w:b/>
          <w:color w:val="auto"/>
          <w:sz w:val="30"/>
          <w:szCs w:val="30"/>
          <w:highlight w:val="none"/>
        </w:rPr>
        <w:t>第一节 投标人须知前附表</w:t>
      </w:r>
      <w:bookmarkEnd w:id="40"/>
    </w:p>
    <w:tbl>
      <w:tblPr>
        <w:tblStyle w:val="26"/>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630"/>
        <w:gridCol w:w="6935"/>
      </w:tblGrid>
      <w:tr w14:paraId="095DB4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58F9358">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条款号</w:t>
            </w:r>
          </w:p>
        </w:tc>
        <w:tc>
          <w:tcPr>
            <w:tcW w:w="2630" w:type="dxa"/>
            <w:tcBorders>
              <w:top w:val="single" w:color="auto" w:sz="4" w:space="0"/>
              <w:left w:val="single" w:color="auto" w:sz="4" w:space="0"/>
              <w:bottom w:val="single" w:color="auto" w:sz="4" w:space="0"/>
              <w:right w:val="single" w:color="auto" w:sz="4" w:space="0"/>
            </w:tcBorders>
            <w:vAlign w:val="center"/>
          </w:tcPr>
          <w:p w14:paraId="46E4C58D">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项目内容</w:t>
            </w:r>
          </w:p>
        </w:tc>
        <w:tc>
          <w:tcPr>
            <w:tcW w:w="6935" w:type="dxa"/>
            <w:tcBorders>
              <w:top w:val="single" w:color="auto" w:sz="4" w:space="0"/>
              <w:left w:val="single" w:color="auto" w:sz="4" w:space="0"/>
              <w:bottom w:val="single" w:color="auto" w:sz="4" w:space="0"/>
              <w:right w:val="single" w:color="auto" w:sz="4" w:space="0"/>
            </w:tcBorders>
            <w:vAlign w:val="center"/>
          </w:tcPr>
          <w:p w14:paraId="6C198429">
            <w:pPr>
              <w:keepLines/>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编列内容</w:t>
            </w:r>
          </w:p>
        </w:tc>
      </w:tr>
      <w:tr w14:paraId="129486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8E50D5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6.1</w:t>
            </w:r>
          </w:p>
        </w:tc>
        <w:tc>
          <w:tcPr>
            <w:tcW w:w="2630" w:type="dxa"/>
            <w:tcBorders>
              <w:top w:val="single" w:color="auto" w:sz="4" w:space="0"/>
              <w:left w:val="single" w:color="auto" w:sz="4" w:space="0"/>
              <w:bottom w:val="single" w:color="auto" w:sz="4" w:space="0"/>
              <w:right w:val="single" w:color="auto" w:sz="4" w:space="0"/>
            </w:tcBorders>
            <w:vAlign w:val="center"/>
          </w:tcPr>
          <w:p w14:paraId="3DC5A7D7">
            <w:pPr>
              <w:keepLines/>
              <w:wordWrap w:val="0"/>
              <w:spacing w:line="360" w:lineRule="auto"/>
              <w:rPr>
                <w:rFonts w:hint="eastAsia" w:ascii="宋体" w:hAnsi="宋体" w:cs="宋体"/>
                <w:color w:val="auto"/>
                <w:sz w:val="24"/>
                <w:highlight w:val="none"/>
              </w:rPr>
            </w:pPr>
            <w:bookmarkStart w:id="41" w:name="_8.1"/>
            <w:bookmarkEnd w:id="41"/>
            <w:bookmarkStart w:id="42" w:name="_5"/>
            <w:bookmarkEnd w:id="42"/>
            <w:bookmarkStart w:id="43" w:name="_9.2"/>
            <w:bookmarkEnd w:id="43"/>
            <w:r>
              <w:rPr>
                <w:rFonts w:hint="eastAsia" w:ascii="宋体" w:hAnsi="宋体" w:cs="宋体"/>
                <w:color w:val="auto"/>
                <w:sz w:val="24"/>
                <w:highlight w:val="none"/>
              </w:rPr>
              <w:t>是否接受联合体投标</w:t>
            </w:r>
          </w:p>
        </w:tc>
        <w:tc>
          <w:tcPr>
            <w:tcW w:w="6935" w:type="dxa"/>
            <w:tcBorders>
              <w:top w:val="single" w:color="auto" w:sz="4" w:space="0"/>
              <w:left w:val="single" w:color="auto" w:sz="4" w:space="0"/>
              <w:bottom w:val="single" w:color="auto" w:sz="4" w:space="0"/>
              <w:right w:val="single" w:color="auto" w:sz="4" w:space="0"/>
            </w:tcBorders>
            <w:vAlign w:val="center"/>
          </w:tcPr>
          <w:p w14:paraId="5D9FF892">
            <w:pPr>
              <w:pStyle w:val="11"/>
              <w:spacing w:line="360" w:lineRule="auto"/>
              <w:rPr>
                <w:color w:val="auto"/>
                <w:sz w:val="24"/>
                <w:highlight w:val="none"/>
              </w:rPr>
            </w:pPr>
            <w:r>
              <w:rPr>
                <w:rFonts w:hint="eastAsia"/>
                <w:color w:val="auto"/>
                <w:sz w:val="24"/>
                <w:highlight w:val="none"/>
              </w:rPr>
              <w:t>否</w:t>
            </w:r>
          </w:p>
        </w:tc>
      </w:tr>
      <w:tr w14:paraId="3001D3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2148FD26">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6.2</w:t>
            </w:r>
          </w:p>
        </w:tc>
        <w:tc>
          <w:tcPr>
            <w:tcW w:w="2630" w:type="dxa"/>
            <w:tcBorders>
              <w:top w:val="single" w:color="auto" w:sz="4" w:space="0"/>
              <w:left w:val="single" w:color="auto" w:sz="4" w:space="0"/>
              <w:bottom w:val="single" w:color="auto" w:sz="4" w:space="0"/>
              <w:right w:val="single" w:color="auto" w:sz="4" w:space="0"/>
            </w:tcBorders>
            <w:vAlign w:val="center"/>
          </w:tcPr>
          <w:p w14:paraId="5509B8F6">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联合体投标要求</w:t>
            </w:r>
          </w:p>
        </w:tc>
        <w:tc>
          <w:tcPr>
            <w:tcW w:w="6935" w:type="dxa"/>
            <w:tcBorders>
              <w:top w:val="single" w:color="auto" w:sz="4" w:space="0"/>
              <w:left w:val="single" w:color="auto" w:sz="4" w:space="0"/>
              <w:bottom w:val="single" w:color="auto" w:sz="4" w:space="0"/>
              <w:right w:val="single" w:color="auto" w:sz="4" w:space="0"/>
            </w:tcBorders>
            <w:vAlign w:val="center"/>
          </w:tcPr>
          <w:p w14:paraId="37C4A143">
            <w:pPr>
              <w:spacing w:line="360" w:lineRule="auto"/>
              <w:rPr>
                <w:color w:val="auto"/>
                <w:sz w:val="24"/>
                <w:highlight w:val="none"/>
              </w:rPr>
            </w:pPr>
            <w:r>
              <w:rPr>
                <w:rFonts w:hint="eastAsia"/>
                <w:color w:val="auto"/>
                <w:sz w:val="24"/>
                <w:highlight w:val="none"/>
              </w:rPr>
              <w:t xml:space="preserve">无 </w:t>
            </w:r>
          </w:p>
        </w:tc>
      </w:tr>
      <w:tr w14:paraId="69B65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5168B9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7.2</w:t>
            </w:r>
          </w:p>
        </w:tc>
        <w:tc>
          <w:tcPr>
            <w:tcW w:w="2630" w:type="dxa"/>
            <w:tcBorders>
              <w:top w:val="single" w:color="auto" w:sz="4" w:space="0"/>
              <w:left w:val="single" w:color="auto" w:sz="4" w:space="0"/>
              <w:bottom w:val="single" w:color="auto" w:sz="4" w:space="0"/>
              <w:right w:val="single" w:color="auto" w:sz="4" w:space="0"/>
            </w:tcBorders>
            <w:vAlign w:val="center"/>
          </w:tcPr>
          <w:p w14:paraId="2F5EABB7">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是否允许转包/分包</w:t>
            </w:r>
          </w:p>
        </w:tc>
        <w:tc>
          <w:tcPr>
            <w:tcW w:w="6935" w:type="dxa"/>
            <w:tcBorders>
              <w:top w:val="single" w:color="auto" w:sz="4" w:space="0"/>
              <w:left w:val="single" w:color="auto" w:sz="4" w:space="0"/>
              <w:bottom w:val="single" w:color="auto" w:sz="4" w:space="0"/>
              <w:right w:val="single" w:color="auto" w:sz="4" w:space="0"/>
            </w:tcBorders>
            <w:vAlign w:val="center"/>
          </w:tcPr>
          <w:p w14:paraId="11DBFE12">
            <w:pPr>
              <w:pStyle w:val="11"/>
              <w:spacing w:line="360" w:lineRule="auto"/>
              <w:rPr>
                <w:color w:val="auto"/>
                <w:sz w:val="24"/>
                <w:highlight w:val="none"/>
              </w:rPr>
            </w:pPr>
            <w:bookmarkStart w:id="44" w:name="PO_3000001866_PM044"/>
            <w:r>
              <w:rPr>
                <w:rFonts w:ascii="Segoe UI Symbol" w:hAnsi="Segoe UI Symbol" w:cs="Segoe UI Symbol"/>
                <w:color w:val="auto"/>
                <w:sz w:val="24"/>
                <w:highlight w:val="none"/>
              </w:rPr>
              <w:t>☑</w:t>
            </w:r>
            <w:r>
              <w:rPr>
                <w:rFonts w:hint="eastAsia" w:ascii="宋体" w:hAnsi="宋体" w:cs="宋体"/>
                <w:color w:val="auto"/>
                <w:sz w:val="24"/>
                <w:highlight w:val="none"/>
              </w:rPr>
              <w:t>不允许分包</w:t>
            </w:r>
            <w:bookmarkEnd w:id="44"/>
          </w:p>
          <w:p w14:paraId="52F03491">
            <w:pPr>
              <w:pStyle w:val="11"/>
              <w:spacing w:line="360" w:lineRule="auto"/>
              <w:rPr>
                <w:color w:val="auto"/>
                <w:sz w:val="24"/>
                <w:highlight w:val="none"/>
              </w:rPr>
            </w:pPr>
            <w:r>
              <w:rPr>
                <w:rFonts w:hint="eastAsia"/>
                <w:color w:val="auto"/>
                <w:sz w:val="24"/>
                <w:highlight w:val="none"/>
              </w:rPr>
              <w:t>□转包/分包内容：                                     。</w:t>
            </w:r>
          </w:p>
          <w:p w14:paraId="39A861C0">
            <w:pPr>
              <w:pStyle w:val="11"/>
              <w:spacing w:line="360" w:lineRule="auto"/>
              <w:rPr>
                <w:color w:val="auto"/>
                <w:sz w:val="24"/>
                <w:highlight w:val="none"/>
              </w:rPr>
            </w:pPr>
            <w:r>
              <w:rPr>
                <w:rFonts w:hint="eastAsia"/>
                <w:color w:val="auto"/>
                <w:sz w:val="24"/>
                <w:highlight w:val="none"/>
              </w:rPr>
              <w:t>□转包/分包金额或者比例：                                     。</w:t>
            </w:r>
          </w:p>
        </w:tc>
      </w:tr>
      <w:tr w14:paraId="14B22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447D3E">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11.4</w:t>
            </w:r>
          </w:p>
        </w:tc>
        <w:tc>
          <w:tcPr>
            <w:tcW w:w="2630" w:type="dxa"/>
            <w:tcBorders>
              <w:top w:val="single" w:color="auto" w:sz="4" w:space="0"/>
              <w:left w:val="single" w:color="auto" w:sz="4" w:space="0"/>
              <w:bottom w:val="single" w:color="auto" w:sz="4" w:space="0"/>
              <w:right w:val="single" w:color="auto" w:sz="4" w:space="0"/>
            </w:tcBorders>
            <w:vAlign w:val="center"/>
          </w:tcPr>
          <w:p w14:paraId="1EFE3C0E">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媒体发布渠道</w:t>
            </w:r>
          </w:p>
        </w:tc>
        <w:tc>
          <w:tcPr>
            <w:tcW w:w="6935" w:type="dxa"/>
            <w:tcBorders>
              <w:top w:val="single" w:color="auto" w:sz="4" w:space="0"/>
              <w:left w:val="single" w:color="auto" w:sz="4" w:space="0"/>
              <w:bottom w:val="single" w:color="auto" w:sz="4" w:space="0"/>
              <w:right w:val="single" w:color="auto" w:sz="4" w:space="0"/>
            </w:tcBorders>
            <w:vAlign w:val="center"/>
          </w:tcPr>
          <w:p w14:paraId="7D41F4DA">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与本项目相关的政府采购业务澄清、更正及与之相关的事项将在采购公告中“六、其他补充事宜”中网上查询地址上发布</w:t>
            </w:r>
            <w:r>
              <w:rPr>
                <w:rFonts w:hint="eastAsia" w:ascii="宋体" w:hAnsi="宋体" w:cs="宋体"/>
                <w:color w:val="auto"/>
                <w:kern w:val="0"/>
                <w:sz w:val="24"/>
                <w:highlight w:val="none"/>
              </w:rPr>
              <w:t>。</w:t>
            </w:r>
          </w:p>
        </w:tc>
      </w:tr>
      <w:tr w14:paraId="4CDBA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730CCFC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11.6</w:t>
            </w:r>
          </w:p>
        </w:tc>
        <w:tc>
          <w:tcPr>
            <w:tcW w:w="2630" w:type="dxa"/>
            <w:tcBorders>
              <w:top w:val="single" w:color="auto" w:sz="4" w:space="0"/>
              <w:left w:val="single" w:color="auto" w:sz="4" w:space="0"/>
              <w:bottom w:val="single" w:color="auto" w:sz="4" w:space="0"/>
              <w:right w:val="single" w:color="auto" w:sz="4" w:space="0"/>
            </w:tcBorders>
            <w:vAlign w:val="center"/>
          </w:tcPr>
          <w:p w14:paraId="431F89EF">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是否组织标前答疑会</w:t>
            </w:r>
          </w:p>
        </w:tc>
        <w:tc>
          <w:tcPr>
            <w:tcW w:w="6935" w:type="dxa"/>
            <w:tcBorders>
              <w:top w:val="single" w:color="auto" w:sz="4" w:space="0"/>
              <w:left w:val="single" w:color="auto" w:sz="4" w:space="0"/>
              <w:bottom w:val="single" w:color="auto" w:sz="4" w:space="0"/>
              <w:right w:val="single" w:color="auto" w:sz="4" w:space="0"/>
            </w:tcBorders>
            <w:vAlign w:val="center"/>
          </w:tcPr>
          <w:p w14:paraId="552BF46F">
            <w:pPr>
              <w:keepLines/>
              <w:wordWrap w:val="0"/>
              <w:snapToGrid w:val="0"/>
              <w:spacing w:line="360" w:lineRule="auto"/>
              <w:rPr>
                <w:rFonts w:hint="eastAsia" w:ascii="宋体" w:hAnsi="宋体" w:cs="宋体"/>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不组织召开开标前答疑会</w:t>
            </w:r>
          </w:p>
          <w:p w14:paraId="180FF241">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□组织召开开标前答疑会</w:t>
            </w:r>
          </w:p>
          <w:p w14:paraId="68E3D050">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会议开始时间：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日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分</w:t>
            </w:r>
            <w:r>
              <w:rPr>
                <w:rFonts w:hint="eastAsia" w:ascii="宋体" w:hAnsi="宋体" w:cs="宋体"/>
                <w:color w:val="auto"/>
                <w:sz w:val="24"/>
                <w:highlight w:val="none"/>
              </w:rPr>
              <w:t>，逾期后果自负。会议地点：</w:t>
            </w:r>
            <w:r>
              <w:rPr>
                <w:rFonts w:hint="eastAsia" w:ascii="宋体" w:hAnsi="宋体" w:cs="宋体"/>
                <w:color w:val="auto"/>
                <w:sz w:val="24"/>
                <w:highlight w:val="none"/>
                <w:u w:val="single"/>
              </w:rPr>
              <w:t xml:space="preserve">      </w:t>
            </w:r>
          </w:p>
        </w:tc>
      </w:tr>
      <w:tr w14:paraId="5813D8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F7C50C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13.1</w:t>
            </w:r>
          </w:p>
        </w:tc>
        <w:tc>
          <w:tcPr>
            <w:tcW w:w="2630" w:type="dxa"/>
            <w:tcBorders>
              <w:top w:val="single" w:color="auto" w:sz="4" w:space="0"/>
              <w:left w:val="single" w:color="auto" w:sz="4" w:space="0"/>
              <w:bottom w:val="single" w:color="auto" w:sz="4" w:space="0"/>
              <w:right w:val="single" w:color="auto" w:sz="4" w:space="0"/>
            </w:tcBorders>
            <w:vAlign w:val="center"/>
          </w:tcPr>
          <w:p w14:paraId="528781F1">
            <w:pPr>
              <w:keepLines/>
              <w:wordWrap w:val="0"/>
              <w:snapToGrid w:val="0"/>
              <w:spacing w:line="360" w:lineRule="auto"/>
              <w:jc w:val="left"/>
              <w:rPr>
                <w:rFonts w:hint="eastAsia" w:ascii="宋体" w:hAnsi="宋体" w:cs="宋体"/>
                <w:color w:val="auto"/>
                <w:sz w:val="24"/>
                <w:highlight w:val="none"/>
              </w:rPr>
            </w:pPr>
            <w:bookmarkStart w:id="45" w:name="_13.2"/>
            <w:bookmarkEnd w:id="45"/>
            <w:r>
              <w:rPr>
                <w:rFonts w:hint="eastAsia" w:ascii="宋体" w:hAnsi="宋体" w:cs="宋体"/>
                <w:color w:val="auto"/>
                <w:sz w:val="24"/>
                <w:highlight w:val="none"/>
              </w:rPr>
              <w:t>资格证明文件组成</w:t>
            </w:r>
          </w:p>
        </w:tc>
        <w:tc>
          <w:tcPr>
            <w:tcW w:w="6935" w:type="dxa"/>
            <w:tcBorders>
              <w:top w:val="single" w:color="auto" w:sz="4" w:space="0"/>
              <w:left w:val="single" w:color="auto" w:sz="4" w:space="0"/>
              <w:bottom w:val="single" w:color="auto" w:sz="4" w:space="0"/>
              <w:right w:val="single" w:color="auto" w:sz="4" w:space="0"/>
            </w:tcBorders>
            <w:vAlign w:val="center"/>
          </w:tcPr>
          <w:p w14:paraId="4C5B0635">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1、投标人为法人或者其他组织的，提供营业执照等证明文件（如营业执照或者事业单位法人证书或者</w:t>
            </w:r>
            <w:r>
              <w:rPr>
                <w:rStyle w:val="36"/>
                <w:rFonts w:hint="eastAsia"/>
                <w:color w:val="auto"/>
                <w:sz w:val="24"/>
                <w:szCs w:val="24"/>
                <w:highlight w:val="none"/>
              </w:rPr>
              <w:t>执业许可证</w:t>
            </w:r>
            <w:r>
              <w:rPr>
                <w:rFonts w:hint="eastAsia" w:ascii="宋体" w:hAnsi="宋体" w:cs="宋体"/>
                <w:color w:val="auto"/>
                <w:sz w:val="24"/>
                <w:highlight w:val="none"/>
              </w:rPr>
              <w:t>等），投标人为自然人的，提供身份证复印件。（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31A55B42">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2、投标人依法缴纳税收的相关材料[</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3</w:t>
            </w:r>
            <w:r>
              <w:rPr>
                <w:rFonts w:hint="eastAsia" w:ascii="宋体" w:hAnsi="宋体" w:cs="宋体"/>
                <w:color w:val="auto"/>
                <w:sz w:val="24"/>
                <w:highlight w:val="none"/>
              </w:rPr>
              <w:t>月至</w:t>
            </w:r>
            <w:r>
              <w:rPr>
                <w:rFonts w:hint="eastAsia" w:ascii="宋体" w:hAnsi="宋体" w:cs="宋体"/>
                <w:color w:val="auto"/>
                <w:sz w:val="24"/>
                <w:highlight w:val="none"/>
                <w:u w:val="single"/>
              </w:rPr>
              <w:t xml:space="preserve"> 2025 </w:t>
            </w:r>
            <w:r>
              <w:rPr>
                <w:rFonts w:hint="eastAsia" w:ascii="宋体" w:hAnsi="宋体" w:cs="宋体"/>
                <w:color w:val="auto"/>
                <w:sz w:val="24"/>
                <w:highlight w:val="none"/>
              </w:rPr>
              <w:t>年</w:t>
            </w:r>
            <w:r>
              <w:rPr>
                <w:rFonts w:hint="eastAsia" w:ascii="宋体" w:hAnsi="宋体" w:cs="宋体"/>
                <w:color w:val="auto"/>
                <w:sz w:val="24"/>
                <w:highlight w:val="none"/>
                <w:u w:val="single"/>
              </w:rPr>
              <w:t>8</w:t>
            </w:r>
            <w:r>
              <w:rPr>
                <w:rFonts w:hint="eastAsia" w:ascii="宋体" w:hAnsi="宋体" w:cs="宋体"/>
                <w:color w:val="auto"/>
                <w:sz w:val="24"/>
                <w:highlight w:val="none"/>
              </w:rPr>
              <w:t>月]连续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8213F74">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3、投标人依法缴纳社会保障资金的相关材料[</w:t>
            </w:r>
            <w:r>
              <w:rPr>
                <w:rFonts w:hint="eastAsia" w:ascii="宋体" w:hAnsi="宋体" w:cs="宋体"/>
                <w:color w:val="auto"/>
                <w:sz w:val="24"/>
                <w:highlight w:val="none"/>
                <w:u w:val="single"/>
              </w:rPr>
              <w:t>2025</w:t>
            </w:r>
            <w:r>
              <w:rPr>
                <w:rFonts w:hint="eastAsia" w:ascii="宋体" w:hAnsi="宋体" w:cs="宋体"/>
                <w:color w:val="auto"/>
                <w:sz w:val="24"/>
                <w:highlight w:val="none"/>
              </w:rPr>
              <w:t>年</w:t>
            </w:r>
            <w:r>
              <w:rPr>
                <w:rFonts w:hint="eastAsia" w:ascii="宋体" w:hAnsi="宋体" w:cs="宋体"/>
                <w:color w:val="auto"/>
                <w:sz w:val="24"/>
                <w:highlight w:val="none"/>
                <w:u w:val="single"/>
              </w:rPr>
              <w:t>3</w:t>
            </w:r>
            <w:r>
              <w:rPr>
                <w:rFonts w:hint="eastAsia" w:ascii="宋体" w:hAnsi="宋体" w:cs="宋体"/>
                <w:color w:val="auto"/>
                <w:sz w:val="24"/>
                <w:highlight w:val="none"/>
              </w:rPr>
              <w:t>月至</w:t>
            </w:r>
            <w:r>
              <w:rPr>
                <w:rFonts w:hint="eastAsia" w:ascii="宋体" w:hAnsi="宋体" w:cs="宋体"/>
                <w:color w:val="auto"/>
                <w:sz w:val="24"/>
                <w:highlight w:val="none"/>
                <w:u w:val="single"/>
              </w:rPr>
              <w:t xml:space="preserve"> 2025 </w:t>
            </w:r>
            <w:r>
              <w:rPr>
                <w:rFonts w:hint="eastAsia" w:ascii="宋体" w:hAnsi="宋体" w:cs="宋体"/>
                <w:color w:val="auto"/>
                <w:sz w:val="24"/>
                <w:highlight w:val="none"/>
              </w:rPr>
              <w:t>年</w:t>
            </w:r>
            <w:r>
              <w:rPr>
                <w:rFonts w:hint="eastAsia" w:ascii="宋体" w:hAnsi="宋体" w:cs="宋体"/>
                <w:color w:val="auto"/>
                <w:sz w:val="24"/>
                <w:highlight w:val="none"/>
                <w:u w:val="single"/>
              </w:rPr>
              <w:t>8</w:t>
            </w:r>
            <w:r>
              <w:rPr>
                <w:rFonts w:hint="eastAsia" w:ascii="宋体" w:hAnsi="宋体" w:cs="宋体"/>
                <w:color w:val="auto"/>
                <w:sz w:val="24"/>
                <w:highlight w:val="none"/>
              </w:rPr>
              <w:t>月]连续</w:t>
            </w:r>
            <w:r>
              <w:rPr>
                <w:rFonts w:hint="eastAsia" w:ascii="宋体" w:hAnsi="宋体" w:cs="宋体"/>
                <w:color w:val="auto"/>
                <w:sz w:val="24"/>
                <w:highlight w:val="none"/>
                <w:u w:val="single"/>
              </w:rPr>
              <w:t xml:space="preserve"> 三 </w:t>
            </w:r>
            <w:r>
              <w:rPr>
                <w:rFonts w:hint="eastAsia" w:ascii="宋体" w:hAnsi="宋体" w:cs="宋体"/>
                <w:color w:val="auto"/>
                <w:sz w:val="24"/>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738A39A2">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4、投标人财务状况报告：[</w:t>
            </w:r>
            <w:r>
              <w:rPr>
                <w:rFonts w:hint="eastAsia" w:ascii="宋体" w:hAnsi="宋体" w:cs="宋体"/>
                <w:color w:val="auto"/>
                <w:sz w:val="24"/>
                <w:highlight w:val="none"/>
                <w:u w:val="single"/>
              </w:rPr>
              <w:t>2024</w:t>
            </w:r>
            <w:r>
              <w:rPr>
                <w:rFonts w:hint="eastAsia" w:ascii="宋体" w:hAnsi="宋体" w:cs="宋体"/>
                <w:color w:val="auto"/>
                <w:sz w:val="24"/>
                <w:highlight w:val="none"/>
              </w:rPr>
              <w:t>年]财务状况报告复印件；供应商成立不满一年的应按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F0ED17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5、投标人直接控股股东信息表、管理关系信息表。（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19E69BA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6、投标资格声明函。（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D357F74">
            <w:pPr>
              <w:keepLines/>
              <w:wordWrap w:val="0"/>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4"/>
                <w:highlight w:val="none"/>
              </w:rPr>
              <w:t>7、联合体协议书。</w:t>
            </w:r>
            <w:r>
              <w:rPr>
                <w:rFonts w:hint="eastAsia" w:ascii="宋体" w:hAnsi="宋体" w:cs="宋体"/>
                <w:b/>
                <w:bCs/>
                <w:color w:val="auto"/>
                <w:sz w:val="24"/>
                <w:highlight w:val="none"/>
              </w:rPr>
              <w:t>（以联合体形式投标的，提供联合体协议；本项目不接受联合体投标或者投标人不以联合体形式投标的，则不需要提供）</w:t>
            </w:r>
          </w:p>
          <w:p w14:paraId="37D7AE09">
            <w:pPr>
              <w:keepLines/>
              <w:wordWrap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8、</w:t>
            </w:r>
            <w:r>
              <w:rPr>
                <w:rFonts w:hint="eastAsia" w:ascii="宋体" w:hAnsi="宋体" w:cs="宋体"/>
                <w:color w:val="auto"/>
                <w:sz w:val="24"/>
                <w:highlight w:val="none"/>
              </w:rPr>
              <w:t>中小企业声明函。（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52AB260">
            <w:pPr>
              <w:keepLines/>
              <w:wordWrap w:val="0"/>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9、除招标文件规定必须提供以外，投标人认为需要提供的其他证明材料。</w:t>
            </w:r>
          </w:p>
          <w:p w14:paraId="56855889">
            <w:pPr>
              <w:keepLines/>
              <w:wordWrap w:val="0"/>
              <w:snapToGrid w:val="0"/>
              <w:spacing w:line="360" w:lineRule="auto"/>
              <w:ind w:firstLine="482"/>
              <w:jc w:val="left"/>
              <w:rPr>
                <w:rFonts w:hint="eastAsia" w:ascii="宋体" w:hAnsi="宋体" w:cs="宋体"/>
                <w:b/>
                <w:color w:val="auto"/>
                <w:sz w:val="24"/>
                <w:highlight w:val="none"/>
              </w:rPr>
            </w:pPr>
            <w:r>
              <w:rPr>
                <w:rFonts w:hint="eastAsia" w:ascii="宋体" w:hAnsi="宋体" w:cs="宋体"/>
                <w:b/>
                <w:bCs/>
                <w:color w:val="auto"/>
                <w:sz w:val="24"/>
                <w:highlight w:val="none"/>
              </w:rPr>
              <w:t>注：1.</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p>
          <w:p w14:paraId="426CD68C">
            <w:pPr>
              <w:keepLines/>
              <w:wordWrap w:val="0"/>
              <w:snapToGrid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color w:val="auto"/>
                <w:sz w:val="24"/>
                <w:highlight w:val="none"/>
              </w:rPr>
              <w:t>2</w:t>
            </w:r>
            <w:r>
              <w:rPr>
                <w:rFonts w:hint="eastAsia" w:ascii="宋体" w:hAnsi="宋体" w:cs="宋体"/>
                <w:b/>
                <w:bCs/>
                <w:color w:val="auto"/>
                <w:sz w:val="24"/>
                <w:highlight w:val="none"/>
              </w:rPr>
              <w:t>.联合体投标时，第1-5项资格证明文件联合体各方均必须分别提供，联合体各方分别盖章，否则投标文件按无效投标处理。</w:t>
            </w:r>
          </w:p>
        </w:tc>
      </w:tr>
      <w:tr w14:paraId="3A2F6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vAlign w:val="center"/>
          </w:tcPr>
          <w:p w14:paraId="6526BEC6">
            <w:pPr>
              <w:keepLines/>
              <w:wordWrap w:val="0"/>
              <w:spacing w:line="360" w:lineRule="auto"/>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1FC066F">
            <w:pPr>
              <w:keepLines/>
              <w:wordWrap w:val="0"/>
              <w:snapToGrid w:val="0"/>
              <w:spacing w:line="360" w:lineRule="auto"/>
              <w:jc w:val="left"/>
              <w:rPr>
                <w:rFonts w:hint="eastAsia" w:ascii="宋体" w:hAnsi="宋体" w:cs="宋体"/>
                <w:color w:val="auto"/>
                <w:sz w:val="24"/>
                <w:highlight w:val="none"/>
              </w:rPr>
            </w:pPr>
            <w:bookmarkStart w:id="46" w:name="_13.3"/>
            <w:bookmarkEnd w:id="46"/>
            <w:r>
              <w:rPr>
                <w:rFonts w:hint="eastAsia" w:ascii="宋体" w:hAnsi="宋体" w:cs="宋体"/>
                <w:color w:val="auto"/>
                <w:sz w:val="24"/>
                <w:highlight w:val="none"/>
              </w:rPr>
              <w:t>商务文件组成</w:t>
            </w:r>
          </w:p>
          <w:p w14:paraId="70454D92">
            <w:pPr>
              <w:keepLines/>
              <w:wordWrap w:val="0"/>
              <w:spacing w:line="360" w:lineRule="auto"/>
              <w:rPr>
                <w:rFonts w:hint="eastAsia" w:ascii="宋体" w:hAnsi="宋体" w:cs="宋体"/>
                <w:color w:val="auto"/>
                <w:sz w:val="24"/>
                <w:highlight w:val="none"/>
              </w:rPr>
            </w:pPr>
          </w:p>
        </w:tc>
        <w:tc>
          <w:tcPr>
            <w:tcW w:w="6935" w:type="dxa"/>
            <w:tcBorders>
              <w:top w:val="single" w:color="auto" w:sz="4" w:space="0"/>
              <w:left w:val="single" w:color="auto" w:sz="4" w:space="0"/>
              <w:bottom w:val="single" w:color="auto" w:sz="4" w:space="0"/>
              <w:right w:val="single" w:color="auto" w:sz="4" w:space="0"/>
            </w:tcBorders>
            <w:vAlign w:val="center"/>
          </w:tcPr>
          <w:p w14:paraId="2C8970CA">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1、无串通投标行为的承诺函；（</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496974B0">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2、法定代表人身份证明及法定代表人有效身份证正反面复印件；（</w:t>
            </w:r>
            <w:r>
              <w:rPr>
                <w:rFonts w:hint="eastAsia" w:ascii="宋体" w:hAnsi="宋体" w:cs="宋体"/>
                <w:b/>
                <w:bCs/>
                <w:color w:val="auto"/>
                <w:sz w:val="24"/>
                <w:highlight w:val="none"/>
              </w:rPr>
              <w:t>除自然人投标外</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68FCB0A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3、法定代表人授权委托书及委托代理人有效身份证正反面复印件；（</w:t>
            </w:r>
            <w:r>
              <w:rPr>
                <w:rFonts w:hint="eastAsia" w:ascii="宋体" w:hAnsi="宋体" w:cs="宋体"/>
                <w:b/>
                <w:color w:val="auto"/>
                <w:sz w:val="24"/>
                <w:highlight w:val="none"/>
              </w:rPr>
              <w:t>委托时必须提供，否则作无效投标处理</w:t>
            </w:r>
            <w:r>
              <w:rPr>
                <w:rFonts w:hint="eastAsia" w:ascii="宋体" w:hAnsi="宋体" w:cs="宋体"/>
                <w:color w:val="auto"/>
                <w:sz w:val="24"/>
                <w:highlight w:val="none"/>
              </w:rPr>
              <w:t>）</w:t>
            </w:r>
          </w:p>
          <w:p w14:paraId="1312071C">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4、商务条款偏离表；（</w:t>
            </w:r>
            <w:r>
              <w:rPr>
                <w:rFonts w:hint="eastAsia" w:ascii="宋体" w:hAnsi="宋体" w:cs="宋体"/>
                <w:b/>
                <w:color w:val="auto"/>
                <w:sz w:val="24"/>
                <w:highlight w:val="none"/>
              </w:rPr>
              <w:t>必须提供，否则作无效投标处理</w:t>
            </w:r>
            <w:r>
              <w:rPr>
                <w:rFonts w:hint="eastAsia" w:ascii="宋体" w:hAnsi="宋体" w:cs="宋体"/>
                <w:color w:val="auto"/>
                <w:sz w:val="24"/>
                <w:highlight w:val="none"/>
              </w:rPr>
              <w:t>）</w:t>
            </w:r>
          </w:p>
          <w:p w14:paraId="50C4F818">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5、投标人情况介绍；</w:t>
            </w:r>
          </w:p>
          <w:p w14:paraId="23923D0F">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6、除采购文件规定必须提供以外，投标人认为需要提供的其他证明材料。（投标人根据“第二章 采购需求”及“第四章 评标方法及评标标准”提供有关证明材料）。</w:t>
            </w:r>
          </w:p>
          <w:p w14:paraId="21C579AA">
            <w:pPr>
              <w:keepLines/>
              <w:wordWrap w:val="0"/>
              <w:snapToGrid w:val="0"/>
              <w:spacing w:line="360" w:lineRule="auto"/>
              <w:ind w:firstLine="482"/>
              <w:jc w:val="left"/>
              <w:rPr>
                <w:rFonts w:hint="eastAsia" w:ascii="宋体" w:hAnsi="宋体" w:cs="宋体"/>
                <w:b/>
                <w:bCs/>
                <w:color w:val="auto"/>
                <w:sz w:val="24"/>
                <w:highlight w:val="none"/>
              </w:rPr>
            </w:pPr>
            <w:r>
              <w:rPr>
                <w:rFonts w:hint="eastAsia" w:ascii="宋体" w:hAnsi="宋体" w:cs="宋体"/>
                <w:b/>
                <w:bCs/>
                <w:color w:val="auto"/>
                <w:sz w:val="24"/>
                <w:highlight w:val="none"/>
              </w:rPr>
              <w:t>注： 1.法定代表人授权委托书必须由法定代表人及委托代理人签字，并加盖投标人公章，否则作无效投标处理。</w:t>
            </w:r>
          </w:p>
          <w:p w14:paraId="17621885">
            <w:pPr>
              <w:keepLines/>
              <w:wordWrap w:val="0"/>
              <w:snapToGrid w:val="0"/>
              <w:spacing w:line="360" w:lineRule="auto"/>
              <w:ind w:firstLine="482" w:firstLineChars="200"/>
              <w:jc w:val="left"/>
              <w:rPr>
                <w:rFonts w:hint="eastAsia" w:ascii="宋体" w:hAnsi="宋体" w:cs="宋体"/>
                <w:b/>
                <w:color w:val="auto"/>
                <w:sz w:val="24"/>
                <w:highlight w:val="none"/>
              </w:rPr>
            </w:pPr>
            <w:r>
              <w:rPr>
                <w:rFonts w:hint="eastAsia" w:ascii="宋体" w:hAnsi="宋体" w:cs="宋体"/>
                <w:b/>
                <w:bCs/>
                <w:color w:val="auto"/>
                <w:sz w:val="24"/>
                <w:highlight w:val="none"/>
              </w:rPr>
              <w:t>2.</w:t>
            </w:r>
            <w:r>
              <w:rPr>
                <w:rFonts w:hint="eastAsia" w:ascii="宋体" w:hAnsi="宋体" w:cs="宋体"/>
                <w:color w:val="auto"/>
                <w:sz w:val="24"/>
                <w:highlight w:val="none"/>
              </w:rPr>
              <w:t xml:space="preserve"> </w:t>
            </w:r>
            <w:r>
              <w:rPr>
                <w:rFonts w:hint="eastAsia" w:ascii="宋体" w:hAnsi="宋体" w:cs="宋体"/>
                <w:b/>
                <w:bCs/>
                <w:color w:val="auto"/>
                <w:sz w:val="24"/>
                <w:highlight w:val="none"/>
              </w:rPr>
              <w:t>以上标明“必须提供”的材料</w:t>
            </w:r>
            <w:r>
              <w:rPr>
                <w:rFonts w:hint="eastAsia" w:ascii="宋体" w:hAnsi="宋体" w:cs="宋体"/>
                <w:b/>
                <w:color w:val="auto"/>
                <w:sz w:val="24"/>
                <w:highlight w:val="none"/>
              </w:rPr>
              <w:t>属于复印件的扫描件的</w:t>
            </w:r>
            <w:r>
              <w:rPr>
                <w:rFonts w:hint="eastAsia" w:ascii="宋体" w:hAnsi="宋体" w:cs="宋体"/>
                <w:b/>
                <w:bCs/>
                <w:color w:val="auto"/>
                <w:sz w:val="24"/>
                <w:highlight w:val="none"/>
              </w:rPr>
              <w:t>，必须加盖投标人电子公章，否则</w:t>
            </w:r>
            <w:r>
              <w:rPr>
                <w:rFonts w:hint="eastAsia" w:ascii="宋体" w:hAnsi="宋体" w:cs="宋体"/>
                <w:b/>
                <w:color w:val="auto"/>
                <w:sz w:val="24"/>
                <w:highlight w:val="none"/>
              </w:rPr>
              <w:t>作无效投标处理</w:t>
            </w:r>
            <w:r>
              <w:rPr>
                <w:rFonts w:hint="eastAsia" w:ascii="宋体" w:hAnsi="宋体" w:cs="宋体"/>
                <w:b/>
                <w:bCs/>
                <w:color w:val="auto"/>
                <w:sz w:val="24"/>
                <w:highlight w:val="none"/>
              </w:rPr>
              <w:t>。</w:t>
            </w:r>
          </w:p>
        </w:tc>
      </w:tr>
      <w:tr w14:paraId="3B5C5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vAlign w:val="center"/>
          </w:tcPr>
          <w:p w14:paraId="6A8B24F7">
            <w:pPr>
              <w:keepLines/>
              <w:wordWrap w:val="0"/>
              <w:spacing w:line="360" w:lineRule="auto"/>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502F73F1">
            <w:pPr>
              <w:keepLines/>
              <w:wordWrap w:val="0"/>
              <w:snapToGrid w:val="0"/>
              <w:spacing w:line="360" w:lineRule="auto"/>
              <w:jc w:val="left"/>
              <w:rPr>
                <w:rFonts w:hint="eastAsia" w:ascii="宋体" w:hAnsi="宋体" w:cs="宋体"/>
                <w:color w:val="auto"/>
                <w:sz w:val="24"/>
                <w:highlight w:val="none"/>
              </w:rPr>
            </w:pPr>
            <w:bookmarkStart w:id="47" w:name="_13.4"/>
            <w:bookmarkEnd w:id="47"/>
            <w:r>
              <w:rPr>
                <w:rFonts w:hint="eastAsia" w:ascii="宋体" w:hAnsi="宋体" w:cs="宋体"/>
                <w:color w:val="auto"/>
                <w:sz w:val="24"/>
                <w:highlight w:val="none"/>
              </w:rPr>
              <w:t>技术文件组成</w:t>
            </w:r>
          </w:p>
          <w:p w14:paraId="0AF5D620">
            <w:pPr>
              <w:keepLines/>
              <w:wordWrap w:val="0"/>
              <w:spacing w:line="360" w:lineRule="auto"/>
              <w:rPr>
                <w:rFonts w:hint="eastAsia" w:ascii="宋体" w:hAnsi="宋体" w:cs="宋体"/>
                <w:color w:val="auto"/>
                <w:sz w:val="24"/>
                <w:highlight w:val="none"/>
              </w:rPr>
            </w:pPr>
          </w:p>
        </w:tc>
        <w:tc>
          <w:tcPr>
            <w:tcW w:w="6935" w:type="dxa"/>
            <w:tcBorders>
              <w:top w:val="single" w:color="auto" w:sz="4" w:space="0"/>
              <w:left w:val="single" w:color="auto" w:sz="4" w:space="0"/>
              <w:bottom w:val="single" w:color="auto" w:sz="4" w:space="0"/>
              <w:right w:val="single" w:color="auto" w:sz="4" w:space="0"/>
            </w:tcBorders>
            <w:vAlign w:val="center"/>
          </w:tcPr>
          <w:p w14:paraId="325635EA">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1、服务需求、技术需求偏离表；（必须提供，否则作无效投标处理）</w:t>
            </w:r>
          </w:p>
          <w:p w14:paraId="3C5EAF6F">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2、组织服务方案；（如有请提供）</w:t>
            </w:r>
          </w:p>
          <w:p w14:paraId="0CD122E3">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3、售后服务方案；（必须提供，否则作无效投标处理）</w:t>
            </w:r>
          </w:p>
          <w:p w14:paraId="4E9CAC87">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4、项目实施人员一览表；（如有请提供）</w:t>
            </w:r>
          </w:p>
          <w:p w14:paraId="096C2D9F">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5、投标人对本项目的合理化建议和改进措施；（如有请提供）</w:t>
            </w:r>
          </w:p>
          <w:p w14:paraId="75CFFD79">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6、除招标文件规定必须提供以外，投标人需要说明的其他文件和说明。</w:t>
            </w:r>
          </w:p>
          <w:p w14:paraId="144D0D4C">
            <w:pPr>
              <w:keepLines/>
              <w:wordWrap w:val="0"/>
              <w:snapToGrid w:val="0"/>
              <w:spacing w:line="360" w:lineRule="auto"/>
              <w:jc w:val="left"/>
              <w:rPr>
                <w:rFonts w:hint="eastAsia" w:ascii="宋体" w:hAnsi="宋体" w:cs="宋体"/>
                <w:b/>
                <w:bCs/>
                <w:color w:val="auto"/>
                <w:sz w:val="24"/>
                <w:highlight w:val="none"/>
              </w:rPr>
            </w:pPr>
            <w:r>
              <w:rPr>
                <w:rFonts w:hint="eastAsia" w:ascii="宋体" w:hAnsi="宋体" w:cs="宋体"/>
                <w:color w:val="auto"/>
                <w:sz w:val="24"/>
                <w:highlight w:val="none"/>
              </w:rPr>
              <w:t>注：以上标明“必须提供”的材料属于复印件的扫描件的，必须加盖投标人电子公章，否则作无效投标处理。</w:t>
            </w:r>
          </w:p>
        </w:tc>
      </w:tr>
      <w:tr w14:paraId="6F703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vAlign w:val="center"/>
          </w:tcPr>
          <w:p w14:paraId="12971D73">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0430C8C4">
            <w:pPr>
              <w:keepLines/>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报价文件组成</w:t>
            </w:r>
          </w:p>
        </w:tc>
        <w:tc>
          <w:tcPr>
            <w:tcW w:w="6935" w:type="dxa"/>
            <w:tcBorders>
              <w:top w:val="single" w:color="auto" w:sz="4" w:space="0"/>
              <w:left w:val="single" w:color="auto" w:sz="4" w:space="0"/>
              <w:bottom w:val="single" w:color="auto" w:sz="4" w:space="0"/>
              <w:right w:val="single" w:color="auto" w:sz="4" w:space="0"/>
            </w:tcBorders>
            <w:vAlign w:val="center"/>
          </w:tcPr>
          <w:p w14:paraId="0E9E6340">
            <w:pPr>
              <w:keepLines/>
              <w:tabs>
                <w:tab w:val="left" w:pos="459"/>
              </w:tabs>
              <w:wordWrap w:val="0"/>
              <w:snapToGrid w:val="0"/>
              <w:spacing w:line="360" w:lineRule="auto"/>
              <w:jc w:val="left"/>
              <w:rPr>
                <w:color w:val="auto"/>
                <w:sz w:val="24"/>
                <w:highlight w:val="none"/>
              </w:rPr>
            </w:pPr>
            <w:r>
              <w:rPr>
                <w:rFonts w:hint="eastAsia"/>
                <w:color w:val="auto"/>
                <w:sz w:val="24"/>
                <w:highlight w:val="none"/>
              </w:rPr>
              <w:t>1、投标函；（</w:t>
            </w:r>
            <w:r>
              <w:rPr>
                <w:rFonts w:hint="eastAsia" w:ascii="宋体" w:hAnsi="宋体" w:cs="宋体"/>
                <w:b/>
                <w:color w:val="auto"/>
                <w:sz w:val="24"/>
                <w:highlight w:val="none"/>
              </w:rPr>
              <w:t>必须提供，否则作无效投标处理</w:t>
            </w:r>
            <w:r>
              <w:rPr>
                <w:rFonts w:hint="eastAsia"/>
                <w:color w:val="auto"/>
                <w:sz w:val="24"/>
                <w:highlight w:val="none"/>
              </w:rPr>
              <w:t>）</w:t>
            </w:r>
          </w:p>
          <w:p w14:paraId="072E01B0">
            <w:pPr>
              <w:keepLines/>
              <w:tabs>
                <w:tab w:val="left" w:pos="459"/>
              </w:tabs>
              <w:wordWrap w:val="0"/>
              <w:snapToGrid w:val="0"/>
              <w:spacing w:line="360" w:lineRule="auto"/>
              <w:jc w:val="left"/>
              <w:rPr>
                <w:color w:val="auto"/>
                <w:sz w:val="24"/>
                <w:highlight w:val="none"/>
              </w:rPr>
            </w:pPr>
            <w:r>
              <w:rPr>
                <w:rFonts w:hint="eastAsia"/>
                <w:color w:val="auto"/>
                <w:sz w:val="24"/>
                <w:highlight w:val="none"/>
              </w:rPr>
              <w:t>2、开标一览表；（</w:t>
            </w:r>
            <w:r>
              <w:rPr>
                <w:rFonts w:hint="eastAsia" w:ascii="宋体" w:hAnsi="宋体" w:cs="宋体"/>
                <w:b/>
                <w:color w:val="auto"/>
                <w:sz w:val="24"/>
                <w:highlight w:val="none"/>
              </w:rPr>
              <w:t>必须提供，否则作无效投标处理</w:t>
            </w:r>
            <w:r>
              <w:rPr>
                <w:rFonts w:hint="eastAsia"/>
                <w:color w:val="auto"/>
                <w:sz w:val="24"/>
                <w:highlight w:val="none"/>
              </w:rPr>
              <w:t>）</w:t>
            </w:r>
          </w:p>
        </w:tc>
      </w:tr>
      <w:tr w14:paraId="6B6F81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75F0100">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16.2</w:t>
            </w:r>
          </w:p>
        </w:tc>
        <w:tc>
          <w:tcPr>
            <w:tcW w:w="2630" w:type="dxa"/>
            <w:tcBorders>
              <w:top w:val="single" w:color="auto" w:sz="4" w:space="0"/>
              <w:left w:val="single" w:color="auto" w:sz="4" w:space="0"/>
              <w:bottom w:val="single" w:color="auto" w:sz="4" w:space="0"/>
              <w:right w:val="single" w:color="auto" w:sz="4" w:space="0"/>
            </w:tcBorders>
            <w:vAlign w:val="center"/>
          </w:tcPr>
          <w:p w14:paraId="3C8EF51B">
            <w:pPr>
              <w:keepLines/>
              <w:wordWrap w:val="0"/>
              <w:spacing w:line="360" w:lineRule="auto"/>
              <w:rPr>
                <w:rFonts w:hint="eastAsia" w:ascii="宋体" w:hAnsi="宋体" w:cs="宋体"/>
                <w:color w:val="auto"/>
                <w:sz w:val="24"/>
                <w:highlight w:val="none"/>
              </w:rPr>
            </w:pPr>
            <w:bookmarkStart w:id="48" w:name="_16.2"/>
            <w:bookmarkEnd w:id="48"/>
            <w:r>
              <w:rPr>
                <w:rFonts w:hint="eastAsia" w:ascii="宋体" w:hAnsi="宋体" w:cs="宋体"/>
                <w:color w:val="auto"/>
                <w:sz w:val="24"/>
                <w:highlight w:val="none"/>
              </w:rPr>
              <w:t>投标报价要求</w:t>
            </w:r>
          </w:p>
        </w:tc>
        <w:tc>
          <w:tcPr>
            <w:tcW w:w="6935" w:type="dxa"/>
            <w:tcBorders>
              <w:top w:val="single" w:color="auto" w:sz="4" w:space="0"/>
              <w:left w:val="single" w:color="auto" w:sz="4" w:space="0"/>
              <w:bottom w:val="single" w:color="auto" w:sz="4" w:space="0"/>
              <w:right w:val="single" w:color="auto" w:sz="4" w:space="0"/>
            </w:tcBorders>
            <w:vAlign w:val="center"/>
          </w:tcPr>
          <w:p w14:paraId="4C2ED181">
            <w:pPr>
              <w:keepLines/>
              <w:wordWrap w:val="0"/>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14:paraId="492A9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6B33A5A">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17.2</w:t>
            </w:r>
          </w:p>
        </w:tc>
        <w:tc>
          <w:tcPr>
            <w:tcW w:w="2630" w:type="dxa"/>
            <w:tcBorders>
              <w:top w:val="single" w:color="auto" w:sz="4" w:space="0"/>
              <w:left w:val="single" w:color="auto" w:sz="4" w:space="0"/>
              <w:bottom w:val="single" w:color="auto" w:sz="4" w:space="0"/>
              <w:right w:val="single" w:color="auto" w:sz="4" w:space="0"/>
            </w:tcBorders>
            <w:vAlign w:val="center"/>
          </w:tcPr>
          <w:p w14:paraId="1723A496">
            <w:pPr>
              <w:keepLines/>
              <w:wordWrap w:val="0"/>
              <w:spacing w:line="360" w:lineRule="auto"/>
              <w:rPr>
                <w:rFonts w:hint="eastAsia" w:ascii="宋体" w:hAnsi="宋体" w:cs="宋体"/>
                <w:color w:val="auto"/>
                <w:sz w:val="24"/>
                <w:highlight w:val="none"/>
              </w:rPr>
            </w:pPr>
            <w:bookmarkStart w:id="49" w:name="_17.1"/>
            <w:bookmarkEnd w:id="49"/>
            <w:r>
              <w:rPr>
                <w:rFonts w:hint="eastAsia" w:ascii="宋体" w:hAnsi="宋体" w:cs="宋体"/>
                <w:color w:val="auto"/>
                <w:sz w:val="24"/>
                <w:highlight w:val="none"/>
              </w:rPr>
              <w:t>投标有效期</w:t>
            </w:r>
          </w:p>
        </w:tc>
        <w:tc>
          <w:tcPr>
            <w:tcW w:w="6935" w:type="dxa"/>
            <w:tcBorders>
              <w:top w:val="single" w:color="auto" w:sz="4" w:space="0"/>
              <w:left w:val="single" w:color="auto" w:sz="4" w:space="0"/>
              <w:bottom w:val="single" w:color="auto" w:sz="4" w:space="0"/>
              <w:right w:val="single" w:color="auto" w:sz="4" w:space="0"/>
            </w:tcBorders>
            <w:vAlign w:val="center"/>
          </w:tcPr>
          <w:p w14:paraId="54BC17FB">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自投标截止之日起</w:t>
            </w:r>
            <w:r>
              <w:rPr>
                <w:rFonts w:hint="eastAsia" w:ascii="宋体" w:hAnsi="宋体" w:cs="宋体"/>
                <w:color w:val="auto"/>
                <w:sz w:val="24"/>
                <w:highlight w:val="none"/>
                <w:u w:val="single"/>
              </w:rPr>
              <w:t xml:space="preserve"> </w:t>
            </w:r>
            <w:bookmarkStart w:id="50" w:name="PO_3000001866_PM046"/>
            <w:r>
              <w:rPr>
                <w:rFonts w:hint="eastAsia" w:ascii="宋体" w:hAnsi="宋体" w:cs="宋体"/>
                <w:color w:val="auto"/>
                <w:sz w:val="24"/>
                <w:highlight w:val="none"/>
                <w:u w:val="single"/>
              </w:rPr>
              <w:t>60日历天</w:t>
            </w:r>
            <w:bookmarkEnd w:id="50"/>
            <w:r>
              <w:rPr>
                <w:rFonts w:hint="eastAsia" w:ascii="宋体" w:hAnsi="宋体" w:cs="宋体"/>
                <w:color w:val="auto"/>
                <w:sz w:val="24"/>
                <w:highlight w:val="none"/>
              </w:rPr>
              <w:t>日。</w:t>
            </w:r>
          </w:p>
        </w:tc>
      </w:tr>
      <w:tr w14:paraId="603F93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7A60B43">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18</w:t>
            </w:r>
          </w:p>
        </w:tc>
        <w:tc>
          <w:tcPr>
            <w:tcW w:w="2630" w:type="dxa"/>
            <w:tcBorders>
              <w:top w:val="single" w:color="auto" w:sz="4" w:space="0"/>
              <w:left w:val="single" w:color="auto" w:sz="4" w:space="0"/>
              <w:bottom w:val="single" w:color="auto" w:sz="4" w:space="0"/>
              <w:right w:val="single" w:color="auto" w:sz="4" w:space="0"/>
            </w:tcBorders>
            <w:vAlign w:val="center"/>
          </w:tcPr>
          <w:p w14:paraId="4AF1B7C7">
            <w:pPr>
              <w:keepLines/>
              <w:wordWrap w:val="0"/>
              <w:spacing w:line="360" w:lineRule="auto"/>
              <w:rPr>
                <w:rFonts w:hint="eastAsia" w:ascii="宋体" w:hAnsi="宋体" w:cs="宋体"/>
                <w:color w:val="auto"/>
                <w:sz w:val="24"/>
                <w:highlight w:val="none"/>
              </w:rPr>
            </w:pPr>
            <w:bookmarkStart w:id="51" w:name="_18"/>
            <w:bookmarkEnd w:id="51"/>
            <w:r>
              <w:rPr>
                <w:rFonts w:hint="eastAsia" w:ascii="宋体" w:hAnsi="宋体" w:cs="宋体"/>
                <w:color w:val="auto"/>
                <w:sz w:val="24"/>
                <w:highlight w:val="none"/>
              </w:rPr>
              <w:t>投标保证金金额</w:t>
            </w:r>
          </w:p>
        </w:tc>
        <w:tc>
          <w:tcPr>
            <w:tcW w:w="6935" w:type="dxa"/>
            <w:tcBorders>
              <w:top w:val="single" w:color="auto" w:sz="4" w:space="0"/>
              <w:left w:val="single" w:color="auto" w:sz="4" w:space="0"/>
              <w:bottom w:val="single" w:color="auto" w:sz="4" w:space="0"/>
              <w:right w:val="single" w:color="auto" w:sz="4" w:space="0"/>
            </w:tcBorders>
            <w:vAlign w:val="center"/>
          </w:tcPr>
          <w:p w14:paraId="5E8A8D1D">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本项目不收取投标保证金。</w:t>
            </w:r>
          </w:p>
        </w:tc>
      </w:tr>
      <w:tr w14:paraId="5DFA2C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055DDB18">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19.1</w:t>
            </w:r>
          </w:p>
        </w:tc>
        <w:tc>
          <w:tcPr>
            <w:tcW w:w="2630" w:type="dxa"/>
            <w:tcBorders>
              <w:top w:val="single" w:color="auto" w:sz="4" w:space="0"/>
              <w:left w:val="single" w:color="auto" w:sz="4" w:space="0"/>
              <w:bottom w:val="single" w:color="auto" w:sz="4" w:space="0"/>
              <w:right w:val="single" w:color="auto" w:sz="4" w:space="0"/>
            </w:tcBorders>
            <w:vAlign w:val="center"/>
          </w:tcPr>
          <w:p w14:paraId="6E5DEC7B">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投标文件编制要求</w:t>
            </w:r>
          </w:p>
        </w:tc>
        <w:tc>
          <w:tcPr>
            <w:tcW w:w="6935" w:type="dxa"/>
            <w:tcBorders>
              <w:top w:val="single" w:color="auto" w:sz="4" w:space="0"/>
              <w:left w:val="single" w:color="auto" w:sz="4" w:space="0"/>
              <w:bottom w:val="single" w:color="auto" w:sz="4" w:space="0"/>
              <w:right w:val="single" w:color="auto" w:sz="4" w:space="0"/>
            </w:tcBorders>
            <w:vAlign w:val="center"/>
          </w:tcPr>
          <w:p w14:paraId="12C62F1A">
            <w:pPr>
              <w:keepLines/>
              <w:wordWrap w:val="0"/>
              <w:spacing w:line="360" w:lineRule="auto"/>
              <w:rPr>
                <w:rFonts w:hint="eastAsia" w:ascii="宋体" w:hAnsi="宋体" w:cs="宋体"/>
                <w:b/>
                <w:color w:val="auto"/>
                <w:sz w:val="24"/>
                <w:highlight w:val="none"/>
                <w:u w:val="single"/>
              </w:rPr>
            </w:pPr>
            <w:r>
              <w:rPr>
                <w:rFonts w:hint="eastAsia" w:ascii="宋体" w:hAnsi="宋体" w:cs="宋体"/>
                <w:color w:val="auto"/>
                <w:sz w:val="24"/>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cs="宋体"/>
                <w:b/>
                <w:color w:val="auto"/>
                <w:sz w:val="24"/>
                <w:highlight w:val="none"/>
                <w:u w:val="single"/>
              </w:rPr>
              <w:t>电子版投标文件制作方式见招标公告附件。</w:t>
            </w:r>
          </w:p>
        </w:tc>
      </w:tr>
      <w:tr w14:paraId="72258E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F5B0017">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20</w:t>
            </w:r>
          </w:p>
        </w:tc>
        <w:tc>
          <w:tcPr>
            <w:tcW w:w="2630" w:type="dxa"/>
            <w:tcBorders>
              <w:top w:val="single" w:color="auto" w:sz="4" w:space="0"/>
              <w:left w:val="single" w:color="auto" w:sz="4" w:space="0"/>
              <w:bottom w:val="single" w:color="auto" w:sz="4" w:space="0"/>
              <w:right w:val="single" w:color="auto" w:sz="4" w:space="0"/>
            </w:tcBorders>
            <w:vAlign w:val="center"/>
          </w:tcPr>
          <w:p w14:paraId="1CC31FA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备份投标文件</w:t>
            </w:r>
          </w:p>
        </w:tc>
        <w:tc>
          <w:tcPr>
            <w:tcW w:w="6935" w:type="dxa"/>
            <w:tcBorders>
              <w:top w:val="single" w:color="auto" w:sz="4" w:space="0"/>
              <w:left w:val="single" w:color="auto" w:sz="4" w:space="0"/>
              <w:bottom w:val="single" w:color="auto" w:sz="4" w:space="0"/>
              <w:right w:val="single" w:color="auto" w:sz="4" w:space="0"/>
            </w:tcBorders>
            <w:vAlign w:val="center"/>
          </w:tcPr>
          <w:p w14:paraId="2BC917FF">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本项目不接受备份投标文件。</w:t>
            </w:r>
          </w:p>
        </w:tc>
      </w:tr>
      <w:tr w14:paraId="271978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vAlign w:val="center"/>
          </w:tcPr>
          <w:p w14:paraId="77F3BA3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21.1</w:t>
            </w:r>
          </w:p>
        </w:tc>
        <w:tc>
          <w:tcPr>
            <w:tcW w:w="2630" w:type="dxa"/>
            <w:tcBorders>
              <w:top w:val="single" w:color="auto" w:sz="4" w:space="0"/>
              <w:left w:val="single" w:color="auto" w:sz="4" w:space="0"/>
              <w:bottom w:val="single" w:color="auto" w:sz="4" w:space="0"/>
              <w:right w:val="single" w:color="auto" w:sz="4" w:space="0"/>
            </w:tcBorders>
            <w:vAlign w:val="center"/>
          </w:tcPr>
          <w:p w14:paraId="4B8166C0">
            <w:pPr>
              <w:keepLines/>
              <w:wordWrap w:val="0"/>
              <w:spacing w:line="360" w:lineRule="auto"/>
              <w:rPr>
                <w:rFonts w:hint="eastAsia" w:ascii="宋体" w:hAnsi="宋体" w:cs="宋体"/>
                <w:color w:val="auto"/>
                <w:sz w:val="24"/>
                <w:highlight w:val="none"/>
              </w:rPr>
            </w:pPr>
            <w:bookmarkStart w:id="52" w:name="_21.1"/>
            <w:bookmarkEnd w:id="52"/>
            <w:r>
              <w:rPr>
                <w:rFonts w:hint="eastAsia" w:ascii="宋体" w:hAnsi="宋体" w:cs="宋体"/>
                <w:color w:val="auto"/>
                <w:sz w:val="24"/>
                <w:highlight w:val="none"/>
              </w:rPr>
              <w:t>投标截止时间</w:t>
            </w:r>
          </w:p>
        </w:tc>
        <w:tc>
          <w:tcPr>
            <w:tcW w:w="6935" w:type="dxa"/>
            <w:tcBorders>
              <w:top w:val="single" w:color="auto" w:sz="4" w:space="0"/>
              <w:left w:val="single" w:color="auto" w:sz="4" w:space="0"/>
              <w:bottom w:val="single" w:color="auto" w:sz="4" w:space="0"/>
              <w:right w:val="single" w:color="auto" w:sz="4" w:space="0"/>
            </w:tcBorders>
            <w:vAlign w:val="center"/>
          </w:tcPr>
          <w:p w14:paraId="3BAAC652">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详见招标公告</w:t>
            </w:r>
          </w:p>
        </w:tc>
      </w:tr>
      <w:tr w14:paraId="7BC5D2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7D7BB0A">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CE5553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投标文件提交起止时间</w:t>
            </w:r>
          </w:p>
        </w:tc>
        <w:tc>
          <w:tcPr>
            <w:tcW w:w="6935" w:type="dxa"/>
            <w:tcBorders>
              <w:top w:val="single" w:color="auto" w:sz="4" w:space="0"/>
              <w:left w:val="single" w:color="auto" w:sz="4" w:space="0"/>
              <w:bottom w:val="single" w:color="auto" w:sz="4" w:space="0"/>
              <w:right w:val="single" w:color="auto" w:sz="4" w:space="0"/>
            </w:tcBorders>
            <w:vAlign w:val="center"/>
          </w:tcPr>
          <w:p w14:paraId="476CB1A3">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3A2419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618A4B28">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4DF430A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投标地点</w:t>
            </w:r>
          </w:p>
        </w:tc>
        <w:tc>
          <w:tcPr>
            <w:tcW w:w="6935" w:type="dxa"/>
            <w:tcBorders>
              <w:top w:val="single" w:color="auto" w:sz="4" w:space="0"/>
              <w:left w:val="single" w:color="auto" w:sz="4" w:space="0"/>
              <w:bottom w:val="single" w:color="auto" w:sz="4" w:space="0"/>
              <w:right w:val="single" w:color="auto" w:sz="4" w:space="0"/>
            </w:tcBorders>
            <w:vAlign w:val="center"/>
          </w:tcPr>
          <w:p w14:paraId="1A84784E">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详见招标公告</w:t>
            </w:r>
          </w:p>
        </w:tc>
      </w:tr>
      <w:tr w14:paraId="32F6FF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vAlign w:val="center"/>
          </w:tcPr>
          <w:p w14:paraId="177E757F">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1555D4C2">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投标人递交投标样品截止时间及地点</w:t>
            </w:r>
          </w:p>
        </w:tc>
        <w:tc>
          <w:tcPr>
            <w:tcW w:w="6935" w:type="dxa"/>
            <w:tcBorders>
              <w:top w:val="single" w:color="auto" w:sz="4" w:space="0"/>
              <w:left w:val="single" w:color="auto" w:sz="4" w:space="0"/>
              <w:bottom w:val="single" w:color="auto" w:sz="4" w:space="0"/>
              <w:right w:val="single" w:color="auto" w:sz="4" w:space="0"/>
            </w:tcBorders>
            <w:vAlign w:val="center"/>
          </w:tcPr>
          <w:p w14:paraId="61234113">
            <w:pPr>
              <w:keepLines/>
              <w:wordWrap w:val="0"/>
              <w:snapToGrid w:val="0"/>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时间：</w:t>
            </w:r>
            <w:r>
              <w:rPr>
                <w:rFonts w:hint="eastAsia" w:ascii="宋体" w:hAnsi="宋体" w:cs="宋体"/>
                <w:bCs/>
                <w:color w:val="auto"/>
                <w:sz w:val="24"/>
                <w:highlight w:val="none"/>
                <w:u w:val="single"/>
              </w:rPr>
              <w:t xml:space="preserve">    /年 /月 / 日 / 时  /分</w:t>
            </w:r>
            <w:r>
              <w:rPr>
                <w:rFonts w:hint="eastAsia" w:ascii="宋体" w:hAnsi="宋体" w:cs="宋体"/>
                <w:bCs/>
                <w:color w:val="auto"/>
                <w:sz w:val="24"/>
                <w:highlight w:val="none"/>
              </w:rPr>
              <w:t>（北京时间）</w:t>
            </w:r>
          </w:p>
          <w:p w14:paraId="7D352D78">
            <w:pPr>
              <w:keepLines/>
              <w:wordWrap w:val="0"/>
              <w:snapToGrid w:val="0"/>
              <w:spacing w:line="360" w:lineRule="auto"/>
              <w:rPr>
                <w:rFonts w:hint="eastAsia" w:ascii="宋体" w:hAnsi="宋体" w:cs="宋体"/>
                <w:color w:val="auto"/>
                <w:sz w:val="24"/>
                <w:highlight w:val="none"/>
              </w:rPr>
            </w:pPr>
            <w:r>
              <w:rPr>
                <w:rFonts w:hint="eastAsia" w:ascii="宋体" w:hAnsi="宋体" w:cs="宋体"/>
                <w:bCs/>
                <w:color w:val="auto"/>
                <w:sz w:val="24"/>
                <w:highlight w:val="none"/>
              </w:rPr>
              <w:t>地点：</w:t>
            </w:r>
            <w:r>
              <w:rPr>
                <w:rFonts w:hint="eastAsia" w:ascii="宋体" w:hAnsi="宋体" w:cs="宋体"/>
                <w:bCs/>
                <w:color w:val="auto"/>
                <w:sz w:val="24"/>
                <w:highlight w:val="none"/>
                <w:u w:val="single"/>
              </w:rPr>
              <w:t xml:space="preserve">        /                        </w:t>
            </w:r>
          </w:p>
        </w:tc>
      </w:tr>
      <w:tr w14:paraId="685ECC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6C0BD555">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23</w:t>
            </w:r>
          </w:p>
        </w:tc>
        <w:tc>
          <w:tcPr>
            <w:tcW w:w="2630" w:type="dxa"/>
            <w:tcBorders>
              <w:top w:val="single" w:color="auto" w:sz="4" w:space="0"/>
              <w:left w:val="single" w:color="auto" w:sz="4" w:space="0"/>
              <w:bottom w:val="single" w:color="auto" w:sz="4" w:space="0"/>
              <w:right w:val="single" w:color="auto" w:sz="4" w:space="0"/>
            </w:tcBorders>
            <w:vAlign w:val="center"/>
          </w:tcPr>
          <w:p w14:paraId="75B7CA85">
            <w:pPr>
              <w:keepLines/>
              <w:wordWrap w:val="0"/>
              <w:spacing w:line="360" w:lineRule="auto"/>
              <w:rPr>
                <w:rFonts w:hint="eastAsia" w:ascii="宋体" w:hAnsi="宋体" w:cs="宋体"/>
                <w:color w:val="auto"/>
                <w:sz w:val="24"/>
                <w:highlight w:val="none"/>
              </w:rPr>
            </w:pPr>
            <w:bookmarkStart w:id="53" w:name="_23"/>
            <w:bookmarkEnd w:id="53"/>
            <w:r>
              <w:rPr>
                <w:rFonts w:hint="eastAsia" w:ascii="宋体" w:hAnsi="宋体" w:cs="宋体"/>
                <w:color w:val="auto"/>
                <w:sz w:val="24"/>
                <w:highlight w:val="none"/>
              </w:rPr>
              <w:t>开标时间、地点</w:t>
            </w:r>
          </w:p>
        </w:tc>
        <w:tc>
          <w:tcPr>
            <w:tcW w:w="6935" w:type="dxa"/>
            <w:tcBorders>
              <w:top w:val="single" w:color="auto" w:sz="4" w:space="0"/>
              <w:left w:val="single" w:color="auto" w:sz="4" w:space="0"/>
              <w:bottom w:val="single" w:color="auto" w:sz="4" w:space="0"/>
              <w:right w:val="single" w:color="auto" w:sz="4" w:space="0"/>
            </w:tcBorders>
            <w:vAlign w:val="center"/>
          </w:tcPr>
          <w:p w14:paraId="46878D1D">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详见招标公告 </w:t>
            </w:r>
          </w:p>
        </w:tc>
      </w:tr>
      <w:tr w14:paraId="4C4EB9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77848D9">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25.3（2）</w:t>
            </w:r>
          </w:p>
        </w:tc>
        <w:tc>
          <w:tcPr>
            <w:tcW w:w="2630" w:type="dxa"/>
            <w:tcBorders>
              <w:top w:val="single" w:color="auto" w:sz="4" w:space="0"/>
              <w:left w:val="single" w:color="auto" w:sz="4" w:space="0"/>
              <w:bottom w:val="single" w:color="auto" w:sz="4" w:space="0"/>
              <w:right w:val="single" w:color="auto" w:sz="4" w:space="0"/>
            </w:tcBorders>
            <w:vAlign w:val="center"/>
          </w:tcPr>
          <w:p w14:paraId="0670ED2C">
            <w:pPr>
              <w:keepLines/>
              <w:wordWrap w:val="0"/>
              <w:spacing w:line="360" w:lineRule="auto"/>
              <w:rPr>
                <w:rFonts w:hint="eastAsia" w:ascii="宋体" w:hAnsi="宋体" w:cs="宋体"/>
                <w:color w:val="auto"/>
                <w:sz w:val="24"/>
                <w:highlight w:val="none"/>
              </w:rPr>
            </w:pPr>
            <w:bookmarkStart w:id="54" w:name="_25.3"/>
            <w:bookmarkEnd w:id="54"/>
            <w:r>
              <w:rPr>
                <w:rFonts w:hint="eastAsia" w:ascii="宋体" w:hAnsi="宋体" w:cs="宋体"/>
                <w:color w:val="auto"/>
                <w:sz w:val="24"/>
                <w:highlight w:val="none"/>
              </w:rPr>
              <w:t>投标人信用查询渠道</w:t>
            </w:r>
          </w:p>
        </w:tc>
        <w:tc>
          <w:tcPr>
            <w:tcW w:w="6935" w:type="dxa"/>
            <w:tcBorders>
              <w:top w:val="single" w:color="auto" w:sz="4" w:space="0"/>
              <w:left w:val="single" w:color="auto" w:sz="4" w:space="0"/>
              <w:bottom w:val="single" w:color="auto" w:sz="4" w:space="0"/>
              <w:right w:val="single" w:color="auto" w:sz="4" w:space="0"/>
            </w:tcBorders>
            <w:vAlign w:val="center"/>
          </w:tcPr>
          <w:p w14:paraId="636CEE0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采购人或者采购代理机构在资格审查结束前，对投标人进行信用查询。</w:t>
            </w:r>
          </w:p>
          <w:p w14:paraId="4FA25162">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查询渠道：“信用中国”网站(www.creditchina.gov.cn) 、中国政府采购网(www.ccgp.gov.cn)。</w:t>
            </w:r>
          </w:p>
        </w:tc>
      </w:tr>
      <w:tr w14:paraId="7AEA5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44E7A630">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78457E8E">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信用查询截止时点</w:t>
            </w:r>
          </w:p>
        </w:tc>
        <w:tc>
          <w:tcPr>
            <w:tcW w:w="6935" w:type="dxa"/>
            <w:tcBorders>
              <w:top w:val="single" w:color="auto" w:sz="4" w:space="0"/>
              <w:left w:val="single" w:color="auto" w:sz="4" w:space="0"/>
              <w:bottom w:val="single" w:color="auto" w:sz="4" w:space="0"/>
              <w:right w:val="single" w:color="auto" w:sz="4" w:space="0"/>
            </w:tcBorders>
            <w:vAlign w:val="center"/>
          </w:tcPr>
          <w:p w14:paraId="09F7EE9A">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资格审查结束前</w:t>
            </w:r>
          </w:p>
        </w:tc>
      </w:tr>
      <w:tr w14:paraId="04E069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DBDCCB2">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34770DF">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查询记录和证据留存方式</w:t>
            </w:r>
          </w:p>
        </w:tc>
        <w:tc>
          <w:tcPr>
            <w:tcW w:w="6935" w:type="dxa"/>
            <w:tcBorders>
              <w:top w:val="single" w:color="auto" w:sz="4" w:space="0"/>
              <w:left w:val="single" w:color="auto" w:sz="4" w:space="0"/>
              <w:bottom w:val="single" w:color="auto" w:sz="4" w:space="0"/>
              <w:right w:val="single" w:color="auto" w:sz="4" w:space="0"/>
            </w:tcBorders>
            <w:vAlign w:val="center"/>
          </w:tcPr>
          <w:p w14:paraId="16957DC5">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在查询网站中直接截图查询记录，截图作为在广西政府采购云平台作为附件上传保存。</w:t>
            </w:r>
          </w:p>
        </w:tc>
      </w:tr>
      <w:tr w14:paraId="4F97FC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7C31F7B">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6207F0CF">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信用信息使用规则</w:t>
            </w:r>
          </w:p>
        </w:tc>
        <w:tc>
          <w:tcPr>
            <w:tcW w:w="6935" w:type="dxa"/>
            <w:tcBorders>
              <w:top w:val="single" w:color="auto" w:sz="4" w:space="0"/>
              <w:left w:val="single" w:color="auto" w:sz="4" w:space="0"/>
              <w:bottom w:val="single" w:color="auto" w:sz="4" w:space="0"/>
              <w:right w:val="single" w:color="auto" w:sz="4" w:space="0"/>
            </w:tcBorders>
            <w:vAlign w:val="center"/>
          </w:tcPr>
          <w:p w14:paraId="454B4D85">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39DD5D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2827FD9">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29.1</w:t>
            </w:r>
          </w:p>
        </w:tc>
        <w:tc>
          <w:tcPr>
            <w:tcW w:w="2630" w:type="dxa"/>
            <w:tcBorders>
              <w:top w:val="single" w:color="auto" w:sz="4" w:space="0"/>
              <w:left w:val="single" w:color="auto" w:sz="4" w:space="0"/>
              <w:bottom w:val="single" w:color="auto" w:sz="4" w:space="0"/>
              <w:right w:val="single" w:color="auto" w:sz="4" w:space="0"/>
            </w:tcBorders>
            <w:vAlign w:val="center"/>
          </w:tcPr>
          <w:p w14:paraId="39BC2633">
            <w:pPr>
              <w:keepLines/>
              <w:wordWrap w:val="0"/>
              <w:spacing w:line="360" w:lineRule="auto"/>
              <w:rPr>
                <w:rFonts w:hint="eastAsia" w:ascii="宋体" w:hAnsi="宋体" w:cs="宋体"/>
                <w:color w:val="auto"/>
                <w:sz w:val="24"/>
                <w:highlight w:val="none"/>
              </w:rPr>
            </w:pPr>
            <w:bookmarkStart w:id="55" w:name="_28.3"/>
            <w:bookmarkEnd w:id="55"/>
            <w:bookmarkStart w:id="56" w:name="_26"/>
            <w:bookmarkEnd w:id="56"/>
            <w:r>
              <w:rPr>
                <w:rFonts w:hint="eastAsia" w:ascii="宋体" w:hAnsi="宋体" w:cs="宋体"/>
                <w:color w:val="auto"/>
                <w:sz w:val="24"/>
                <w:highlight w:val="none"/>
              </w:rPr>
              <w:t>评标方法</w:t>
            </w:r>
          </w:p>
        </w:tc>
        <w:tc>
          <w:tcPr>
            <w:tcW w:w="6935" w:type="dxa"/>
            <w:tcBorders>
              <w:top w:val="single" w:color="auto" w:sz="4" w:space="0"/>
              <w:left w:val="single" w:color="auto" w:sz="4" w:space="0"/>
              <w:bottom w:val="single" w:color="auto" w:sz="4" w:space="0"/>
              <w:right w:val="single" w:color="auto" w:sz="4" w:space="0"/>
            </w:tcBorders>
            <w:vAlign w:val="center"/>
          </w:tcPr>
          <w:p w14:paraId="689E509D">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综合评分法</w:t>
            </w:r>
          </w:p>
          <w:p w14:paraId="6894D46C">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□最低评标价法</w:t>
            </w:r>
          </w:p>
        </w:tc>
      </w:tr>
      <w:tr w14:paraId="6D0E8D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vAlign w:val="center"/>
          </w:tcPr>
          <w:p w14:paraId="5FC5626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29.2</w:t>
            </w:r>
          </w:p>
        </w:tc>
        <w:tc>
          <w:tcPr>
            <w:tcW w:w="2630" w:type="dxa"/>
            <w:tcBorders>
              <w:top w:val="single" w:color="auto" w:sz="4" w:space="0"/>
              <w:left w:val="single" w:color="auto" w:sz="4" w:space="0"/>
              <w:bottom w:val="nil"/>
              <w:right w:val="single" w:color="auto" w:sz="4" w:space="0"/>
            </w:tcBorders>
            <w:vAlign w:val="center"/>
          </w:tcPr>
          <w:p w14:paraId="4738BA79">
            <w:pPr>
              <w:keepLines/>
              <w:wordWrap w:val="0"/>
              <w:spacing w:line="360" w:lineRule="auto"/>
              <w:rPr>
                <w:rFonts w:hint="eastAsia" w:ascii="宋体" w:hAnsi="宋体" w:cs="宋体"/>
                <w:color w:val="auto"/>
                <w:sz w:val="24"/>
                <w:highlight w:val="none"/>
              </w:rPr>
            </w:pPr>
            <w:bookmarkStart w:id="57" w:name="_29.2.2（2）"/>
            <w:bookmarkEnd w:id="57"/>
            <w:r>
              <w:rPr>
                <w:rFonts w:hint="eastAsia" w:ascii="宋体" w:hAnsi="宋体" w:cs="宋体"/>
                <w:color w:val="auto"/>
                <w:sz w:val="24"/>
                <w:highlight w:val="none"/>
              </w:rPr>
              <w:t>允许负偏离项</w:t>
            </w:r>
          </w:p>
        </w:tc>
        <w:tc>
          <w:tcPr>
            <w:tcW w:w="6935" w:type="dxa"/>
            <w:tcBorders>
              <w:top w:val="single" w:color="auto" w:sz="4" w:space="0"/>
              <w:left w:val="single" w:color="auto" w:sz="4" w:space="0"/>
              <w:bottom w:val="nil"/>
              <w:right w:val="single" w:color="auto" w:sz="4" w:space="0"/>
            </w:tcBorders>
            <w:vAlign w:val="center"/>
          </w:tcPr>
          <w:p w14:paraId="7143AEF1">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商务条款评审中允许负偏离的条款数为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p w14:paraId="38145FB7">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技术需求评审中允许负偏离的条款数为</w:t>
            </w:r>
            <w:r>
              <w:rPr>
                <w:rFonts w:hint="eastAsia" w:ascii="宋体" w:hAnsi="宋体" w:cs="宋体"/>
                <w:color w:val="auto"/>
                <w:sz w:val="24"/>
                <w:highlight w:val="none"/>
                <w:u w:val="single"/>
              </w:rPr>
              <w:t xml:space="preserve"> 0 </w:t>
            </w:r>
            <w:r>
              <w:rPr>
                <w:rFonts w:hint="eastAsia" w:ascii="宋体" w:hAnsi="宋体" w:cs="宋体"/>
                <w:color w:val="auto"/>
                <w:sz w:val="24"/>
                <w:highlight w:val="none"/>
              </w:rPr>
              <w:t>项。</w:t>
            </w:r>
          </w:p>
        </w:tc>
      </w:tr>
      <w:tr w14:paraId="30CEAA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27E7D56">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30.1</w:t>
            </w:r>
          </w:p>
        </w:tc>
        <w:tc>
          <w:tcPr>
            <w:tcW w:w="2630" w:type="dxa"/>
            <w:tcBorders>
              <w:top w:val="single" w:color="auto" w:sz="4" w:space="0"/>
              <w:left w:val="single" w:color="auto" w:sz="4" w:space="0"/>
              <w:bottom w:val="single" w:color="auto" w:sz="4" w:space="0"/>
              <w:right w:val="single" w:color="auto" w:sz="4" w:space="0"/>
            </w:tcBorders>
            <w:vAlign w:val="center"/>
          </w:tcPr>
          <w:p w14:paraId="07EF3D79">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确定中标供应商时，出现中标候选人分数并列的情形，确定中标供应商方式 </w:t>
            </w:r>
          </w:p>
        </w:tc>
        <w:tc>
          <w:tcPr>
            <w:tcW w:w="6935" w:type="dxa"/>
            <w:tcBorders>
              <w:top w:val="single" w:color="auto" w:sz="4" w:space="0"/>
              <w:left w:val="single" w:color="auto" w:sz="4" w:space="0"/>
              <w:bottom w:val="single" w:color="auto" w:sz="4" w:space="0"/>
              <w:right w:val="single" w:color="auto" w:sz="4" w:space="0"/>
            </w:tcBorders>
            <w:vAlign w:val="center"/>
          </w:tcPr>
          <w:p w14:paraId="7F5CD9A0">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□采用最低评标价法的，投标文件满足招标文件全部实质性要求且投标报价最低的投标人为排名第一的中标候选人； </w:t>
            </w:r>
          </w:p>
          <w:p w14:paraId="5933C115">
            <w:pPr>
              <w:keepLines/>
              <w:wordWrap w:val="0"/>
              <w:autoSpaceDE w:val="0"/>
              <w:autoSpaceDN w:val="0"/>
              <w:snapToGrid w:val="0"/>
              <w:spacing w:line="360" w:lineRule="auto"/>
              <w:textAlignment w:val="bottom"/>
              <w:rPr>
                <w:rFonts w:hint="eastAsia" w:ascii="宋体" w:hAnsi="宋体" w:cs="宋体"/>
                <w:b/>
                <w:color w:val="auto"/>
                <w:sz w:val="24"/>
                <w:highlight w:val="none"/>
              </w:rPr>
            </w:pPr>
            <w:r>
              <w:rPr>
                <w:rFonts w:ascii="Segoe UI Symbol" w:hAnsi="Segoe UI Symbol" w:cs="Segoe UI Symbol"/>
                <w:color w:val="auto"/>
                <w:sz w:val="24"/>
                <w:highlight w:val="none"/>
              </w:rPr>
              <w:t>☑</w:t>
            </w:r>
            <w:r>
              <w:rPr>
                <w:rFonts w:hint="eastAsia" w:ascii="宋体" w:hAnsi="宋体" w:cs="宋体"/>
                <w:color w:val="auto"/>
                <w:sz w:val="24"/>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6E20EC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vAlign w:val="center"/>
          </w:tcPr>
          <w:p w14:paraId="74C870D0">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35</w:t>
            </w:r>
          </w:p>
        </w:tc>
        <w:tc>
          <w:tcPr>
            <w:tcW w:w="2630" w:type="dxa"/>
            <w:tcBorders>
              <w:top w:val="single" w:color="auto" w:sz="4" w:space="0"/>
              <w:left w:val="single" w:color="auto" w:sz="4" w:space="0"/>
              <w:bottom w:val="single" w:color="auto" w:sz="4" w:space="0"/>
              <w:right w:val="single" w:color="auto" w:sz="4" w:space="0"/>
            </w:tcBorders>
            <w:vAlign w:val="center"/>
          </w:tcPr>
          <w:p w14:paraId="6C4448E2">
            <w:pPr>
              <w:keepLines/>
              <w:wordWrap w:val="0"/>
              <w:spacing w:line="360" w:lineRule="auto"/>
              <w:rPr>
                <w:rFonts w:hint="eastAsia" w:ascii="宋体" w:hAnsi="宋体" w:cs="宋体"/>
                <w:color w:val="auto"/>
                <w:sz w:val="24"/>
                <w:highlight w:val="none"/>
              </w:rPr>
            </w:pPr>
            <w:bookmarkStart w:id="58" w:name="_39.1"/>
            <w:bookmarkEnd w:id="58"/>
            <w:r>
              <w:rPr>
                <w:rFonts w:hint="eastAsia" w:ascii="宋体" w:hAnsi="宋体" w:cs="宋体"/>
                <w:color w:val="auto"/>
                <w:sz w:val="24"/>
                <w:highlight w:val="none"/>
              </w:rPr>
              <w:t>履约保证金金额</w:t>
            </w:r>
          </w:p>
        </w:tc>
        <w:tc>
          <w:tcPr>
            <w:tcW w:w="6935" w:type="dxa"/>
            <w:tcBorders>
              <w:top w:val="single" w:color="auto" w:sz="4" w:space="0"/>
              <w:left w:val="single" w:color="auto" w:sz="4" w:space="0"/>
              <w:bottom w:val="single" w:color="auto" w:sz="4" w:space="0"/>
              <w:right w:val="single" w:color="auto" w:sz="4" w:space="0"/>
            </w:tcBorders>
            <w:vAlign w:val="bottom"/>
          </w:tcPr>
          <w:p w14:paraId="4A3FA7FE">
            <w:pPr>
              <w:keepLines/>
              <w:wordWrap w:val="0"/>
              <w:autoSpaceDE w:val="0"/>
              <w:autoSpaceDN w:val="0"/>
              <w:snapToGrid w:val="0"/>
              <w:spacing w:line="360" w:lineRule="auto"/>
              <w:jc w:val="left"/>
              <w:textAlignment w:val="bottom"/>
              <w:rPr>
                <w:rFonts w:hint="eastAsia" w:ascii="宋体" w:hAnsi="宋体" w:cs="宋体"/>
                <w:color w:val="auto"/>
                <w:sz w:val="24"/>
                <w:highlight w:val="none"/>
              </w:rPr>
            </w:pPr>
            <w:r>
              <w:rPr>
                <w:rFonts w:hint="eastAsia" w:ascii="宋体" w:hAnsi="宋体" w:cs="宋体"/>
                <w:color w:val="auto"/>
                <w:sz w:val="24"/>
                <w:highlight w:val="none"/>
              </w:rPr>
              <w:t>本项目不收取履约保证金。</w:t>
            </w:r>
          </w:p>
        </w:tc>
      </w:tr>
      <w:tr w14:paraId="322002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3ABF2959">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36.1</w:t>
            </w:r>
          </w:p>
        </w:tc>
        <w:tc>
          <w:tcPr>
            <w:tcW w:w="2630" w:type="dxa"/>
            <w:tcBorders>
              <w:top w:val="single" w:color="auto" w:sz="4" w:space="0"/>
              <w:left w:val="single" w:color="auto" w:sz="4" w:space="0"/>
              <w:bottom w:val="single" w:color="auto" w:sz="4" w:space="0"/>
              <w:right w:val="single" w:color="auto" w:sz="4" w:space="0"/>
            </w:tcBorders>
            <w:vAlign w:val="center"/>
          </w:tcPr>
          <w:p w14:paraId="3B36D2D2">
            <w:pPr>
              <w:keepLines/>
              <w:wordWrap w:val="0"/>
              <w:spacing w:line="360" w:lineRule="auto"/>
              <w:rPr>
                <w:rFonts w:hint="eastAsia" w:ascii="宋体" w:hAnsi="宋体" w:cs="宋体"/>
                <w:color w:val="auto"/>
                <w:sz w:val="24"/>
                <w:highlight w:val="none"/>
              </w:rPr>
            </w:pPr>
            <w:bookmarkStart w:id="59" w:name="_40.1"/>
            <w:bookmarkEnd w:id="59"/>
            <w:r>
              <w:rPr>
                <w:rFonts w:hint="eastAsia" w:ascii="宋体" w:hAnsi="宋体" w:cs="宋体"/>
                <w:color w:val="auto"/>
                <w:sz w:val="24"/>
                <w:highlight w:val="none"/>
              </w:rPr>
              <w:t>签订电子合同携带的材料</w:t>
            </w:r>
          </w:p>
        </w:tc>
        <w:tc>
          <w:tcPr>
            <w:tcW w:w="6935" w:type="dxa"/>
            <w:tcBorders>
              <w:top w:val="single" w:color="auto" w:sz="4" w:space="0"/>
              <w:left w:val="single" w:color="auto" w:sz="4" w:space="0"/>
              <w:bottom w:val="single" w:color="auto" w:sz="4" w:space="0"/>
              <w:right w:val="single" w:color="auto" w:sz="4" w:space="0"/>
            </w:tcBorders>
            <w:vAlign w:val="center"/>
          </w:tcPr>
          <w:p w14:paraId="08A0DCDC">
            <w:pPr>
              <w:keepLines/>
              <w:wordWrap w:val="0"/>
              <w:autoSpaceDE w:val="0"/>
              <w:autoSpaceDN w:val="0"/>
              <w:snapToGrid w:val="0"/>
              <w:spacing w:line="360" w:lineRule="auto"/>
              <w:textAlignment w:val="bottom"/>
              <w:rPr>
                <w:rFonts w:hint="eastAsia" w:ascii="宋体" w:hAnsi="宋体" w:cs="宋体"/>
                <w:color w:val="auto"/>
                <w:sz w:val="24"/>
                <w:highlight w:val="none"/>
              </w:rPr>
            </w:pPr>
            <w:r>
              <w:rPr>
                <w:rFonts w:hint="eastAsia" w:ascii="宋体" w:hAnsi="宋体" w:cs="宋体"/>
                <w:color w:val="auto"/>
                <w:sz w:val="24"/>
                <w:highlight w:val="none"/>
              </w:rPr>
              <w:t>电子采购合同需要供应商通过有效CA证书进行电子签署</w:t>
            </w:r>
          </w:p>
        </w:tc>
      </w:tr>
      <w:tr w14:paraId="4F257C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421DAC4C">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38.2.1</w:t>
            </w:r>
          </w:p>
        </w:tc>
        <w:tc>
          <w:tcPr>
            <w:tcW w:w="2630" w:type="dxa"/>
            <w:tcBorders>
              <w:top w:val="single" w:color="auto" w:sz="4" w:space="0"/>
              <w:left w:val="single" w:color="auto" w:sz="4" w:space="0"/>
              <w:bottom w:val="single" w:color="auto" w:sz="4" w:space="0"/>
              <w:right w:val="single" w:color="auto" w:sz="4" w:space="0"/>
            </w:tcBorders>
            <w:vAlign w:val="center"/>
          </w:tcPr>
          <w:p w14:paraId="0DEAC7E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接收质疑函方式</w:t>
            </w:r>
          </w:p>
        </w:tc>
        <w:tc>
          <w:tcPr>
            <w:tcW w:w="6935" w:type="dxa"/>
            <w:tcBorders>
              <w:top w:val="single" w:color="auto" w:sz="4" w:space="0"/>
              <w:left w:val="single" w:color="auto" w:sz="4" w:space="0"/>
              <w:bottom w:val="single" w:color="auto" w:sz="4" w:space="0"/>
              <w:right w:val="single" w:color="auto" w:sz="4" w:space="0"/>
            </w:tcBorders>
            <w:vAlign w:val="center"/>
          </w:tcPr>
          <w:p w14:paraId="3A604B6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以书面形式</w:t>
            </w:r>
          </w:p>
        </w:tc>
      </w:tr>
      <w:tr w14:paraId="7911F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22BC4A1">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5368DE7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质疑联系部门及联系方式</w:t>
            </w:r>
          </w:p>
        </w:tc>
        <w:tc>
          <w:tcPr>
            <w:tcW w:w="6935" w:type="dxa"/>
            <w:tcBorders>
              <w:top w:val="single" w:color="auto" w:sz="4" w:space="0"/>
              <w:left w:val="single" w:color="auto" w:sz="4" w:space="0"/>
              <w:bottom w:val="single" w:color="auto" w:sz="4" w:space="0"/>
              <w:right w:val="single" w:color="auto" w:sz="4" w:space="0"/>
            </w:tcBorders>
            <w:vAlign w:val="center"/>
          </w:tcPr>
          <w:p w14:paraId="1219EC12">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（1）</w:t>
            </w:r>
            <w:bookmarkStart w:id="60" w:name="PO_3000001866_PM031_3"/>
            <w:r>
              <w:rPr>
                <w:rFonts w:hint="eastAsia" w:ascii="宋体" w:hAnsi="宋体" w:cs="宋体"/>
                <w:color w:val="auto"/>
                <w:sz w:val="24"/>
                <w:highlight w:val="none"/>
                <w:u w:val="single"/>
              </w:rPr>
              <w:t>广西邕政采购代理有限公司</w:t>
            </w:r>
            <w:bookmarkEnd w:id="60"/>
            <w:r>
              <w:rPr>
                <w:rFonts w:hint="eastAsia" w:ascii="宋体" w:hAnsi="宋体" w:cs="宋体"/>
                <w:color w:val="auto"/>
                <w:sz w:val="24"/>
                <w:highlight w:val="none"/>
                <w:u w:val="single"/>
              </w:rPr>
              <w:t>；</w:t>
            </w:r>
          </w:p>
          <w:p w14:paraId="0AB81B61">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联系电话：0771-2225338，</w:t>
            </w:r>
          </w:p>
          <w:p w14:paraId="53698F74">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通讯地址：南宁市青秀区民族大道180号（威壮大厦）22层2210～2217室 </w:t>
            </w:r>
          </w:p>
          <w:p w14:paraId="32BD2578">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（2）南宁市经济信息中心；</w:t>
            </w:r>
          </w:p>
          <w:p w14:paraId="0AF86951">
            <w:pPr>
              <w:keepLines/>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u w:val="single"/>
              </w:rPr>
              <w:t>联系电话：0771-5539885</w:t>
            </w:r>
          </w:p>
          <w:p w14:paraId="3A86106F">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u w:val="single"/>
              </w:rPr>
              <w:t>通讯地址：</w:t>
            </w:r>
            <w:r>
              <w:rPr>
                <w:rFonts w:hint="eastAsia" w:ascii="宋体" w:hAnsi="宋体" w:cs="Arial"/>
                <w:bCs/>
                <w:color w:val="auto"/>
                <w:kern w:val="0"/>
                <w:sz w:val="24"/>
                <w:highlight w:val="none"/>
                <w:u w:val="single"/>
              </w:rPr>
              <w:t>南宁市青秀区桂春路南一里1号</w:t>
            </w:r>
          </w:p>
        </w:tc>
      </w:tr>
      <w:tr w14:paraId="27160A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A7876FF">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65412685">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现场提交质疑办理业务时间</w:t>
            </w:r>
          </w:p>
        </w:tc>
        <w:tc>
          <w:tcPr>
            <w:tcW w:w="6935" w:type="dxa"/>
            <w:tcBorders>
              <w:top w:val="single" w:color="auto" w:sz="4" w:space="0"/>
              <w:left w:val="single" w:color="auto" w:sz="4" w:space="0"/>
              <w:bottom w:val="single" w:color="auto" w:sz="4" w:space="0"/>
              <w:right w:val="single" w:color="auto" w:sz="4" w:space="0"/>
            </w:tcBorders>
            <w:vAlign w:val="center"/>
          </w:tcPr>
          <w:p w14:paraId="6FAEA53D">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质疑期内每个工作日</w:t>
            </w:r>
            <w:r>
              <w:rPr>
                <w:rFonts w:hint="eastAsia" w:ascii="宋体" w:hAnsi="宋体" w:cs="宋体"/>
                <w:color w:val="auto"/>
                <w:sz w:val="24"/>
                <w:highlight w:val="none"/>
                <w:u w:val="single"/>
              </w:rPr>
              <w:t xml:space="preserve"> :09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30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12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w:t>
            </w:r>
            <w:r>
              <w:rPr>
                <w:rFonts w:hint="eastAsia" w:ascii="宋体" w:hAnsi="宋体" w:cs="宋体"/>
                <w:color w:val="auto"/>
                <w:sz w:val="24"/>
                <w:highlight w:val="none"/>
                <w:u w:val="single"/>
              </w:rPr>
              <w:t xml:space="preserve"> 15</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分到</w:t>
            </w:r>
            <w:r>
              <w:rPr>
                <w:rFonts w:hint="eastAsia" w:ascii="宋体" w:hAnsi="宋体" w:cs="宋体"/>
                <w:color w:val="auto"/>
                <w:sz w:val="24"/>
                <w:highlight w:val="none"/>
                <w:u w:val="single"/>
              </w:rPr>
              <w:t xml:space="preserve"> 18 </w:t>
            </w:r>
            <w:r>
              <w:rPr>
                <w:rFonts w:hint="eastAsia" w:ascii="宋体" w:hAnsi="宋体" w:cs="宋体"/>
                <w:color w:val="auto"/>
                <w:sz w:val="24"/>
                <w:highlight w:val="none"/>
              </w:rPr>
              <w:t>时</w:t>
            </w:r>
            <w:r>
              <w:rPr>
                <w:rFonts w:hint="eastAsia" w:ascii="宋体" w:hAnsi="宋体" w:cs="宋体"/>
                <w:color w:val="auto"/>
                <w:sz w:val="24"/>
                <w:highlight w:val="none"/>
                <w:u w:val="single"/>
              </w:rPr>
              <w:t xml:space="preserve">00 </w:t>
            </w:r>
            <w:r>
              <w:rPr>
                <w:rFonts w:hint="eastAsia" w:ascii="宋体" w:hAnsi="宋体" w:cs="宋体"/>
                <w:color w:val="auto"/>
                <w:sz w:val="24"/>
                <w:highlight w:val="none"/>
              </w:rPr>
              <w:t>分</w:t>
            </w:r>
          </w:p>
        </w:tc>
      </w:tr>
      <w:tr w14:paraId="1E032A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vAlign w:val="center"/>
          </w:tcPr>
          <w:p w14:paraId="47E20AE4">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38.3.1</w:t>
            </w:r>
          </w:p>
        </w:tc>
        <w:tc>
          <w:tcPr>
            <w:tcW w:w="2630" w:type="dxa"/>
            <w:tcBorders>
              <w:top w:val="single" w:color="auto" w:sz="4" w:space="0"/>
              <w:left w:val="single" w:color="auto" w:sz="4" w:space="0"/>
              <w:bottom w:val="single" w:color="auto" w:sz="4" w:space="0"/>
              <w:right w:val="single" w:color="auto" w:sz="4" w:space="0"/>
            </w:tcBorders>
            <w:vAlign w:val="center"/>
          </w:tcPr>
          <w:p w14:paraId="175DECF1">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投诉受理方式</w:t>
            </w:r>
          </w:p>
        </w:tc>
        <w:tc>
          <w:tcPr>
            <w:tcW w:w="6935" w:type="dxa"/>
            <w:tcBorders>
              <w:top w:val="single" w:color="auto" w:sz="4" w:space="0"/>
              <w:left w:val="single" w:color="auto" w:sz="4" w:space="0"/>
              <w:bottom w:val="single" w:color="auto" w:sz="4" w:space="0"/>
              <w:right w:val="single" w:color="auto" w:sz="4" w:space="0"/>
            </w:tcBorders>
            <w:vAlign w:val="center"/>
          </w:tcPr>
          <w:p w14:paraId="26B092F7">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1、受理方式：纸质方式受理，投诉书正、副本（经过质疑的事项才可投诉）。</w:t>
            </w:r>
          </w:p>
          <w:p w14:paraId="3933045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2、邮寄地址：</w:t>
            </w:r>
          </w:p>
          <w:p w14:paraId="2D40DECC">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名称：</w:t>
            </w:r>
            <w:bookmarkStart w:id="61" w:name="PO_3000001866_PM036"/>
            <w:r>
              <w:rPr>
                <w:rFonts w:hint="eastAsia" w:ascii="宋体" w:hAnsi="宋体" w:cs="宋体"/>
                <w:color w:val="auto"/>
                <w:sz w:val="24"/>
                <w:highlight w:val="none"/>
              </w:rPr>
              <w:t>南宁市财政局政府采购监督管理科</w:t>
            </w:r>
            <w:bookmarkEnd w:id="61"/>
          </w:p>
          <w:p w14:paraId="747B9510">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地址：</w:t>
            </w:r>
            <w:bookmarkStart w:id="62" w:name="PO_3000001866_PM039"/>
            <w:r>
              <w:rPr>
                <w:rFonts w:hint="eastAsia" w:ascii="宋体" w:hAnsi="宋体" w:cs="宋体"/>
                <w:color w:val="auto"/>
                <w:sz w:val="24"/>
                <w:highlight w:val="none"/>
              </w:rPr>
              <w:t xml:space="preserve">南宁市东葛路129号   </w:t>
            </w:r>
            <w:bookmarkEnd w:id="62"/>
          </w:p>
          <w:p w14:paraId="6B4D29E2">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联系电话：</w:t>
            </w:r>
            <w:bookmarkStart w:id="63" w:name="PO_3000001866_PM038_1"/>
            <w:r>
              <w:rPr>
                <w:rFonts w:hint="eastAsia" w:ascii="宋体" w:hAnsi="宋体" w:cs="宋体"/>
                <w:color w:val="auto"/>
                <w:sz w:val="24"/>
                <w:highlight w:val="none"/>
              </w:rPr>
              <w:t>0771-2189091</w:t>
            </w:r>
            <w:bookmarkEnd w:id="63"/>
          </w:p>
        </w:tc>
      </w:tr>
      <w:tr w14:paraId="15187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507795D0">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40</w:t>
            </w:r>
          </w:p>
        </w:tc>
        <w:tc>
          <w:tcPr>
            <w:tcW w:w="2630" w:type="dxa"/>
            <w:tcBorders>
              <w:top w:val="single" w:color="auto" w:sz="4" w:space="0"/>
              <w:left w:val="single" w:color="auto" w:sz="4" w:space="0"/>
              <w:bottom w:val="single" w:color="auto" w:sz="4" w:space="0"/>
              <w:right w:val="single" w:color="auto" w:sz="4" w:space="0"/>
            </w:tcBorders>
            <w:vAlign w:val="center"/>
          </w:tcPr>
          <w:p w14:paraId="1589C940">
            <w:pPr>
              <w:keepLines/>
              <w:wordWrap w:val="0"/>
              <w:spacing w:line="360" w:lineRule="auto"/>
              <w:rPr>
                <w:rFonts w:hint="eastAsia" w:ascii="宋体" w:hAnsi="宋体" w:cs="宋体"/>
                <w:color w:val="auto"/>
                <w:sz w:val="24"/>
                <w:highlight w:val="none"/>
              </w:rPr>
            </w:pPr>
            <w:bookmarkStart w:id="64" w:name="_42"/>
            <w:bookmarkEnd w:id="64"/>
            <w:bookmarkStart w:id="65" w:name="_41"/>
            <w:bookmarkEnd w:id="65"/>
            <w:r>
              <w:rPr>
                <w:rFonts w:hint="eastAsia" w:ascii="宋体" w:hAnsi="宋体" w:cs="宋体"/>
                <w:color w:val="auto"/>
                <w:sz w:val="24"/>
                <w:highlight w:val="none"/>
              </w:rPr>
              <w:t>采购代理费支付方式</w:t>
            </w:r>
          </w:p>
        </w:tc>
        <w:tc>
          <w:tcPr>
            <w:tcW w:w="6935" w:type="dxa"/>
            <w:tcBorders>
              <w:top w:val="single" w:color="auto" w:sz="4" w:space="0"/>
              <w:left w:val="single" w:color="auto" w:sz="4" w:space="0"/>
              <w:bottom w:val="single" w:color="auto" w:sz="4" w:space="0"/>
              <w:right w:val="single" w:color="auto" w:sz="4" w:space="0"/>
            </w:tcBorders>
            <w:vAlign w:val="center"/>
          </w:tcPr>
          <w:p w14:paraId="2765AC69">
            <w:pPr>
              <w:pStyle w:val="14"/>
              <w:keepLines/>
              <w:wordWrap w:val="0"/>
              <w:snapToGrid w:val="0"/>
              <w:spacing w:line="360" w:lineRule="auto"/>
              <w:rPr>
                <w:rFonts w:hint="eastAsia" w:hAnsi="宋体" w:cs="宋体"/>
                <w:color w:val="auto"/>
                <w:sz w:val="24"/>
                <w:szCs w:val="24"/>
                <w:highlight w:val="none"/>
              </w:rPr>
            </w:pPr>
            <w:r>
              <w:rPr>
                <w:rFonts w:ascii="Segoe UI Symbol" w:hAnsi="Segoe UI Symbol" w:cs="Segoe UI Symbol"/>
                <w:color w:val="auto"/>
                <w:sz w:val="24"/>
                <w:szCs w:val="24"/>
                <w:highlight w:val="none"/>
              </w:rPr>
              <w:t>☑</w:t>
            </w:r>
            <w:r>
              <w:rPr>
                <w:rFonts w:hint="eastAsia" w:hAnsi="宋体" w:cs="宋体"/>
                <w:color w:val="auto"/>
                <w:sz w:val="24"/>
                <w:szCs w:val="24"/>
                <w:highlight w:val="none"/>
              </w:rPr>
              <w:t>本项目代理服务费由</w:t>
            </w:r>
            <w:r>
              <w:rPr>
                <w:rFonts w:hint="eastAsia" w:hAnsi="宋体" w:cs="宋体"/>
                <w:color w:val="auto"/>
                <w:sz w:val="24"/>
                <w:szCs w:val="24"/>
                <w:highlight w:val="none"/>
                <w:u w:val="single"/>
              </w:rPr>
              <w:t>中标供应商</w:t>
            </w:r>
            <w:r>
              <w:rPr>
                <w:rFonts w:hint="eastAsia" w:hAnsi="宋体" w:cs="宋体"/>
                <w:color w:val="auto"/>
                <w:sz w:val="24"/>
                <w:szCs w:val="24"/>
                <w:highlight w:val="none"/>
              </w:rPr>
              <w:t>在领取中标通知书时，一次性向采购代理机构支付。</w:t>
            </w:r>
          </w:p>
          <w:p w14:paraId="7A79E186">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□采购人支付。</w:t>
            </w:r>
          </w:p>
          <w:p w14:paraId="48F17D73">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□本项目不收取代理服务费。</w:t>
            </w:r>
          </w:p>
        </w:tc>
      </w:tr>
      <w:tr w14:paraId="3D3A5B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E422C3C">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698304A0">
            <w:pPr>
              <w:keepLines/>
              <w:wordWrap w:val="0"/>
              <w:spacing w:line="360" w:lineRule="auto"/>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采购代理费收取标准</w:t>
            </w:r>
          </w:p>
        </w:tc>
        <w:tc>
          <w:tcPr>
            <w:tcW w:w="6935" w:type="dxa"/>
            <w:tcBorders>
              <w:top w:val="single" w:color="auto" w:sz="4" w:space="0"/>
              <w:left w:val="single" w:color="auto" w:sz="4" w:space="0"/>
              <w:bottom w:val="single" w:color="auto" w:sz="4" w:space="0"/>
              <w:right w:val="single" w:color="auto" w:sz="4" w:space="0"/>
            </w:tcBorders>
            <w:vAlign w:val="center"/>
          </w:tcPr>
          <w:p w14:paraId="45A76E79">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1. 是否收取采购代理费：</w:t>
            </w:r>
          </w:p>
          <w:p w14:paraId="44744BAB">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ascii="Segoe UI Symbol" w:hAnsi="Segoe UI Symbol" w:cs="Segoe UI Symbol" w:eastAsia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bidi="ar"/>
              </w:rPr>
              <w:t xml:space="preserve"> 是    □ 否</w:t>
            </w:r>
          </w:p>
          <w:p w14:paraId="7D74AE4D">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2.采购代理费支付方式：</w:t>
            </w:r>
          </w:p>
          <w:p w14:paraId="1FE983F9">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ascii="Segoe UI Symbol" w:hAnsi="Segoe UI Symbol" w:cs="Segoe UI Symbol" w:eastAsiaTheme="minorEastAsia"/>
                <w:color w:val="auto"/>
                <w:kern w:val="0"/>
                <w:sz w:val="24"/>
                <w:highlight w:val="none"/>
                <w:lang w:bidi="ar"/>
              </w:rPr>
              <w:t>☑</w:t>
            </w:r>
            <w:r>
              <w:rPr>
                <w:rFonts w:hint="eastAsia" w:asciiTheme="minorEastAsia" w:hAnsiTheme="minorEastAsia" w:eastAsiaTheme="minorEastAsia" w:cstheme="minorEastAsia"/>
                <w:color w:val="auto"/>
                <w:kern w:val="0"/>
                <w:sz w:val="24"/>
                <w:highlight w:val="none"/>
                <w:lang w:bidi="ar"/>
              </w:rPr>
              <w:t xml:space="preserve"> 本项目代理服务费由</w:t>
            </w:r>
            <w:r>
              <w:rPr>
                <w:rFonts w:hint="eastAsia" w:asciiTheme="minorEastAsia" w:hAnsiTheme="minorEastAsia" w:eastAsiaTheme="minorEastAsia" w:cstheme="minorEastAsia"/>
                <w:color w:val="auto"/>
                <w:kern w:val="0"/>
                <w:sz w:val="24"/>
                <w:highlight w:val="none"/>
                <w:u w:val="single"/>
                <w:lang w:bidi="ar"/>
              </w:rPr>
              <w:t>中标供应商</w:t>
            </w:r>
            <w:r>
              <w:rPr>
                <w:rFonts w:hint="eastAsia" w:asciiTheme="minorEastAsia" w:hAnsiTheme="minorEastAsia" w:eastAsiaTheme="minorEastAsia" w:cstheme="minorEastAsia"/>
                <w:color w:val="auto"/>
                <w:kern w:val="0"/>
                <w:sz w:val="24"/>
                <w:highlight w:val="none"/>
                <w:lang w:bidi="ar"/>
              </w:rPr>
              <w:t>领取成交通知书前，一次性向采购代理机构支付。</w:t>
            </w:r>
          </w:p>
          <w:p w14:paraId="16693720">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□采购人支付。</w:t>
            </w:r>
          </w:p>
          <w:p w14:paraId="6F176E08">
            <w:pPr>
              <w:keepLines/>
              <w:wordWrap w:val="0"/>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bidi="ar"/>
              </w:rPr>
              <w:t>3.采购代理费收取标准：</w:t>
            </w:r>
          </w:p>
          <w:p w14:paraId="2D85C843">
            <w:pPr>
              <w:keepLines/>
              <w:wordWrap w:val="0"/>
              <w:snapToGrid w:val="0"/>
              <w:spacing w:line="360" w:lineRule="auto"/>
              <w:rPr>
                <w:rFonts w:hint="eastAsia" w:asciiTheme="minorEastAsia" w:hAnsiTheme="minorEastAsia" w:eastAsiaTheme="minorEastAsia" w:cstheme="minorEastAsia"/>
                <w:color w:val="auto"/>
                <w:sz w:val="24"/>
                <w:highlight w:val="none"/>
                <w:lang w:bidi="ar"/>
              </w:rPr>
            </w:pPr>
            <w:r>
              <w:rPr>
                <w:rFonts w:hint="eastAsia" w:ascii="Segoe UI Symbol" w:hAnsi="Segoe UI Symbol" w:cs="Segoe UI Symbol" w:eastAsia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以分标（</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中标（成交）金额/</w:t>
            </w:r>
            <w:r>
              <w:rPr>
                <w:rFonts w:hint="eastAsia" w:asciiTheme="minorEastAsia" w:hAnsiTheme="minorEastAsia" w:eastAsiaTheme="minorEastAsia" w:cstheme="minorEastAsia"/>
                <w:color w:val="auto"/>
                <w:sz w:val="24"/>
                <w:highlight w:val="none"/>
                <w:lang w:bidi="ar"/>
              </w:rPr>
              <w:sym w:font="Wingdings 2" w:char="00A3"/>
            </w:r>
            <w:r>
              <w:rPr>
                <w:rFonts w:hint="eastAsia" w:asciiTheme="minorEastAsia" w:hAnsiTheme="minorEastAsia" w:eastAsiaTheme="minorEastAsia" w:cstheme="minorEastAsia"/>
                <w:color w:val="auto"/>
                <w:sz w:val="24"/>
                <w:highlight w:val="none"/>
                <w:lang w:bidi="ar"/>
              </w:rPr>
              <w:t>采购预算/□暂定成交金额/□其他</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）为计费额，</w:t>
            </w:r>
          </w:p>
          <w:p w14:paraId="5F05CD00">
            <w:pPr>
              <w:keepLines/>
              <w:wordWrap w:val="0"/>
              <w:snapToGrid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bidi="ar"/>
              </w:rPr>
              <w:t>按服务</w:t>
            </w:r>
            <w:r>
              <w:rPr>
                <w:rFonts w:hint="eastAsia" w:asciiTheme="minorEastAsia" w:hAnsiTheme="minorEastAsia" w:eastAsiaTheme="minorEastAsia" w:cstheme="minorEastAsia"/>
                <w:color w:val="auto"/>
                <w:sz w:val="24"/>
                <w:highlight w:val="none"/>
                <w:u w:val="single"/>
                <w:lang w:bidi="ar"/>
              </w:rPr>
              <w:t>类</w:t>
            </w:r>
            <w:r>
              <w:rPr>
                <w:rFonts w:hint="eastAsia" w:asciiTheme="minorEastAsia" w:hAnsiTheme="minorEastAsia" w:eastAsiaTheme="minorEastAsia" w:cstheme="minorEastAsia"/>
                <w:color w:val="auto"/>
                <w:sz w:val="24"/>
                <w:highlight w:val="none"/>
                <w:lang w:bidi="ar"/>
              </w:rPr>
              <w:t>采用差额定率累进法计算出收费基准价格，采购代理收费以（</w:t>
            </w:r>
            <w:r>
              <w:rPr>
                <w:rFonts w:hint="eastAsia" w:asciiTheme="minorEastAsia" w:hAnsiTheme="minorEastAsia" w:eastAsiaTheme="minorEastAsia" w:cstheme="minorEastAsia"/>
                <w:color w:val="auto"/>
                <w:sz w:val="24"/>
                <w:highlight w:val="none"/>
                <w:lang w:eastAsia="zh-CN" w:bidi="ar"/>
              </w:rPr>
              <w:t>□</w:t>
            </w:r>
            <w:r>
              <w:rPr>
                <w:rFonts w:hint="eastAsia" w:asciiTheme="minorEastAsia" w:hAnsiTheme="minorEastAsia" w:eastAsiaTheme="minorEastAsia" w:cstheme="minorEastAsia"/>
                <w:color w:val="auto"/>
                <w:sz w:val="24"/>
                <w:highlight w:val="none"/>
                <w:lang w:bidi="ar"/>
              </w:rPr>
              <w:t>收费基准价格/□收费基准价下浮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/□收费基准价格上浮</w:t>
            </w:r>
            <w:r>
              <w:rPr>
                <w:rFonts w:hint="eastAsia" w:asciiTheme="minorEastAsia" w:hAnsiTheme="minorEastAsia" w:eastAsiaTheme="minorEastAsia" w:cstheme="minorEastAsia"/>
                <w:color w:val="auto"/>
                <w:sz w:val="24"/>
                <w:highlight w:val="none"/>
                <w:u w:val="single"/>
                <w:lang w:bidi="ar"/>
              </w:rPr>
              <w:t xml:space="preserve">  %</w:t>
            </w:r>
            <w:r>
              <w:rPr>
                <w:rFonts w:hint="eastAsia" w:asciiTheme="minorEastAsia" w:hAnsiTheme="minorEastAsia" w:eastAsiaTheme="minorEastAsia" w:cstheme="minorEastAsia"/>
                <w:color w:val="auto"/>
                <w:sz w:val="24"/>
                <w:highlight w:val="none"/>
                <w:lang w:bidi="ar"/>
              </w:rPr>
              <w:t>）计算。</w:t>
            </w:r>
          </w:p>
          <w:p w14:paraId="37B43107">
            <w:pPr>
              <w:keepLines/>
              <w:wordWrap w:val="0"/>
              <w:snapToGrid w:val="0"/>
              <w:spacing w:line="360" w:lineRule="auto"/>
              <w:rPr>
                <w:rFonts w:hint="eastAsia" w:asciiTheme="minorEastAsia" w:hAnsiTheme="minorEastAsia" w:eastAsiaTheme="minorEastAsia" w:cstheme="minorEastAsia"/>
                <w:color w:val="auto"/>
                <w:sz w:val="24"/>
                <w:highlight w:val="none"/>
                <w:u w:val="single"/>
                <w:lang w:bidi="ar"/>
              </w:rPr>
            </w:pPr>
            <w:r>
              <w:rPr>
                <w:rFonts w:hint="eastAsia" w:asciiTheme="minorEastAsia" w:hAnsiTheme="minorEastAsia" w:eastAsiaTheme="minorEastAsia" w:cstheme="minorEastAsia"/>
                <w:color w:val="auto"/>
                <w:sz w:val="24"/>
                <w:highlight w:val="none"/>
                <w:lang w:bidi="ar"/>
              </w:rPr>
              <w:t>☑固定采购代理收费</w:t>
            </w:r>
            <w:r>
              <w:rPr>
                <w:rFonts w:hint="eastAsia" w:asciiTheme="minorEastAsia" w:hAnsiTheme="minorEastAsia" w:eastAsiaTheme="minorEastAsia" w:cstheme="minorEastAsia"/>
                <w:color w:val="auto"/>
                <w:sz w:val="24"/>
                <w:highlight w:val="none"/>
                <w:u w:val="single"/>
                <w:lang w:bidi="ar"/>
              </w:rPr>
              <w:t xml:space="preserve"> 15500.00元 。</w:t>
            </w:r>
          </w:p>
          <w:p w14:paraId="346C581A">
            <w:pPr>
              <w:keepLines/>
              <w:wordWrap w:val="0"/>
              <w:snapToGrid w:val="0"/>
              <w:spacing w:line="360" w:lineRule="auto"/>
              <w:ind w:firstLine="482"/>
              <w:rPr>
                <w:rFonts w:hint="eastAsia" w:asciiTheme="minorEastAsia" w:hAnsiTheme="minorEastAsia" w:eastAsiaTheme="minorEastAsia" w:cstheme="minorEastAsia"/>
                <w:b/>
                <w:color w:val="auto"/>
                <w:sz w:val="24"/>
                <w:highlight w:val="none"/>
                <w:u w:val="single"/>
                <w:lang w:bidi="ar"/>
              </w:rPr>
            </w:pPr>
            <w:r>
              <w:rPr>
                <w:rFonts w:hint="eastAsia" w:asciiTheme="minorEastAsia" w:hAnsiTheme="minorEastAsia" w:eastAsiaTheme="minorEastAsia" w:cstheme="minorEastAsia"/>
                <w:b/>
                <w:color w:val="auto"/>
                <w:sz w:val="24"/>
                <w:highlight w:val="none"/>
                <w:u w:val="single"/>
                <w:lang w:bidi="ar"/>
              </w:rPr>
              <w:t>基准价计算标准如下：</w:t>
            </w:r>
          </w:p>
          <w:p w14:paraId="72A87988">
            <w:pPr>
              <w:pStyle w:val="14"/>
              <w:keepLines/>
              <w:wordWrap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参照国家发展改革委关于进一步放开建设项目专业服务价格的通知发改价格〔2015〕299号文要求，采用差额定率累进法计算，按下表的标准计取代理服务基准价：</w:t>
            </w:r>
          </w:p>
          <w:tbl>
            <w:tblPr>
              <w:tblStyle w:val="26"/>
              <w:tblpPr w:leftFromText="180" w:rightFromText="180" w:vertAnchor="text" w:horzAnchor="margin" w:tblpXSpec="center" w:tblpY="161"/>
              <w:tblW w:w="6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2"/>
              <w:gridCol w:w="1414"/>
              <w:gridCol w:w="1231"/>
              <w:gridCol w:w="1211"/>
            </w:tblGrid>
            <w:tr w14:paraId="581D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2562" w:type="dxa"/>
                  <w:tcBorders>
                    <w:tl2br w:val="single" w:color="auto" w:sz="4" w:space="0"/>
                  </w:tcBorders>
                </w:tcPr>
                <w:p w14:paraId="6801B77B">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费率</w:t>
                  </w:r>
                </w:p>
                <w:p w14:paraId="5DFBCF66">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中标金额</w:t>
                  </w:r>
                </w:p>
              </w:tc>
              <w:tc>
                <w:tcPr>
                  <w:tcW w:w="1414" w:type="dxa"/>
                  <w:vAlign w:val="center"/>
                </w:tcPr>
                <w:p w14:paraId="75EFC3E4">
                  <w:pPr>
                    <w:keepLines/>
                    <w:wordWrap w:val="0"/>
                    <w:spacing w:line="360" w:lineRule="auto"/>
                    <w:ind w:firstLine="120" w:firstLineChars="50"/>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货物招标</w:t>
                  </w:r>
                </w:p>
              </w:tc>
              <w:tc>
                <w:tcPr>
                  <w:tcW w:w="1231" w:type="dxa"/>
                  <w:vAlign w:val="center"/>
                </w:tcPr>
                <w:p w14:paraId="35881370">
                  <w:pPr>
                    <w:keepLines/>
                    <w:wordWrap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服务招标</w:t>
                  </w:r>
                </w:p>
              </w:tc>
              <w:tc>
                <w:tcPr>
                  <w:tcW w:w="1211" w:type="dxa"/>
                  <w:vAlign w:val="center"/>
                </w:tcPr>
                <w:p w14:paraId="1E1ECAFE">
                  <w:pPr>
                    <w:keepLines/>
                    <w:wordWrap w:val="0"/>
                    <w:spacing w:line="360" w:lineRule="auto"/>
                    <w:jc w:val="center"/>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工程招标</w:t>
                  </w:r>
                </w:p>
              </w:tc>
            </w:tr>
            <w:tr w14:paraId="2E8DD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2562" w:type="dxa"/>
                </w:tcPr>
                <w:p w14:paraId="6D58F98F">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100万元以下</w:t>
                  </w:r>
                </w:p>
              </w:tc>
              <w:tc>
                <w:tcPr>
                  <w:tcW w:w="1414" w:type="dxa"/>
                </w:tcPr>
                <w:p w14:paraId="018933A5">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1.5%</w:t>
                  </w:r>
                </w:p>
              </w:tc>
              <w:tc>
                <w:tcPr>
                  <w:tcW w:w="1231" w:type="dxa"/>
                </w:tcPr>
                <w:p w14:paraId="630E55F7">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w:t>
                  </w:r>
                </w:p>
              </w:tc>
              <w:tc>
                <w:tcPr>
                  <w:tcW w:w="1211" w:type="dxa"/>
                </w:tcPr>
                <w:p w14:paraId="5CC1FF05">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1.0% </w:t>
                  </w:r>
                </w:p>
              </w:tc>
            </w:tr>
            <w:tr w14:paraId="1AB5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02A551A2">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100～500万元</w:t>
                  </w:r>
                </w:p>
              </w:tc>
              <w:tc>
                <w:tcPr>
                  <w:tcW w:w="1414" w:type="dxa"/>
                </w:tcPr>
                <w:p w14:paraId="27A610A7">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w:t>
                  </w:r>
                </w:p>
              </w:tc>
              <w:tc>
                <w:tcPr>
                  <w:tcW w:w="1231" w:type="dxa"/>
                </w:tcPr>
                <w:p w14:paraId="3C3D6C40">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0.8%</w:t>
                  </w:r>
                </w:p>
              </w:tc>
              <w:tc>
                <w:tcPr>
                  <w:tcW w:w="1211" w:type="dxa"/>
                </w:tcPr>
                <w:p w14:paraId="4A5A3061">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0.7% </w:t>
                  </w:r>
                </w:p>
              </w:tc>
            </w:tr>
            <w:tr w14:paraId="1E7A6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12AC93B1">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500～1000万元</w:t>
                  </w:r>
                </w:p>
              </w:tc>
              <w:tc>
                <w:tcPr>
                  <w:tcW w:w="1414" w:type="dxa"/>
                </w:tcPr>
                <w:p w14:paraId="224AB4A8">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0.8%</w:t>
                  </w:r>
                </w:p>
              </w:tc>
              <w:tc>
                <w:tcPr>
                  <w:tcW w:w="1231" w:type="dxa"/>
                </w:tcPr>
                <w:p w14:paraId="5AD0381B">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0.45%</w:t>
                  </w:r>
                </w:p>
              </w:tc>
              <w:tc>
                <w:tcPr>
                  <w:tcW w:w="1211" w:type="dxa"/>
                </w:tcPr>
                <w:p w14:paraId="34378C66">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0.55%</w:t>
                  </w:r>
                </w:p>
              </w:tc>
            </w:tr>
            <w:tr w14:paraId="0644F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62" w:type="dxa"/>
                </w:tcPr>
                <w:p w14:paraId="736B28FD">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1000～5000万元</w:t>
                  </w:r>
                </w:p>
              </w:tc>
              <w:tc>
                <w:tcPr>
                  <w:tcW w:w="1414" w:type="dxa"/>
                </w:tcPr>
                <w:p w14:paraId="4B336EE3">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0.5%</w:t>
                  </w:r>
                </w:p>
              </w:tc>
              <w:tc>
                <w:tcPr>
                  <w:tcW w:w="1231" w:type="dxa"/>
                </w:tcPr>
                <w:p w14:paraId="3A8F9A97">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0.25%</w:t>
                  </w:r>
                </w:p>
              </w:tc>
              <w:tc>
                <w:tcPr>
                  <w:tcW w:w="1211" w:type="dxa"/>
                </w:tcPr>
                <w:p w14:paraId="5EB8C3F6">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0.35% </w:t>
                  </w:r>
                </w:p>
              </w:tc>
            </w:tr>
            <w:tr w14:paraId="20A5C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3734C029">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5000万元～1亿元</w:t>
                  </w:r>
                </w:p>
              </w:tc>
              <w:tc>
                <w:tcPr>
                  <w:tcW w:w="1414" w:type="dxa"/>
                </w:tcPr>
                <w:p w14:paraId="2BC634D0">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0.25%</w:t>
                  </w:r>
                </w:p>
              </w:tc>
              <w:tc>
                <w:tcPr>
                  <w:tcW w:w="1231" w:type="dxa"/>
                </w:tcPr>
                <w:p w14:paraId="154A5B5C">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0.1%</w:t>
                  </w:r>
                </w:p>
              </w:tc>
              <w:tc>
                <w:tcPr>
                  <w:tcW w:w="1211" w:type="dxa"/>
                </w:tcPr>
                <w:p w14:paraId="46D468A5">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0.2%</w:t>
                  </w:r>
                </w:p>
              </w:tc>
            </w:tr>
            <w:tr w14:paraId="1EDD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72997585">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1～5亿元</w:t>
                  </w:r>
                </w:p>
              </w:tc>
              <w:tc>
                <w:tcPr>
                  <w:tcW w:w="1414" w:type="dxa"/>
                </w:tcPr>
                <w:p w14:paraId="5DC8B88D">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0.05%</w:t>
                  </w:r>
                </w:p>
              </w:tc>
              <w:tc>
                <w:tcPr>
                  <w:tcW w:w="1231" w:type="dxa"/>
                </w:tcPr>
                <w:p w14:paraId="6E7F1CF3">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0.05%</w:t>
                  </w:r>
                </w:p>
              </w:tc>
              <w:tc>
                <w:tcPr>
                  <w:tcW w:w="1211" w:type="dxa"/>
                </w:tcPr>
                <w:p w14:paraId="0043ACE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0.05%</w:t>
                  </w:r>
                </w:p>
              </w:tc>
            </w:tr>
            <w:tr w14:paraId="2FDC5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035AC793">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5～10亿元</w:t>
                  </w:r>
                </w:p>
              </w:tc>
              <w:tc>
                <w:tcPr>
                  <w:tcW w:w="1414" w:type="dxa"/>
                </w:tcPr>
                <w:p w14:paraId="084702F0">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0.035%</w:t>
                  </w:r>
                </w:p>
              </w:tc>
              <w:tc>
                <w:tcPr>
                  <w:tcW w:w="1231" w:type="dxa"/>
                </w:tcPr>
                <w:p w14:paraId="77BDED7C">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0.035%</w:t>
                  </w:r>
                </w:p>
              </w:tc>
              <w:tc>
                <w:tcPr>
                  <w:tcW w:w="1211" w:type="dxa"/>
                </w:tcPr>
                <w:p w14:paraId="1DF3EC5B">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0.035%</w:t>
                  </w:r>
                </w:p>
              </w:tc>
            </w:tr>
            <w:tr w14:paraId="27C1A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2562" w:type="dxa"/>
                </w:tcPr>
                <w:p w14:paraId="2292DEB7">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10～50亿元</w:t>
                  </w:r>
                </w:p>
              </w:tc>
              <w:tc>
                <w:tcPr>
                  <w:tcW w:w="1414" w:type="dxa"/>
                </w:tcPr>
                <w:p w14:paraId="2BE4B612">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c>
                <w:tcPr>
                  <w:tcW w:w="1231" w:type="dxa"/>
                </w:tcPr>
                <w:p w14:paraId="59C5CE1D">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c>
                <w:tcPr>
                  <w:tcW w:w="1211" w:type="dxa"/>
                </w:tcPr>
                <w:p w14:paraId="7C406B6D">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0.008%</w:t>
                  </w:r>
                </w:p>
              </w:tc>
            </w:tr>
            <w:tr w14:paraId="4104E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59FC6BAA">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50～100亿元</w:t>
                  </w:r>
                </w:p>
              </w:tc>
              <w:tc>
                <w:tcPr>
                  <w:tcW w:w="1414" w:type="dxa"/>
                </w:tcPr>
                <w:p w14:paraId="542095D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0.006%</w:t>
                  </w:r>
                </w:p>
              </w:tc>
              <w:tc>
                <w:tcPr>
                  <w:tcW w:w="1231" w:type="dxa"/>
                </w:tcPr>
                <w:p w14:paraId="0C3B14D6">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0.006%</w:t>
                  </w:r>
                </w:p>
              </w:tc>
              <w:tc>
                <w:tcPr>
                  <w:tcW w:w="1211" w:type="dxa"/>
                </w:tcPr>
                <w:p w14:paraId="10751E65">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0.006%</w:t>
                  </w:r>
                </w:p>
              </w:tc>
            </w:tr>
            <w:tr w14:paraId="77D3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62" w:type="dxa"/>
                </w:tcPr>
                <w:p w14:paraId="4D621AF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100亿以上</w:t>
                  </w:r>
                </w:p>
              </w:tc>
              <w:tc>
                <w:tcPr>
                  <w:tcW w:w="1414" w:type="dxa"/>
                </w:tcPr>
                <w:p w14:paraId="3AC2953E">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0.004%</w:t>
                  </w:r>
                </w:p>
              </w:tc>
              <w:tc>
                <w:tcPr>
                  <w:tcW w:w="1231" w:type="dxa"/>
                </w:tcPr>
                <w:p w14:paraId="5842A449">
                  <w:pPr>
                    <w:keepLines/>
                    <w:wordWrap w:val="0"/>
                    <w:spacing w:line="360" w:lineRule="auto"/>
                    <w:ind w:firstLine="240" w:firstLineChars="1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0.004%</w:t>
                  </w:r>
                </w:p>
              </w:tc>
              <w:tc>
                <w:tcPr>
                  <w:tcW w:w="1211" w:type="dxa"/>
                </w:tcPr>
                <w:p w14:paraId="2A9E803B">
                  <w:pPr>
                    <w:keepLines/>
                    <w:wordWrap w:val="0"/>
                    <w:spacing w:line="360" w:lineRule="auto"/>
                    <w:ind w:firstLine="120" w:firstLineChars="5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0.004%</w:t>
                  </w:r>
                </w:p>
              </w:tc>
            </w:tr>
            <w:tr w14:paraId="6D91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418" w:type="dxa"/>
                  <w:gridSpan w:val="4"/>
                </w:tcPr>
                <w:p w14:paraId="733EC476">
                  <w:pPr>
                    <w:keepLines/>
                    <w:wordWrap w:val="0"/>
                    <w:spacing w:line="360" w:lineRule="auto"/>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按以上费率计算不足5000.00元的，以5000.00元为基准价。</w:t>
                  </w:r>
                </w:p>
              </w:tc>
            </w:tr>
          </w:tbl>
          <w:p w14:paraId="2CC25DA0">
            <w:pPr>
              <w:pStyle w:val="14"/>
              <w:keepLines/>
              <w:wordWrap w:val="0"/>
              <w:snapToGrid w:val="0"/>
              <w:spacing w:line="360" w:lineRule="auto"/>
              <w:rPr>
                <w:rFonts w:hint="eastAsia" w:hAnsi="宋体" w:cs="宋体"/>
                <w:color w:val="auto"/>
                <w:sz w:val="24"/>
                <w:szCs w:val="24"/>
                <w:highlight w:val="none"/>
                <w:u w:val="single"/>
              </w:rPr>
            </w:pPr>
          </w:p>
        </w:tc>
      </w:tr>
      <w:tr w14:paraId="51A937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507B1F0">
            <w:pPr>
              <w:keepLines/>
              <w:widowControl/>
              <w:wordWrap w:val="0"/>
              <w:spacing w:line="360" w:lineRule="auto"/>
              <w:jc w:val="left"/>
              <w:rPr>
                <w:rFonts w:hint="eastAsia" w:ascii="宋体" w:hAnsi="宋体" w:cs="宋体"/>
                <w:color w:val="auto"/>
                <w:sz w:val="24"/>
                <w:highlight w:val="none"/>
              </w:rPr>
            </w:pPr>
          </w:p>
        </w:tc>
        <w:tc>
          <w:tcPr>
            <w:tcW w:w="2630" w:type="dxa"/>
            <w:tcBorders>
              <w:top w:val="single" w:color="auto" w:sz="4" w:space="0"/>
              <w:left w:val="single" w:color="auto" w:sz="4" w:space="0"/>
              <w:bottom w:val="single" w:color="auto" w:sz="4" w:space="0"/>
              <w:right w:val="single" w:color="auto" w:sz="4" w:space="0"/>
            </w:tcBorders>
            <w:vAlign w:val="center"/>
          </w:tcPr>
          <w:p w14:paraId="21717E35">
            <w:pPr>
              <w:keepLines/>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代理服务费收款账户信息</w:t>
            </w:r>
          </w:p>
        </w:tc>
        <w:tc>
          <w:tcPr>
            <w:tcW w:w="6935" w:type="dxa"/>
            <w:tcBorders>
              <w:top w:val="single" w:color="auto" w:sz="4" w:space="0"/>
              <w:left w:val="single" w:color="auto" w:sz="4" w:space="0"/>
              <w:bottom w:val="single" w:color="auto" w:sz="4" w:space="0"/>
              <w:right w:val="single" w:color="auto" w:sz="4" w:space="0"/>
            </w:tcBorders>
            <w:vAlign w:val="center"/>
          </w:tcPr>
          <w:p w14:paraId="61B53D53">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账户名称：广西邕政采购代理有限公司</w:t>
            </w:r>
          </w:p>
          <w:p w14:paraId="6BE6DBDF">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开户银行：交通银行南宁东葛西支行</w:t>
            </w:r>
          </w:p>
          <w:p w14:paraId="454056C8">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 xml:space="preserve">银行账号：4510 6070 1018 1602 32818 </w:t>
            </w:r>
          </w:p>
          <w:p w14:paraId="7626CA15">
            <w:pPr>
              <w:pStyle w:val="14"/>
              <w:keepLines/>
              <w:wordWrap w:val="0"/>
              <w:snapToGrid w:val="0"/>
              <w:spacing w:line="360" w:lineRule="auto"/>
              <w:rPr>
                <w:rFonts w:hint="eastAsia" w:hAnsi="宋体" w:cs="宋体"/>
                <w:color w:val="auto"/>
                <w:sz w:val="24"/>
                <w:szCs w:val="24"/>
                <w:highlight w:val="none"/>
              </w:rPr>
            </w:pPr>
            <w:r>
              <w:rPr>
                <w:rFonts w:hint="eastAsia" w:hAnsi="宋体" w:cs="宋体"/>
                <w:color w:val="auto"/>
                <w:sz w:val="24"/>
                <w:szCs w:val="24"/>
                <w:highlight w:val="none"/>
              </w:rPr>
              <w:t>开户行行号：301611000718</w:t>
            </w:r>
          </w:p>
        </w:tc>
      </w:tr>
      <w:tr w14:paraId="136B6E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51E2AA1C">
            <w:pPr>
              <w:keepLines/>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41.1</w:t>
            </w:r>
          </w:p>
        </w:tc>
        <w:tc>
          <w:tcPr>
            <w:tcW w:w="2630" w:type="dxa"/>
            <w:tcBorders>
              <w:top w:val="single" w:color="auto" w:sz="4" w:space="0"/>
              <w:left w:val="single" w:color="auto" w:sz="4" w:space="0"/>
              <w:bottom w:val="single" w:color="auto" w:sz="4" w:space="0"/>
              <w:right w:val="single" w:color="auto" w:sz="4" w:space="0"/>
            </w:tcBorders>
            <w:vAlign w:val="center"/>
          </w:tcPr>
          <w:p w14:paraId="5B893620">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解释</w:t>
            </w:r>
          </w:p>
        </w:tc>
        <w:tc>
          <w:tcPr>
            <w:tcW w:w="6935" w:type="dxa"/>
            <w:tcBorders>
              <w:top w:val="single" w:color="auto" w:sz="4" w:space="0"/>
              <w:left w:val="single" w:color="auto" w:sz="4" w:space="0"/>
              <w:bottom w:val="single" w:color="auto" w:sz="4" w:space="0"/>
              <w:right w:val="single" w:color="auto" w:sz="4" w:space="0"/>
            </w:tcBorders>
            <w:vAlign w:val="center"/>
          </w:tcPr>
          <w:p w14:paraId="4F2B8C88">
            <w:pPr>
              <w:keepLines/>
              <w:wordWrap w:val="0"/>
              <w:snapToGrid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解释权：</w:t>
            </w:r>
            <w:r>
              <w:rPr>
                <w:rFonts w:hint="eastAsia" w:ascii="宋体" w:hAnsi="宋体" w:cs="宋体"/>
                <w:color w:val="auto"/>
                <w:sz w:val="24"/>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cs="宋体"/>
                <w:b/>
                <w:color w:val="auto"/>
                <w:sz w:val="24"/>
                <w:highlight w:val="none"/>
              </w:rPr>
              <w:t>，由采购人或者采购代理机构负责解释。</w:t>
            </w:r>
          </w:p>
          <w:p w14:paraId="247F69FD">
            <w:pPr>
              <w:keepLines/>
              <w:wordWrap w:val="0"/>
              <w:snapToGrid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法律责任：</w:t>
            </w:r>
          </w:p>
          <w:p w14:paraId="25C174A6">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1.本采购文件根据《中华人民共和国政府采购法》、《中华人民共和国民法典》；《中华人民共和国政府采购法实施条例》、、《政府采购货物和服务招标投 标管理办法》等有关法律、法规编制，参与本项目的各政府采购当事人依法享有上述法律法规所赋予的权利与义务。</w:t>
            </w:r>
          </w:p>
          <w:p w14:paraId="33295BE6">
            <w:pPr>
              <w:keepLines/>
              <w:wordWrap w:val="0"/>
              <w:spacing w:line="360" w:lineRule="auto"/>
              <w:ind w:firstLine="482"/>
              <w:rPr>
                <w:rFonts w:hint="eastAsia" w:ascii="宋体" w:hAnsi="宋体" w:cs="宋体"/>
                <w:color w:val="auto"/>
                <w:sz w:val="24"/>
                <w:highlight w:val="none"/>
              </w:rPr>
            </w:pPr>
            <w:r>
              <w:rPr>
                <w:rFonts w:hint="eastAsia" w:ascii="宋体" w:hAnsi="宋体" w:cs="宋体"/>
                <w:b/>
                <w:color w:val="auto"/>
                <w:sz w:val="24"/>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81E5D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vAlign w:val="center"/>
          </w:tcPr>
          <w:p w14:paraId="4EC10E7D">
            <w:pPr>
              <w:keepLines/>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41.2</w:t>
            </w:r>
          </w:p>
        </w:tc>
        <w:tc>
          <w:tcPr>
            <w:tcW w:w="2630" w:type="dxa"/>
            <w:tcBorders>
              <w:top w:val="single" w:color="auto" w:sz="4" w:space="0"/>
              <w:left w:val="single" w:color="auto" w:sz="4" w:space="0"/>
              <w:bottom w:val="single" w:color="auto" w:sz="4" w:space="0"/>
              <w:right w:val="single" w:color="auto" w:sz="4" w:space="0"/>
            </w:tcBorders>
            <w:vAlign w:val="center"/>
          </w:tcPr>
          <w:p w14:paraId="381E5427">
            <w:pPr>
              <w:keepLines/>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其他释义</w:t>
            </w:r>
          </w:p>
        </w:tc>
        <w:tc>
          <w:tcPr>
            <w:tcW w:w="6935" w:type="dxa"/>
            <w:tcBorders>
              <w:top w:val="single" w:color="auto" w:sz="4" w:space="0"/>
              <w:left w:val="single" w:color="auto" w:sz="4" w:space="0"/>
              <w:bottom w:val="single" w:color="auto" w:sz="4" w:space="0"/>
              <w:right w:val="single" w:color="auto" w:sz="4" w:space="0"/>
            </w:tcBorders>
            <w:vAlign w:val="center"/>
          </w:tcPr>
          <w:p w14:paraId="2B8ACC90">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1FF3799E">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1D0D0D1">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560C35E2">
            <w:pPr>
              <w:pStyle w:val="14"/>
              <w:keepLines/>
              <w:wordWrap w:val="0"/>
              <w:snapToGrid w:val="0"/>
              <w:spacing w:line="360" w:lineRule="auto"/>
              <w:ind w:firstLine="482"/>
              <w:rPr>
                <w:rFonts w:hint="eastAsia" w:hAnsi="宋体" w:cs="宋体"/>
                <w:b/>
                <w:bCs/>
                <w:color w:val="auto"/>
                <w:sz w:val="24"/>
                <w:szCs w:val="24"/>
                <w:highlight w:val="none"/>
              </w:rPr>
            </w:pPr>
            <w:r>
              <w:rPr>
                <w:rFonts w:hint="eastAsia" w:hAnsi="宋体" w:cs="宋体"/>
                <w:b/>
                <w:bCs/>
                <w:color w:val="auto"/>
                <w:sz w:val="24"/>
                <w:szCs w:val="24"/>
                <w:highlight w:val="none"/>
              </w:rPr>
              <w:t>4.自然人投标的，招标文件规定盖公章处由自然人摁手指指印。</w:t>
            </w:r>
          </w:p>
          <w:p w14:paraId="46F1E249">
            <w:pPr>
              <w:keepLines/>
              <w:wordWrap w:val="0"/>
              <w:spacing w:line="360" w:lineRule="auto"/>
              <w:ind w:firstLine="482"/>
              <w:jc w:val="left"/>
              <w:rPr>
                <w:rFonts w:hint="eastAsia" w:ascii="宋体" w:hAnsi="宋体" w:cs="宋体"/>
                <w:color w:val="auto"/>
                <w:sz w:val="24"/>
                <w:highlight w:val="none"/>
              </w:rPr>
            </w:pPr>
            <w:r>
              <w:rPr>
                <w:rFonts w:hint="eastAsia" w:ascii="宋体" w:hAnsi="宋体" w:cs="宋体"/>
                <w:b/>
                <w:bCs/>
                <w:color w:val="auto"/>
                <w:sz w:val="24"/>
                <w:highlight w:val="none"/>
              </w:rPr>
              <w:t>5.本招标文件所称的“以上”“以下”“以内”“届满”，包括本数；所称的“不满”“超过”“以外”，不包括本数。</w:t>
            </w:r>
          </w:p>
        </w:tc>
      </w:tr>
    </w:tbl>
    <w:p w14:paraId="5005EEA1">
      <w:pPr>
        <w:widowControl/>
        <w:wordWrap w:val="0"/>
        <w:spacing w:line="360" w:lineRule="auto"/>
        <w:ind w:firstLine="643"/>
        <w:jc w:val="left"/>
        <w:rPr>
          <w:rFonts w:hint="eastAsia" w:ascii="宋体" w:hAnsi="宋体" w:cs="宋体"/>
          <w:b/>
          <w:bCs/>
          <w:color w:val="auto"/>
          <w:sz w:val="32"/>
          <w:szCs w:val="32"/>
          <w:highlight w:val="none"/>
        </w:rPr>
        <w:sectPr>
          <w:footerReference r:id="rId5" w:type="default"/>
          <w:pgSz w:w="11906" w:h="16838"/>
          <w:pgMar w:top="1440" w:right="1080" w:bottom="1440" w:left="1080" w:header="720" w:footer="720" w:gutter="0"/>
          <w:cols w:space="720" w:num="1"/>
          <w:docGrid w:type="lines" w:linePitch="331" w:charSpace="0"/>
        </w:sectPr>
      </w:pPr>
    </w:p>
    <w:p w14:paraId="38B0187D">
      <w:pPr>
        <w:wordWrap w:val="0"/>
        <w:spacing w:line="360" w:lineRule="auto"/>
        <w:rPr>
          <w:rFonts w:hint="eastAsia" w:ascii="宋体" w:hAnsi="宋体" w:cs="宋体"/>
          <w:color w:val="auto"/>
          <w:highlight w:val="none"/>
        </w:rPr>
      </w:pPr>
    </w:p>
    <w:p w14:paraId="6FA2583A">
      <w:pPr>
        <w:pStyle w:val="4"/>
        <w:wordWrap w:val="0"/>
        <w:spacing w:before="0" w:after="0" w:line="360" w:lineRule="auto"/>
        <w:ind w:firstLine="643"/>
        <w:jc w:val="center"/>
        <w:rPr>
          <w:rFonts w:hint="eastAsia" w:ascii="宋体" w:hAnsi="宋体" w:eastAsia="宋体" w:cs="宋体"/>
          <w:color w:val="auto"/>
          <w:highlight w:val="none"/>
        </w:rPr>
      </w:pPr>
      <w:bookmarkStart w:id="66" w:name="_Toc5937"/>
      <w:r>
        <w:rPr>
          <w:rFonts w:hint="eastAsia" w:ascii="宋体" w:hAnsi="宋体" w:eastAsia="宋体" w:cs="宋体"/>
          <w:color w:val="auto"/>
          <w:highlight w:val="none"/>
        </w:rPr>
        <w:t>第二节 投标人须知正文</w:t>
      </w:r>
      <w:bookmarkEnd w:id="66"/>
    </w:p>
    <w:p w14:paraId="7C191EF5">
      <w:pPr>
        <w:pStyle w:val="5"/>
        <w:keepNext w:val="0"/>
        <w:keepLines w:val="0"/>
        <w:wordWrap w:val="0"/>
        <w:spacing w:line="360" w:lineRule="auto"/>
        <w:jc w:val="center"/>
        <w:rPr>
          <w:rFonts w:hint="eastAsia" w:ascii="宋体" w:hAnsi="宋体" w:cs="宋体"/>
          <w:color w:val="auto"/>
          <w:highlight w:val="none"/>
        </w:rPr>
      </w:pPr>
      <w:bookmarkStart w:id="67" w:name="_Toc13364"/>
      <w:r>
        <w:rPr>
          <w:rFonts w:hint="eastAsia" w:ascii="宋体" w:hAnsi="宋体" w:cs="宋体"/>
          <w:color w:val="auto"/>
          <w:highlight w:val="none"/>
        </w:rPr>
        <w:t>一、总  则</w:t>
      </w:r>
      <w:bookmarkEnd w:id="67"/>
    </w:p>
    <w:p w14:paraId="4851DB6B">
      <w:pPr>
        <w:wordWrap w:val="0"/>
        <w:spacing w:line="360" w:lineRule="auto"/>
        <w:ind w:firstLine="480" w:firstLineChars="200"/>
        <w:rPr>
          <w:rFonts w:hint="eastAsia" w:ascii="宋体" w:hAnsi="宋体" w:cs="宋体"/>
          <w:color w:val="auto"/>
          <w:sz w:val="24"/>
          <w:highlight w:val="none"/>
        </w:rPr>
      </w:pPr>
      <w:bookmarkStart w:id="68" w:name="_Toc254970527"/>
      <w:bookmarkStart w:id="69" w:name="_Toc254970668"/>
      <w:r>
        <w:rPr>
          <w:rFonts w:hint="eastAsia" w:ascii="宋体" w:hAnsi="宋体" w:cs="宋体"/>
          <w:color w:val="auto"/>
          <w:sz w:val="24"/>
          <w:highlight w:val="none"/>
        </w:rPr>
        <w:t>1.适用范围</w:t>
      </w:r>
      <w:bookmarkEnd w:id="68"/>
      <w:bookmarkEnd w:id="69"/>
    </w:p>
    <w:p w14:paraId="2595EC9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645CB46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适用于本项目的所有采购程序和环节（法律、法规另有规定的，从其规定）。</w:t>
      </w:r>
    </w:p>
    <w:p w14:paraId="27153847">
      <w:pPr>
        <w:wordWrap w:val="0"/>
        <w:spacing w:line="360" w:lineRule="auto"/>
        <w:ind w:firstLine="480" w:firstLineChars="200"/>
        <w:rPr>
          <w:rFonts w:hint="eastAsia" w:ascii="宋体" w:hAnsi="宋体" w:cs="宋体"/>
          <w:color w:val="auto"/>
          <w:sz w:val="24"/>
          <w:highlight w:val="none"/>
        </w:rPr>
      </w:pPr>
      <w:bookmarkStart w:id="70" w:name="_Toc254970669"/>
      <w:bookmarkStart w:id="71" w:name="_Toc254970528"/>
      <w:r>
        <w:rPr>
          <w:rFonts w:hint="eastAsia" w:ascii="宋体" w:hAnsi="宋体" w:cs="宋体"/>
          <w:color w:val="auto"/>
          <w:sz w:val="24"/>
          <w:highlight w:val="none"/>
        </w:rPr>
        <w:t>2.定义</w:t>
      </w:r>
      <w:bookmarkEnd w:id="70"/>
      <w:bookmarkEnd w:id="71"/>
    </w:p>
    <w:p w14:paraId="626F1C00">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2.1“采购人”是指依法进行政府采购的国家机关、事业单位、团体组织。</w:t>
      </w:r>
    </w:p>
    <w:p w14:paraId="4C9538CC">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2.2“采购代理机构” 指政府采购集中采购机构和集中采购机构以外的采购代理机构。</w:t>
      </w:r>
    </w:p>
    <w:p w14:paraId="022E46C8">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2.3“供应商”是指向采购人提供货物、工程或者服务的法人、其他组织或者自然人。</w:t>
      </w:r>
    </w:p>
    <w:p w14:paraId="2A734B5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2.4“投标人”是指响应招标、参加投标竞争的法人、非法人组织或者自然人。</w:t>
      </w:r>
    </w:p>
    <w:p w14:paraId="1E2ECBC0">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2.5“服务”是指除货物和工程以外的其他政府采购对象。</w:t>
      </w:r>
    </w:p>
    <w:p w14:paraId="19E314B3">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2.6“书面形式”是指合同书、信件和数据电文（包括电报、电传、传真、短信、电子数据交换和电子邮件）等可以有形地表现所载内容的形式。</w:t>
      </w:r>
    </w:p>
    <w:p w14:paraId="15191C31">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2.7“实质性要求”是指招标文件中已经指明不满足则投标无效的条款，或者不能负偏离的条款，或者采购需求中带“</w:t>
      </w:r>
      <w:r>
        <w:rPr>
          <w:rFonts w:hint="eastAsia" w:ascii="宋体" w:hAnsi="宋体" w:cs="宋体"/>
          <w:b/>
          <w:bCs/>
          <w:color w:val="auto"/>
          <w:szCs w:val="21"/>
          <w:highlight w:val="none"/>
        </w:rPr>
        <w:t>▲</w:t>
      </w:r>
      <w:r>
        <w:rPr>
          <w:rFonts w:hint="eastAsia" w:ascii="宋体" w:hAnsi="宋体" w:cs="宋体"/>
          <w:b/>
          <w:color w:val="auto"/>
          <w:szCs w:val="21"/>
          <w:highlight w:val="none"/>
        </w:rPr>
        <w:t>”的条款。</w:t>
      </w:r>
    </w:p>
    <w:p w14:paraId="3E4754B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7F6DDE8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79DD316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72" w:name="_Toc254970529"/>
      <w:bookmarkStart w:id="73" w:name="_Toc254970670"/>
    </w:p>
    <w:p w14:paraId="7BFD994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bookmarkEnd w:id="72"/>
      <w:bookmarkEnd w:id="73"/>
      <w:r>
        <w:rPr>
          <w:rFonts w:hint="eastAsia" w:ascii="宋体" w:hAnsi="宋体" w:cs="宋体"/>
          <w:color w:val="auto"/>
          <w:sz w:val="24"/>
          <w:highlight w:val="none"/>
        </w:rPr>
        <w:t>投标人的资格要求</w:t>
      </w:r>
    </w:p>
    <w:p w14:paraId="0CBBB2C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投标人的资格要求详见“招标公告”。</w:t>
      </w:r>
    </w:p>
    <w:p w14:paraId="57548E31">
      <w:pPr>
        <w:wordWrap w:val="0"/>
        <w:spacing w:line="360" w:lineRule="auto"/>
        <w:ind w:firstLine="480" w:firstLineChars="200"/>
        <w:rPr>
          <w:rFonts w:hint="eastAsia" w:ascii="宋体" w:hAnsi="宋体" w:cs="宋体"/>
          <w:color w:val="auto"/>
          <w:sz w:val="24"/>
          <w:highlight w:val="none"/>
        </w:rPr>
      </w:pPr>
      <w:bookmarkStart w:id="74" w:name="_Toc254970530"/>
      <w:bookmarkStart w:id="75" w:name="_Toc254970671"/>
      <w:r>
        <w:rPr>
          <w:rFonts w:hint="eastAsia" w:ascii="宋体" w:hAnsi="宋体" w:cs="宋体"/>
          <w:color w:val="auto"/>
          <w:sz w:val="24"/>
          <w:highlight w:val="none"/>
        </w:rPr>
        <w:t>4.投标委托</w:t>
      </w:r>
      <w:bookmarkEnd w:id="74"/>
      <w:bookmarkEnd w:id="75"/>
    </w:p>
    <w:p w14:paraId="78667FA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5EE5EB6C">
      <w:pPr>
        <w:wordWrap w:val="0"/>
        <w:spacing w:line="360" w:lineRule="auto"/>
        <w:ind w:firstLine="480" w:firstLineChars="200"/>
        <w:rPr>
          <w:rFonts w:hint="eastAsia" w:ascii="宋体" w:hAnsi="宋体" w:cs="宋体"/>
          <w:color w:val="auto"/>
          <w:sz w:val="24"/>
          <w:highlight w:val="none"/>
        </w:rPr>
      </w:pPr>
      <w:bookmarkStart w:id="76" w:name="_5.投标费用"/>
      <w:bookmarkEnd w:id="76"/>
      <w:bookmarkStart w:id="77" w:name="_Toc254970531"/>
      <w:bookmarkStart w:id="78" w:name="_Toc254970672"/>
      <w:r>
        <w:rPr>
          <w:rFonts w:hint="eastAsia" w:ascii="宋体" w:hAnsi="宋体" w:cs="宋体"/>
          <w:color w:val="auto"/>
          <w:sz w:val="24"/>
          <w:highlight w:val="none"/>
        </w:rPr>
        <w:t>5.投标费用</w:t>
      </w:r>
      <w:bookmarkEnd w:id="77"/>
      <w:bookmarkEnd w:id="78"/>
    </w:p>
    <w:p w14:paraId="3E82A5B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投标费用：投标人应承担参与本次采购活动有关的所有费用，包括但不限于勘查现场、编制投标文件、参加澄清说明、签订合同等，不论投标结果如何，均应自行承担。</w:t>
      </w:r>
    </w:p>
    <w:p w14:paraId="3429B16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6.联合体投标</w:t>
      </w:r>
    </w:p>
    <w:p w14:paraId="1F34C0A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0A4973B0">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22A430E3">
      <w:pPr>
        <w:wordWrap w:val="0"/>
        <w:spacing w:line="360" w:lineRule="auto"/>
        <w:ind w:firstLine="420" w:firstLineChars="200"/>
        <w:rPr>
          <w:rFonts w:hint="eastAsia" w:ascii="宋体" w:hAnsi="宋体" w:cs="宋体"/>
          <w:bCs/>
          <w:color w:val="auto"/>
          <w:sz w:val="24"/>
          <w:szCs w:val="21"/>
          <w:highlight w:val="none"/>
          <w:shd w:val="clear" w:color="auto" w:fill="FFFFFF"/>
        </w:rPr>
      </w:pPr>
      <w:r>
        <w:rPr>
          <w:rFonts w:hint="eastAsia" w:ascii="宋体" w:hAnsi="宋体" w:cs="宋体"/>
          <w:bCs/>
          <w:color w:val="auto"/>
          <w:szCs w:val="21"/>
          <w:highlight w:val="none"/>
        </w:rPr>
        <w:t>6.3根据《政府采购促进中小企业发展管理办法》（财库[2020]46号）第九条、</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lang w:val="en-US" w:eastAsia="zh-CN"/>
        </w:rPr>
        <w:t>规定，</w:t>
      </w:r>
      <w:r>
        <w:rPr>
          <w:rFonts w:hint="eastAsia" w:ascii="宋体" w:hAnsi="宋体" w:cs="宋体"/>
          <w:bCs/>
          <w:color w:val="auto"/>
          <w:szCs w:val="21"/>
          <w:highlight w:val="none"/>
        </w:rPr>
        <w:t>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6F747BD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7.转包与分包             </w:t>
      </w:r>
    </w:p>
    <w:p w14:paraId="6BCDD058">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3AB867DF">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7.2根据《政府采购促进中小企业发展管理办法》（财库[2020]46号）第九条及</w:t>
      </w:r>
      <w:r>
        <w:rPr>
          <w:rFonts w:hint="eastAsia" w:ascii="宋体" w:hAnsi="宋体" w:cs="宋体"/>
          <w:bCs/>
          <w:color w:val="auto"/>
          <w:szCs w:val="21"/>
          <w:highlight w:val="none"/>
          <w:lang w:eastAsia="zh-CN"/>
        </w:rPr>
        <w:t>《广西壮族自治区财政厅关于持续优化政府采购营商环境推动高质量发展的通知》（桂财采〔2024〕55号）</w:t>
      </w:r>
      <w:r>
        <w:rPr>
          <w:rFonts w:hint="eastAsia" w:ascii="宋体" w:hAnsi="宋体" w:cs="宋体"/>
          <w:bCs/>
          <w:color w:val="auto"/>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1DBCC0E">
      <w:pPr>
        <w:wordWrap w:val="0"/>
        <w:spacing w:line="360" w:lineRule="auto"/>
        <w:ind w:firstLine="480" w:firstLineChars="200"/>
        <w:rPr>
          <w:rFonts w:hint="eastAsia" w:ascii="宋体" w:hAnsi="宋体" w:cs="宋体"/>
          <w:color w:val="auto"/>
          <w:sz w:val="24"/>
          <w:highlight w:val="none"/>
        </w:rPr>
      </w:pPr>
      <w:bookmarkStart w:id="79" w:name="_Toc254970673"/>
      <w:bookmarkStart w:id="80" w:name="_Toc254970532"/>
      <w:r>
        <w:rPr>
          <w:rFonts w:hint="eastAsia" w:ascii="宋体" w:hAnsi="宋体" w:cs="宋体"/>
          <w:color w:val="auto"/>
          <w:sz w:val="24"/>
          <w:highlight w:val="none"/>
        </w:rPr>
        <w:t>8.特别说明：</w:t>
      </w:r>
      <w:bookmarkEnd w:id="79"/>
      <w:bookmarkEnd w:id="80"/>
      <w:bookmarkStart w:id="81" w:name="_8.1提供相同品牌产品且通过资格审查、符合性审查的不同投标人参加同一合"/>
      <w:bookmarkEnd w:id="81"/>
    </w:p>
    <w:p w14:paraId="5167F53B">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8.1如果本招标文件要求投标人提供资格、信誉、荣誉、业绩与企业认证等材料的，则投标人所提供的以上材料必须为投标人所拥有。</w:t>
      </w:r>
    </w:p>
    <w:p w14:paraId="7992235F">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8.2投标人应仔细阅读招标文件的所有内容，按照招标文件的要求提交投标文件，并对所提供的全部资料的真实性承担法律责任。</w:t>
      </w:r>
    </w:p>
    <w:p w14:paraId="26E8B5DD">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8.3投标人在投标活动中提供任何虚假材料，将报监管部门查处；中标后发现的，中标供应商须依照《中华人民共和国消费者权益保护法》规定赔偿采购人，且民事赔偿并不免除违法投标人的行政与刑事责任。</w:t>
      </w:r>
    </w:p>
    <w:p w14:paraId="1FEFDC1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9.回避与串通投标</w:t>
      </w:r>
    </w:p>
    <w:p w14:paraId="262B27E2">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9.1在政府采购活动中，采购人员及相关人员与供应商有下列利害关系之一的，应当回避：</w:t>
      </w:r>
    </w:p>
    <w:p w14:paraId="56F300E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（1）参加采购活动前3年内与供应商存在劳动关系；</w:t>
      </w:r>
    </w:p>
    <w:p w14:paraId="337366F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（2）参加采购活动前3年内担任供应商的董事、监事；</w:t>
      </w:r>
    </w:p>
    <w:p w14:paraId="1453538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（3）参加采购活动前3年内是供应商的控股股东或者实际控制人；</w:t>
      </w:r>
    </w:p>
    <w:p w14:paraId="3340EC9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（4）与供应商的法定代表人或者负责人有夫妻、直系血亲、三代以内旁系血亲或者近姻亲关系；</w:t>
      </w:r>
    </w:p>
    <w:p w14:paraId="42E6744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（5）与供应商有其他可能影响政府采购活动公平、公正进行的关系。</w:t>
      </w:r>
    </w:p>
    <w:p w14:paraId="58116DC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E11AC8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9.2有下列情形之一的视为投标人相互串通投标，投标文件将被视为无效：</w:t>
      </w:r>
    </w:p>
    <w:p w14:paraId="13DC35DA">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（1）不同投标人的投标文件由同一单位或者个人编制；或者不同投标人报名的IP地址一致的；或者编制标书硬件设备CPU编号、硬盘编号、网卡地址一致的情况。</w:t>
      </w:r>
    </w:p>
    <w:p w14:paraId="682CA7BC">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（2）不同投标人委托同一单位或者个人办理投标事宜；</w:t>
      </w:r>
    </w:p>
    <w:p w14:paraId="6011FB70">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（3）不同的投标人的投标文件载明的项目管理员为同一个人；</w:t>
      </w:r>
    </w:p>
    <w:p w14:paraId="1AE268AF">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（4）不同投标人的电子或纸质投标文件异常一致或者投标报价呈规律性差异；</w:t>
      </w:r>
    </w:p>
    <w:p w14:paraId="300C8CF0">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（5）不同投标人的纸质投标文件相互混装；</w:t>
      </w:r>
    </w:p>
    <w:p w14:paraId="67A57EB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234F86D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（1）供应商直接或者间接从采购人或者采购代理机构处获得其他供应商的相关信息并修改其投标文件或者投标文件；</w:t>
      </w:r>
    </w:p>
    <w:p w14:paraId="0D6ABD5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（2）供应商按照采购人或者采购代理机构的授意撤换、修改投标文件或者投标文件；</w:t>
      </w:r>
    </w:p>
    <w:p w14:paraId="144AC3F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（3）供应商之间协商报价、技术方案等投标文件或者投标文件的实质性内容；</w:t>
      </w:r>
    </w:p>
    <w:p w14:paraId="404EEDCB">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（4）属于同一集团、协会、商会等组织成员的供应商按照该组织要求协同参加政府采购活动；</w:t>
      </w:r>
    </w:p>
    <w:p w14:paraId="7CC64A7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（5）供应商之间事先约定一致抬高或者压低投标报价，或者在招标项目中事先约定轮流以高价位或者低价位中标，或者事先约定由某一特定供应商中标，然后再参加投标；</w:t>
      </w:r>
    </w:p>
    <w:p w14:paraId="73EA2A6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（6）供应商之间商定部分供应商放弃参加政府采购活动或者放弃中标；</w:t>
      </w:r>
    </w:p>
    <w:p w14:paraId="1667793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（7）供应商与采购人或者采购代理机构之间、供应商相互之间，为谋求特定供应商中标或者排斥其他供应商的其他串通行为。</w:t>
      </w:r>
    </w:p>
    <w:p w14:paraId="313B6428">
      <w:pPr>
        <w:pStyle w:val="14"/>
        <w:wordWrap w:val="0"/>
        <w:snapToGrid w:val="0"/>
        <w:spacing w:line="360" w:lineRule="auto"/>
        <w:ind w:left="2" w:leftChars="1" w:firstLine="422" w:firstLineChars="200"/>
        <w:rPr>
          <w:rFonts w:hint="eastAsia" w:hAnsi="宋体" w:cs="宋体"/>
          <w:b/>
          <w:color w:val="auto"/>
          <w:highlight w:val="none"/>
        </w:rPr>
      </w:pPr>
    </w:p>
    <w:p w14:paraId="520F957B">
      <w:pPr>
        <w:pStyle w:val="5"/>
        <w:keepNext w:val="0"/>
        <w:keepLines w:val="0"/>
        <w:wordWrap w:val="0"/>
        <w:spacing w:line="360" w:lineRule="auto"/>
        <w:jc w:val="center"/>
        <w:rPr>
          <w:rFonts w:hint="eastAsia" w:ascii="宋体" w:hAnsi="宋体" w:cs="宋体"/>
          <w:color w:val="auto"/>
          <w:highlight w:val="none"/>
        </w:rPr>
      </w:pPr>
      <w:bookmarkStart w:id="82" w:name="_Toc8119"/>
      <w:bookmarkStart w:id="83" w:name="_Toc254970534"/>
      <w:bookmarkStart w:id="84" w:name="_Toc254970675"/>
      <w:r>
        <w:rPr>
          <w:rFonts w:hint="eastAsia" w:ascii="宋体" w:hAnsi="宋体" w:cs="宋体"/>
          <w:color w:val="auto"/>
          <w:highlight w:val="none"/>
        </w:rPr>
        <w:t>二、招标文件</w:t>
      </w:r>
      <w:bookmarkEnd w:id="82"/>
      <w:bookmarkEnd w:id="83"/>
      <w:bookmarkEnd w:id="84"/>
    </w:p>
    <w:p w14:paraId="0D30FD8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10.招标文件的组成</w:t>
      </w:r>
    </w:p>
    <w:p w14:paraId="6D29E54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3D9BAEA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第二章 采购需求； </w:t>
      </w:r>
    </w:p>
    <w:p w14:paraId="40988B1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投标人须知；</w:t>
      </w:r>
    </w:p>
    <w:p w14:paraId="3DBC8C5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评标方法及评标标准；</w:t>
      </w:r>
    </w:p>
    <w:p w14:paraId="66D7383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拟签订的合同文本；</w:t>
      </w:r>
    </w:p>
    <w:p w14:paraId="0792FDC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投标文件格式；</w:t>
      </w:r>
    </w:p>
    <w:p w14:paraId="04ED833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质疑、投诉材料格式</w:t>
      </w:r>
    </w:p>
    <w:p w14:paraId="58FBFA8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54C44FE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11.招标文件的澄清、修改 、现场考察和答疑会</w:t>
      </w:r>
    </w:p>
    <w:p w14:paraId="30ED9E19">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E214F4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11.2 投标人应认真审阅本公开招标文件，如有疑问，或发现其中有误或有要求不合理的，应在投标人须知前附表规定的</w:t>
      </w:r>
      <w:r>
        <w:rPr>
          <w:rFonts w:hint="eastAsia" w:ascii="宋体" w:hAnsi="宋体" w:cs="宋体"/>
          <w:color w:val="auto"/>
          <w:kern w:val="0"/>
          <w:szCs w:val="21"/>
          <w:highlight w:val="none"/>
        </w:rPr>
        <w:t>投标截止时间</w:t>
      </w:r>
      <w:r>
        <w:rPr>
          <w:rFonts w:hint="eastAsia" w:ascii="宋体" w:hAnsi="宋体" w:cs="宋体"/>
          <w:color w:val="auto"/>
          <w:highlight w:val="none"/>
        </w:rPr>
        <w:t>前以书面形式要求采购人或采购代理机构对招标文件予以澄清；否则，由此产生的后果由投标人自行负责。</w:t>
      </w:r>
    </w:p>
    <w:p w14:paraId="1CE33D1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宋体" w:hAnsi="宋体" w:cs="宋体"/>
          <w:color w:val="auto"/>
          <w:szCs w:val="21"/>
          <w:highlight w:val="none"/>
        </w:rPr>
        <w:t>投标人须知前附表”</w:t>
      </w:r>
      <w:r>
        <w:rPr>
          <w:rFonts w:hint="eastAsia" w:ascii="宋体" w:hAnsi="宋体" w:cs="宋体"/>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14:paraId="138B008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11.4 采购人和采购代理机构可以视采购具体情况，变更投标截止时间和开标时间，将变更时间将在“</w:t>
      </w:r>
      <w:r>
        <w:rPr>
          <w:rFonts w:hint="eastAsia" w:ascii="宋体" w:hAnsi="宋体" w:cs="宋体"/>
          <w:color w:val="auto"/>
          <w:szCs w:val="21"/>
          <w:highlight w:val="none"/>
        </w:rPr>
        <w:t>投标人须知前附表”</w:t>
      </w:r>
      <w:r>
        <w:rPr>
          <w:rFonts w:hint="eastAsia" w:ascii="宋体" w:hAnsi="宋体" w:cs="宋体"/>
          <w:color w:val="auto"/>
          <w:kern w:val="0"/>
          <w:szCs w:val="21"/>
          <w:highlight w:val="none"/>
        </w:rPr>
        <w:t>规定的政府采购信息发布媒体上</w:t>
      </w:r>
      <w:r>
        <w:rPr>
          <w:rFonts w:hint="eastAsia" w:ascii="宋体" w:hAnsi="宋体" w:cs="宋体"/>
          <w:color w:val="auto"/>
          <w:highlight w:val="none"/>
        </w:rPr>
        <w:t>发布更正公告。</w:t>
      </w:r>
    </w:p>
    <w:p w14:paraId="703E09F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11.</w:t>
      </w:r>
      <w:bookmarkStart w:id="85" w:name="_Hlk53134511"/>
      <w:r>
        <w:rPr>
          <w:rFonts w:hint="eastAsia" w:ascii="宋体" w:hAnsi="宋体" w:cs="宋体"/>
          <w:color w:val="auto"/>
          <w:highlight w:val="none"/>
        </w:rPr>
        <w:t>5采购人或者采购代理机构可以在招标文件提供期限截止后，组织已获取招标文件的潜在投标人现场考察或者召开开标前答疑会，具体详见“投标人须知前附表”。</w:t>
      </w:r>
    </w:p>
    <w:bookmarkEnd w:id="85"/>
    <w:p w14:paraId="1B94F5EB">
      <w:pPr>
        <w:pStyle w:val="5"/>
        <w:keepNext w:val="0"/>
        <w:keepLines w:val="0"/>
        <w:wordWrap w:val="0"/>
        <w:spacing w:line="360" w:lineRule="auto"/>
        <w:jc w:val="center"/>
        <w:rPr>
          <w:rFonts w:hint="eastAsia" w:ascii="宋体" w:hAnsi="宋体" w:cs="宋体"/>
          <w:color w:val="auto"/>
          <w:highlight w:val="none"/>
        </w:rPr>
      </w:pPr>
      <w:bookmarkStart w:id="86" w:name="_Toc254970676"/>
      <w:bookmarkStart w:id="87" w:name="_Toc21817"/>
      <w:bookmarkStart w:id="88" w:name="_Toc254970535"/>
      <w:r>
        <w:rPr>
          <w:rFonts w:hint="eastAsia" w:ascii="宋体" w:hAnsi="宋体" w:cs="宋体"/>
          <w:color w:val="auto"/>
          <w:highlight w:val="none"/>
        </w:rPr>
        <w:t>三、投标文件的编制</w:t>
      </w:r>
      <w:bookmarkEnd w:id="86"/>
      <w:bookmarkEnd w:id="87"/>
      <w:bookmarkEnd w:id="88"/>
    </w:p>
    <w:p w14:paraId="74E60C63">
      <w:pPr>
        <w:wordWrap w:val="0"/>
        <w:spacing w:line="360" w:lineRule="auto"/>
        <w:ind w:firstLine="480" w:firstLineChars="200"/>
        <w:rPr>
          <w:rFonts w:hint="eastAsia" w:ascii="宋体" w:hAnsi="宋体" w:cs="宋体"/>
          <w:color w:val="auto"/>
          <w:sz w:val="24"/>
          <w:highlight w:val="none"/>
        </w:rPr>
      </w:pPr>
      <w:bookmarkStart w:id="89" w:name="_Toc254970536"/>
      <w:bookmarkStart w:id="90" w:name="_Toc254970677"/>
      <w:r>
        <w:rPr>
          <w:rFonts w:hint="eastAsia" w:ascii="宋体" w:hAnsi="宋体" w:cs="宋体"/>
          <w:color w:val="auto"/>
          <w:sz w:val="24"/>
          <w:highlight w:val="none"/>
        </w:rPr>
        <w:t>12.投标文件的编制原则</w:t>
      </w:r>
    </w:p>
    <w:p w14:paraId="709AF2D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12.1投标人必须按照招标文件的要求编制投标文件。投标文件必须对招标文件提出的要求和条件作出明确响应。</w:t>
      </w:r>
    </w:p>
    <w:p w14:paraId="5A2E3AE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40CC0B0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13.投标文件的组成</w:t>
      </w:r>
      <w:bookmarkEnd w:id="89"/>
      <w:bookmarkEnd w:id="90"/>
    </w:p>
    <w:p w14:paraId="57383ED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13.1投标文件由报价文件、资格证明文件、商务文件、技术文件四部分组成。</w:t>
      </w:r>
    </w:p>
    <w:p w14:paraId="1D5A4746">
      <w:pPr>
        <w:wordWrap w:val="0"/>
        <w:spacing w:line="360" w:lineRule="auto"/>
        <w:ind w:firstLine="420" w:firstLineChars="200"/>
        <w:rPr>
          <w:rFonts w:hint="eastAsia" w:ascii="宋体" w:hAnsi="宋体" w:cs="宋体"/>
          <w:bCs/>
          <w:color w:val="auto"/>
          <w:szCs w:val="21"/>
          <w:highlight w:val="none"/>
        </w:rPr>
      </w:pPr>
      <w:bookmarkStart w:id="91" w:name="_13.1报价文件:_具体材料见“投标人须知前附表”。"/>
      <w:bookmarkEnd w:id="91"/>
      <w:bookmarkStart w:id="92" w:name="_13.2资格证明文件：具体材料见“投标人须知前附表”。"/>
      <w:bookmarkEnd w:id="92"/>
      <w:r>
        <w:rPr>
          <w:rFonts w:hint="eastAsia" w:ascii="宋体" w:hAnsi="宋体" w:cs="宋体"/>
          <w:bCs/>
          <w:color w:val="auto"/>
          <w:szCs w:val="21"/>
          <w:highlight w:val="none"/>
        </w:rPr>
        <w:t>（1）资格证明文件：具体材料见“投标人须知前附表”。</w:t>
      </w:r>
    </w:p>
    <w:p w14:paraId="571065FD">
      <w:pPr>
        <w:wordWrap w:val="0"/>
        <w:spacing w:line="360" w:lineRule="auto"/>
        <w:ind w:firstLine="420" w:firstLineChars="200"/>
        <w:rPr>
          <w:rFonts w:hint="eastAsia" w:ascii="宋体" w:hAnsi="宋体" w:cs="宋体"/>
          <w:bCs/>
          <w:color w:val="auto"/>
          <w:szCs w:val="21"/>
          <w:highlight w:val="none"/>
        </w:rPr>
      </w:pPr>
      <w:bookmarkStart w:id="93" w:name="_13.3商务文件:_具体材料见“投标人须知前附表”。"/>
      <w:bookmarkEnd w:id="93"/>
      <w:r>
        <w:rPr>
          <w:rFonts w:hint="eastAsia" w:ascii="宋体" w:hAnsi="宋体" w:cs="宋体"/>
          <w:bCs/>
          <w:color w:val="auto"/>
          <w:szCs w:val="21"/>
          <w:highlight w:val="none"/>
        </w:rPr>
        <w:t>（2）商务文件：具体材料见“投标人须知前附表”。</w:t>
      </w:r>
    </w:p>
    <w:p w14:paraId="73094538">
      <w:pPr>
        <w:wordWrap w:val="0"/>
        <w:spacing w:line="360" w:lineRule="auto"/>
        <w:ind w:firstLine="420" w:firstLineChars="200"/>
        <w:rPr>
          <w:rFonts w:hint="eastAsia" w:ascii="宋体" w:hAnsi="宋体" w:cs="宋体"/>
          <w:bCs/>
          <w:color w:val="auto"/>
          <w:szCs w:val="21"/>
          <w:highlight w:val="none"/>
        </w:rPr>
      </w:pPr>
      <w:bookmarkStart w:id="94" w:name="_13.4技术文件：具体材料见“投标人须知前附表”。"/>
      <w:bookmarkEnd w:id="94"/>
      <w:r>
        <w:rPr>
          <w:rFonts w:hint="eastAsia" w:ascii="宋体" w:hAnsi="宋体" w:cs="宋体"/>
          <w:bCs/>
          <w:color w:val="auto"/>
          <w:szCs w:val="21"/>
          <w:highlight w:val="none"/>
        </w:rPr>
        <w:t xml:space="preserve">（3）技术文件：具体材料见“投标人须知前附表”。 </w:t>
      </w:r>
    </w:p>
    <w:p w14:paraId="0D01F8C5">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（4）报价文件： 具体材料见“投标人须知前附表”。</w:t>
      </w:r>
    </w:p>
    <w:p w14:paraId="32BEDBD9">
      <w:pPr>
        <w:wordWrap w:val="0"/>
        <w:spacing w:line="360" w:lineRule="auto"/>
        <w:ind w:firstLine="420" w:firstLineChars="200"/>
        <w:rPr>
          <w:rFonts w:hint="eastAsia" w:ascii="宋体" w:hAnsi="宋体" w:cs="宋体"/>
          <w:bCs/>
          <w:color w:val="auto"/>
          <w:szCs w:val="21"/>
          <w:highlight w:val="none"/>
        </w:rPr>
      </w:pPr>
      <w:bookmarkStart w:id="95" w:name="_13.5投标文件电子版：具体材料见“投标人须知前附表”。"/>
      <w:bookmarkEnd w:id="95"/>
      <w:r>
        <w:rPr>
          <w:rFonts w:hint="eastAsia" w:ascii="宋体" w:hAnsi="宋体" w:cs="宋体"/>
          <w:bCs/>
          <w:color w:val="auto"/>
          <w:szCs w:val="21"/>
          <w:highlight w:val="none"/>
        </w:rPr>
        <w:t>13.2投标文件电子版：具体要求见本节19.投标文件编制。</w:t>
      </w:r>
    </w:p>
    <w:p w14:paraId="33AB7EC6">
      <w:pPr>
        <w:wordWrap w:val="0"/>
        <w:spacing w:line="360" w:lineRule="auto"/>
        <w:ind w:firstLine="480" w:firstLineChars="200"/>
        <w:rPr>
          <w:rFonts w:hint="eastAsia" w:ascii="宋体" w:hAnsi="宋体" w:cs="宋体"/>
          <w:color w:val="auto"/>
          <w:sz w:val="24"/>
          <w:highlight w:val="none"/>
        </w:rPr>
      </w:pPr>
      <w:bookmarkStart w:id="96" w:name="_Toc254970537"/>
      <w:bookmarkStart w:id="97" w:name="_Toc254970678"/>
      <w:r>
        <w:rPr>
          <w:rFonts w:hint="eastAsia" w:ascii="宋体" w:hAnsi="宋体" w:cs="宋体"/>
          <w:color w:val="auto"/>
          <w:sz w:val="24"/>
          <w:highlight w:val="none"/>
        </w:rPr>
        <w:t>14.投标文件的语言及计量</w:t>
      </w:r>
      <w:bookmarkEnd w:id="96"/>
      <w:bookmarkEnd w:id="97"/>
    </w:p>
    <w:p w14:paraId="0574F8CB">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14.1语言文字</w:t>
      </w:r>
    </w:p>
    <w:p w14:paraId="6E239E5B">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2A59312B">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14.2投标计量单位</w:t>
      </w:r>
    </w:p>
    <w:p w14:paraId="192228B6">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招标文件已有明确规定的，使用招标文件规定的计量单位；招标文件没有规定的，应采用中华人民共和国法定计量单位，货币种类为人民币，否则视同未响应。</w:t>
      </w:r>
    </w:p>
    <w:p w14:paraId="0F9B4564">
      <w:pPr>
        <w:wordWrap w:val="0"/>
        <w:spacing w:line="360" w:lineRule="auto"/>
        <w:ind w:firstLine="480" w:firstLineChars="200"/>
        <w:rPr>
          <w:rFonts w:hint="eastAsia" w:ascii="宋体" w:hAnsi="宋体" w:cs="宋体"/>
          <w:color w:val="auto"/>
          <w:sz w:val="24"/>
          <w:highlight w:val="none"/>
        </w:rPr>
      </w:pPr>
      <w:bookmarkStart w:id="98" w:name="_Toc254970679"/>
      <w:bookmarkStart w:id="99" w:name="_Toc254970538"/>
      <w:r>
        <w:rPr>
          <w:rFonts w:hint="eastAsia" w:ascii="宋体" w:hAnsi="宋体" w:cs="宋体"/>
          <w:color w:val="auto"/>
          <w:sz w:val="24"/>
          <w:highlight w:val="none"/>
        </w:rPr>
        <w:t xml:space="preserve">15.投标文件提交的风险 </w:t>
      </w:r>
    </w:p>
    <w:p w14:paraId="7AF4FC39">
      <w:pPr>
        <w:wordWrap w:val="0"/>
        <w:spacing w:line="360" w:lineRule="auto"/>
        <w:ind w:firstLine="420" w:firstLineChars="200"/>
        <w:rPr>
          <w:rFonts w:hint="eastAsia" w:ascii="宋体" w:hAnsi="宋体" w:cs="宋体"/>
          <w:bCs/>
          <w:color w:val="auto"/>
          <w:szCs w:val="20"/>
          <w:highlight w:val="none"/>
        </w:rPr>
      </w:pPr>
      <w:r>
        <w:rPr>
          <w:rFonts w:hint="eastAsia" w:ascii="宋体" w:hAnsi="宋体" w:cs="宋体"/>
          <w:bCs/>
          <w:color w:val="auto"/>
          <w:szCs w:val="20"/>
          <w:highlight w:val="none"/>
        </w:rPr>
        <w:t>投标文件分为资格文件、商务文件、技术文件、报价文件四部分（其中：商务文件与技术文件合并编辑 成一个电子文档）。各投标人在编制投标文件时请按照招标文件规定的编排格式进行，不按要求提交齐全 的文件、混乱的编排导致投标文件被误读或评标委员会查找不到有效文件是造成投标人投标文件无效的风 险。▲投标文件内容不齐全、未按规定的文件格式编制的、没有对招标文件作出实质性响应，投标无效；</w:t>
      </w:r>
    </w:p>
    <w:p w14:paraId="4851037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16.投标报价</w:t>
      </w:r>
      <w:bookmarkEnd w:id="98"/>
      <w:bookmarkEnd w:id="99"/>
    </w:p>
    <w:p w14:paraId="77640EF5">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16.1投标报价应</w:t>
      </w:r>
      <w:r>
        <w:rPr>
          <w:rFonts w:hint="eastAsia" w:ascii="宋体" w:hAnsi="宋体" w:cs="宋体"/>
          <w:bCs/>
          <w:color w:val="auto"/>
          <w:szCs w:val="20"/>
          <w:highlight w:val="none"/>
        </w:rPr>
        <w:t>按“第六章　投标文件格式”中“开标一览表”格式填写。</w:t>
      </w:r>
    </w:p>
    <w:p w14:paraId="60FF7FD9">
      <w:pPr>
        <w:wordWrap w:val="0"/>
        <w:spacing w:line="360" w:lineRule="auto"/>
        <w:ind w:firstLine="420" w:firstLineChars="200"/>
        <w:rPr>
          <w:rFonts w:hint="eastAsia" w:ascii="宋体" w:hAnsi="宋体" w:cs="宋体"/>
          <w:bCs/>
          <w:color w:val="auto"/>
          <w:szCs w:val="21"/>
          <w:highlight w:val="none"/>
        </w:rPr>
      </w:pPr>
      <w:bookmarkStart w:id="100" w:name="_16.2投标报价具体定义见投标人须知前附表。"/>
      <w:bookmarkEnd w:id="100"/>
      <w:r>
        <w:rPr>
          <w:rFonts w:hint="eastAsia" w:ascii="宋体" w:hAnsi="宋体" w:cs="宋体"/>
          <w:bCs/>
          <w:color w:val="auto"/>
          <w:szCs w:val="21"/>
          <w:highlight w:val="none"/>
        </w:rPr>
        <w:t>16.2投标报价具体包括内容详见“投标人须知前附表”。</w:t>
      </w:r>
    </w:p>
    <w:p w14:paraId="58281F0D">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16.3投标人必须就所投每个分标的全部内容分别作完整唯一总价报价，不得存在漏项报价；投标人必须就所投分标的单项内容作唯一报价。</w:t>
      </w:r>
    </w:p>
    <w:p w14:paraId="4693F16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17.投标有效期</w:t>
      </w:r>
    </w:p>
    <w:p w14:paraId="03F11A93">
      <w:pPr>
        <w:wordWrap w:val="0"/>
        <w:spacing w:line="360" w:lineRule="auto"/>
        <w:ind w:firstLine="420" w:firstLineChars="200"/>
        <w:rPr>
          <w:rFonts w:hint="eastAsia" w:ascii="宋体" w:hAnsi="宋体" w:cs="宋体"/>
          <w:bCs/>
          <w:color w:val="auto"/>
          <w:szCs w:val="21"/>
          <w:highlight w:val="none"/>
        </w:rPr>
      </w:pPr>
      <w:bookmarkStart w:id="101" w:name="_17.1投标有效期应按“投标人须知中的前附表”规定的期限。"/>
      <w:bookmarkEnd w:id="101"/>
      <w:r>
        <w:rPr>
          <w:rFonts w:hint="eastAsia" w:ascii="宋体" w:hAnsi="宋体" w:cs="宋体"/>
          <w:bCs/>
          <w:color w:val="auto"/>
          <w:szCs w:val="21"/>
          <w:highlight w:val="none"/>
        </w:rPr>
        <w:t>17.1投标有效期是指为保证采购人有足够的时间在开标后完成评标、定标、合同签订等工作而要求投标人提交的投标文件在一定时间内保持有效的期限。</w:t>
      </w:r>
    </w:p>
    <w:p w14:paraId="4BFDE084">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17.2</w:t>
      </w:r>
      <w:bookmarkStart w:id="102" w:name="_Toc254970540"/>
      <w:bookmarkStart w:id="103" w:name="_Toc254970681"/>
      <w:r>
        <w:rPr>
          <w:rFonts w:hint="eastAsia" w:ascii="宋体" w:hAnsi="宋体" w:cs="宋体"/>
          <w:bCs/>
          <w:color w:val="auto"/>
          <w:szCs w:val="21"/>
          <w:highlight w:val="none"/>
        </w:rPr>
        <w:t xml:space="preserve"> 投标有效期应按规定的期限作出承诺，具体详见“投标人须知前附表”。</w:t>
      </w:r>
    </w:p>
    <w:p w14:paraId="4D49C497">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17.3投标人的投标文件在投标有效期内均保持有效。</w:t>
      </w:r>
      <w:bookmarkEnd w:id="102"/>
      <w:bookmarkEnd w:id="103"/>
    </w:p>
    <w:p w14:paraId="5EB1FF7A">
      <w:pPr>
        <w:wordWrap w:val="0"/>
        <w:spacing w:line="360" w:lineRule="auto"/>
        <w:ind w:firstLine="480" w:firstLineChars="200"/>
        <w:rPr>
          <w:rFonts w:hint="eastAsia" w:ascii="宋体" w:hAnsi="宋体" w:cs="宋体"/>
          <w:color w:val="auto"/>
          <w:sz w:val="24"/>
          <w:highlight w:val="none"/>
        </w:rPr>
      </w:pPr>
      <w:bookmarkStart w:id="104" w:name="_18.投标保证金"/>
      <w:bookmarkEnd w:id="104"/>
      <w:bookmarkStart w:id="105" w:name="_Toc254970682"/>
      <w:bookmarkStart w:id="106" w:name="_Toc254970541"/>
      <w:r>
        <w:rPr>
          <w:rFonts w:hint="eastAsia" w:ascii="宋体" w:hAnsi="宋体" w:cs="宋体"/>
          <w:color w:val="auto"/>
          <w:sz w:val="24"/>
          <w:highlight w:val="none"/>
        </w:rPr>
        <w:t>18.投标保证金</w:t>
      </w:r>
      <w:bookmarkEnd w:id="105"/>
      <w:bookmarkEnd w:id="106"/>
    </w:p>
    <w:p w14:paraId="7A83CDA2">
      <w:pPr>
        <w:wordWrap w:val="0"/>
        <w:spacing w:line="360" w:lineRule="auto"/>
        <w:ind w:firstLine="420" w:firstLineChars="200"/>
        <w:rPr>
          <w:rFonts w:hint="eastAsia" w:ascii="宋体" w:hAnsi="宋体" w:cs="宋体"/>
          <w:color w:val="auto"/>
          <w:szCs w:val="21"/>
          <w:highlight w:val="none"/>
        </w:rPr>
      </w:pPr>
      <w:bookmarkStart w:id="107" w:name="_Toc254970683"/>
      <w:bookmarkStart w:id="108" w:name="_Toc254970542"/>
      <w:r>
        <w:rPr>
          <w:rFonts w:hint="eastAsia" w:ascii="宋体" w:hAnsi="宋体" w:cs="宋体"/>
          <w:color w:val="auto"/>
          <w:szCs w:val="21"/>
          <w:highlight w:val="none"/>
        </w:rPr>
        <w:t>见“投标人须知前附表”。</w:t>
      </w:r>
    </w:p>
    <w:p w14:paraId="568E472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19.投标文件的</w:t>
      </w:r>
      <w:bookmarkEnd w:id="107"/>
      <w:bookmarkEnd w:id="108"/>
      <w:r>
        <w:rPr>
          <w:rFonts w:hint="eastAsia" w:ascii="宋体" w:hAnsi="宋体" w:cs="宋体"/>
          <w:color w:val="auto"/>
          <w:sz w:val="24"/>
          <w:highlight w:val="none"/>
        </w:rPr>
        <w:t>编制</w:t>
      </w:r>
    </w:p>
    <w:p w14:paraId="11CB109C">
      <w:pPr>
        <w:wordWrap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09" w:name="_19.2投标文件应按报价文件、资格证明文件、商务文件、技术文件分别编制"/>
      <w:bookmarkEnd w:id="109"/>
      <w:r>
        <w:rPr>
          <w:rFonts w:hint="eastAsia" w:ascii="宋体" w:hAnsi="宋体" w:cs="宋体"/>
          <w:color w:val="auto"/>
          <w:szCs w:val="21"/>
          <w:highlight w:val="none"/>
        </w:rPr>
        <w:t xml:space="preserve"> </w:t>
      </w:r>
    </w:p>
    <w:p w14:paraId="240C94BE">
      <w:pPr>
        <w:pStyle w:val="37"/>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19.2投标文件按照招标文件第六章格式要求在规定位置进行签署、盖章。投标人的投标文件未按照招标文件要求签署、盖章的，</w:t>
      </w:r>
      <w:r>
        <w:rPr>
          <w:rFonts w:hint="eastAsia" w:ascii="宋体" w:hAnsi="宋体" w:cs="宋体"/>
          <w:b/>
          <w:color w:val="auto"/>
          <w:sz w:val="21"/>
          <w:szCs w:val="21"/>
          <w:highlight w:val="none"/>
        </w:rPr>
        <w:t>其投标无效。</w:t>
      </w:r>
      <w:r>
        <w:rPr>
          <w:rFonts w:hint="eastAsia" w:ascii="宋体" w:hAnsi="宋体" w:cs="宋体"/>
          <w:color w:val="auto"/>
          <w:sz w:val="21"/>
          <w:szCs w:val="21"/>
          <w:highlight w:val="none"/>
        </w:rPr>
        <w:t>骑缝盖公章不视为在规定位置盖章。</w:t>
      </w:r>
    </w:p>
    <w:p w14:paraId="7568D42E">
      <w:pPr>
        <w:pStyle w:val="37"/>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14:paraId="124974D3">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19.4投标文件中标注的投标人名称应与主体资格证明（如营业执照、事业单位法人证书、执业许可证、自然人身份证等）及公章一致，</w:t>
      </w:r>
      <w:r>
        <w:rPr>
          <w:rFonts w:hint="eastAsia" w:ascii="宋体" w:hAnsi="宋体" w:cs="宋体"/>
          <w:color w:val="auto"/>
          <w:szCs w:val="21"/>
          <w:highlight w:val="none"/>
        </w:rPr>
        <w:t>否则作无效投标处理</w:t>
      </w:r>
      <w:r>
        <w:rPr>
          <w:rFonts w:hint="eastAsia" w:ascii="宋体" w:hAnsi="宋体" w:cs="宋体"/>
          <w:b/>
          <w:color w:val="auto"/>
          <w:szCs w:val="21"/>
          <w:highlight w:val="none"/>
        </w:rPr>
        <w:t>。</w:t>
      </w:r>
    </w:p>
    <w:p w14:paraId="0D681AF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19.5投标文件应避免涂改、行间插字或者删除，</w:t>
      </w:r>
      <w:r>
        <w:rPr>
          <w:rFonts w:hint="eastAsia" w:ascii="宋体" w:hAnsi="宋体" w:cs="宋体"/>
          <w:b/>
          <w:color w:val="auto"/>
          <w:szCs w:val="21"/>
          <w:highlight w:val="none"/>
        </w:rPr>
        <w:t>否则其投标无效。</w:t>
      </w:r>
    </w:p>
    <w:p w14:paraId="12A089E9">
      <w:pPr>
        <w:wordWrap w:val="0"/>
        <w:spacing w:line="360" w:lineRule="auto"/>
        <w:ind w:firstLine="525" w:firstLineChars="250"/>
        <w:rPr>
          <w:rFonts w:hint="eastAsia" w:ascii="宋体" w:hAnsi="宋体" w:cs="宋体"/>
          <w:color w:val="auto"/>
          <w:highlight w:val="none"/>
        </w:rPr>
      </w:pPr>
      <w:r>
        <w:rPr>
          <w:rFonts w:hint="eastAsia" w:ascii="宋体" w:hAnsi="宋体" w:cs="宋体"/>
          <w:color w:val="auto"/>
          <w:highlight w:val="none"/>
        </w:rPr>
        <w:t>19.6 对招标文件的实质性要求和条件作出响应是指投标人必须对招标文件中标注为实质性要求和条件的</w:t>
      </w:r>
      <w:r>
        <w:rPr>
          <w:rFonts w:hint="eastAsia" w:ascii="宋体" w:hAnsi="宋体" w:cs="宋体"/>
          <w:color w:val="auto"/>
          <w:szCs w:val="21"/>
          <w:highlight w:val="none"/>
        </w:rPr>
        <w:t>服务内容及要求</w:t>
      </w:r>
      <w:r>
        <w:rPr>
          <w:rFonts w:hint="eastAsia" w:ascii="宋体" w:hAnsi="宋体" w:cs="宋体"/>
          <w:color w:val="auto"/>
          <w:highlight w:val="none"/>
        </w:rPr>
        <w:t>、商务条款及其它内容</w:t>
      </w:r>
      <w:r>
        <w:rPr>
          <w:rFonts w:hint="eastAsia" w:ascii="宋体" w:hAnsi="宋体" w:cs="宋体"/>
          <w:b/>
          <w:color w:val="auto"/>
          <w:highlight w:val="none"/>
        </w:rPr>
        <w:t>作出满足或者优于原要求和条件的承诺</w:t>
      </w:r>
      <w:r>
        <w:rPr>
          <w:rFonts w:hint="eastAsia" w:ascii="宋体" w:hAnsi="宋体" w:cs="宋体"/>
          <w:color w:val="auto"/>
          <w:highlight w:val="none"/>
        </w:rPr>
        <w:t>。</w:t>
      </w:r>
    </w:p>
    <w:p w14:paraId="08A5E10A">
      <w:pPr>
        <w:wordWrap w:val="0"/>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19.7本项目为南宁市全流程电子化项目，异常情况见“第二节 投标人须知正文”中“四、24.2开标程序。</w:t>
      </w:r>
    </w:p>
    <w:p w14:paraId="4078807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20.备份投标文件</w:t>
      </w:r>
    </w:p>
    <w:p w14:paraId="3149B8B4">
      <w:pPr>
        <w:wordWrap w:val="0"/>
        <w:spacing w:line="360" w:lineRule="auto"/>
        <w:ind w:firstLine="420" w:firstLineChars="200"/>
        <w:rPr>
          <w:rFonts w:hint="eastAsia" w:ascii="宋体" w:hAnsi="宋体" w:cs="宋体"/>
          <w:color w:val="auto"/>
          <w:sz w:val="24"/>
          <w:highlight w:val="none"/>
        </w:rPr>
      </w:pPr>
      <w:r>
        <w:rPr>
          <w:rFonts w:hint="eastAsia" w:ascii="宋体" w:hAnsi="宋体" w:cs="宋体"/>
          <w:bCs/>
          <w:color w:val="auto"/>
          <w:szCs w:val="21"/>
          <w:highlight w:val="none"/>
        </w:rPr>
        <w:t>详见在“投标人须知前附表”。</w:t>
      </w:r>
    </w:p>
    <w:p w14:paraId="088550F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21.投标文件的提交</w:t>
      </w:r>
    </w:p>
    <w:p w14:paraId="4295C3CD">
      <w:pPr>
        <w:wordWrap w:val="0"/>
        <w:spacing w:line="360" w:lineRule="auto"/>
        <w:ind w:firstLine="420" w:firstLineChars="200"/>
        <w:rPr>
          <w:rFonts w:hint="eastAsia" w:ascii="宋体" w:hAnsi="宋体" w:cs="宋体"/>
          <w:b/>
          <w:color w:val="auto"/>
          <w:highlight w:val="none"/>
        </w:rPr>
      </w:pPr>
      <w:bookmarkStart w:id="110" w:name="_21.1投标人必须在“投标人须知中的前附表”规定的投标文件接收时间和投"/>
      <w:bookmarkEnd w:id="110"/>
      <w:r>
        <w:rPr>
          <w:rFonts w:hint="eastAsia" w:ascii="宋体" w:hAnsi="宋体" w:cs="宋体"/>
          <w:bCs/>
          <w:color w:val="auto"/>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采购云平台”。 </w:t>
      </w:r>
      <w:r>
        <w:rPr>
          <w:rFonts w:hint="eastAsia" w:ascii="宋体" w:hAnsi="宋体" w:cs="宋体"/>
          <w:b/>
          <w:color w:val="auto"/>
          <w:highlight w:val="none"/>
        </w:rPr>
        <w:t xml:space="preserve"> </w:t>
      </w:r>
    </w:p>
    <w:p w14:paraId="151A421F">
      <w:pPr>
        <w:wordWrap w:val="0"/>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21.2未在规定时间内提交或者未按照招标文件要求密封或者标记的电子投标文件，广西政府采购云平台将拒收。</w:t>
      </w:r>
    </w:p>
    <w:p w14:paraId="56C1415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21.3电子版投标文件提交方式见“招标公告”中“四、提交投标文件截止时间、开标时间和地点”</w:t>
      </w:r>
      <w:r>
        <w:rPr>
          <w:rFonts w:hint="eastAsia" w:ascii="宋体" w:hAnsi="宋体" w:cs="宋体"/>
          <w:b/>
          <w:color w:val="auto"/>
          <w:szCs w:val="21"/>
          <w:highlight w:val="none"/>
        </w:rPr>
        <w:t xml:space="preserve"> 。</w:t>
      </w:r>
    </w:p>
    <w:p w14:paraId="0491B404">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 投标文件的补充、修改、撤回与退回</w:t>
      </w:r>
      <w:bookmarkStart w:id="111" w:name="_Toc254970543"/>
      <w:bookmarkStart w:id="112" w:name="_Toc254970684"/>
    </w:p>
    <w:p w14:paraId="61AD159E">
      <w:pPr>
        <w:wordWrap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14:paraId="65ABEB43">
      <w:pPr>
        <w:pStyle w:val="37"/>
        <w:wordWrap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111"/>
    <w:bookmarkEnd w:id="112"/>
    <w:p w14:paraId="7185E89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14:paraId="7D010FE0">
      <w:pPr>
        <w:pStyle w:val="2"/>
        <w:wordWrap w:val="0"/>
        <w:snapToGrid w:val="0"/>
        <w:spacing w:line="360" w:lineRule="auto"/>
        <w:ind w:firstLine="404"/>
        <w:rPr>
          <w:rFonts w:hint="eastAsia" w:hAnsi="宋体" w:cs="宋体"/>
          <w:snapToGrid w:val="0"/>
          <w:color w:val="auto"/>
          <w:sz w:val="21"/>
          <w:szCs w:val="21"/>
          <w:highlight w:val="none"/>
        </w:rPr>
      </w:pPr>
    </w:p>
    <w:p w14:paraId="07D50145">
      <w:pPr>
        <w:pStyle w:val="5"/>
        <w:keepNext w:val="0"/>
        <w:keepLines w:val="0"/>
        <w:wordWrap w:val="0"/>
        <w:spacing w:line="360" w:lineRule="auto"/>
        <w:jc w:val="center"/>
        <w:rPr>
          <w:rFonts w:hint="eastAsia" w:ascii="宋体" w:hAnsi="宋体" w:cs="宋体"/>
          <w:color w:val="auto"/>
          <w:highlight w:val="none"/>
        </w:rPr>
      </w:pPr>
      <w:bookmarkStart w:id="113" w:name="_Toc254970544"/>
      <w:bookmarkStart w:id="114" w:name="_Toc19841"/>
      <w:bookmarkStart w:id="115" w:name="_Toc254970685"/>
      <w:r>
        <w:rPr>
          <w:rFonts w:hint="eastAsia" w:ascii="宋体" w:hAnsi="宋体" w:cs="宋体"/>
          <w:color w:val="auto"/>
          <w:highlight w:val="none"/>
        </w:rPr>
        <w:t>四、开    标</w:t>
      </w:r>
      <w:bookmarkEnd w:id="113"/>
      <w:bookmarkEnd w:id="114"/>
      <w:bookmarkEnd w:id="115"/>
    </w:p>
    <w:p w14:paraId="2D8155F6">
      <w:pPr>
        <w:wordWrap w:val="0"/>
        <w:spacing w:line="360" w:lineRule="auto"/>
        <w:ind w:firstLine="480" w:firstLineChars="200"/>
        <w:rPr>
          <w:rFonts w:hint="eastAsia" w:ascii="宋体" w:hAnsi="宋体" w:cs="宋体"/>
          <w:color w:val="auto"/>
          <w:sz w:val="24"/>
          <w:highlight w:val="none"/>
        </w:rPr>
      </w:pPr>
      <w:bookmarkStart w:id="116" w:name="_23.开标时间和地点"/>
      <w:bookmarkEnd w:id="116"/>
      <w:r>
        <w:rPr>
          <w:rFonts w:hint="eastAsia" w:ascii="宋体" w:hAnsi="宋体" w:cs="宋体"/>
          <w:color w:val="auto"/>
          <w:sz w:val="24"/>
          <w:highlight w:val="none"/>
        </w:rPr>
        <w:t>23.开标时间和地点</w:t>
      </w:r>
    </w:p>
    <w:p w14:paraId="12113804">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23.1开标时间及地点详见“投标人须知前附表”</w:t>
      </w:r>
    </w:p>
    <w:p w14:paraId="79394AA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23.2如</w:t>
      </w:r>
      <w:r>
        <w:rPr>
          <w:rFonts w:hint="eastAsia" w:ascii="宋体" w:hAnsi="宋体" w:cs="宋体"/>
          <w:bCs/>
          <w:color w:val="auto"/>
          <w:highlight w:val="none"/>
        </w:rPr>
        <w:t>投标人成功解密投标文件，但未在“政采云”电子开标大厅参加开标的，视同认可开标过程和结果，</w:t>
      </w:r>
      <w:r>
        <w:rPr>
          <w:rFonts w:hint="eastAsia" w:ascii="宋体" w:hAnsi="宋体" w:cs="宋体"/>
          <w:color w:val="auto"/>
          <w:highlight w:val="none"/>
        </w:rPr>
        <w:t>由此产生的后果由投标人自行负责。 投标人不足3家的，不得开标。</w:t>
      </w:r>
    </w:p>
    <w:p w14:paraId="4685C97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24.开标程序</w:t>
      </w:r>
    </w:p>
    <w:p w14:paraId="05CC246F">
      <w:pPr>
        <w:wordWrap w:val="0"/>
        <w:autoSpaceDE w:val="0"/>
        <w:autoSpaceDN w:val="0"/>
        <w:adjustRightInd w:val="0"/>
        <w:spacing w:line="360" w:lineRule="auto"/>
        <w:ind w:firstLine="420" w:firstLineChars="200"/>
        <w:rPr>
          <w:rFonts w:hint="eastAsia" w:ascii="宋体" w:hAnsi="宋体" w:cs="宋体"/>
          <w:color w:val="auto"/>
          <w:kern w:val="0"/>
          <w:szCs w:val="21"/>
          <w:highlight w:val="none"/>
        </w:rPr>
      </w:pPr>
      <w:r>
        <w:rPr>
          <w:rFonts w:hint="eastAsia" w:ascii="宋体" w:hAnsi="宋体" w:cs="宋体"/>
          <w:bCs/>
          <w:color w:val="auto"/>
          <w:szCs w:val="21"/>
          <w:highlight w:val="none"/>
        </w:rPr>
        <w:t>24.1</w:t>
      </w:r>
      <w:r>
        <w:rPr>
          <w:rFonts w:hint="eastAsia" w:ascii="宋体" w:hAnsi="宋体" w:cs="宋体"/>
          <w:color w:val="auto"/>
          <w:kern w:val="0"/>
          <w:szCs w:val="21"/>
          <w:highlight w:val="none"/>
        </w:rPr>
        <w:t>开标形式：</w:t>
      </w:r>
    </w:p>
    <w:p w14:paraId="6FFC7DB8">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（1）</w:t>
      </w:r>
      <w:r>
        <w:rPr>
          <w:rFonts w:hint="eastAsia" w:ascii="宋体" w:hAnsi="宋体" w:cs="宋体"/>
          <w:bCs/>
          <w:color w:val="auto"/>
          <w:szCs w:val="21"/>
          <w:highlight w:val="none"/>
        </w:rPr>
        <w:t>开标的准备工作由采购代理机构负责落实，采购代理机构必须基于广西政府采购云平台选取评审专家，如采购代理机构未按规定选取专家的，视为本次开评标无效，应当重新采购；</w:t>
      </w:r>
    </w:p>
    <w:p w14:paraId="516F2631">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1F9D1606">
      <w:pPr>
        <w:wordWrap w:val="0"/>
        <w:autoSpaceDE w:val="0"/>
        <w:autoSpaceDN w:val="0"/>
        <w:adjustRightIn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24.2开标程序：</w:t>
      </w:r>
    </w:p>
    <w:p w14:paraId="367D65D0">
      <w:pPr>
        <w:pStyle w:val="14"/>
        <w:wordWrap w:val="0"/>
        <w:snapToGrid w:val="0"/>
        <w:spacing w:line="360" w:lineRule="auto"/>
        <w:ind w:firstLine="422" w:firstLineChars="200"/>
        <w:rPr>
          <w:rFonts w:hint="eastAsia" w:hAnsi="宋体" w:cs="宋体"/>
          <w:color w:val="auto"/>
          <w:szCs w:val="21"/>
          <w:highlight w:val="none"/>
        </w:rPr>
      </w:pPr>
      <w:r>
        <w:rPr>
          <w:rFonts w:hint="eastAsia" w:hAnsi="宋体" w:cs="宋体"/>
          <w:b/>
          <w:color w:val="auto"/>
          <w:szCs w:val="21"/>
          <w:highlight w:val="none"/>
        </w:rPr>
        <w:t>（1）解密电子投标文件。广西政府采购云平台</w:t>
      </w:r>
      <w:r>
        <w:rPr>
          <w:rFonts w:hint="eastAsia" w:hAnsi="宋体" w:cs="宋体"/>
          <w:color w:val="auto"/>
          <w:szCs w:val="21"/>
          <w:highlight w:val="none"/>
        </w:rPr>
        <w:t>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hAnsi="宋体" w:cs="宋体"/>
          <w:b/>
          <w:color w:val="auto"/>
          <w:szCs w:val="21"/>
          <w:highlight w:val="none"/>
        </w:rPr>
        <w:t>须携带加密时所用的CA锁准时登录到广西政府采购云平台电子开标大厅签到并对电子投标文件解密</w:t>
      </w:r>
      <w:r>
        <w:rPr>
          <w:rFonts w:hint="eastAsia" w:hAnsi="宋体" w:cs="宋体"/>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hAnsi="宋体" w:cs="宋体"/>
          <w:b/>
          <w:color w:val="auto"/>
          <w:szCs w:val="21"/>
          <w:highlight w:val="none"/>
        </w:rPr>
        <w:t>均视为无效投标。</w:t>
      </w:r>
    </w:p>
    <w:p w14:paraId="48FC6F67">
      <w:pPr>
        <w:pStyle w:val="14"/>
        <w:wordWrap w:val="0"/>
        <w:snapToGrid w:val="0"/>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（解密</w:t>
      </w:r>
      <w:r>
        <w:rPr>
          <w:rFonts w:hint="eastAsia" w:hAnsi="宋体" w:cs="宋体"/>
          <w:bCs/>
          <w:color w:val="auto"/>
          <w:szCs w:val="21"/>
          <w:highlight w:val="none"/>
        </w:rPr>
        <w:t>异常情况处理：详见本章</w:t>
      </w:r>
      <w:r>
        <w:rPr>
          <w:rFonts w:hint="eastAsia" w:hAnsi="宋体" w:cs="宋体"/>
          <w:color w:val="auto"/>
          <w:highlight w:val="none"/>
        </w:rPr>
        <w:t>29.3 电子交易活动的中止。</w:t>
      </w:r>
      <w:r>
        <w:rPr>
          <w:rFonts w:hint="eastAsia" w:hAnsi="宋体" w:cs="宋体"/>
          <w:color w:val="auto"/>
          <w:szCs w:val="21"/>
          <w:highlight w:val="none"/>
        </w:rPr>
        <w:t>）</w:t>
      </w:r>
    </w:p>
    <w:p w14:paraId="3280672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b/>
          <w:color w:val="auto"/>
          <w:szCs w:val="21"/>
          <w:highlight w:val="none"/>
        </w:rPr>
        <w:t>电子唱标。</w:t>
      </w:r>
      <w:r>
        <w:rPr>
          <w:rFonts w:hint="eastAsia" w:ascii="宋体" w:hAnsi="宋体" w:cs="宋体"/>
          <w:color w:val="auto"/>
          <w:szCs w:val="21"/>
          <w:highlight w:val="none"/>
        </w:rPr>
        <w:t>投标文件解密结束，各投标人报价均在广西政府采购云平台远程不见面开标大厅展示；</w:t>
      </w:r>
    </w:p>
    <w:p w14:paraId="522BE68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color w:val="auto"/>
          <w:szCs w:val="21"/>
          <w:highlight w:val="none"/>
        </w:rPr>
        <w:t>签署电子《政府采购活动现场确认声明书》。</w:t>
      </w:r>
      <w:r>
        <w:rPr>
          <w:rFonts w:hint="eastAsia" w:ascii="宋体" w:hAnsi="宋体" w:cs="宋体"/>
          <w:color w:val="auto"/>
          <w:szCs w:val="21"/>
          <w:highlight w:val="none"/>
        </w:rPr>
        <w:t>通过邮件形式在远程不见面开标大厅发送各投标人签署电子《政府采购活动现场确认声明书》。</w:t>
      </w:r>
    </w:p>
    <w:p w14:paraId="7C797708">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265A2DD6">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72D4963">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（6）开标结束。</w:t>
      </w:r>
    </w:p>
    <w:p w14:paraId="0013A61F">
      <w:pPr>
        <w:pStyle w:val="14"/>
        <w:wordWrap w:val="0"/>
        <w:snapToGrid w:val="0"/>
        <w:spacing w:line="360" w:lineRule="auto"/>
        <w:ind w:firstLine="422" w:firstLineChars="200"/>
        <w:rPr>
          <w:rFonts w:hint="eastAsia" w:hAnsi="宋体" w:cs="宋体"/>
          <w:color w:val="auto"/>
          <w:szCs w:val="21"/>
          <w:highlight w:val="none"/>
        </w:rPr>
      </w:pPr>
      <w:r>
        <w:rPr>
          <w:rFonts w:hint="eastAsia" w:hAnsi="宋体" w:cs="宋体"/>
          <w:b/>
          <w:bCs/>
          <w:color w:val="auto"/>
          <w:szCs w:val="21"/>
          <w:highlight w:val="none"/>
        </w:rPr>
        <w:t>特别说明：</w:t>
      </w:r>
      <w:r>
        <w:rPr>
          <w:rFonts w:hint="eastAsia" w:hAnsi="宋体" w:cs="宋体"/>
          <w:color w:val="auto"/>
          <w:szCs w:val="21"/>
          <w:highlight w:val="none"/>
        </w:rPr>
        <w:t>如遇广西政府采购云平台电子化开标或评审程序调整的，按调整后执行。</w:t>
      </w:r>
    </w:p>
    <w:p w14:paraId="30D6B276">
      <w:pPr>
        <w:pStyle w:val="14"/>
        <w:wordWrap w:val="0"/>
        <w:snapToGrid w:val="0"/>
        <w:spacing w:line="360" w:lineRule="auto"/>
        <w:ind w:left="689" w:leftChars="228" w:hanging="210" w:hangingChars="100"/>
        <w:rPr>
          <w:rFonts w:hint="eastAsia" w:hAnsi="宋体" w:cs="宋体"/>
          <w:color w:val="auto"/>
          <w:highlight w:val="none"/>
        </w:rPr>
      </w:pPr>
    </w:p>
    <w:p w14:paraId="1EF90061">
      <w:pPr>
        <w:pStyle w:val="5"/>
        <w:keepNext w:val="0"/>
        <w:keepLines w:val="0"/>
        <w:wordWrap w:val="0"/>
        <w:spacing w:line="360" w:lineRule="auto"/>
        <w:jc w:val="center"/>
        <w:rPr>
          <w:rFonts w:hint="eastAsia" w:ascii="宋体" w:hAnsi="宋体" w:cs="宋体"/>
          <w:color w:val="auto"/>
          <w:highlight w:val="none"/>
        </w:rPr>
      </w:pPr>
      <w:bookmarkStart w:id="117" w:name="_Toc22384"/>
      <w:r>
        <w:rPr>
          <w:rFonts w:hint="eastAsia" w:ascii="宋体" w:hAnsi="宋体" w:cs="宋体"/>
          <w:color w:val="auto"/>
          <w:highlight w:val="none"/>
        </w:rPr>
        <w:t>五、资格审查</w:t>
      </w:r>
      <w:bookmarkEnd w:id="117"/>
    </w:p>
    <w:p w14:paraId="15D37A0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25.资格审查</w:t>
      </w:r>
    </w:p>
    <w:p w14:paraId="7845B7E8">
      <w:pPr>
        <w:wordWrap w:val="0"/>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25.1开标结束后，采购人或采购机构依法通过电子投标文件对投标人的资格进行线上审查。</w:t>
      </w:r>
    </w:p>
    <w:p w14:paraId="2159C71E">
      <w:pPr>
        <w:wordWrap w:val="0"/>
        <w:spacing w:line="360" w:lineRule="auto"/>
        <w:ind w:firstLine="422" w:firstLineChars="200"/>
        <w:rPr>
          <w:rFonts w:hint="eastAsia" w:ascii="宋体" w:hAnsi="宋体" w:cs="宋体"/>
          <w:b/>
          <w:bCs/>
          <w:color w:val="auto"/>
          <w:szCs w:val="20"/>
          <w:highlight w:val="none"/>
        </w:rPr>
      </w:pPr>
      <w:r>
        <w:rPr>
          <w:rFonts w:hint="eastAsia" w:ascii="宋体" w:hAnsi="宋体" w:cs="宋体"/>
          <w:b/>
          <w:bCs/>
          <w:color w:val="auto"/>
          <w:szCs w:val="20"/>
          <w:highlight w:val="none"/>
        </w:rPr>
        <w:t xml:space="preserve"> 25.2采购人或采购机构依据法律法规和招标文件的规定，对投标人的基本资格条件、特定资格条件进行审查。</w:t>
      </w:r>
    </w:p>
    <w:p w14:paraId="75C19D6B">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19847BF1">
      <w:pPr>
        <w:wordWrap w:val="0"/>
        <w:spacing w:line="360" w:lineRule="auto"/>
        <w:ind w:firstLine="422" w:firstLineChars="200"/>
        <w:rPr>
          <w:rFonts w:hint="eastAsia" w:ascii="宋体" w:hAnsi="宋体" w:cs="宋体"/>
          <w:b/>
          <w:bCs/>
          <w:color w:val="auto"/>
          <w:szCs w:val="20"/>
          <w:highlight w:val="none"/>
        </w:rPr>
      </w:pPr>
      <w:bookmarkStart w:id="118" w:name="_25.3_投标人有下列情形之一的，资格审查不通过而导致其投标无效："/>
      <w:bookmarkEnd w:id="118"/>
      <w:r>
        <w:rPr>
          <w:rFonts w:hint="eastAsia" w:ascii="宋体" w:hAnsi="宋体" w:cs="宋体"/>
          <w:b/>
          <w:bCs/>
          <w:color w:val="auto"/>
          <w:szCs w:val="20"/>
          <w:highlight w:val="none"/>
        </w:rPr>
        <w:t>25.4投标人有下列情形之一的，资格审查不通过，作无效投标处理：</w:t>
      </w:r>
    </w:p>
    <w:p w14:paraId="2A58123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（1）不具备招标文件中规定的资格要求的；（注：其中信用查询规则见“投标人须知前附表”，广西政府采购云平台已与“信用中国”平台做接口，审查专家可直接在线查询）</w:t>
      </w:r>
    </w:p>
    <w:p w14:paraId="1258A4A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（2）投标文件未提供任一项“投标人须知前附表”资格证明文件规定的“必须提供”的文件资料的；</w:t>
      </w:r>
    </w:p>
    <w:p w14:paraId="3AFB22C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（3）投标文件提供的资格证明文件出现任一项不符合“投标人须知前附表”资格证明文件规定的“必须提供”的文件资料要求或者无效的。</w:t>
      </w:r>
    </w:p>
    <w:p w14:paraId="2857671E">
      <w:pPr>
        <w:wordWrap w:val="0"/>
        <w:spacing w:line="360" w:lineRule="auto"/>
        <w:ind w:firstLine="420" w:firstLineChars="200"/>
        <w:rPr>
          <w:rFonts w:hint="eastAsia" w:ascii="宋体" w:hAnsi="宋体" w:cs="宋体"/>
          <w:color w:val="auto"/>
          <w:szCs w:val="20"/>
          <w:highlight w:val="none"/>
        </w:rPr>
      </w:pPr>
      <w:r>
        <w:rPr>
          <w:rFonts w:hint="eastAsia" w:ascii="宋体" w:hAnsi="宋体" w:cs="宋体"/>
          <w:color w:val="auto"/>
          <w:szCs w:val="20"/>
          <w:highlight w:val="none"/>
        </w:rPr>
        <w:t>25.5资格审查的合格投标人不足3家的，不得评标。</w:t>
      </w:r>
    </w:p>
    <w:p w14:paraId="38C5C95C">
      <w:pPr>
        <w:pStyle w:val="5"/>
        <w:keepNext w:val="0"/>
        <w:keepLines w:val="0"/>
        <w:wordWrap w:val="0"/>
        <w:spacing w:line="360" w:lineRule="auto"/>
        <w:jc w:val="center"/>
        <w:rPr>
          <w:rFonts w:hint="eastAsia" w:ascii="宋体" w:hAnsi="宋体" w:cs="宋体"/>
          <w:color w:val="auto"/>
          <w:highlight w:val="none"/>
        </w:rPr>
      </w:pPr>
      <w:bookmarkStart w:id="119" w:name="_Toc27068"/>
      <w:r>
        <w:rPr>
          <w:rFonts w:hint="eastAsia" w:ascii="宋体" w:hAnsi="宋体" w:cs="宋体"/>
          <w:color w:val="auto"/>
          <w:highlight w:val="none"/>
        </w:rPr>
        <w:t>六、评   标</w:t>
      </w:r>
      <w:bookmarkEnd w:id="119"/>
    </w:p>
    <w:p w14:paraId="32361A95">
      <w:pPr>
        <w:wordWrap w:val="0"/>
        <w:spacing w:line="360" w:lineRule="auto"/>
        <w:ind w:firstLine="480" w:firstLineChars="200"/>
        <w:rPr>
          <w:rFonts w:hint="eastAsia" w:ascii="宋体" w:hAnsi="宋体" w:cs="宋体"/>
          <w:color w:val="auto"/>
          <w:sz w:val="24"/>
          <w:highlight w:val="none"/>
        </w:rPr>
      </w:pPr>
      <w:bookmarkStart w:id="120" w:name="_26.组建评标委员会"/>
      <w:bookmarkEnd w:id="120"/>
      <w:r>
        <w:rPr>
          <w:rFonts w:hint="eastAsia" w:ascii="宋体" w:hAnsi="宋体" w:cs="宋体"/>
          <w:color w:val="auto"/>
          <w:sz w:val="24"/>
          <w:highlight w:val="none"/>
        </w:rPr>
        <w:t>26.组建评标委员会</w:t>
      </w:r>
    </w:p>
    <w:p w14:paraId="6F0A07F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评标委员会由采购人代表和评审专家组成，人数为5人以上单数，其中评审专家不得少于成员总数的三分之二。</w:t>
      </w:r>
    </w:p>
    <w:p w14:paraId="10EDDAF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参加过采购项目前期咨询论证的专家，不得参加该采购项目的评审活动。</w:t>
      </w:r>
    </w:p>
    <w:p w14:paraId="5590F6F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27.评标的依据</w:t>
      </w:r>
    </w:p>
    <w:p w14:paraId="0A5B0B9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评标委员会以招标文件为依据对投标文件进行评审，“第四章 评标方法和评标标准”没有规定的方法、评审因素和标准，不作为评标依据。</w:t>
      </w:r>
    </w:p>
    <w:p w14:paraId="6630098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28.评标原则</w:t>
      </w:r>
    </w:p>
    <w:p w14:paraId="0403A57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3C2E485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21" w:name="_28.3评标方法。本项目将按须知前附表规定的评标办法进行评标，具体评标"/>
      <w:bookmarkEnd w:id="121"/>
    </w:p>
    <w:p w14:paraId="0638DA2C">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10BEDB6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28.4评标过程的监控。本项目电子评标过程实行网上留痕、全程录音、录像监控，投标人在评标过程中所进行的试图影响评标结果的不公正活动，可能导致其投标按无效处理。</w:t>
      </w:r>
    </w:p>
    <w:p w14:paraId="15470235">
      <w:pPr>
        <w:widowControl/>
        <w:wordWrap w:val="0"/>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B2C789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29.评标方法及评标标准</w:t>
      </w:r>
    </w:p>
    <w:p w14:paraId="0A60E36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29.1本项目的评标方法详见“投标人须知前附表”。</w:t>
      </w:r>
    </w:p>
    <w:p w14:paraId="0B95A7F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29.2 评标委员会按照</w:t>
      </w:r>
      <w:r>
        <w:rPr>
          <w:rFonts w:hint="eastAsia" w:ascii="宋体" w:hAnsi="宋体" w:cs="宋体"/>
          <w:b/>
          <w:color w:val="auto"/>
          <w:highlight w:val="none"/>
        </w:rPr>
        <w:t>“第四章 评标方法和评标标准”</w:t>
      </w:r>
      <w:r>
        <w:rPr>
          <w:rFonts w:hint="eastAsia" w:ascii="宋体" w:hAnsi="宋体" w:cs="宋体"/>
          <w:color w:val="auto"/>
          <w:highlight w:val="none"/>
        </w:rPr>
        <w:t>规定的方法、评审因素、标准和程序对投标文件进行评审。</w:t>
      </w:r>
    </w:p>
    <w:p w14:paraId="5B3FE27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29.3 电子交易活动的中止。采购过程中出现以下情形，导致电子交易平台无法正常运行，或者无法保证电子交易的公平、公正和安全时，采购机构可中止电子交易活动：</w:t>
      </w:r>
    </w:p>
    <w:p w14:paraId="16CCAAD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AF9A375">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0425EAE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689A95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（4）病毒发作导致不能进行正常操作的； </w:t>
      </w:r>
    </w:p>
    <w:p w14:paraId="6882532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（4）其他无法保证电子交易的公平、公正和安全的情况。</w:t>
      </w:r>
    </w:p>
    <w:p w14:paraId="6249AB79">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3FCF945">
      <w:pPr>
        <w:pStyle w:val="14"/>
        <w:wordWrap w:val="0"/>
        <w:snapToGrid w:val="0"/>
        <w:spacing w:line="360" w:lineRule="auto"/>
        <w:ind w:firstLine="420" w:firstLineChars="200"/>
        <w:rPr>
          <w:rFonts w:hint="eastAsia" w:hAnsi="宋体" w:cs="宋体"/>
          <w:color w:val="auto"/>
          <w:highlight w:val="none"/>
        </w:rPr>
      </w:pPr>
    </w:p>
    <w:p w14:paraId="488F5243">
      <w:pPr>
        <w:pStyle w:val="5"/>
        <w:keepNext w:val="0"/>
        <w:keepLines w:val="0"/>
        <w:wordWrap w:val="0"/>
        <w:spacing w:line="360" w:lineRule="auto"/>
        <w:jc w:val="center"/>
        <w:rPr>
          <w:rFonts w:hint="eastAsia" w:ascii="宋体" w:hAnsi="宋体" w:cs="宋体"/>
          <w:color w:val="auto"/>
          <w:highlight w:val="none"/>
        </w:rPr>
      </w:pPr>
      <w:bookmarkStart w:id="122" w:name="_Toc254970546"/>
      <w:bookmarkStart w:id="123" w:name="_Toc254970687"/>
      <w:bookmarkStart w:id="124" w:name="_Toc18748"/>
      <w:r>
        <w:rPr>
          <w:rFonts w:hint="eastAsia" w:ascii="宋体" w:hAnsi="宋体" w:cs="宋体"/>
          <w:color w:val="auto"/>
          <w:highlight w:val="none"/>
        </w:rPr>
        <w:t>七、</w:t>
      </w:r>
      <w:bookmarkEnd w:id="122"/>
      <w:bookmarkEnd w:id="123"/>
      <w:r>
        <w:rPr>
          <w:rFonts w:hint="eastAsia" w:ascii="宋体" w:hAnsi="宋体" w:cs="宋体"/>
          <w:color w:val="auto"/>
          <w:highlight w:val="none"/>
        </w:rPr>
        <w:t>中标和合同</w:t>
      </w:r>
      <w:bookmarkEnd w:id="124"/>
    </w:p>
    <w:p w14:paraId="7A89ACD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30.确定中标供应商</w:t>
      </w:r>
    </w:p>
    <w:p w14:paraId="3653C524">
      <w:pPr>
        <w:wordWrap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30.1本项目授权评标委员会直接按第四章“评标方法及标准”的规定排列中标候选人顺序，并依照次序确定中标供应商。</w:t>
      </w:r>
    </w:p>
    <w:p w14:paraId="009FB2B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供应商的，应当依法另行确定中标供应商；否则应当重新开展采购活动。</w:t>
      </w:r>
    </w:p>
    <w:p w14:paraId="10CE342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30.3中标供应商无正当理由拒签合同的，根据《中华人民共和国政府采购法》第七十七条第一款规定处理。</w:t>
      </w:r>
    </w:p>
    <w:p w14:paraId="20C458C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30.4根据《中华人民共和国民法典》</w:t>
      </w:r>
      <w:r>
        <w:rPr>
          <w:rFonts w:hint="eastAsia" w:ascii="宋体" w:hAnsi="宋体" w:cs="宋体"/>
          <w:color w:val="auto"/>
          <w:sz w:val="19"/>
          <w:szCs w:val="19"/>
          <w:highlight w:val="none"/>
        </w:rPr>
        <w:t>第五百六十三条</w:t>
      </w:r>
      <w:r>
        <w:rPr>
          <w:rFonts w:hint="eastAsia" w:ascii="宋体" w:hAnsi="宋体" w:cs="宋体"/>
          <w:color w:val="auto"/>
          <w:szCs w:val="21"/>
          <w:highlight w:val="none"/>
        </w:rPr>
        <w:t>，因不可抗力致使不能实现合同目的的，当事人可以解除合同。</w:t>
      </w:r>
    </w:p>
    <w:p w14:paraId="54C2AF3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 结果公告</w:t>
      </w:r>
    </w:p>
    <w:p w14:paraId="2EDE558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rPr>
        <w:t>31.1</w:t>
      </w:r>
      <w:r>
        <w:rPr>
          <w:rFonts w:hint="eastAsia" w:ascii="宋体" w:hAnsi="宋体" w:cs="宋体"/>
          <w:color w:val="auto"/>
          <w:highlight w:val="none"/>
        </w:rPr>
        <w:t>在中标供应商确定之日起2个工作日内，由采购代理机构</w:t>
      </w:r>
      <w:r>
        <w:rPr>
          <w:rFonts w:hint="eastAsia" w:ascii="宋体" w:hAnsi="宋体" w:cs="宋体"/>
          <w:b/>
          <w:color w:val="auto"/>
          <w:szCs w:val="21"/>
          <w:highlight w:val="none"/>
        </w:rPr>
        <w:t>在招标公告发布媒体上</w:t>
      </w:r>
      <w:r>
        <w:rPr>
          <w:rFonts w:hint="eastAsia" w:ascii="宋体" w:hAnsi="宋体" w:cs="宋体"/>
          <w:color w:val="auto"/>
          <w:highlight w:val="none"/>
        </w:rPr>
        <w:t>发布中标结果公告，中标结果公告期限为1个工作日，发布中标结果公告的同时向中标供应商发出中标通知书。</w:t>
      </w:r>
      <w:r>
        <w:rPr>
          <w:rFonts w:hint="eastAsia" w:ascii="宋体" w:hAnsi="宋体" w:cs="宋体"/>
          <w:b/>
          <w:color w:val="auto"/>
          <w:szCs w:val="21"/>
          <w:highlight w:val="none"/>
        </w:rPr>
        <w:t>采购代理机构发出中标通知书前，应当对中标供应商信用进行核实，对列入失信被执行人、重大税收违法失信主体、政府采购严重违法失信行为记录名单及其他不符合《中华人民共和国政府采购法》第二十二条规定条件的投标人，取消其中标资格，并确定排名第二的中标候选人为中标供应商。</w:t>
      </w:r>
      <w:r>
        <w:rPr>
          <w:rFonts w:hint="eastAsia" w:ascii="宋体" w:hAnsi="宋体" w:cs="宋体"/>
          <w:color w:val="auto"/>
          <w:szCs w:val="21"/>
          <w:highlight w:val="none"/>
        </w:rPr>
        <w:t>排名第二的中标候选人因前款规定的同样原因被取消中标资格的，授权的评标委员会可以确定排名第三的中标候选人为中标供应商，以此类推。</w:t>
      </w:r>
    </w:p>
    <w:p w14:paraId="468A2CC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以上信息查询记录及相关证据与采购文件一并保存。</w:t>
      </w:r>
    </w:p>
    <w:p w14:paraId="687E612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3964F71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32.发出中标通知书</w:t>
      </w:r>
    </w:p>
    <w:p w14:paraId="1323EC22">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32.1在发布中标公告的同时，采购代理机构向中标供应商通过广西政府采购云平台发出电子中标通知书。</w:t>
      </w:r>
    </w:p>
    <w:p w14:paraId="05C8FD68">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32.2对未通过资格审查的投标人，采购人或采购机构应当告知其未通过的原因；采用综合评分办法评审的，采购人或采购机构还应当告知未中标供应商本人的评审得分与排序。</w:t>
      </w:r>
    </w:p>
    <w:p w14:paraId="6473960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 无义务解释未中标原因</w:t>
      </w:r>
    </w:p>
    <w:p w14:paraId="65A05841">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采购代理机构无义务向未中标的投标人解释未中标原因和退还投标文件。</w:t>
      </w:r>
    </w:p>
    <w:p w14:paraId="209F3A2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34.合同授予标准</w:t>
      </w:r>
    </w:p>
    <w:p w14:paraId="5CFB76E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合同将授予被确定实质上响应招标文件要求，具备履行合同能力的中标供应商（招标文件另有约定多名中标供应商的除外）。</w:t>
      </w:r>
    </w:p>
    <w:p w14:paraId="451056A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35.履约保证金</w:t>
      </w:r>
    </w:p>
    <w:p w14:paraId="7A559E22">
      <w:pPr>
        <w:wordWrap w:val="0"/>
        <w:spacing w:line="360" w:lineRule="auto"/>
        <w:ind w:firstLine="420" w:firstLineChars="200"/>
        <w:rPr>
          <w:rFonts w:hint="eastAsia" w:ascii="宋体" w:hAnsi="宋体" w:cs="宋体"/>
          <w:color w:val="auto"/>
          <w:szCs w:val="21"/>
          <w:highlight w:val="none"/>
        </w:rPr>
      </w:pPr>
      <w:bookmarkStart w:id="125" w:name="_39.1中标人须于签订合同前按本须知前附表规定的金额转账或电汇到指定账"/>
      <w:bookmarkEnd w:id="125"/>
      <w:r>
        <w:rPr>
          <w:rFonts w:hint="eastAsia" w:ascii="宋体" w:hAnsi="宋体" w:cs="宋体"/>
          <w:color w:val="auto"/>
          <w:szCs w:val="21"/>
          <w:highlight w:val="none"/>
        </w:rPr>
        <w:t>见“投标人须知前附表”。</w:t>
      </w:r>
    </w:p>
    <w:p w14:paraId="042340A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36.签订合同</w:t>
      </w:r>
    </w:p>
    <w:p w14:paraId="777DEBBC">
      <w:pPr>
        <w:pStyle w:val="37"/>
        <w:wordWrap w:val="0"/>
        <w:snapToGrid w:val="0"/>
        <w:spacing w:before="0"/>
        <w:ind w:firstLine="422"/>
        <w:rPr>
          <w:rFonts w:hint="eastAsia" w:ascii="宋体" w:hAnsi="宋体" w:cs="宋体"/>
          <w:color w:val="auto"/>
          <w:kern w:val="0"/>
          <w:sz w:val="21"/>
          <w:szCs w:val="21"/>
          <w:highlight w:val="none"/>
          <w:lang w:val="zh-CN"/>
        </w:rPr>
      </w:pPr>
      <w:bookmarkStart w:id="126" w:name="_40.1投标人接到中标通知书后，按须知前附表规定向采购人出示相关资格证"/>
      <w:bookmarkEnd w:id="126"/>
      <w:r>
        <w:rPr>
          <w:rFonts w:hint="eastAsia" w:ascii="宋体" w:hAnsi="宋体" w:cs="宋体"/>
          <w:b/>
          <w:color w:val="auto"/>
          <w:sz w:val="21"/>
          <w:szCs w:val="21"/>
          <w:highlight w:val="none"/>
        </w:rPr>
        <w:t xml:space="preserve"> 36.1中标供应商领取电子中标通知书后，</w:t>
      </w:r>
      <w:r>
        <w:rPr>
          <w:rFonts w:hint="eastAsia" w:ascii="宋体" w:hAnsi="宋体" w:cs="宋体"/>
          <w:color w:val="auto"/>
          <w:kern w:val="0"/>
          <w:sz w:val="21"/>
          <w:szCs w:val="21"/>
          <w:highlight w:val="none"/>
          <w:lang w:val="zh-CN"/>
        </w:rPr>
        <w:t>按规定的日期、时间、地点，由法定代表人或其授权代表与采购人代表签订电子采购合同。如中标供应商为联合体的，由联合体成员各方法定代表人或其授权代表与采购人代表签订合同，签订携带资料详见“投标人须知前附表”。</w:t>
      </w:r>
    </w:p>
    <w:p w14:paraId="2C489559">
      <w:pPr>
        <w:pStyle w:val="37"/>
        <w:wordWrap w:val="0"/>
        <w:snapToGrid w:val="0"/>
        <w:spacing w:before="0"/>
        <w:ind w:firstLine="420"/>
        <w:rPr>
          <w:rFonts w:hint="eastAsia"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36.2</w:t>
      </w:r>
      <w:r>
        <w:rPr>
          <w:rFonts w:hint="eastAsia" w:ascii="宋体" w:hAnsi="宋体" w:cs="宋体"/>
          <w:color w:val="auto"/>
          <w:sz w:val="21"/>
          <w:szCs w:val="21"/>
          <w:highlight w:val="none"/>
        </w:rPr>
        <w:t>采购合同由采购人与中标供应商根据招标文件、投标文件等内容通过政府采购电子交易平台在线签订，自动备案。</w:t>
      </w:r>
    </w:p>
    <w:p w14:paraId="0B4DE8D0">
      <w:pPr>
        <w:pStyle w:val="37"/>
        <w:wordWrap w:val="0"/>
        <w:snapToGrid w:val="0"/>
        <w:spacing w:before="0"/>
        <w:ind w:firstLine="420"/>
        <w:rPr>
          <w:rFonts w:hint="eastAsia" w:ascii="宋体" w:hAnsi="宋体" w:cs="宋体"/>
          <w:color w:val="auto"/>
          <w:sz w:val="21"/>
          <w:szCs w:val="21"/>
          <w:highlight w:val="none"/>
        </w:rPr>
      </w:pPr>
      <w:r>
        <w:rPr>
          <w:rFonts w:hint="eastAsia" w:ascii="宋体" w:hAnsi="宋体" w:cs="宋体"/>
          <w:color w:val="auto"/>
          <w:sz w:val="21"/>
          <w:szCs w:val="21"/>
          <w:highlight w:val="none"/>
        </w:rPr>
        <w:t>36.3签订合同时间：按中标通知书规定的时间与采购人签订合同（最长不能超过25日）。</w:t>
      </w:r>
    </w:p>
    <w:p w14:paraId="55B6CCD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36.4中标供应商拒绝与采购人签订合同的，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1BBDC552">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639A2C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0C5F4F0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36.7如签订合同并生效后，供应商无故拒绝或延期，除按照合同条款处理外，将承担相应的法律责任。</w:t>
      </w:r>
    </w:p>
    <w:p w14:paraId="041CE1E3">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00256642">
      <w:pPr>
        <w:wordWrap w:val="0"/>
        <w:spacing w:line="360" w:lineRule="auto"/>
        <w:ind w:firstLine="480" w:firstLineChars="200"/>
        <w:rPr>
          <w:rFonts w:hint="eastAsia" w:ascii="宋体" w:hAnsi="宋体" w:cs="宋体"/>
          <w:color w:val="auto"/>
          <w:sz w:val="24"/>
          <w:highlight w:val="none"/>
        </w:rPr>
      </w:pPr>
      <w:bookmarkStart w:id="127" w:name="_41.政府采购合同公告"/>
      <w:bookmarkEnd w:id="127"/>
      <w:r>
        <w:rPr>
          <w:rFonts w:hint="eastAsia" w:ascii="宋体" w:hAnsi="宋体" w:cs="宋体"/>
          <w:color w:val="auto"/>
          <w:sz w:val="24"/>
          <w:highlight w:val="none"/>
        </w:rPr>
        <w:t>37.政府采购合同公告</w:t>
      </w:r>
    </w:p>
    <w:p w14:paraId="13FF28B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8BAC1F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38. 询问、质疑和投诉</w:t>
      </w:r>
    </w:p>
    <w:p w14:paraId="4EF26BF4">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38.1询问</w:t>
      </w:r>
    </w:p>
    <w:p w14:paraId="0CA35843">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38.1.1供应商在开标前对政府采购活动事项有疑问的，可以向采购人或采购代理机构项目负责人提出询问。</w:t>
      </w:r>
    </w:p>
    <w:p w14:paraId="64DA4A62">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38.1.2采购人或采购人委托的采购代理机构自受理询问之日起3个工作日内对供应商依法提出的询问作出答复，</w:t>
      </w:r>
      <w:r>
        <w:rPr>
          <w:rFonts w:hint="eastAsia" w:ascii="宋体" w:hAnsi="宋体" w:cs="宋体"/>
          <w:color w:val="auto"/>
          <w:highlight w:val="none"/>
        </w:rPr>
        <w:t>但答复内容不得涉及商业秘密</w:t>
      </w:r>
      <w:r>
        <w:rPr>
          <w:rFonts w:hint="eastAsia" w:ascii="宋体" w:hAnsi="宋体" w:cs="宋体"/>
          <w:bCs/>
          <w:color w:val="auto"/>
          <w:szCs w:val="21"/>
          <w:highlight w:val="none"/>
        </w:rPr>
        <w:t>。</w:t>
      </w:r>
    </w:p>
    <w:p w14:paraId="75AB2B7C">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38.1.3 询问事项可能影响中标、成交结果的，采购人应当暂停签订合同，已经签订合同的，应当中止履行合同。</w:t>
      </w:r>
    </w:p>
    <w:p w14:paraId="4622F823">
      <w:pPr>
        <w:wordWrap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38.2质疑</w:t>
      </w:r>
    </w:p>
    <w:p w14:paraId="76718DD4">
      <w:pPr>
        <w:wordWrap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38.2.1</w:t>
      </w:r>
      <w:r>
        <w:rPr>
          <w:rFonts w:hint="eastAsia" w:ascii="宋体" w:hAnsi="宋体" w:cs="宋体"/>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7ACF6D52">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（1）潜在供应商依法获取公开招标文件后，认为采购文件使自己的权益受到损害的，应当在公开招标文件公告期限届满之日起7个工作日内提出质疑。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对公开招标文件中采购需求（含资格要求、采购预算和评分办法）的质疑由采购人受理并负责答复；对公开招标文件中的采购执行程序的质疑由采购代理机构受理并负责答复。</w:t>
      </w:r>
    </w:p>
    <w:p w14:paraId="3C8E5DC8">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6B637182">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（3）供应商认为中标或者成交结果使自己的权益受到损害的，应当在中标或者成交结果公告期限届满之日起7个工作日内提出质疑，由采购人受理并负责答复。</w:t>
      </w:r>
    </w:p>
    <w:p w14:paraId="13517D27">
      <w:pPr>
        <w:wordWrap w:val="0"/>
        <w:spacing w:line="360" w:lineRule="auto"/>
        <w:ind w:firstLine="422" w:firstLineChars="200"/>
        <w:rPr>
          <w:rFonts w:hint="eastAsia" w:ascii="宋体" w:hAnsi="宋体" w:cs="宋体"/>
          <w:bCs/>
          <w:color w:val="auto"/>
          <w:szCs w:val="21"/>
          <w:highlight w:val="none"/>
        </w:rPr>
      </w:pPr>
      <w:r>
        <w:rPr>
          <w:rFonts w:hint="eastAsia" w:ascii="宋体" w:hAnsi="宋体" w:cs="宋体"/>
          <w:b/>
          <w:bCs/>
          <w:color w:val="auto"/>
          <w:szCs w:val="21"/>
          <w:highlight w:val="none"/>
        </w:rPr>
        <w:t>38.2.2</w:t>
      </w:r>
      <w:r>
        <w:rPr>
          <w:rFonts w:hint="eastAsia" w:ascii="宋体" w:hAnsi="宋体" w:cs="宋体"/>
          <w:bCs/>
          <w:color w:val="auto"/>
          <w:szCs w:val="21"/>
          <w:highlight w:val="none"/>
        </w:rPr>
        <w:t>供应商质疑实行实名制，其质疑应当有具体的质疑事项及事实根据，质疑应当坚持依法依规、诚实信用原则，不得进行虚假、恶意质疑。</w:t>
      </w:r>
    </w:p>
    <w:p w14:paraId="54106B27">
      <w:pPr>
        <w:wordWrap w:val="0"/>
        <w:spacing w:line="360" w:lineRule="auto"/>
        <w:ind w:firstLine="422" w:firstLineChars="200"/>
        <w:rPr>
          <w:rFonts w:hint="eastAsia" w:ascii="宋体" w:hAnsi="宋体" w:cs="宋体"/>
          <w:bCs/>
          <w:color w:val="auto"/>
          <w:highlight w:val="none"/>
        </w:rPr>
      </w:pPr>
      <w:r>
        <w:rPr>
          <w:rFonts w:hint="eastAsia" w:ascii="宋体" w:hAnsi="宋体" w:cs="宋体"/>
          <w:b/>
          <w:bCs/>
          <w:color w:val="auto"/>
          <w:highlight w:val="none"/>
        </w:rPr>
        <w:t>38.2.3</w:t>
      </w:r>
      <w:r>
        <w:rPr>
          <w:rFonts w:hint="eastAsia" w:ascii="宋体" w:hAnsi="宋体" w:cs="宋体"/>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cs="宋体"/>
          <w:color w:val="auto"/>
          <w:highlight w:val="none"/>
        </w:rPr>
        <w:t>。</w:t>
      </w:r>
    </w:p>
    <w:p w14:paraId="35C908A1">
      <w:pPr>
        <w:wordWrap w:val="0"/>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38.2.4 质疑供应商提起质疑应当符合下列条件：</w:t>
      </w:r>
    </w:p>
    <w:p w14:paraId="4F7D7163">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（1）质疑供应商是参与所质疑</w:t>
      </w:r>
      <w:r>
        <w:rPr>
          <w:rFonts w:hint="eastAsia" w:ascii="宋体" w:hAnsi="宋体" w:cs="宋体"/>
          <w:bCs/>
          <w:color w:val="auto"/>
          <w:szCs w:val="21"/>
          <w:highlight w:val="none"/>
        </w:rPr>
        <w:t>项目</w:t>
      </w:r>
      <w:r>
        <w:rPr>
          <w:rFonts w:hint="eastAsia" w:ascii="宋体" w:hAnsi="宋体" w:cs="宋体"/>
          <w:bCs/>
          <w:color w:val="auto"/>
          <w:highlight w:val="none"/>
        </w:rPr>
        <w:t>采购活动的供应商（潜在供应商已依法获取可之一的采购文件的，可以对该采购文件质疑）；</w:t>
      </w:r>
    </w:p>
    <w:p w14:paraId="18A02F76">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（2）质疑函内容符合本章第38.2.5项的规定；</w:t>
      </w:r>
    </w:p>
    <w:p w14:paraId="01143A91">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（3）在质疑有效期限内提起质疑；</w:t>
      </w:r>
    </w:p>
    <w:p w14:paraId="0F717919">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（4）属于所质疑的采购人或采购人委托的采购代理机构组织的采购活动；</w:t>
      </w:r>
    </w:p>
    <w:p w14:paraId="7ACC61B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xml:space="preserve">（5）同一质疑事项未经采购人或采购人委托的采购代理机构质疑处理； </w:t>
      </w:r>
    </w:p>
    <w:p w14:paraId="6F143B7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（6）供应商对同一采购程序环节的质疑应当在质疑有效期内一次性提出；</w:t>
      </w:r>
    </w:p>
    <w:p w14:paraId="36DDAD4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（7）供应商提交质疑应当提交必要的证明材料，证明材料应以合法手段取得；</w:t>
      </w:r>
    </w:p>
    <w:p w14:paraId="4B00D1E9">
      <w:pPr>
        <w:wordWrap w:val="0"/>
        <w:spacing w:line="360" w:lineRule="auto"/>
        <w:ind w:firstLine="420" w:firstLineChars="200"/>
        <w:rPr>
          <w:rFonts w:hint="eastAsia" w:ascii="宋体" w:hAnsi="宋体" w:cs="宋体"/>
          <w:color w:val="auto"/>
          <w:highlight w:val="none"/>
        </w:rPr>
      </w:pPr>
      <w:r>
        <w:rPr>
          <w:rFonts w:hint="eastAsia" w:ascii="宋体" w:hAnsi="宋体" w:cs="宋体"/>
          <w:bCs/>
          <w:color w:val="auto"/>
          <w:highlight w:val="none"/>
        </w:rPr>
        <w:t>（8）财政部门规定的其他条件。</w:t>
      </w:r>
    </w:p>
    <w:p w14:paraId="58CAED23">
      <w:pPr>
        <w:wordWrap w:val="0"/>
        <w:spacing w:line="360" w:lineRule="auto"/>
        <w:ind w:firstLine="420" w:firstLineChars="200"/>
        <w:rPr>
          <w:rFonts w:hint="eastAsia" w:ascii="宋体" w:hAnsi="宋体" w:cs="宋体"/>
          <w:b/>
          <w:color w:val="auto"/>
          <w:szCs w:val="21"/>
          <w:highlight w:val="none"/>
        </w:rPr>
      </w:pPr>
      <w:bookmarkStart w:id="128" w:name="_9.2质疑、投诉应当采用书面形式，质疑函、投诉书均应明确阐述招标文件、"/>
      <w:bookmarkEnd w:id="128"/>
      <w:r>
        <w:rPr>
          <w:rFonts w:hint="eastAsia" w:ascii="宋体" w:hAnsi="宋体" w:cs="宋体"/>
          <w:color w:val="auto"/>
          <w:szCs w:val="21"/>
          <w:highlight w:val="none"/>
        </w:rPr>
        <w:t xml:space="preserve"> 38.2.5 </w:t>
      </w:r>
      <w:r>
        <w:rPr>
          <w:rFonts w:hint="eastAsia" w:ascii="宋体" w:hAnsi="宋体" w:cs="宋体"/>
          <w:bCs/>
          <w:color w:val="auto"/>
          <w:highlight w:val="none"/>
        </w:rPr>
        <w:t>供应商提出质疑应当提交质疑函和必要的证明材料，针对同一采购程序环节的质疑必须在法定质疑期内一次性提出。质疑函应当包括下列内容（质疑函格式后附）：</w:t>
      </w:r>
    </w:p>
    <w:p w14:paraId="78583F3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（1）供应商的姓名或者名称、地址、邮编、联系人及联系电话；</w:t>
      </w:r>
    </w:p>
    <w:p w14:paraId="493FA715">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（2）质疑项目的名称、编号；</w:t>
      </w:r>
    </w:p>
    <w:p w14:paraId="7F7E6851">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（3）具体、明确的质疑事项和与质疑事项相关的请求；</w:t>
      </w:r>
    </w:p>
    <w:p w14:paraId="520A3FFD">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（4）事实依据（列明权益受到损害的事实和理由）；</w:t>
      </w:r>
    </w:p>
    <w:p w14:paraId="4FE88920">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（5）必要的法律依据；</w:t>
      </w:r>
    </w:p>
    <w:p w14:paraId="74360F1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（6）提出质疑的日期。</w:t>
      </w:r>
    </w:p>
    <w:p w14:paraId="3CC45634">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供应商为自然人的，应当由本人签字；供应商为法人或者其他组织的，应当由法定代表人、主要负责人，或者其委托代理人签字或者盖章，并加盖公章。</w:t>
      </w:r>
    </w:p>
    <w:p w14:paraId="27C7DDDF">
      <w:pPr>
        <w:wordWrap w:val="0"/>
        <w:spacing w:line="360" w:lineRule="auto"/>
        <w:ind w:firstLine="422" w:firstLineChars="200"/>
        <w:rPr>
          <w:rFonts w:hint="eastAsia" w:ascii="宋体" w:hAnsi="宋体" w:cs="宋体"/>
          <w:b/>
          <w:color w:val="auto"/>
          <w:szCs w:val="20"/>
          <w:highlight w:val="none"/>
        </w:rPr>
      </w:pPr>
      <w:r>
        <w:rPr>
          <w:rFonts w:hint="eastAsia" w:ascii="宋体" w:hAnsi="宋体" w:cs="宋体"/>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72B9C130">
      <w:pPr>
        <w:wordWrap w:val="0"/>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3</w:t>
      </w:r>
      <w:r>
        <w:rPr>
          <w:rFonts w:hint="eastAsia" w:ascii="宋体" w:hAnsi="宋体" w:cs="宋体"/>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14CE3B88">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36D214E7">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181EEF3E">
      <w:pPr>
        <w:wordWrap w:val="0"/>
        <w:spacing w:line="360" w:lineRule="auto"/>
        <w:ind w:firstLine="420" w:firstLineChars="200"/>
        <w:rPr>
          <w:rFonts w:hint="eastAsia" w:ascii="宋体" w:hAnsi="宋体" w:cs="宋体"/>
          <w:bCs/>
          <w:color w:val="auto"/>
          <w:highlight w:val="none"/>
        </w:rPr>
      </w:pPr>
      <w:r>
        <w:rPr>
          <w:rFonts w:hint="eastAsia" w:ascii="宋体" w:hAnsi="宋体" w:cs="宋体"/>
          <w:bCs/>
          <w:color w:val="auto"/>
          <w:highlight w:val="none"/>
        </w:rPr>
        <w:t>质疑答复导致中标结果改变的，采购人或者采购代理机构应当将有关情况书面报告本级财政部门。</w:t>
      </w:r>
    </w:p>
    <w:p w14:paraId="54CC6093">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38.3投诉</w:t>
      </w:r>
    </w:p>
    <w:p w14:paraId="417701F5">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38.3</w:t>
      </w:r>
      <w:r>
        <w:rPr>
          <w:rFonts w:hint="eastAsia" w:ascii="宋体" w:hAnsi="宋体" w:cs="宋体"/>
          <w:bCs/>
          <w:color w:val="auto"/>
          <w:highlight w:val="none"/>
        </w:rPr>
        <w:t>.</w:t>
      </w:r>
      <w:r>
        <w:rPr>
          <w:rFonts w:hint="eastAsia" w:ascii="宋体" w:hAnsi="宋体" w:cs="宋体"/>
          <w:b/>
          <w:bCs/>
          <w:color w:val="auto"/>
          <w:highlight w:val="none"/>
        </w:rPr>
        <w:t xml:space="preserve">1 </w:t>
      </w:r>
      <w:r>
        <w:rPr>
          <w:rFonts w:hint="eastAsia" w:ascii="宋体" w:hAnsi="宋体" w:cs="宋体"/>
          <w:bCs/>
          <w:color w:val="auto"/>
          <w:highlight w:val="none"/>
        </w:rPr>
        <w:t xml:space="preserve"> 供应商认为采购文件、采购过程、中标和成交结果使自己的合法权益受到损害的，应当首先依法向采购人或采购人委托的</w:t>
      </w:r>
      <w:r>
        <w:rPr>
          <w:rFonts w:hint="eastAsia" w:ascii="宋体" w:hAnsi="宋体" w:cs="宋体"/>
          <w:color w:val="auto"/>
          <w:highlight w:val="none"/>
        </w:rPr>
        <w:t>采购代理机构</w:t>
      </w:r>
      <w:r>
        <w:rPr>
          <w:rFonts w:hint="eastAsia" w:ascii="宋体" w:hAnsi="宋体" w:cs="宋体"/>
          <w:bCs/>
          <w:color w:val="auto"/>
          <w:highlight w:val="none"/>
        </w:rPr>
        <w:t>提出质疑。对采购人、</w:t>
      </w:r>
      <w:r>
        <w:rPr>
          <w:rFonts w:hint="eastAsia" w:ascii="宋体" w:hAnsi="宋体" w:cs="宋体"/>
          <w:color w:val="auto"/>
          <w:highlight w:val="none"/>
        </w:rPr>
        <w:t>采购代理机构</w:t>
      </w:r>
      <w:r>
        <w:rPr>
          <w:rFonts w:hint="eastAsia" w:ascii="宋体" w:hAnsi="宋体" w:cs="宋体"/>
          <w:bCs/>
          <w:color w:val="auto"/>
          <w:highlight w:val="none"/>
        </w:rPr>
        <w:t>的答复不满意，或者采购人、</w:t>
      </w:r>
      <w:r>
        <w:rPr>
          <w:rFonts w:hint="eastAsia" w:ascii="宋体" w:hAnsi="宋体" w:cs="宋体"/>
          <w:color w:val="auto"/>
          <w:highlight w:val="none"/>
        </w:rPr>
        <w:t>采购代理机构</w:t>
      </w:r>
      <w:r>
        <w:rPr>
          <w:rFonts w:hint="eastAsia" w:ascii="宋体" w:hAnsi="宋体" w:cs="宋体"/>
          <w:bCs/>
          <w:color w:val="auto"/>
          <w:highlight w:val="none"/>
        </w:rPr>
        <w:t>未在规定期限内做出答复的，供应商可以在答复期满后15个工作日内向南宁市政府采购监督管理部门提起投诉，投诉方式见“投标人须知前附表”。</w:t>
      </w:r>
    </w:p>
    <w:p w14:paraId="2BDC04E4">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38.3.2 </w:t>
      </w:r>
      <w:r>
        <w:rPr>
          <w:rFonts w:hint="eastAsia" w:ascii="宋体" w:hAnsi="宋体" w:cs="宋体"/>
          <w:color w:val="auto"/>
          <w:highlight w:val="none"/>
        </w:rPr>
        <w:t xml:space="preserve"> 投诉人投诉时，应当提交投诉书，并按照被投诉采购人、采购代理机构和与投诉事项有关的供应商数量提供投诉书的副本。投诉书</w:t>
      </w:r>
      <w:r>
        <w:rPr>
          <w:rFonts w:hint="eastAsia" w:ascii="宋体" w:hAnsi="宋体" w:cs="宋体"/>
          <w:color w:val="auto"/>
          <w:szCs w:val="21"/>
          <w:highlight w:val="none"/>
        </w:rPr>
        <w:t>应当包括下列主要内容</w:t>
      </w:r>
      <w:r>
        <w:rPr>
          <w:rFonts w:hint="eastAsia" w:ascii="宋体" w:hAnsi="宋体" w:cs="宋体"/>
          <w:color w:val="auto"/>
          <w:highlight w:val="none"/>
        </w:rPr>
        <w:t>（如材料中有外文资料应同时附上对应的中文译本）</w:t>
      </w:r>
      <w:r>
        <w:rPr>
          <w:rFonts w:hint="eastAsia" w:ascii="宋体" w:hAnsi="宋体" w:cs="宋体"/>
          <w:bCs/>
          <w:color w:val="auto"/>
          <w:highlight w:val="none"/>
        </w:rPr>
        <w:t>（投诉书格式后附）</w:t>
      </w:r>
      <w:r>
        <w:rPr>
          <w:rFonts w:hint="eastAsia" w:ascii="宋体" w:hAnsi="宋体" w:cs="宋体"/>
          <w:color w:val="auto"/>
          <w:szCs w:val="21"/>
          <w:highlight w:val="none"/>
        </w:rPr>
        <w:t>：</w:t>
      </w:r>
    </w:p>
    <w:p w14:paraId="0A0AA52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（1）投诉人和被投诉人的名称、地址、邮编、联系人及联系电话等； </w:t>
      </w:r>
    </w:p>
    <w:p w14:paraId="14C40CE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（2）质疑和质疑答复情况及相关证明材料； </w:t>
      </w:r>
    </w:p>
    <w:p w14:paraId="3182D26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（3）具体、明确的投诉事项和与投诉事项相关的投诉请求；</w:t>
      </w:r>
    </w:p>
    <w:p w14:paraId="3E6844C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（4）事实依据；</w:t>
      </w:r>
    </w:p>
    <w:p w14:paraId="3894A51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（5）法律依据；</w:t>
      </w:r>
    </w:p>
    <w:p w14:paraId="2637D97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（6）提起投诉的日期。</w:t>
      </w:r>
    </w:p>
    <w:p w14:paraId="2723130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cs="宋体"/>
          <w:color w:val="auto"/>
          <w:highlight w:val="none"/>
        </w:rPr>
        <w:tab/>
      </w:r>
    </w:p>
    <w:p w14:paraId="178B1D13">
      <w:pPr>
        <w:wordWrap w:val="0"/>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 xml:space="preserve">38.3.3  </w:t>
      </w:r>
      <w:r>
        <w:rPr>
          <w:rFonts w:hint="eastAsia" w:ascii="宋体" w:hAnsi="宋体" w:cs="宋体"/>
          <w:color w:val="auto"/>
          <w:highlight w:val="none"/>
        </w:rPr>
        <w:t>投诉人可以委托代理人办理投诉事务。</w:t>
      </w:r>
      <w:r>
        <w:rPr>
          <w:rFonts w:hint="eastAsia" w:ascii="宋体" w:hAnsi="宋体" w:cs="宋体"/>
          <w:bCs/>
          <w:color w:val="auto"/>
          <w:highlight w:val="none"/>
        </w:rPr>
        <w:t>委托代理人应熟悉相关业务情况。</w:t>
      </w:r>
      <w:r>
        <w:rPr>
          <w:rFonts w:hint="eastAsia" w:ascii="宋体" w:hAnsi="宋体" w:cs="宋体"/>
          <w:color w:val="auto"/>
          <w:highlight w:val="none"/>
        </w:rPr>
        <w:t>代理人办理投诉事务时，除提交投诉书外，还应当提交投诉人的授权委托书和委托代理人身份证明复印件。</w:t>
      </w:r>
    </w:p>
    <w:p w14:paraId="05EED2C0">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38.3.4</w:t>
      </w:r>
      <w:r>
        <w:rPr>
          <w:rFonts w:hint="eastAsia" w:ascii="宋体" w:hAnsi="宋体" w:cs="宋体"/>
          <w:color w:val="auto"/>
          <w:highlight w:val="none"/>
        </w:rPr>
        <w:t xml:space="preserve">  投诉人提起投诉应当符合下列条件：</w:t>
      </w:r>
    </w:p>
    <w:p w14:paraId="0A539CB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（1）投诉人是参与所投诉政府采购活动的供应商；</w:t>
      </w:r>
    </w:p>
    <w:p w14:paraId="2EF4F46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（2）提起投诉前已依法进行质疑；</w:t>
      </w:r>
    </w:p>
    <w:p w14:paraId="7358730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（3）投诉书内容符合本章第38.3.2项的规定；</w:t>
      </w:r>
    </w:p>
    <w:p w14:paraId="04B8E17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（4）在投诉有效期限内提起投诉；</w:t>
      </w:r>
    </w:p>
    <w:p w14:paraId="1703FA1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（5）属于南宁市政府采购监督管理部门管辖；</w:t>
      </w:r>
    </w:p>
    <w:p w14:paraId="68E4064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（6）同一投诉事项未经</w:t>
      </w:r>
      <w:r>
        <w:rPr>
          <w:rFonts w:hint="eastAsia" w:ascii="宋体" w:hAnsi="宋体" w:cs="宋体"/>
          <w:bCs/>
          <w:color w:val="auto"/>
          <w:highlight w:val="none"/>
        </w:rPr>
        <w:t>南宁市政府采购监督管理部门</w:t>
      </w:r>
      <w:r>
        <w:rPr>
          <w:rFonts w:hint="eastAsia" w:ascii="宋体" w:hAnsi="宋体" w:cs="宋体"/>
          <w:color w:val="auto"/>
          <w:highlight w:val="none"/>
        </w:rPr>
        <w:t>投诉处理；</w:t>
      </w:r>
    </w:p>
    <w:p w14:paraId="45002C94">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（7）国务院财政部门规定的其他条件。</w:t>
      </w:r>
    </w:p>
    <w:p w14:paraId="4B4CE511">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38.3.5</w:t>
      </w:r>
      <w:r>
        <w:rPr>
          <w:rFonts w:hint="eastAsia" w:ascii="宋体" w:hAnsi="宋体" w:cs="宋体"/>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cs="宋体"/>
          <w:color w:val="auto"/>
          <w:kern w:val="0"/>
          <w:szCs w:val="21"/>
          <w:highlight w:val="none"/>
        </w:rPr>
        <w:t>“广西政府采购网”（http://zfcg.gxzf.gov.cn）</w:t>
      </w:r>
      <w:r>
        <w:rPr>
          <w:rFonts w:hint="eastAsia" w:ascii="宋体" w:hAnsi="宋体" w:cs="宋体"/>
          <w:color w:val="auto"/>
          <w:highlight w:val="none"/>
        </w:rPr>
        <w:t>发布。</w:t>
      </w:r>
    </w:p>
    <w:p w14:paraId="0BD955FA">
      <w:pPr>
        <w:wordWrap w:val="0"/>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38.3.6</w:t>
      </w:r>
      <w:r>
        <w:rPr>
          <w:rFonts w:hint="eastAsia" w:ascii="宋体" w:hAnsi="宋体" w:cs="宋体"/>
          <w:color w:val="auto"/>
          <w:highlight w:val="none"/>
        </w:rPr>
        <w:t xml:space="preserve">  南宁市政府采购监督管理部门在处理投诉事项期间，可以视具体情况暂停采购活动。</w:t>
      </w:r>
    </w:p>
    <w:p w14:paraId="2AD5DE99">
      <w:pPr>
        <w:wordWrap w:val="0"/>
        <w:snapToGrid w:val="0"/>
        <w:spacing w:line="360" w:lineRule="auto"/>
        <w:ind w:left="120" w:leftChars="57" w:firstLine="482" w:firstLineChars="150"/>
        <w:jc w:val="center"/>
        <w:outlineLvl w:val="2"/>
        <w:rPr>
          <w:rFonts w:hint="eastAsia" w:ascii="宋体" w:hAnsi="宋体" w:cs="宋体"/>
          <w:b/>
          <w:bCs/>
          <w:color w:val="auto"/>
          <w:sz w:val="32"/>
          <w:szCs w:val="32"/>
          <w:highlight w:val="none"/>
        </w:rPr>
      </w:pPr>
      <w:bookmarkStart w:id="129" w:name="_Toc13189"/>
      <w:r>
        <w:rPr>
          <w:rFonts w:hint="eastAsia" w:ascii="宋体" w:hAnsi="宋体" w:cs="宋体"/>
          <w:b/>
          <w:bCs/>
          <w:color w:val="auto"/>
          <w:sz w:val="32"/>
          <w:szCs w:val="32"/>
          <w:highlight w:val="none"/>
        </w:rPr>
        <w:t>八、验收</w:t>
      </w:r>
      <w:bookmarkEnd w:id="129"/>
    </w:p>
    <w:p w14:paraId="732D64E7">
      <w:pPr>
        <w:wordWrap w:val="0"/>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39.验收</w:t>
      </w:r>
    </w:p>
    <w:p w14:paraId="692DA9D0">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38440D4">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39.2采购人可以邀请参加本项目的其他投标人或者第三方机构参与验收。参与验收的投标人或者第三方机构的意见作为验收书的参考资料一并存档。</w:t>
      </w:r>
    </w:p>
    <w:p w14:paraId="4B6B75CE">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2C57514">
      <w:pPr>
        <w:tabs>
          <w:tab w:val="left" w:pos="0"/>
        </w:tabs>
        <w:wordWrap w:val="0"/>
        <w:spacing w:line="360" w:lineRule="auto"/>
        <w:ind w:firstLine="480"/>
        <w:rPr>
          <w:rFonts w:hint="eastAsia" w:ascii="宋体" w:hAnsi="宋体" w:cs="宋体"/>
          <w:color w:val="auto"/>
          <w:highlight w:val="none"/>
        </w:rPr>
      </w:pPr>
      <w:r>
        <w:rPr>
          <w:rFonts w:hint="eastAsia" w:ascii="宋体" w:hAnsi="宋体" w:cs="宋体"/>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828D0AF">
      <w:pPr>
        <w:pStyle w:val="14"/>
        <w:wordWrap w:val="0"/>
        <w:snapToGrid w:val="0"/>
        <w:spacing w:line="360" w:lineRule="auto"/>
        <w:rPr>
          <w:rFonts w:hint="eastAsia" w:hAnsi="宋体" w:cs="宋体"/>
          <w:color w:val="auto"/>
          <w:highlight w:val="none"/>
        </w:rPr>
      </w:pPr>
    </w:p>
    <w:p w14:paraId="59E8195D">
      <w:pPr>
        <w:pStyle w:val="5"/>
        <w:keepNext w:val="0"/>
        <w:keepLines w:val="0"/>
        <w:wordWrap w:val="0"/>
        <w:spacing w:line="360" w:lineRule="auto"/>
        <w:jc w:val="center"/>
        <w:rPr>
          <w:rFonts w:hint="eastAsia" w:ascii="宋体" w:hAnsi="宋体" w:cs="宋体"/>
          <w:color w:val="auto"/>
          <w:highlight w:val="none"/>
        </w:rPr>
      </w:pPr>
      <w:bookmarkStart w:id="130" w:name="_八、其他事项"/>
      <w:bookmarkEnd w:id="130"/>
      <w:bookmarkStart w:id="131" w:name="_Toc13950"/>
      <w:r>
        <w:rPr>
          <w:rFonts w:hint="eastAsia" w:ascii="宋体" w:hAnsi="宋体" w:cs="宋体"/>
          <w:color w:val="auto"/>
          <w:highlight w:val="none"/>
        </w:rPr>
        <w:t>九、其他事项</w:t>
      </w:r>
      <w:bookmarkEnd w:id="131"/>
    </w:p>
    <w:p w14:paraId="7347DE2A">
      <w:pPr>
        <w:wordWrap w:val="0"/>
        <w:spacing w:line="360" w:lineRule="auto"/>
        <w:ind w:firstLine="480" w:firstLineChars="200"/>
        <w:rPr>
          <w:rFonts w:hint="eastAsia" w:ascii="宋体" w:hAnsi="宋体" w:cs="宋体"/>
          <w:color w:val="auto"/>
          <w:sz w:val="24"/>
          <w:highlight w:val="none"/>
        </w:rPr>
      </w:pPr>
      <w:bookmarkStart w:id="132" w:name="_42.代理服务费"/>
      <w:bookmarkEnd w:id="132"/>
      <w:r>
        <w:rPr>
          <w:rFonts w:hint="eastAsia" w:ascii="宋体" w:hAnsi="宋体" w:cs="宋体"/>
          <w:color w:val="auto"/>
          <w:sz w:val="24"/>
          <w:highlight w:val="none"/>
        </w:rPr>
        <w:t>40.代理服务费</w:t>
      </w:r>
    </w:p>
    <w:p w14:paraId="3FD35688">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代理服务收费标准及缴费账户详见“投标人须知前附表”，投标人为联合体的，可以由联合体中的一方或者多方共同交纳代理服务费。</w:t>
      </w:r>
    </w:p>
    <w:p w14:paraId="723D437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 需要补充的其他内容</w:t>
      </w:r>
    </w:p>
    <w:p w14:paraId="3E8F6EF3">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41.1本招标文件解释规则详见“投标人须知前附表”。</w:t>
      </w:r>
    </w:p>
    <w:p w14:paraId="3F54388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41.2 其他事项详见“投标人须知前附表”。</w:t>
      </w:r>
    </w:p>
    <w:p w14:paraId="35761251">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14:paraId="371A3912">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以联合体形式参加政府采购活动，联合体各方均为中小企业的，联合体视同中小企业。其中，联合体各方均为小微企业的，联合体视同小微企业。</w:t>
      </w:r>
    </w:p>
    <w:p w14:paraId="338363E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依据本文件规定享受扶持政策获得政府采购合同的，小微企业不得将合同分包给大中型企业，中型企业不得将合同分包给大型企业。</w:t>
      </w:r>
    </w:p>
    <w:p w14:paraId="5436089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 政采贷相关说明</w:t>
      </w:r>
    </w:p>
    <w:p w14:paraId="30ECBC3D">
      <w:pPr>
        <w:numPr>
          <w:ilvl w:val="0"/>
          <w:numId w:val="5"/>
        </w:numPr>
        <w:wordWrap w:val="0"/>
        <w:spacing w:line="360" w:lineRule="auto"/>
        <w:ind w:firstLine="420" w:firstLineChars="200"/>
        <w:jc w:val="left"/>
        <w:rPr>
          <w:rFonts w:hint="eastAsia" w:ascii="宋体" w:hAnsi="宋体" w:cs="宋体"/>
          <w:color w:val="auto"/>
          <w:highlight w:val="none"/>
        </w:rPr>
      </w:pPr>
      <w:r>
        <w:rPr>
          <w:rFonts w:hint="eastAsia" w:ascii="宋体" w:hAnsi="宋体" w:cs="宋体"/>
          <w:color w:val="auto"/>
          <w:highlight w:val="none"/>
        </w:rPr>
        <w:t>为优化政府采购营商环境，缓解供应商资金难题，南宁市政府采购试行政府采购信用融资制度，中 标供应商如有融资需求，可凭政府采购合同通过以下方式申请政府采购信用融资贷款： （1）线下渠道：在“南宁市公共资源交易中心”官网（网址： http://www.nnggzy.org.cn ）“交易信 息- 政府采购- 政府采购信用融资”中融资银行和南宁市企业融资服务中心专栏信息申请政府采购信用融资 。 （2）线上渠道：登录中征营应收账款融资服务平台（网址：https://www.crcrfsp.com，客服电话： 400-009-0001），选择相关金融产品和银行业金融机构金融融资贷款。具体操作方式见《中国人民银行南宁 中心支行广西壮族自治区财政厅关于推广线上“政采贷”融资模式的通知》（南宁银发〔2021〕258 号）文 （文件公开网址详情见：“广西政府采购网”——http://www.ccgpguangxi.gov.cn/AdministrativeRegulations/AutonomousRegion/9830442.html）</w:t>
      </w:r>
      <w:r>
        <w:rPr>
          <w:rFonts w:hint="eastAsia" w:ascii="宋体" w:hAnsi="宋体" w:cs="宋体"/>
          <w:color w:val="auto"/>
          <w:highlight w:val="none"/>
        </w:rPr>
        <w:br w:type="page"/>
      </w:r>
      <w:bookmarkStart w:id="133" w:name="_Toc532545043"/>
    </w:p>
    <w:p w14:paraId="76461746">
      <w:pPr>
        <w:pStyle w:val="14"/>
        <w:wordWrap w:val="0"/>
        <w:spacing w:line="360" w:lineRule="auto"/>
        <w:ind w:firstLine="723"/>
        <w:jc w:val="center"/>
        <w:outlineLvl w:val="0"/>
        <w:rPr>
          <w:rFonts w:hint="eastAsia" w:hAnsi="宋体" w:cs="宋体"/>
          <w:b/>
          <w:color w:val="auto"/>
          <w:sz w:val="36"/>
          <w:highlight w:val="none"/>
        </w:rPr>
      </w:pPr>
      <w:bookmarkStart w:id="134" w:name="_Toc4997"/>
      <w:r>
        <w:rPr>
          <w:rFonts w:hint="eastAsia" w:hAnsi="宋体" w:cs="宋体"/>
          <w:b/>
          <w:color w:val="auto"/>
          <w:sz w:val="36"/>
          <w:highlight w:val="none"/>
        </w:rPr>
        <w:t>第四章  评标方法</w:t>
      </w:r>
      <w:bookmarkEnd w:id="133"/>
      <w:r>
        <w:rPr>
          <w:rFonts w:hint="eastAsia" w:hAnsi="宋体" w:cs="宋体"/>
          <w:b/>
          <w:color w:val="auto"/>
          <w:sz w:val="36"/>
          <w:highlight w:val="none"/>
        </w:rPr>
        <w:t>及评分标准</w:t>
      </w:r>
      <w:bookmarkEnd w:id="134"/>
    </w:p>
    <w:p w14:paraId="482401EA">
      <w:pPr>
        <w:pStyle w:val="14"/>
        <w:wordWrap w:val="0"/>
        <w:spacing w:line="360" w:lineRule="auto"/>
        <w:ind w:firstLine="643"/>
        <w:jc w:val="center"/>
        <w:outlineLvl w:val="1"/>
        <w:rPr>
          <w:rFonts w:hint="eastAsia" w:hAnsi="宋体" w:cs="宋体"/>
          <w:b/>
          <w:bCs/>
          <w:color w:val="auto"/>
          <w:sz w:val="32"/>
          <w:szCs w:val="32"/>
          <w:highlight w:val="none"/>
        </w:rPr>
      </w:pPr>
      <w:bookmarkStart w:id="135" w:name="_Toc2118"/>
      <w:r>
        <w:rPr>
          <w:rFonts w:hint="eastAsia" w:hAnsi="宋体" w:cs="宋体"/>
          <w:b/>
          <w:bCs/>
          <w:color w:val="auto"/>
          <w:sz w:val="32"/>
          <w:szCs w:val="32"/>
          <w:highlight w:val="none"/>
        </w:rPr>
        <w:t>第一节 评标方法</w:t>
      </w:r>
      <w:bookmarkEnd w:id="135"/>
    </w:p>
    <w:p w14:paraId="7F096B3C">
      <w:pPr>
        <w:pStyle w:val="14"/>
        <w:tabs>
          <w:tab w:val="left" w:pos="2472"/>
        </w:tabs>
        <w:wordWrap w:val="0"/>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本项目采用</w:t>
      </w:r>
      <w:r>
        <w:rPr>
          <w:rFonts w:hint="eastAsia" w:hAnsi="宋体" w:cs="宋体"/>
          <w:color w:val="auto"/>
          <w:szCs w:val="21"/>
          <w:highlight w:val="none"/>
          <w:u w:val="single"/>
        </w:rPr>
        <w:t xml:space="preserve"> 以下勾选的方式</w:t>
      </w:r>
      <w:r>
        <w:rPr>
          <w:rFonts w:hint="eastAsia" w:hAnsi="宋体" w:cs="宋体"/>
          <w:color w:val="auto"/>
          <w:szCs w:val="21"/>
          <w:highlight w:val="none"/>
        </w:rPr>
        <w:t>进行评审。</w:t>
      </w:r>
    </w:p>
    <w:p w14:paraId="61BAFFA6">
      <w:pPr>
        <w:pStyle w:val="14"/>
        <w:wordWrap w:val="0"/>
        <w:spacing w:line="360" w:lineRule="auto"/>
        <w:ind w:firstLine="480"/>
        <w:rPr>
          <w:rFonts w:hint="eastAsia" w:hAnsi="宋体" w:cs="宋体"/>
          <w:color w:val="auto"/>
          <w:highlight w:val="none"/>
        </w:rPr>
      </w:pPr>
      <w:r>
        <w:rPr>
          <w:rFonts w:hint="eastAsia" w:hAnsi="宋体" w:cs="宋体"/>
          <w:color w:val="auto"/>
          <w:szCs w:val="21"/>
          <w:highlight w:val="none"/>
        </w:rPr>
        <w:t>□最低评标价法，是指投标文件满足招标文件</w:t>
      </w:r>
      <w:r>
        <w:rPr>
          <w:rFonts w:hint="eastAsia" w:hAnsi="宋体" w:cs="宋体"/>
          <w:color w:val="auto"/>
          <w:highlight w:val="none"/>
        </w:rPr>
        <w:t>全部实质性要求，且投标报价最低的投标人为中标候选人的评标方法。</w:t>
      </w:r>
    </w:p>
    <w:p w14:paraId="14BD1241">
      <w:pPr>
        <w:wordWrap w:val="0"/>
        <w:autoSpaceDE w:val="0"/>
        <w:autoSpaceDN w:val="0"/>
        <w:adjustRightInd w:val="0"/>
        <w:spacing w:line="360" w:lineRule="auto"/>
        <w:ind w:firstLine="420" w:firstLineChars="200"/>
        <w:rPr>
          <w:rFonts w:hint="eastAsia" w:ascii="宋体" w:hAnsi="宋体" w:cs="宋体"/>
          <w:color w:val="auto"/>
          <w:sz w:val="24"/>
          <w:highlight w:val="none"/>
        </w:rPr>
      </w:pPr>
      <w:r>
        <w:rPr>
          <w:rFonts w:hint="eastAsia" w:ascii="宋体" w:hAnsi="宋体" w:cs="宋体"/>
          <w:color w:val="auto"/>
          <w:highlight w:val="none"/>
        </w:rPr>
        <w:sym w:font="Wingdings 2" w:char="0052"/>
      </w:r>
      <w:r>
        <w:rPr>
          <w:rFonts w:hint="eastAsia" w:ascii="宋体" w:hAnsi="宋体" w:cs="宋体"/>
          <w:color w:val="auto"/>
          <w:highlight w:val="none"/>
        </w:rPr>
        <w:t>综合评分法，</w:t>
      </w:r>
      <w:r>
        <w:rPr>
          <w:rFonts w:hint="eastAsia" w:ascii="宋体" w:hAnsi="宋体" w:cs="宋体"/>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14:paraId="5072C94D">
      <w:pPr>
        <w:pStyle w:val="14"/>
        <w:wordWrap w:val="0"/>
        <w:spacing w:line="360" w:lineRule="auto"/>
        <w:ind w:firstLine="480"/>
        <w:rPr>
          <w:rFonts w:hint="eastAsia" w:hAnsi="宋体" w:cs="宋体"/>
          <w:color w:val="auto"/>
          <w:highlight w:val="none"/>
        </w:rPr>
      </w:pPr>
    </w:p>
    <w:p w14:paraId="1F7584DA">
      <w:pPr>
        <w:pStyle w:val="14"/>
        <w:tabs>
          <w:tab w:val="left" w:pos="2472"/>
        </w:tabs>
        <w:wordWrap w:val="0"/>
        <w:spacing w:line="360" w:lineRule="auto"/>
        <w:ind w:firstLine="643"/>
        <w:jc w:val="center"/>
        <w:outlineLvl w:val="1"/>
        <w:rPr>
          <w:rFonts w:hint="eastAsia" w:hAnsi="宋体" w:cs="宋体"/>
          <w:b/>
          <w:bCs/>
          <w:color w:val="auto"/>
          <w:sz w:val="32"/>
          <w:szCs w:val="32"/>
          <w:highlight w:val="none"/>
        </w:rPr>
      </w:pPr>
      <w:bookmarkStart w:id="136" w:name="_Toc3444"/>
      <w:r>
        <w:rPr>
          <w:rFonts w:hint="eastAsia" w:hAnsi="宋体" w:cs="宋体"/>
          <w:b/>
          <w:bCs/>
          <w:color w:val="auto"/>
          <w:sz w:val="32"/>
          <w:szCs w:val="32"/>
          <w:highlight w:val="none"/>
        </w:rPr>
        <w:t>第二节 评标程序</w:t>
      </w:r>
      <w:bookmarkEnd w:id="136"/>
    </w:p>
    <w:p w14:paraId="1B34FDAD">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1.符合性审查</w:t>
      </w:r>
    </w:p>
    <w:p w14:paraId="1BD33C67">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评标委员会应当对符合资格的投标人的投标文件进行投标报价、商务、技术等实质性内容符合性审查，以确定其是否满足招标文件的实质性要求。</w:t>
      </w:r>
    </w:p>
    <w:p w14:paraId="33333DEF">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2.符合性审查不通过而导致投标无效的情形</w:t>
      </w:r>
    </w:p>
    <w:p w14:paraId="5E041BC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投标人的投标文件中存在对招标文件的任何实质性要求和条件的负偏离，将被视为投标无效。</w:t>
      </w:r>
    </w:p>
    <w:p w14:paraId="33EBC6F4">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2.1在报价评审时，如发现下列情形之一的，将被视为投标无效：</w:t>
      </w:r>
    </w:p>
    <w:p w14:paraId="303885A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（1）投标文件未提供“投标人须知前附表”第13.1条规定中“必须提供”的文件资料的;</w:t>
      </w:r>
    </w:p>
    <w:p w14:paraId="3931D71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（2）未采用人民币报价或者未按照招标文件标明的币种报价的；</w:t>
      </w:r>
    </w:p>
    <w:p w14:paraId="480A6AD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（3）报价超出招标文件规定最高限价，或者超出采购预算金额（包括分项预算）的；</w:t>
      </w:r>
    </w:p>
    <w:p w14:paraId="4E90A61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168C550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（5）修正后的报价，投标人不确认的；</w:t>
      </w:r>
    </w:p>
    <w:p w14:paraId="6281DAC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（6）投标人属于本章第5条第（2）项情形的。</w:t>
      </w:r>
    </w:p>
    <w:p w14:paraId="5869596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29AE72B7">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（1）投标文件未按招标文件要求签署、盖章的；</w:t>
      </w:r>
    </w:p>
    <w:p w14:paraId="77FEB930">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（2）委托代理人未能出具有效身份证明或者出具的身份证明与授权委托书中的信息不符的； </w:t>
      </w:r>
    </w:p>
    <w:p w14:paraId="310C56B6">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（3）投标文件未提供“投标人须知前附表”第13.1条规定中“必须提供”或者“委托时必须提供”的文件资料的;</w:t>
      </w:r>
    </w:p>
    <w:p w14:paraId="70102B9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（4）投标有效期、项目完成时间（交货时间、服务完成时间或者服务期等）、质保期、售后服务等招标文件中标“▲”的商务条款发生负偏离的；</w:t>
      </w:r>
    </w:p>
    <w:p w14:paraId="7BA1489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（5）商务条款评审允许负偏离的条款数超过“投标人须知前附表”规定项数的。</w:t>
      </w:r>
    </w:p>
    <w:p w14:paraId="44B2727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（6）投标文件的实质性内容未使用中文表述、使用计量单位不符合招标文件要求的；</w:t>
      </w:r>
    </w:p>
    <w:p w14:paraId="59C15899">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（7）投标文件中的文件资料因填写不齐全或者内容虚假或者出现其他情形而导致被评标委员会认定无效的；</w:t>
      </w:r>
    </w:p>
    <w:p w14:paraId="72481F8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（8）投标文件含有采购人不能接受的附加条件的；</w:t>
      </w:r>
    </w:p>
    <w:p w14:paraId="4D757D5F">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（9）未响应招标文件实质性要求的；</w:t>
      </w:r>
    </w:p>
    <w:p w14:paraId="7A3A0B2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（10）属于投标人须知正文第9.2条情形的；</w:t>
      </w:r>
    </w:p>
    <w:p w14:paraId="0F33CEC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（11）法律、法规和招标文件规定的其他无效情形。</w:t>
      </w:r>
    </w:p>
    <w:p w14:paraId="13686E13">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1ABA403D">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（1）不满足招标文件要求的服务内容、技术要求、安全、质量标准，或者与招标文件中标“▲”的技术需求发生负偏离的；</w:t>
      </w:r>
    </w:p>
    <w:p w14:paraId="4A203D5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（2）技术需求评审允许负偏离的条款数超过“投标人须知前附表”规定项数的；</w:t>
      </w:r>
    </w:p>
    <w:p w14:paraId="01F58B5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（3）投标文件未提供“投标人须知前附表”第13.1条规定中“必须提供”的文件资料的;</w:t>
      </w:r>
    </w:p>
    <w:p w14:paraId="301EC72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（4）虚假投标，或者出现其他情形而导致被评标委员会认定无效的；</w:t>
      </w:r>
    </w:p>
    <w:p w14:paraId="2B5D96B1">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（5）如招标文件需要提供技术方案的，投标技术方案不明确，招标文件未允许但存在一个或者一个以上备选（替代）投标方案的。</w:t>
      </w:r>
    </w:p>
    <w:p w14:paraId="0964F9AD">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3.澄清补正、说明或者补正</w:t>
      </w:r>
    </w:p>
    <w:p w14:paraId="3E68787B">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549A1EE8">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025F5A74">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4.投标文件修正</w:t>
      </w:r>
    </w:p>
    <w:p w14:paraId="637657D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4.1投标文件报价出现前后不一致的，按照下列规定修正： </w:t>
      </w:r>
    </w:p>
    <w:p w14:paraId="1F0D369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（1）报价文件中“开标一览表”内容与投标文件中相应内容不一致的，以“开标一览表”为准；</w:t>
      </w:r>
    </w:p>
    <w:p w14:paraId="30B1780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（2）大写金额和小写金额不一致的，以大写金额为准；</w:t>
      </w:r>
    </w:p>
    <w:p w14:paraId="6DEAC02A">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（3）单价金额小数点或者百分比有明显错位的，以开标一览表的总价为准，并修改单价；</w:t>
      </w:r>
    </w:p>
    <w:p w14:paraId="627D781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（4）总价金额与按单价汇总金额不一致的，以单价金额计算结果为准。</w:t>
      </w:r>
    </w:p>
    <w:p w14:paraId="5B0D1C0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同时出现两种以上不一致的，按照以上（1）-（4）规定的顺序修正。修正后的报价经投标人确认后产生约束力，投标人不确认的，其投标无效。</w:t>
      </w:r>
    </w:p>
    <w:p w14:paraId="380A64A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4.2经投标人确认修正后的报价若超过采购预算金额或者最高限价，投标人的投标文件作无效投标处理。</w:t>
      </w:r>
    </w:p>
    <w:p w14:paraId="080A8E2C">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5E5B18AA">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5.比较与评价</w:t>
      </w:r>
    </w:p>
    <w:p w14:paraId="333502C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5.1评标委员会按照招标文件中规定的评标方法和评标标准，对符合性审查合格的投标文件进行商务和技术评估，综合比较与评价。</w:t>
      </w:r>
    </w:p>
    <w:p w14:paraId="707D1680">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5.2评标委员会独立对每个投标人的投标文件进行评价，并汇总每个投标人的得分。</w:t>
      </w:r>
    </w:p>
    <w:p w14:paraId="1D7B7521">
      <w:pPr>
        <w:widowControl/>
        <w:wordWrap w:val="0"/>
        <w:spacing w:line="360" w:lineRule="auto"/>
        <w:ind w:firstLine="420" w:firstLineChars="200"/>
        <w:jc w:val="left"/>
        <w:rPr>
          <w:rFonts w:hint="eastAsia"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34ED9170">
      <w:pPr>
        <w:widowControl/>
        <w:wordWrap w:val="0"/>
        <w:spacing w:line="360" w:lineRule="auto"/>
        <w:ind w:firstLine="420" w:firstLineChars="200"/>
        <w:jc w:val="left"/>
        <w:rPr>
          <w:rFonts w:hint="eastAsia"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54F5CC28">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5.3评标委员会按照招标文件中规定的评标方法和标准计算各投标人的报价得分。在计算过程中，不得去掉最高报价或者最低报价。</w:t>
      </w:r>
    </w:p>
    <w:p w14:paraId="6053703E">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5.4各投标人的得分为所有评委的有效评分的算术平均数。</w:t>
      </w:r>
    </w:p>
    <w:p w14:paraId="2B25D47D">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5.5评标委员会按照招标文件中的规定推荐中标候选人。</w:t>
      </w:r>
    </w:p>
    <w:p w14:paraId="17C8278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21B41C86">
      <w:pPr>
        <w:wordWrap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6.评审复核</w:t>
      </w:r>
    </w:p>
    <w:p w14:paraId="708DA735">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6.1评标报告签署前，评标委员会要对评审结果进行复核，复核意见要体现在评标报告中。</w:t>
      </w:r>
    </w:p>
    <w:p w14:paraId="27BE1B6E">
      <w:pPr>
        <w:widowControl/>
        <w:wordWrap w:val="0"/>
        <w:spacing w:line="360" w:lineRule="auto"/>
        <w:ind w:firstLine="420" w:firstLineChars="200"/>
        <w:jc w:val="left"/>
        <w:textAlignment w:val="baseline"/>
        <w:rPr>
          <w:rFonts w:hint="eastAsia" w:ascii="宋体" w:hAnsi="宋体" w:cs="宋体"/>
          <w:color w:val="auto"/>
          <w:highlight w:val="none"/>
        </w:rPr>
      </w:pPr>
      <w:r>
        <w:rPr>
          <w:rFonts w:hint="eastAsia" w:ascii="宋体" w:hAnsi="宋体" w:cs="宋体"/>
          <w:color w:val="auto"/>
          <w:highlight w:val="none"/>
        </w:rPr>
        <w:t>6.2评标结果汇总完成后，除下列情形外，任何人不得修改评标结果：</w:t>
      </w:r>
    </w:p>
    <w:p w14:paraId="62827F60">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（一）分值汇总计算错误的；</w:t>
      </w:r>
    </w:p>
    <w:p w14:paraId="1A86505D">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（二）分项评分超出评分标准范围的；</w:t>
      </w:r>
    </w:p>
    <w:p w14:paraId="0750B74A">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（三）评标委员会成员对客观评审因素评分不一致的；</w:t>
      </w:r>
    </w:p>
    <w:p w14:paraId="5ED2F16D">
      <w:pPr>
        <w:widowControl/>
        <w:wordWrap w:val="0"/>
        <w:spacing w:line="360" w:lineRule="auto"/>
        <w:jc w:val="left"/>
        <w:textAlignment w:val="baseline"/>
        <w:rPr>
          <w:rFonts w:hint="eastAsia" w:ascii="宋体" w:hAnsi="宋体" w:cs="宋体"/>
          <w:color w:val="auto"/>
          <w:highlight w:val="none"/>
        </w:rPr>
      </w:pPr>
      <w:r>
        <w:rPr>
          <w:rFonts w:hint="eastAsia" w:ascii="宋体" w:hAnsi="宋体" w:cs="宋体"/>
          <w:color w:val="auto"/>
          <w:highlight w:val="none"/>
        </w:rPr>
        <w:t>　　（四）经评标委员会认定评分畸高、畸低的。</w:t>
      </w:r>
    </w:p>
    <w:p w14:paraId="578DC83F">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429E1B34">
      <w:pPr>
        <w:pStyle w:val="4"/>
        <w:wordWrap w:val="0"/>
        <w:spacing w:before="0" w:after="0" w:line="360" w:lineRule="auto"/>
        <w:ind w:firstLine="600"/>
        <w:jc w:val="center"/>
        <w:rPr>
          <w:rFonts w:hint="eastAsia" w:ascii="宋体" w:hAnsi="宋体" w:eastAsia="宋体" w:cs="宋体"/>
          <w:b w:val="0"/>
          <w:color w:val="auto"/>
          <w:sz w:val="30"/>
          <w:szCs w:val="30"/>
          <w:highlight w:val="none"/>
        </w:rPr>
      </w:pPr>
      <w:bookmarkStart w:id="137" w:name="_Toc32456"/>
      <w:r>
        <w:rPr>
          <w:rFonts w:hint="eastAsia" w:ascii="宋体" w:hAnsi="宋体" w:eastAsia="宋体" w:cs="宋体"/>
          <w:b w:val="0"/>
          <w:color w:val="auto"/>
          <w:sz w:val="30"/>
          <w:szCs w:val="30"/>
          <w:highlight w:val="none"/>
        </w:rPr>
        <w:t>第三节 评分标准</w:t>
      </w:r>
      <w:bookmarkEnd w:id="137"/>
    </w:p>
    <w:p w14:paraId="7484F9F5">
      <w:pPr>
        <w:pStyle w:val="14"/>
        <w:widowControl/>
        <w:wordWrap w:val="0"/>
        <w:spacing w:line="360" w:lineRule="auto"/>
        <w:ind w:firstLine="602" w:firstLineChars="200"/>
        <w:jc w:val="center"/>
        <w:rPr>
          <w:rFonts w:hint="eastAsia" w:hAnsi="宋体" w:cs="宋体"/>
          <w:b/>
          <w:color w:val="auto"/>
          <w:sz w:val="30"/>
          <w:szCs w:val="30"/>
          <w:highlight w:val="none"/>
        </w:rPr>
      </w:pPr>
      <w:r>
        <w:rPr>
          <w:rFonts w:hint="eastAsia" w:hAnsi="宋体" w:cs="宋体"/>
          <w:b/>
          <w:color w:val="auto"/>
          <w:sz w:val="30"/>
          <w:szCs w:val="30"/>
          <w:highlight w:val="none"/>
        </w:rPr>
        <w:t>二、综合评分法</w:t>
      </w:r>
    </w:p>
    <w:p w14:paraId="4E19067E">
      <w:pPr>
        <w:wordWrap w:val="0"/>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 xml:space="preserve"> </w:t>
      </w:r>
      <w:r>
        <w:rPr>
          <w:rFonts w:hint="eastAsia" w:ascii="宋体" w:hAnsi="宋体" w:cs="宋体"/>
          <w:color w:val="auto"/>
          <w:szCs w:val="21"/>
          <w:highlight w:val="none"/>
        </w:rPr>
        <w:t>注：1.计分方法按四舍五入取至百分位。</w:t>
      </w:r>
    </w:p>
    <w:p w14:paraId="1B03CDEF">
      <w:pPr>
        <w:wordWrap w:val="0"/>
        <w:spacing w:line="360" w:lineRule="auto"/>
        <w:ind w:firstLine="1050" w:firstLineChars="500"/>
        <w:rPr>
          <w:rFonts w:hint="eastAsia" w:ascii="宋体" w:hAnsi="宋体" w:cs="宋体"/>
          <w:color w:val="auto"/>
          <w:szCs w:val="21"/>
          <w:highlight w:val="none"/>
        </w:rPr>
      </w:pPr>
      <w:r>
        <w:rPr>
          <w:rFonts w:hint="eastAsia" w:ascii="宋体" w:hAnsi="宋体" w:cs="宋体"/>
          <w:color w:val="auto"/>
          <w:szCs w:val="21"/>
          <w:highlight w:val="none"/>
        </w:rPr>
        <w:t>总得分=报价分+技术分+商务分</w:t>
      </w:r>
    </w:p>
    <w:p w14:paraId="47488D28">
      <w:pPr>
        <w:wordWrap w:val="0"/>
        <w:spacing w:line="360" w:lineRule="auto"/>
        <w:ind w:firstLine="840" w:firstLineChars="400"/>
        <w:rPr>
          <w:rFonts w:hint="eastAsia" w:ascii="宋体" w:hAnsi="宋体" w:cs="宋体"/>
          <w:bCs/>
          <w:color w:val="auto"/>
          <w:highlight w:val="none"/>
        </w:rPr>
      </w:pPr>
      <w:r>
        <w:rPr>
          <w:rFonts w:hint="eastAsia" w:ascii="宋体" w:hAnsi="宋体" w:cs="宋体"/>
          <w:color w:val="auto"/>
          <w:szCs w:val="21"/>
          <w:highlight w:val="none"/>
        </w:rPr>
        <w:t>2.商务技术评审因素为客观评分项的，应在评分项目或评分标准中予以标注为‘客观分’。对投标人的客观评分项目，各评标专家评分应当一致。</w:t>
      </w:r>
      <w:bookmarkStart w:id="138" w:name="PO_TDCUS_ITEM_SM_TITLE_1"/>
    </w:p>
    <w:bookmarkEnd w:id="138"/>
    <w:tbl>
      <w:tblPr>
        <w:tblStyle w:val="26"/>
        <w:tblpPr w:leftFromText="180" w:rightFromText="180" w:vertAnchor="text" w:horzAnchor="page" w:tblpX="1139" w:tblpY="94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481"/>
        <w:gridCol w:w="6554"/>
        <w:gridCol w:w="1410"/>
      </w:tblGrid>
      <w:tr w14:paraId="3007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tcPr>
          <w:p w14:paraId="7A92E80A">
            <w:pPr>
              <w:pStyle w:val="14"/>
              <w:widowControl/>
              <w:wordWrap w:val="0"/>
              <w:spacing w:line="360" w:lineRule="auto"/>
              <w:rPr>
                <w:rFonts w:hint="eastAsia" w:ascii="新宋体" w:hAnsi="新宋体" w:eastAsia="新宋体" w:cs="新宋体"/>
                <w:bCs/>
                <w:color w:val="auto"/>
                <w:sz w:val="24"/>
                <w:szCs w:val="24"/>
                <w:highlight w:val="none"/>
              </w:rPr>
            </w:pPr>
            <w:bookmarkStart w:id="139" w:name="PO_TDCUS_ITEM_SM_TABLE_1"/>
            <w:r>
              <w:rPr>
                <w:rFonts w:hint="eastAsia" w:ascii="新宋体" w:hAnsi="新宋体" w:eastAsia="新宋体" w:cs="新宋体"/>
                <w:bCs/>
                <w:color w:val="auto"/>
                <w:sz w:val="24"/>
                <w:szCs w:val="24"/>
                <w:highlight w:val="none"/>
              </w:rPr>
              <w:t>序号</w:t>
            </w:r>
          </w:p>
        </w:tc>
        <w:tc>
          <w:tcPr>
            <w:tcW w:w="1481" w:type="dxa"/>
            <w:tcBorders>
              <w:top w:val="single" w:color="auto" w:sz="4" w:space="0"/>
              <w:left w:val="single" w:color="auto" w:sz="4" w:space="0"/>
              <w:bottom w:val="single" w:color="auto" w:sz="4" w:space="0"/>
              <w:right w:val="single" w:color="auto" w:sz="4" w:space="0"/>
            </w:tcBorders>
          </w:tcPr>
          <w:p w14:paraId="0CBA8923">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评分类型</w:t>
            </w:r>
          </w:p>
        </w:tc>
        <w:tc>
          <w:tcPr>
            <w:tcW w:w="6554" w:type="dxa"/>
            <w:tcBorders>
              <w:top w:val="single" w:color="auto" w:sz="4" w:space="0"/>
              <w:left w:val="single" w:color="auto" w:sz="4" w:space="0"/>
              <w:bottom w:val="single" w:color="auto" w:sz="4" w:space="0"/>
              <w:right w:val="single" w:color="auto" w:sz="4" w:space="0"/>
            </w:tcBorders>
          </w:tcPr>
          <w:p w14:paraId="1012107A">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评分标准</w:t>
            </w:r>
          </w:p>
        </w:tc>
        <w:tc>
          <w:tcPr>
            <w:tcW w:w="1410" w:type="dxa"/>
            <w:tcBorders>
              <w:top w:val="single" w:color="auto" w:sz="4" w:space="0"/>
              <w:left w:val="single" w:color="auto" w:sz="4" w:space="0"/>
              <w:bottom w:val="single" w:color="auto" w:sz="4" w:space="0"/>
              <w:right w:val="single" w:color="auto" w:sz="4" w:space="0"/>
            </w:tcBorders>
          </w:tcPr>
          <w:p w14:paraId="0F7C7981">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分值</w:t>
            </w:r>
          </w:p>
        </w:tc>
      </w:tr>
      <w:tr w14:paraId="4F56A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tcBorders>
              <w:top w:val="single" w:color="auto" w:sz="4" w:space="0"/>
              <w:left w:val="single" w:color="auto" w:sz="4" w:space="0"/>
              <w:bottom w:val="single" w:color="auto" w:sz="4" w:space="0"/>
              <w:right w:val="single" w:color="auto" w:sz="4" w:space="0"/>
            </w:tcBorders>
            <w:vAlign w:val="center"/>
          </w:tcPr>
          <w:p w14:paraId="4296D552">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1</w:t>
            </w:r>
          </w:p>
        </w:tc>
        <w:tc>
          <w:tcPr>
            <w:tcW w:w="1481" w:type="dxa"/>
            <w:tcBorders>
              <w:top w:val="single" w:color="auto" w:sz="4" w:space="0"/>
              <w:left w:val="single" w:color="auto" w:sz="4" w:space="0"/>
              <w:bottom w:val="single" w:color="auto" w:sz="4" w:space="0"/>
              <w:right w:val="single" w:color="auto" w:sz="4" w:space="0"/>
            </w:tcBorders>
            <w:vAlign w:val="center"/>
          </w:tcPr>
          <w:p w14:paraId="79006AC8">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报价分</w:t>
            </w:r>
          </w:p>
        </w:tc>
        <w:tc>
          <w:tcPr>
            <w:tcW w:w="6554" w:type="dxa"/>
            <w:tcBorders>
              <w:top w:val="single" w:color="auto" w:sz="4" w:space="0"/>
              <w:left w:val="single" w:color="auto" w:sz="4" w:space="0"/>
              <w:bottom w:val="single" w:color="auto" w:sz="4" w:space="0"/>
              <w:right w:val="single" w:color="auto" w:sz="4" w:space="0"/>
            </w:tcBorders>
          </w:tcPr>
          <w:p w14:paraId="52D02F28">
            <w:pPr>
              <w:snapToGrid w:val="0"/>
              <w:spacing w:line="360" w:lineRule="auto"/>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1.☑ 专门面向中小企业采购项目</w:t>
            </w:r>
          </w:p>
          <w:p w14:paraId="5B4E74A5">
            <w:pPr>
              <w:snapToGrid w:val="0"/>
              <w:spacing w:line="360" w:lineRule="auto"/>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本项目为专门面对中小企业采购项目，小型企业、微型企业、监狱企业、残疾人福利性单位均不再执行价格评审优惠的扶持政策。</w:t>
            </w:r>
          </w:p>
          <w:p w14:paraId="33FD4E66">
            <w:pPr>
              <w:snapToGrid w:val="0"/>
              <w:spacing w:line="360" w:lineRule="auto"/>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t>2.□ 本项目为非专门面向中小企业采购项目（政府采购政策性扣除计算方法）：</w:t>
            </w:r>
          </w:p>
          <w:p w14:paraId="6F1476B6">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（1）评标报价为投标人的投标报价进行政策性扣除后的价格，评标报价只是作为评标时使用。最终中标供应商的中标金额等于投标报价。</w:t>
            </w:r>
          </w:p>
          <w:p w14:paraId="52B5FDF1">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（2）按照《政府采购促进中小企业发展管理办法》（财库〔2020〕46号）的规定，投标人在其投标文件中提供《中小企业声明函》，且其服务为小型和微型企业承接的，对其最后报价给予10%的扣除。</w:t>
            </w:r>
          </w:p>
          <w:p w14:paraId="6FBC89E3">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9BE197F">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0E7EC3B6">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（5）政策性扣除计算方法。</w:t>
            </w:r>
          </w:p>
          <w:p w14:paraId="5036627F">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在服务采购项目中，服务由小微企业承接；对符合上述要求的投标人的投标报价给予10%的扣除，扣除后的价格为评标报价，即评标报价=投标报价×（1-10%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3%的扣除，用扣除后的价格参加评审，扣除后的价格为评标报价，即评标报价=投标报价×（1-3%）。除上述情况外，评标报价=投标报价。</w:t>
            </w:r>
          </w:p>
          <w:p w14:paraId="324A0EE8">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（6）满足招标文件要求且评标报价最低的评标报价为评标基准价，其价格分为满分。</w:t>
            </w:r>
          </w:p>
          <w:p w14:paraId="2332BA00">
            <w:pPr>
              <w:pStyle w:val="14"/>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 xml:space="preserve">（7）价格分计算公式：        </w:t>
            </w:r>
          </w:p>
          <w:p w14:paraId="45DA0D59">
            <w:pPr>
              <w:pStyle w:val="14"/>
              <w:widowControl/>
              <w:wordWrap w:val="0"/>
              <w:spacing w:line="360" w:lineRule="auto"/>
              <w:ind w:firstLine="480" w:firstLineChars="200"/>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价格分=(评标基准价／评标报价)×</w:t>
            </w:r>
            <w:r>
              <w:rPr>
                <w:rFonts w:hint="eastAsia" w:ascii="新宋体" w:hAnsi="新宋体" w:eastAsia="新宋体" w:cs="新宋体"/>
                <w:bCs/>
                <w:color w:val="auto"/>
                <w:sz w:val="24"/>
                <w:szCs w:val="24"/>
                <w:highlight w:val="none"/>
                <w:u w:val="single"/>
              </w:rPr>
              <w:t xml:space="preserve"> 10 </w:t>
            </w:r>
            <w:r>
              <w:rPr>
                <w:rFonts w:hint="eastAsia" w:ascii="新宋体" w:hAnsi="新宋体" w:eastAsia="新宋体" w:cs="新宋体"/>
                <w:bCs/>
                <w:color w:val="auto"/>
                <w:sz w:val="24"/>
                <w:szCs w:val="24"/>
                <w:highlight w:val="none"/>
              </w:rPr>
              <w:t>分</w:t>
            </w:r>
          </w:p>
        </w:tc>
        <w:tc>
          <w:tcPr>
            <w:tcW w:w="1410" w:type="dxa"/>
            <w:tcBorders>
              <w:top w:val="single" w:color="auto" w:sz="4" w:space="0"/>
              <w:left w:val="single" w:color="auto" w:sz="4" w:space="0"/>
              <w:bottom w:val="single" w:color="auto" w:sz="4" w:space="0"/>
              <w:right w:val="single" w:color="auto" w:sz="4" w:space="0"/>
            </w:tcBorders>
            <w:vAlign w:val="center"/>
          </w:tcPr>
          <w:p w14:paraId="170E5916">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0~10</w:t>
            </w:r>
          </w:p>
        </w:tc>
      </w:tr>
      <w:tr w14:paraId="1A8B7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top w:val="single" w:color="auto" w:sz="4" w:space="0"/>
              <w:left w:val="single" w:color="auto" w:sz="4" w:space="0"/>
              <w:right w:val="single" w:color="auto" w:sz="4" w:space="0"/>
            </w:tcBorders>
            <w:vAlign w:val="center"/>
          </w:tcPr>
          <w:p w14:paraId="0F4641EF">
            <w:pPr>
              <w:pStyle w:val="14"/>
              <w:widowControl/>
              <w:wordWrap w:val="0"/>
              <w:spacing w:line="360" w:lineRule="auto"/>
              <w:rPr>
                <w:rFonts w:hint="eastAsia" w:ascii="新宋体" w:hAnsi="新宋体" w:eastAsia="新宋体" w:cs="新宋体"/>
                <w:bCs/>
                <w:color w:val="auto"/>
                <w:sz w:val="24"/>
                <w:szCs w:val="24"/>
                <w:highlight w:val="none"/>
              </w:rPr>
            </w:pPr>
            <w:r>
              <w:rPr>
                <w:rFonts w:hint="eastAsia" w:ascii="新宋体" w:hAnsi="新宋体" w:eastAsia="新宋体" w:cs="新宋体"/>
                <w:b/>
                <w:color w:val="auto"/>
                <w:sz w:val="24"/>
                <w:szCs w:val="24"/>
                <w:highlight w:val="none"/>
              </w:rPr>
              <w:t>技术分（满分65分）</w:t>
            </w:r>
          </w:p>
        </w:tc>
      </w:tr>
      <w:tr w14:paraId="60A6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19439FCD">
            <w:pPr>
              <w:pStyle w:val="14"/>
              <w:widowControl/>
              <w:wordWrap w:val="0"/>
              <w:spacing w:line="360" w:lineRule="auto"/>
              <w:jc w:val="center"/>
              <w:rPr>
                <w:rFonts w:hint="eastAsia" w:ascii="新宋体" w:hAnsi="新宋体" w:eastAsia="新宋体" w:cs="新宋体"/>
                <w:bCs/>
                <w:color w:val="auto"/>
                <w:sz w:val="24"/>
                <w:szCs w:val="24"/>
                <w:highlight w:val="none"/>
              </w:rPr>
            </w:pPr>
          </w:p>
        </w:tc>
        <w:tc>
          <w:tcPr>
            <w:tcW w:w="8035" w:type="dxa"/>
            <w:gridSpan w:val="2"/>
            <w:tcBorders>
              <w:top w:val="single" w:color="auto" w:sz="4" w:space="0"/>
              <w:left w:val="single" w:color="auto" w:sz="4" w:space="0"/>
              <w:bottom w:val="single" w:color="auto" w:sz="4" w:space="0"/>
              <w:right w:val="single" w:color="auto" w:sz="4" w:space="0"/>
            </w:tcBorders>
          </w:tcPr>
          <w:p w14:paraId="66C3808B">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评审因素</w:t>
            </w:r>
          </w:p>
        </w:tc>
        <w:tc>
          <w:tcPr>
            <w:tcW w:w="1410" w:type="dxa"/>
            <w:tcBorders>
              <w:top w:val="single" w:color="auto" w:sz="4" w:space="0"/>
              <w:left w:val="single" w:color="auto" w:sz="4" w:space="0"/>
              <w:bottom w:val="single" w:color="auto" w:sz="4" w:space="0"/>
              <w:right w:val="single" w:color="auto" w:sz="4" w:space="0"/>
            </w:tcBorders>
          </w:tcPr>
          <w:p w14:paraId="610474A6">
            <w:pPr>
              <w:pStyle w:val="14"/>
              <w:widowControl/>
              <w:wordWrap w:val="0"/>
              <w:spacing w:line="360" w:lineRule="auto"/>
              <w:jc w:val="center"/>
              <w:rPr>
                <w:rFonts w:hint="eastAsia" w:ascii="新宋体" w:hAnsi="新宋体" w:eastAsia="新宋体" w:cs="新宋体"/>
                <w:bCs/>
                <w:color w:val="auto"/>
                <w:sz w:val="24"/>
                <w:szCs w:val="24"/>
                <w:highlight w:val="none"/>
              </w:rPr>
            </w:pPr>
            <w:r>
              <w:rPr>
                <w:rFonts w:hint="eastAsia" w:ascii="新宋体" w:hAnsi="新宋体" w:eastAsia="新宋体" w:cs="新宋体"/>
                <w:bCs/>
                <w:color w:val="auto"/>
                <w:sz w:val="24"/>
                <w:szCs w:val="24"/>
                <w:highlight w:val="none"/>
              </w:rPr>
              <w:t>分值</w:t>
            </w:r>
          </w:p>
        </w:tc>
      </w:tr>
      <w:tr w14:paraId="7F26E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17" w:type="dxa"/>
            <w:vMerge w:val="continue"/>
            <w:tcBorders>
              <w:left w:val="single" w:color="auto" w:sz="4" w:space="0"/>
              <w:right w:val="single" w:color="auto" w:sz="4" w:space="0"/>
            </w:tcBorders>
          </w:tcPr>
          <w:p w14:paraId="4540E03A">
            <w:pPr>
              <w:pStyle w:val="14"/>
              <w:widowControl/>
              <w:wordWrap w:val="0"/>
              <w:spacing w:line="360" w:lineRule="auto"/>
              <w:rPr>
                <w:rFonts w:hint="eastAsia" w:ascii="宋体" w:hAnsi="宋体" w:eastAsia="宋体" w:cs="宋体"/>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58764FCA">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（1）服务方案分（满分28分）</w:t>
            </w:r>
          </w:p>
        </w:tc>
        <w:tc>
          <w:tcPr>
            <w:tcW w:w="6554" w:type="dxa"/>
            <w:tcBorders>
              <w:top w:val="single" w:color="auto" w:sz="4" w:space="0"/>
              <w:left w:val="single" w:color="auto" w:sz="4" w:space="0"/>
              <w:bottom w:val="single" w:color="auto" w:sz="4" w:space="0"/>
              <w:right w:val="single" w:color="auto" w:sz="4" w:space="0"/>
            </w:tcBorders>
            <w:vAlign w:val="center"/>
          </w:tcPr>
          <w:p w14:paraId="58E6228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根据技术服务要求提交相关运维服务方案，包括完整的日常运维计划、应急服务、质量保证措施等）</w:t>
            </w:r>
          </w:p>
          <w:p w14:paraId="0FC822B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分）：供应商提供</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rPr>
              <w:t>相关运维服务方案，方案内容简单。</w:t>
            </w:r>
          </w:p>
          <w:p w14:paraId="0BE86F6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eastAsia="宋体" w:cs="宋体"/>
                <w:color w:val="auto"/>
                <w:sz w:val="24"/>
                <w:szCs w:val="24"/>
                <w:highlight w:val="none"/>
                <w:lang w:val="en-US" w:eastAsia="zh-CN"/>
              </w:rPr>
              <w:t>18</w:t>
            </w:r>
            <w:r>
              <w:rPr>
                <w:rFonts w:hint="eastAsia" w:ascii="宋体" w:hAnsi="宋体" w:eastAsia="宋体" w:cs="宋体"/>
                <w:color w:val="auto"/>
                <w:sz w:val="24"/>
                <w:szCs w:val="24"/>
                <w:highlight w:val="none"/>
              </w:rPr>
              <w:t>分）：供应商提供较为详细的运维服务方案、有相应的运维管理制度、日常运维计划、应急服务、质量保证措施等内容。</w:t>
            </w:r>
          </w:p>
          <w:p w14:paraId="29605547">
            <w:pPr>
              <w:pStyle w:val="12"/>
              <w:spacing w:after="0"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三档（</w:t>
            </w:r>
            <w:r>
              <w:rPr>
                <w:rFonts w:hint="eastAsia" w:ascii="宋体" w:hAnsi="宋体" w:eastAsia="宋体" w:cs="宋体"/>
                <w:color w:val="auto"/>
                <w:sz w:val="24"/>
                <w:szCs w:val="24"/>
                <w:highlight w:val="none"/>
                <w:lang w:val="en-US" w:eastAsia="zh-CN"/>
              </w:rPr>
              <w:t>28</w:t>
            </w:r>
            <w:r>
              <w:rPr>
                <w:rFonts w:hint="eastAsia" w:ascii="宋体" w:hAnsi="宋体" w:eastAsia="宋体" w:cs="宋体"/>
                <w:color w:val="auto"/>
                <w:sz w:val="24"/>
                <w:szCs w:val="24"/>
                <w:highlight w:val="none"/>
              </w:rPr>
              <w:t>分）：供应商提供完整、详细、有针对性的服务方案及完整的运维管理制度、日常运维计划、应急服务、质量保证措施等，且方案内容科学合理，具有可行性，可操作性。</w:t>
            </w:r>
          </w:p>
        </w:tc>
        <w:tc>
          <w:tcPr>
            <w:tcW w:w="1410" w:type="dxa"/>
            <w:tcBorders>
              <w:top w:val="single" w:color="auto" w:sz="4" w:space="0"/>
              <w:left w:val="single" w:color="auto" w:sz="4" w:space="0"/>
              <w:bottom w:val="single" w:color="auto" w:sz="4" w:space="0"/>
              <w:right w:val="single" w:color="auto" w:sz="4" w:space="0"/>
            </w:tcBorders>
            <w:vAlign w:val="center"/>
          </w:tcPr>
          <w:p w14:paraId="33A20D24">
            <w:pPr>
              <w:pStyle w:val="14"/>
              <w:widowControl/>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0~28分</w:t>
            </w:r>
          </w:p>
          <w:p w14:paraId="13669028">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（主观分）</w:t>
            </w:r>
          </w:p>
        </w:tc>
      </w:tr>
      <w:tr w14:paraId="315D0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atLeast"/>
        </w:trPr>
        <w:tc>
          <w:tcPr>
            <w:tcW w:w="517" w:type="dxa"/>
            <w:vMerge w:val="continue"/>
            <w:tcBorders>
              <w:left w:val="single" w:color="auto" w:sz="4" w:space="0"/>
              <w:right w:val="single" w:color="auto" w:sz="4" w:space="0"/>
            </w:tcBorders>
          </w:tcPr>
          <w:p w14:paraId="13F20EAB">
            <w:pPr>
              <w:pStyle w:val="14"/>
              <w:widowControl/>
              <w:wordWrap w:val="0"/>
              <w:spacing w:line="360" w:lineRule="auto"/>
              <w:rPr>
                <w:rFonts w:hint="eastAsia" w:ascii="宋体" w:hAnsi="宋体" w:eastAsia="宋体" w:cs="宋体"/>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48297A61">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（2）运维服务管理制度（满分12分）</w:t>
            </w:r>
          </w:p>
        </w:tc>
        <w:tc>
          <w:tcPr>
            <w:tcW w:w="6554" w:type="dxa"/>
            <w:tcBorders>
              <w:top w:val="single" w:color="auto" w:sz="4" w:space="0"/>
              <w:left w:val="single" w:color="auto" w:sz="4" w:space="0"/>
              <w:bottom w:val="single" w:color="auto" w:sz="4" w:space="0"/>
              <w:right w:val="single" w:color="auto" w:sz="4" w:space="0"/>
            </w:tcBorders>
            <w:vAlign w:val="center"/>
          </w:tcPr>
          <w:p w14:paraId="1E64DC9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分）：运维服务管理制度框架不完整，仅包含少数基础环节，制度内容笼统；</w:t>
            </w:r>
          </w:p>
          <w:p w14:paraId="519A427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分）：运维服务管理制度覆盖主要运维环节，但存在个别非关键环节缺失，核心流程有明确的责任划分与操作指引，制度基本符合常规运维需求；</w:t>
            </w:r>
          </w:p>
          <w:p w14:paraId="7A48C74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三档（12分）：运维服务管理制度体系完整，涵盖运维服务全流程，制度内容具体、详细，每个流程都明确了责任部门/人员、操作步骤、时间节点、交付成果及考核指标。</w:t>
            </w:r>
          </w:p>
        </w:tc>
        <w:tc>
          <w:tcPr>
            <w:tcW w:w="1410" w:type="dxa"/>
            <w:tcBorders>
              <w:top w:val="single" w:color="auto" w:sz="4" w:space="0"/>
              <w:left w:val="single" w:color="auto" w:sz="4" w:space="0"/>
              <w:bottom w:val="single" w:color="auto" w:sz="4" w:space="0"/>
              <w:right w:val="single" w:color="auto" w:sz="4" w:space="0"/>
            </w:tcBorders>
            <w:vAlign w:val="center"/>
          </w:tcPr>
          <w:p w14:paraId="43112758">
            <w:pPr>
              <w:pStyle w:val="14"/>
              <w:widowControl/>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0~12分</w:t>
            </w:r>
          </w:p>
          <w:p w14:paraId="55121283">
            <w:pPr>
              <w:pStyle w:val="14"/>
              <w:widowControl/>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r>
      <w:tr w14:paraId="59DBE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dxa"/>
            <w:vMerge w:val="continue"/>
            <w:tcBorders>
              <w:left w:val="single" w:color="auto" w:sz="4" w:space="0"/>
              <w:right w:val="single" w:color="auto" w:sz="4" w:space="0"/>
            </w:tcBorders>
          </w:tcPr>
          <w:p w14:paraId="5A7C4CE3">
            <w:pPr>
              <w:pStyle w:val="14"/>
              <w:widowControl/>
              <w:wordWrap w:val="0"/>
              <w:spacing w:line="360" w:lineRule="auto"/>
              <w:rPr>
                <w:rFonts w:hint="eastAsia" w:ascii="宋体" w:hAnsi="宋体" w:eastAsia="宋体" w:cs="宋体"/>
                <w:bCs/>
                <w:color w:val="auto"/>
                <w:sz w:val="24"/>
                <w:szCs w:val="24"/>
                <w:highlight w:val="none"/>
              </w:rPr>
            </w:pPr>
          </w:p>
        </w:tc>
        <w:tc>
          <w:tcPr>
            <w:tcW w:w="1481" w:type="dxa"/>
            <w:tcBorders>
              <w:top w:val="single" w:color="auto" w:sz="4" w:space="0"/>
              <w:left w:val="single" w:color="auto" w:sz="4" w:space="0"/>
              <w:bottom w:val="single" w:color="auto" w:sz="4" w:space="0"/>
              <w:right w:val="single" w:color="auto" w:sz="4" w:space="0"/>
            </w:tcBorders>
            <w:vAlign w:val="center"/>
          </w:tcPr>
          <w:p w14:paraId="4E060DE4">
            <w:pPr>
              <w:spacing w:line="360" w:lineRule="auto"/>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（3）售后服务方案分（满分25分）</w:t>
            </w:r>
          </w:p>
        </w:tc>
        <w:tc>
          <w:tcPr>
            <w:tcW w:w="6554" w:type="dxa"/>
            <w:tcBorders>
              <w:top w:val="single" w:color="auto" w:sz="4" w:space="0"/>
              <w:left w:val="single" w:color="auto" w:sz="4" w:space="0"/>
              <w:bottom w:val="single" w:color="auto" w:sz="4" w:space="0"/>
              <w:right w:val="single" w:color="auto" w:sz="4" w:space="0"/>
            </w:tcBorders>
          </w:tcPr>
          <w:p w14:paraId="06792B7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一档（8分）：</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能提供售后服务方案，服务承诺内容基本齐全，陈述简单，针对处理问题响应时间</w:t>
            </w:r>
            <w:r>
              <w:rPr>
                <w:rFonts w:hint="eastAsia" w:ascii="宋体" w:hAnsi="宋体" w:eastAsia="宋体" w:cs="宋体"/>
                <w:color w:val="auto"/>
                <w:sz w:val="24"/>
                <w:szCs w:val="24"/>
                <w:highlight w:val="none"/>
                <w:lang w:val="en-US" w:eastAsia="zh-CN"/>
              </w:rPr>
              <w:t>满足采购人</w:t>
            </w:r>
            <w:r>
              <w:rPr>
                <w:rFonts w:hint="eastAsia" w:ascii="宋体" w:hAnsi="宋体" w:eastAsia="宋体" w:cs="宋体"/>
                <w:color w:val="auto"/>
                <w:sz w:val="24"/>
                <w:szCs w:val="24"/>
                <w:highlight w:val="none"/>
              </w:rPr>
              <w:t>的要求；</w:t>
            </w:r>
          </w:p>
          <w:p w14:paraId="71856B3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二档（15分）：</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能提供售后服务方案，满足采购文件的售后服务要求，针对本项目提供专门的售后服务支持，提供快速的售后服务响应。</w:t>
            </w:r>
          </w:p>
          <w:p w14:paraId="64A55D1C">
            <w:pPr>
              <w:pStyle w:val="11"/>
              <w:spacing w:line="360" w:lineRule="auto"/>
              <w:ind w:firstLine="480" w:firstLineChars="200"/>
              <w:rPr>
                <w:rFonts w:hint="eastAsia" w:ascii="宋体" w:hAnsi="宋体" w:eastAsia="宋体" w:cs="宋体"/>
                <w:bCs/>
                <w:color w:val="auto"/>
                <w:kern w:val="0"/>
                <w:sz w:val="24"/>
                <w:szCs w:val="24"/>
                <w:highlight w:val="none"/>
              </w:rPr>
            </w:pPr>
            <w:r>
              <w:rPr>
                <w:rFonts w:hint="eastAsia" w:ascii="宋体" w:hAnsi="宋体" w:eastAsia="宋体" w:cs="宋体"/>
                <w:color w:val="auto"/>
                <w:sz w:val="24"/>
                <w:szCs w:val="24"/>
                <w:highlight w:val="none"/>
              </w:rPr>
              <w:t>三档（25分）：</w:t>
            </w: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能提供售后服务方案，满足采购文件的售后服务要求，提供问题处理流程、维护保障流程及组织架构；能根据采购人情况提供技术支持服务、定期回访服务；针对本项目提供专门的售后服务支持，提供快速的售后服务响应。</w:t>
            </w:r>
          </w:p>
        </w:tc>
        <w:tc>
          <w:tcPr>
            <w:tcW w:w="1410" w:type="dxa"/>
            <w:tcBorders>
              <w:top w:val="single" w:color="auto" w:sz="4" w:space="0"/>
              <w:left w:val="single" w:color="auto" w:sz="4" w:space="0"/>
              <w:bottom w:val="single" w:color="auto" w:sz="4" w:space="0"/>
              <w:right w:val="single" w:color="auto" w:sz="4" w:space="0"/>
            </w:tcBorders>
            <w:vAlign w:val="center"/>
          </w:tcPr>
          <w:p w14:paraId="046A3AD1">
            <w:pPr>
              <w:pStyle w:val="14"/>
              <w:widowControl/>
              <w:wordWrap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0~25分</w:t>
            </w:r>
          </w:p>
          <w:p w14:paraId="19AB0030">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（主观分）</w:t>
            </w:r>
          </w:p>
        </w:tc>
      </w:tr>
      <w:tr w14:paraId="204D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4"/>
            <w:tcBorders>
              <w:top w:val="single" w:color="auto" w:sz="4" w:space="0"/>
              <w:left w:val="single" w:color="auto" w:sz="4" w:space="0"/>
              <w:right w:val="single" w:color="auto" w:sz="4" w:space="0"/>
            </w:tcBorders>
            <w:vAlign w:val="center"/>
          </w:tcPr>
          <w:p w14:paraId="4F937431">
            <w:pPr>
              <w:pStyle w:val="14"/>
              <w:widowControl/>
              <w:wordWrap w:val="0"/>
              <w:spacing w:line="360" w:lineRule="auto"/>
              <w:ind w:firstLine="482"/>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商务分（满分25分）</w:t>
            </w:r>
          </w:p>
        </w:tc>
      </w:tr>
      <w:tr w14:paraId="6A5F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Merge w:val="restart"/>
            <w:tcBorders>
              <w:top w:val="single" w:color="auto" w:sz="4" w:space="0"/>
              <w:left w:val="single" w:color="auto" w:sz="4" w:space="0"/>
              <w:right w:val="single" w:color="auto" w:sz="4" w:space="0"/>
            </w:tcBorders>
            <w:vAlign w:val="center"/>
          </w:tcPr>
          <w:p w14:paraId="0712A70A">
            <w:pPr>
              <w:pStyle w:val="14"/>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8035" w:type="dxa"/>
            <w:gridSpan w:val="2"/>
            <w:tcBorders>
              <w:top w:val="single" w:color="auto" w:sz="4" w:space="0"/>
              <w:left w:val="single" w:color="auto" w:sz="4" w:space="0"/>
              <w:bottom w:val="single" w:color="auto" w:sz="4" w:space="0"/>
              <w:right w:val="single" w:color="auto" w:sz="4" w:space="0"/>
            </w:tcBorders>
          </w:tcPr>
          <w:p w14:paraId="070C8F62">
            <w:pPr>
              <w:pStyle w:val="14"/>
              <w:widowControl/>
              <w:wordWrap w:val="0"/>
              <w:spacing w:line="360" w:lineRule="auto"/>
              <w:ind w:firstLine="48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1410" w:type="dxa"/>
            <w:tcBorders>
              <w:top w:val="single" w:color="auto" w:sz="4" w:space="0"/>
              <w:left w:val="single" w:color="auto" w:sz="4" w:space="0"/>
              <w:bottom w:val="single" w:color="auto" w:sz="4" w:space="0"/>
              <w:right w:val="single" w:color="auto" w:sz="4" w:space="0"/>
            </w:tcBorders>
            <w:vAlign w:val="center"/>
          </w:tcPr>
          <w:p w14:paraId="6D36A738">
            <w:pPr>
              <w:pStyle w:val="14"/>
              <w:widowControl/>
              <w:wordWrap w:val="0"/>
              <w:spacing w:line="360" w:lineRule="auto"/>
              <w:ind w:firstLine="482"/>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tc>
      </w:tr>
      <w:tr w14:paraId="1774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65DDCF42">
            <w:pPr>
              <w:pStyle w:val="14"/>
              <w:widowControl/>
              <w:wordWrap w:val="0"/>
              <w:spacing w:line="360" w:lineRule="auto"/>
              <w:rPr>
                <w:rFonts w:hint="eastAsia" w:ascii="宋体" w:hAnsi="宋体" w:eastAsia="宋体" w:cs="宋体"/>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4ACB270B">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（1）业绩情况（满分15分）</w:t>
            </w:r>
          </w:p>
        </w:tc>
        <w:tc>
          <w:tcPr>
            <w:tcW w:w="6554" w:type="dxa"/>
            <w:tcBorders>
              <w:top w:val="single" w:color="auto" w:sz="4" w:space="0"/>
              <w:left w:val="single" w:color="auto" w:sz="4" w:space="0"/>
              <w:right w:val="single" w:color="auto" w:sz="4" w:space="0"/>
            </w:tcBorders>
            <w:vAlign w:val="center"/>
          </w:tcPr>
          <w:p w14:paraId="4324781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供应商</w:t>
            </w:r>
            <w:r>
              <w:rPr>
                <w:rFonts w:hint="eastAsia" w:ascii="宋体" w:hAnsi="宋体" w:eastAsia="宋体" w:cs="宋体"/>
                <w:color w:val="auto"/>
                <w:sz w:val="24"/>
                <w:szCs w:val="24"/>
                <w:highlight w:val="none"/>
              </w:rPr>
              <w:t>2022年1月1日以来具有同类项目业绩的，每个得3分，满分15分；（提供中标（成交）通知书或合同复印件）。</w:t>
            </w:r>
          </w:p>
        </w:tc>
        <w:tc>
          <w:tcPr>
            <w:tcW w:w="1410" w:type="dxa"/>
            <w:tcBorders>
              <w:top w:val="single" w:color="auto" w:sz="4" w:space="0"/>
              <w:left w:val="single" w:color="auto" w:sz="4" w:space="0"/>
              <w:bottom w:val="single" w:color="auto" w:sz="4" w:space="0"/>
              <w:right w:val="single" w:color="auto" w:sz="4" w:space="0"/>
            </w:tcBorders>
            <w:vAlign w:val="center"/>
          </w:tcPr>
          <w:p w14:paraId="7B03F1FF">
            <w:pPr>
              <w:widowControl/>
              <w:wordWrap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0~15</w:t>
            </w:r>
          </w:p>
          <w:p w14:paraId="5BE6277A">
            <w:pPr>
              <w:widowControl/>
              <w:wordWrap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
                <w:color w:val="auto"/>
                <w:kern w:val="0"/>
                <w:sz w:val="24"/>
                <w:szCs w:val="24"/>
                <w:highlight w:val="none"/>
              </w:rPr>
              <w:t>（客观分）</w:t>
            </w:r>
          </w:p>
        </w:tc>
      </w:tr>
      <w:tr w14:paraId="5923F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517" w:type="dxa"/>
            <w:vMerge w:val="continue"/>
            <w:tcBorders>
              <w:left w:val="single" w:color="auto" w:sz="4" w:space="0"/>
              <w:right w:val="single" w:color="auto" w:sz="4" w:space="0"/>
            </w:tcBorders>
          </w:tcPr>
          <w:p w14:paraId="4EA71268">
            <w:pPr>
              <w:pStyle w:val="14"/>
              <w:widowControl/>
              <w:wordWrap w:val="0"/>
              <w:spacing w:line="360" w:lineRule="auto"/>
              <w:rPr>
                <w:rFonts w:hint="eastAsia" w:ascii="宋体" w:hAnsi="宋体" w:eastAsia="宋体" w:cs="宋体"/>
                <w:bCs/>
                <w:color w:val="auto"/>
                <w:sz w:val="24"/>
                <w:szCs w:val="24"/>
                <w:highlight w:val="none"/>
              </w:rPr>
            </w:pPr>
          </w:p>
        </w:tc>
        <w:tc>
          <w:tcPr>
            <w:tcW w:w="1481" w:type="dxa"/>
            <w:tcBorders>
              <w:top w:val="single" w:color="auto" w:sz="4" w:space="0"/>
              <w:left w:val="single" w:color="auto" w:sz="4" w:space="0"/>
              <w:right w:val="single" w:color="auto" w:sz="4" w:space="0"/>
            </w:tcBorders>
            <w:vAlign w:val="center"/>
          </w:tcPr>
          <w:p w14:paraId="1693D1BC">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（2）拟投入项目团队人员情况（满分10分）</w:t>
            </w:r>
          </w:p>
        </w:tc>
        <w:tc>
          <w:tcPr>
            <w:tcW w:w="6554" w:type="dxa"/>
            <w:tcBorders>
              <w:top w:val="single" w:color="auto" w:sz="4" w:space="0"/>
              <w:left w:val="single" w:color="auto" w:sz="4" w:space="0"/>
              <w:right w:val="single" w:color="auto" w:sz="4" w:space="0"/>
            </w:tcBorders>
            <w:vAlign w:val="center"/>
          </w:tcPr>
          <w:p w14:paraId="6578CDF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rPr>
              <w:t>拟投入</w:t>
            </w:r>
            <w:r>
              <w:rPr>
                <w:rFonts w:hint="eastAsia" w:ascii="宋体" w:hAnsi="宋体" w:eastAsia="宋体" w:cs="宋体"/>
                <w:color w:val="auto"/>
                <w:sz w:val="24"/>
                <w:szCs w:val="24"/>
                <w:highlight w:val="none"/>
              </w:rPr>
              <w:t>项目团队每有1名计算机软件类高级职称或高级资格证书人员，得3分；每有1名计算机软件类中级职称或中级资格证书人员，得2分。满分10分。（以上人员不重复计分，人员在职在岗证明材料原件（或复印件）扫描件（如：与供应商签订的劳动合同或供应商为其缴纳的响应截止之日前半年内供应商任意1个月社保证明）</w:t>
            </w:r>
          </w:p>
        </w:tc>
        <w:tc>
          <w:tcPr>
            <w:tcW w:w="1410" w:type="dxa"/>
            <w:tcBorders>
              <w:top w:val="single" w:color="auto" w:sz="4" w:space="0"/>
              <w:left w:val="single" w:color="auto" w:sz="4" w:space="0"/>
              <w:bottom w:val="single" w:color="auto" w:sz="4" w:space="0"/>
              <w:right w:val="single" w:color="auto" w:sz="4" w:space="0"/>
            </w:tcBorders>
            <w:vAlign w:val="center"/>
          </w:tcPr>
          <w:p w14:paraId="73FC392F">
            <w:pPr>
              <w:widowControl/>
              <w:wordWrap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0~10</w:t>
            </w:r>
          </w:p>
          <w:p w14:paraId="212F1459">
            <w:pPr>
              <w:widowControl/>
              <w:wordWrap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（客观分）</w:t>
            </w:r>
          </w:p>
        </w:tc>
      </w:tr>
    </w:tbl>
    <w:p w14:paraId="2B4741F9">
      <w:pPr>
        <w:wordWrap w:val="0"/>
        <w:spacing w:line="360" w:lineRule="auto"/>
        <w:rPr>
          <w:rFonts w:hint="eastAsia" w:ascii="宋体" w:hAnsi="宋体" w:eastAsia="宋体" w:cs="宋体"/>
          <w:color w:val="auto"/>
          <w:sz w:val="24"/>
          <w:szCs w:val="24"/>
          <w:highlight w:val="none"/>
        </w:rPr>
      </w:pPr>
    </w:p>
    <w:p w14:paraId="7CDD279A">
      <w:pPr>
        <w:pStyle w:val="14"/>
        <w:wordWrap w:val="0"/>
        <w:spacing w:line="360" w:lineRule="auto"/>
        <w:ind w:firstLine="480"/>
        <w:rPr>
          <w:rFonts w:hint="eastAsia" w:hAnsi="宋体" w:cs="宋体"/>
          <w:bCs/>
          <w:color w:val="auto"/>
          <w:sz w:val="24"/>
          <w:szCs w:val="24"/>
          <w:highlight w:val="none"/>
        </w:rPr>
        <w:sectPr>
          <w:pgSz w:w="11906" w:h="16838"/>
          <w:pgMar w:top="1440" w:right="1080" w:bottom="1440" w:left="1080" w:header="720" w:footer="720" w:gutter="0"/>
          <w:cols w:space="720" w:num="1"/>
          <w:docGrid w:type="lines" w:linePitch="331" w:charSpace="0"/>
        </w:sectPr>
      </w:pPr>
    </w:p>
    <w:bookmarkEnd w:id="139"/>
    <w:p w14:paraId="3FE9BF80">
      <w:pPr>
        <w:pStyle w:val="4"/>
        <w:wordWrap w:val="0"/>
        <w:spacing w:before="0" w:after="0" w:line="360" w:lineRule="auto"/>
        <w:ind w:firstLine="600"/>
        <w:jc w:val="center"/>
        <w:rPr>
          <w:rFonts w:hint="eastAsia" w:ascii="宋体" w:hAnsi="宋体" w:eastAsia="宋体" w:cs="宋体"/>
          <w:b w:val="0"/>
          <w:color w:val="auto"/>
          <w:sz w:val="30"/>
          <w:szCs w:val="30"/>
          <w:highlight w:val="none"/>
        </w:rPr>
      </w:pPr>
      <w:bookmarkStart w:id="140" w:name="_Toc26276"/>
      <w:r>
        <w:rPr>
          <w:rFonts w:hint="eastAsia" w:ascii="宋体" w:hAnsi="宋体" w:eastAsia="宋体" w:cs="宋体"/>
          <w:b w:val="0"/>
          <w:color w:val="auto"/>
          <w:sz w:val="30"/>
          <w:szCs w:val="30"/>
          <w:highlight w:val="none"/>
        </w:rPr>
        <w:t>第四节 中标候选人推荐原则</w:t>
      </w:r>
      <w:bookmarkEnd w:id="140"/>
    </w:p>
    <w:p w14:paraId="60BF9079">
      <w:pPr>
        <w:pStyle w:val="14"/>
        <w:numPr>
          <w:ilvl w:val="0"/>
          <w:numId w:val="6"/>
        </w:numPr>
        <w:wordWrap w:val="0"/>
        <w:spacing w:line="360" w:lineRule="auto"/>
        <w:ind w:firstLine="482"/>
        <w:contextualSpacing/>
        <w:rPr>
          <w:rFonts w:hint="eastAsia" w:hAnsi="宋体" w:cs="宋体"/>
          <w:b/>
          <w:bCs/>
          <w:color w:val="auto"/>
          <w:sz w:val="24"/>
          <w:szCs w:val="24"/>
          <w:highlight w:val="none"/>
        </w:rPr>
      </w:pPr>
      <w:r>
        <w:rPr>
          <w:rFonts w:hint="eastAsia" w:hAnsi="宋体" w:cs="宋体"/>
          <w:b/>
          <w:bCs/>
          <w:color w:val="auto"/>
          <w:sz w:val="24"/>
          <w:szCs w:val="24"/>
          <w:highlight w:val="none"/>
        </w:rPr>
        <w:t>综合评分法</w:t>
      </w:r>
    </w:p>
    <w:p w14:paraId="6CEB381D">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20063DEE">
      <w:pPr>
        <w:pStyle w:val="4"/>
        <w:wordWrap w:val="0"/>
        <w:spacing w:before="0" w:after="0" w:line="360" w:lineRule="auto"/>
        <w:ind w:firstLine="600" w:firstLineChars="200"/>
        <w:jc w:val="center"/>
        <w:rPr>
          <w:rFonts w:hint="eastAsia" w:ascii="宋体" w:hAnsi="宋体" w:eastAsia="宋体" w:cs="宋体"/>
          <w:b w:val="0"/>
          <w:color w:val="auto"/>
          <w:sz w:val="30"/>
          <w:szCs w:val="30"/>
          <w:highlight w:val="none"/>
        </w:rPr>
      </w:pPr>
      <w:bookmarkStart w:id="141" w:name="_Toc52"/>
      <w:r>
        <w:rPr>
          <w:rFonts w:hint="eastAsia" w:ascii="宋体" w:hAnsi="宋体" w:eastAsia="宋体" w:cs="宋体"/>
          <w:b w:val="0"/>
          <w:color w:val="auto"/>
          <w:sz w:val="30"/>
          <w:szCs w:val="30"/>
          <w:highlight w:val="none"/>
        </w:rPr>
        <w:t>第五节 评标报告</w:t>
      </w:r>
      <w:bookmarkEnd w:id="141"/>
    </w:p>
    <w:p w14:paraId="405843CC">
      <w:pPr>
        <w:pStyle w:val="37"/>
        <w:wordWrap w:val="0"/>
        <w:spacing w:before="0"/>
        <w:ind w:firstLine="482"/>
        <w:rPr>
          <w:rFonts w:hint="eastAsia" w:ascii="宋体" w:hAnsi="宋体" w:cs="宋体"/>
          <w:b/>
          <w:bCs/>
          <w:color w:val="auto"/>
          <w:szCs w:val="24"/>
          <w:highlight w:val="none"/>
        </w:rPr>
      </w:pPr>
      <w:r>
        <w:rPr>
          <w:rFonts w:hint="eastAsia" w:ascii="宋体" w:hAnsi="宋体" w:cs="宋体"/>
          <w:b/>
          <w:bCs/>
          <w:color w:val="auto"/>
          <w:szCs w:val="24"/>
          <w:highlight w:val="none"/>
        </w:rPr>
        <w:t>（一）评标报告与推荐中标候选人</w:t>
      </w:r>
    </w:p>
    <w:p w14:paraId="01D51FD6">
      <w:pPr>
        <w:pStyle w:val="14"/>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评标委员会根据原始评标记录和评标结果编写评标报告，并通过电子交易平台向采购人、采购代理机构提交。</w:t>
      </w:r>
    </w:p>
    <w:p w14:paraId="3621688D">
      <w:pPr>
        <w:widowControl/>
        <w:wordWrap w:val="0"/>
        <w:spacing w:line="360" w:lineRule="auto"/>
        <w:ind w:firstLine="482" w:firstLineChars="200"/>
        <w:jc w:val="left"/>
        <w:rPr>
          <w:rFonts w:hint="eastAsia" w:ascii="宋体" w:hAnsi="宋体" w:cs="宋体"/>
          <w:b/>
          <w:bCs/>
          <w:color w:val="auto"/>
          <w:sz w:val="24"/>
          <w:highlight w:val="none"/>
        </w:rPr>
      </w:pPr>
      <w:r>
        <w:rPr>
          <w:rFonts w:hint="eastAsia" w:ascii="宋体" w:hAnsi="宋体" w:cs="宋体"/>
          <w:b/>
          <w:bCs/>
          <w:color w:val="auto"/>
          <w:sz w:val="24"/>
          <w:highlight w:val="none"/>
        </w:rPr>
        <w:t>（二）评标争议事项处理</w:t>
      </w:r>
    </w:p>
    <w:p w14:paraId="1E600742">
      <w:pPr>
        <w:pStyle w:val="14"/>
        <w:tabs>
          <w:tab w:val="left" w:pos="2472"/>
        </w:tabs>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A8530E1">
      <w:pPr>
        <w:widowControl/>
        <w:wordWrap w:val="0"/>
        <w:spacing w:line="360" w:lineRule="auto"/>
        <w:ind w:firstLine="723"/>
        <w:jc w:val="left"/>
        <w:rPr>
          <w:rFonts w:hint="eastAsia" w:ascii="宋体" w:hAnsi="宋体" w:cs="宋体"/>
          <w:b/>
          <w:color w:val="auto"/>
          <w:sz w:val="36"/>
          <w:szCs w:val="20"/>
          <w:highlight w:val="none"/>
        </w:rPr>
        <w:sectPr>
          <w:pgSz w:w="11906" w:h="16838"/>
          <w:pgMar w:top="1440" w:right="1080" w:bottom="1440" w:left="1080" w:header="720" w:footer="720" w:gutter="0"/>
          <w:cols w:space="720" w:num="1"/>
          <w:docGrid w:type="lines" w:linePitch="331" w:charSpace="0"/>
        </w:sectPr>
      </w:pPr>
    </w:p>
    <w:p w14:paraId="2C5FEE4F">
      <w:pPr>
        <w:pStyle w:val="14"/>
        <w:tabs>
          <w:tab w:val="left" w:pos="2472"/>
        </w:tabs>
        <w:wordWrap w:val="0"/>
        <w:spacing w:line="360" w:lineRule="auto"/>
        <w:ind w:firstLine="723"/>
        <w:jc w:val="center"/>
        <w:rPr>
          <w:rFonts w:hint="eastAsia" w:hAnsi="宋体" w:cs="宋体"/>
          <w:b/>
          <w:color w:val="auto"/>
          <w:sz w:val="36"/>
          <w:highlight w:val="none"/>
        </w:rPr>
      </w:pPr>
    </w:p>
    <w:p w14:paraId="05E4D05C">
      <w:pPr>
        <w:pStyle w:val="14"/>
        <w:tabs>
          <w:tab w:val="left" w:pos="2472"/>
        </w:tabs>
        <w:wordWrap w:val="0"/>
        <w:spacing w:line="360" w:lineRule="auto"/>
        <w:ind w:firstLine="723"/>
        <w:jc w:val="center"/>
        <w:rPr>
          <w:rFonts w:hint="eastAsia" w:hAnsi="宋体" w:cs="宋体"/>
          <w:b/>
          <w:color w:val="auto"/>
          <w:sz w:val="36"/>
          <w:highlight w:val="none"/>
        </w:rPr>
      </w:pPr>
    </w:p>
    <w:p w14:paraId="71ABDA7E">
      <w:pPr>
        <w:pStyle w:val="14"/>
        <w:tabs>
          <w:tab w:val="left" w:pos="2472"/>
        </w:tabs>
        <w:wordWrap w:val="0"/>
        <w:spacing w:line="360" w:lineRule="auto"/>
        <w:ind w:firstLine="723"/>
        <w:jc w:val="center"/>
        <w:rPr>
          <w:rFonts w:hint="eastAsia" w:hAnsi="宋体" w:cs="宋体"/>
          <w:b/>
          <w:color w:val="auto"/>
          <w:sz w:val="36"/>
          <w:highlight w:val="none"/>
        </w:rPr>
      </w:pPr>
    </w:p>
    <w:p w14:paraId="1FBD725D">
      <w:pPr>
        <w:pStyle w:val="14"/>
        <w:tabs>
          <w:tab w:val="left" w:pos="2472"/>
        </w:tabs>
        <w:wordWrap w:val="0"/>
        <w:spacing w:line="360" w:lineRule="auto"/>
        <w:ind w:firstLine="723"/>
        <w:jc w:val="center"/>
        <w:rPr>
          <w:rFonts w:hint="eastAsia" w:hAnsi="宋体" w:cs="宋体"/>
          <w:b/>
          <w:color w:val="auto"/>
          <w:sz w:val="36"/>
          <w:highlight w:val="none"/>
        </w:rPr>
      </w:pPr>
    </w:p>
    <w:p w14:paraId="5FEF1023">
      <w:pPr>
        <w:pStyle w:val="14"/>
        <w:tabs>
          <w:tab w:val="left" w:pos="2472"/>
        </w:tabs>
        <w:wordWrap w:val="0"/>
        <w:spacing w:line="360" w:lineRule="auto"/>
        <w:ind w:firstLine="723"/>
        <w:jc w:val="center"/>
        <w:rPr>
          <w:rFonts w:hint="eastAsia" w:hAnsi="宋体" w:cs="宋体"/>
          <w:b/>
          <w:color w:val="auto"/>
          <w:sz w:val="36"/>
          <w:highlight w:val="none"/>
        </w:rPr>
      </w:pPr>
    </w:p>
    <w:p w14:paraId="0B023951">
      <w:pPr>
        <w:pStyle w:val="14"/>
        <w:tabs>
          <w:tab w:val="left" w:pos="2472"/>
        </w:tabs>
        <w:wordWrap w:val="0"/>
        <w:spacing w:line="360" w:lineRule="auto"/>
        <w:ind w:firstLine="723"/>
        <w:jc w:val="center"/>
        <w:rPr>
          <w:rFonts w:hint="eastAsia" w:hAnsi="宋体" w:cs="宋体"/>
          <w:b/>
          <w:color w:val="auto"/>
          <w:sz w:val="36"/>
          <w:highlight w:val="none"/>
        </w:rPr>
      </w:pPr>
    </w:p>
    <w:p w14:paraId="6E117DAB">
      <w:pPr>
        <w:pStyle w:val="14"/>
        <w:tabs>
          <w:tab w:val="left" w:pos="2472"/>
        </w:tabs>
        <w:wordWrap w:val="0"/>
        <w:spacing w:line="360" w:lineRule="auto"/>
        <w:ind w:firstLine="723"/>
        <w:jc w:val="center"/>
        <w:rPr>
          <w:rFonts w:hint="eastAsia" w:hAnsi="宋体" w:cs="宋体"/>
          <w:b/>
          <w:color w:val="auto"/>
          <w:sz w:val="36"/>
          <w:highlight w:val="none"/>
        </w:rPr>
      </w:pPr>
    </w:p>
    <w:p w14:paraId="19A05BA1">
      <w:pPr>
        <w:pStyle w:val="14"/>
        <w:tabs>
          <w:tab w:val="left" w:pos="2472"/>
        </w:tabs>
        <w:wordWrap w:val="0"/>
        <w:spacing w:line="360" w:lineRule="auto"/>
        <w:ind w:firstLine="723"/>
        <w:jc w:val="center"/>
        <w:rPr>
          <w:rFonts w:hint="eastAsia" w:hAnsi="宋体" w:cs="宋体"/>
          <w:b/>
          <w:color w:val="auto"/>
          <w:sz w:val="36"/>
          <w:highlight w:val="none"/>
        </w:rPr>
      </w:pPr>
    </w:p>
    <w:p w14:paraId="4B946E41">
      <w:pPr>
        <w:pStyle w:val="14"/>
        <w:tabs>
          <w:tab w:val="left" w:pos="2472"/>
        </w:tabs>
        <w:wordWrap w:val="0"/>
        <w:spacing w:line="360" w:lineRule="auto"/>
        <w:ind w:firstLine="723"/>
        <w:jc w:val="center"/>
        <w:rPr>
          <w:rFonts w:hint="eastAsia" w:hAnsi="宋体" w:cs="宋体"/>
          <w:b/>
          <w:color w:val="auto"/>
          <w:sz w:val="36"/>
          <w:highlight w:val="none"/>
        </w:rPr>
      </w:pPr>
    </w:p>
    <w:p w14:paraId="6AA3665D">
      <w:pPr>
        <w:pStyle w:val="14"/>
        <w:tabs>
          <w:tab w:val="left" w:pos="2472"/>
        </w:tabs>
        <w:wordWrap w:val="0"/>
        <w:spacing w:line="360" w:lineRule="auto"/>
        <w:ind w:firstLine="723"/>
        <w:jc w:val="center"/>
        <w:rPr>
          <w:rFonts w:hint="eastAsia" w:hAnsi="宋体" w:cs="宋体"/>
          <w:b/>
          <w:color w:val="auto"/>
          <w:sz w:val="36"/>
          <w:highlight w:val="none"/>
        </w:rPr>
      </w:pPr>
    </w:p>
    <w:p w14:paraId="1B4B3208">
      <w:pPr>
        <w:pStyle w:val="14"/>
        <w:tabs>
          <w:tab w:val="left" w:pos="2472"/>
        </w:tabs>
        <w:wordWrap w:val="0"/>
        <w:spacing w:line="360" w:lineRule="auto"/>
        <w:ind w:firstLine="723"/>
        <w:jc w:val="center"/>
        <w:rPr>
          <w:rFonts w:hint="eastAsia" w:hAnsi="宋体" w:cs="宋体"/>
          <w:b/>
          <w:color w:val="auto"/>
          <w:sz w:val="36"/>
          <w:highlight w:val="none"/>
        </w:rPr>
      </w:pPr>
    </w:p>
    <w:p w14:paraId="7DD52539">
      <w:pPr>
        <w:pStyle w:val="14"/>
        <w:tabs>
          <w:tab w:val="left" w:pos="2472"/>
        </w:tabs>
        <w:wordWrap w:val="0"/>
        <w:spacing w:line="360" w:lineRule="auto"/>
        <w:ind w:firstLine="723"/>
        <w:jc w:val="center"/>
        <w:rPr>
          <w:rFonts w:hint="eastAsia" w:hAnsi="宋体" w:cs="宋体"/>
          <w:b/>
          <w:color w:val="auto"/>
          <w:sz w:val="36"/>
          <w:highlight w:val="none"/>
        </w:rPr>
      </w:pPr>
    </w:p>
    <w:p w14:paraId="20A83313">
      <w:pPr>
        <w:pStyle w:val="14"/>
        <w:tabs>
          <w:tab w:val="left" w:pos="2472"/>
        </w:tabs>
        <w:wordWrap w:val="0"/>
        <w:spacing w:line="360" w:lineRule="auto"/>
        <w:ind w:firstLine="723"/>
        <w:jc w:val="center"/>
        <w:rPr>
          <w:rFonts w:hint="eastAsia" w:hAnsi="宋体" w:cs="宋体"/>
          <w:b/>
          <w:color w:val="auto"/>
          <w:sz w:val="36"/>
          <w:highlight w:val="none"/>
        </w:rPr>
      </w:pPr>
    </w:p>
    <w:p w14:paraId="6F4C0F38">
      <w:pPr>
        <w:pStyle w:val="14"/>
        <w:tabs>
          <w:tab w:val="left" w:pos="2472"/>
        </w:tabs>
        <w:wordWrap w:val="0"/>
        <w:spacing w:line="360" w:lineRule="auto"/>
        <w:ind w:firstLine="723"/>
        <w:jc w:val="center"/>
        <w:outlineLvl w:val="0"/>
        <w:rPr>
          <w:rFonts w:hint="eastAsia" w:hAnsi="宋体" w:cs="宋体"/>
          <w:b/>
          <w:color w:val="auto"/>
          <w:sz w:val="36"/>
          <w:highlight w:val="none"/>
        </w:rPr>
      </w:pPr>
      <w:bookmarkStart w:id="142" w:name="_Toc29194"/>
      <w:r>
        <w:rPr>
          <w:rFonts w:hint="eastAsia" w:hAnsi="宋体" w:cs="宋体"/>
          <w:b/>
          <w:color w:val="auto"/>
          <w:sz w:val="36"/>
          <w:highlight w:val="none"/>
        </w:rPr>
        <w:t>第五章 拟签订的合同文本</w:t>
      </w:r>
      <w:bookmarkEnd w:id="142"/>
    </w:p>
    <w:p w14:paraId="06C1A44F">
      <w:pPr>
        <w:widowControl/>
        <w:wordWrap w:val="0"/>
        <w:spacing w:line="360" w:lineRule="auto"/>
        <w:jc w:val="left"/>
        <w:rPr>
          <w:rFonts w:hint="eastAsia" w:ascii="宋体" w:hAnsi="宋体" w:cs="宋体"/>
          <w:bCs/>
          <w:color w:val="auto"/>
          <w:szCs w:val="20"/>
          <w:highlight w:val="none"/>
        </w:rPr>
        <w:sectPr>
          <w:pgSz w:w="11906" w:h="16838"/>
          <w:pgMar w:top="1440" w:right="1080" w:bottom="1440" w:left="1080" w:header="720" w:footer="720" w:gutter="0"/>
          <w:cols w:space="720" w:num="1"/>
          <w:docGrid w:type="lines" w:linePitch="331" w:charSpace="0"/>
        </w:sectPr>
      </w:pPr>
    </w:p>
    <w:p w14:paraId="40329A33">
      <w:pPr>
        <w:wordWrap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广西政府采购云平台合同编号：</w:t>
      </w:r>
      <w:r>
        <w:rPr>
          <w:rFonts w:hint="eastAsia" w:ascii="宋体" w:hAnsi="宋体" w:cs="宋体"/>
          <w:color w:val="auto"/>
          <w:sz w:val="24"/>
          <w:highlight w:val="none"/>
          <w:u w:val="single"/>
        </w:rPr>
        <w:t xml:space="preserve">           </w:t>
      </w:r>
    </w:p>
    <w:p w14:paraId="6112601E">
      <w:pPr>
        <w:wordWrap w:val="0"/>
        <w:spacing w:line="360" w:lineRule="auto"/>
        <w:ind w:firstLine="1044"/>
        <w:jc w:val="center"/>
        <w:rPr>
          <w:rFonts w:hint="eastAsia" w:ascii="宋体" w:hAnsi="宋体" w:cs="宋体"/>
          <w:b/>
          <w:bCs/>
          <w:color w:val="auto"/>
          <w:sz w:val="52"/>
          <w:highlight w:val="none"/>
        </w:rPr>
      </w:pPr>
    </w:p>
    <w:p w14:paraId="1BC00218">
      <w:pPr>
        <w:wordWrap w:val="0"/>
        <w:spacing w:line="360" w:lineRule="auto"/>
        <w:ind w:firstLine="1044"/>
        <w:jc w:val="center"/>
        <w:rPr>
          <w:rFonts w:hint="eastAsia" w:ascii="宋体" w:hAnsi="宋体" w:cs="宋体"/>
          <w:b/>
          <w:bCs/>
          <w:color w:val="auto"/>
          <w:sz w:val="52"/>
          <w:highlight w:val="none"/>
        </w:rPr>
      </w:pPr>
    </w:p>
    <w:p w14:paraId="641D9617">
      <w:pPr>
        <w:wordWrap w:val="0"/>
        <w:spacing w:line="360" w:lineRule="auto"/>
        <w:ind w:firstLine="1044"/>
        <w:jc w:val="center"/>
        <w:rPr>
          <w:rFonts w:hint="eastAsia" w:ascii="宋体" w:hAnsi="宋体" w:cs="宋体"/>
          <w:b/>
          <w:bCs/>
          <w:color w:val="auto"/>
          <w:sz w:val="52"/>
          <w:highlight w:val="none"/>
        </w:rPr>
      </w:pPr>
      <w:r>
        <w:rPr>
          <w:rFonts w:hint="eastAsia" w:ascii="宋体" w:hAnsi="宋体" w:cs="宋体"/>
          <w:b/>
          <w:bCs/>
          <w:color w:val="auto"/>
          <w:sz w:val="52"/>
          <w:highlight w:val="none"/>
        </w:rPr>
        <w:t>南 宁 市 政 府 采 购</w:t>
      </w:r>
    </w:p>
    <w:p w14:paraId="07087427">
      <w:pPr>
        <w:wordWrap w:val="0"/>
        <w:spacing w:line="360" w:lineRule="auto"/>
        <w:ind w:firstLine="420" w:firstLineChars="200"/>
        <w:rPr>
          <w:rFonts w:hint="eastAsia" w:ascii="宋体" w:hAnsi="宋体" w:cs="宋体"/>
          <w:color w:val="auto"/>
          <w:highlight w:val="none"/>
        </w:rPr>
      </w:pPr>
    </w:p>
    <w:p w14:paraId="05065C16">
      <w:pPr>
        <w:wordWrap w:val="0"/>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 xml:space="preserve">                                                 </w:t>
      </w:r>
    </w:p>
    <w:p w14:paraId="433B5D1F">
      <w:pPr>
        <w:wordWrap w:val="0"/>
        <w:spacing w:line="360" w:lineRule="auto"/>
        <w:ind w:firstLine="883"/>
        <w:jc w:val="center"/>
        <w:rPr>
          <w:rFonts w:hint="eastAsia" w:ascii="宋体" w:hAnsi="宋体" w:cs="宋体"/>
          <w:b/>
          <w:bCs/>
          <w:color w:val="auto"/>
          <w:sz w:val="44"/>
          <w:highlight w:val="none"/>
        </w:rPr>
      </w:pPr>
      <w:r>
        <w:rPr>
          <w:rFonts w:hint="eastAsia" w:ascii="宋体" w:hAnsi="宋体" w:cs="宋体"/>
          <w:b/>
          <w:bCs/>
          <w:color w:val="auto"/>
          <w:sz w:val="44"/>
          <w:highlight w:val="none"/>
          <w:u w:val="single"/>
        </w:rPr>
        <w:t xml:space="preserve">           </w:t>
      </w:r>
      <w:r>
        <w:rPr>
          <w:rFonts w:hint="eastAsia" w:ascii="宋体" w:hAnsi="宋体" w:cs="宋体"/>
          <w:b/>
          <w:bCs/>
          <w:color w:val="auto"/>
          <w:sz w:val="44"/>
          <w:highlight w:val="none"/>
        </w:rPr>
        <w:t>合同</w:t>
      </w:r>
    </w:p>
    <w:p w14:paraId="4DB424EB">
      <w:pPr>
        <w:wordWrap w:val="0"/>
        <w:spacing w:line="360" w:lineRule="auto"/>
        <w:ind w:firstLine="3507" w:firstLineChars="794"/>
        <w:rPr>
          <w:rFonts w:hint="eastAsia" w:ascii="宋体" w:hAnsi="宋体" w:cs="宋体"/>
          <w:b/>
          <w:bCs/>
          <w:color w:val="auto"/>
          <w:sz w:val="44"/>
          <w:highlight w:val="none"/>
        </w:rPr>
      </w:pPr>
    </w:p>
    <w:p w14:paraId="61D1937E">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 xml:space="preserve">项目编号：   </w:t>
      </w:r>
    </w:p>
    <w:p w14:paraId="1AE5AA4C">
      <w:pPr>
        <w:wordWrap w:val="0"/>
        <w:spacing w:line="360" w:lineRule="auto"/>
        <w:ind w:firstLine="1063" w:firstLineChars="294"/>
        <w:jc w:val="left"/>
        <w:rPr>
          <w:rFonts w:hint="eastAsia" w:ascii="宋体" w:hAnsi="宋体" w:cs="宋体"/>
          <w:b/>
          <w:color w:val="auto"/>
          <w:sz w:val="36"/>
          <w:szCs w:val="36"/>
          <w:highlight w:val="none"/>
        </w:rPr>
      </w:pPr>
      <w:r>
        <w:rPr>
          <w:rFonts w:hint="eastAsia" w:ascii="宋体" w:hAnsi="宋体" w:cs="宋体"/>
          <w:b/>
          <w:color w:val="auto"/>
          <w:sz w:val="36"/>
          <w:szCs w:val="36"/>
          <w:highlight w:val="none"/>
        </w:rPr>
        <w:t>计划编号：</w:t>
      </w:r>
    </w:p>
    <w:p w14:paraId="546137D4">
      <w:pPr>
        <w:tabs>
          <w:tab w:val="left" w:pos="7200"/>
        </w:tabs>
        <w:wordWrap w:val="0"/>
        <w:spacing w:line="360" w:lineRule="auto"/>
        <w:ind w:firstLine="1995" w:firstLineChars="552"/>
        <w:rPr>
          <w:rFonts w:hint="eastAsia" w:ascii="宋体" w:hAnsi="宋体" w:cs="宋体"/>
          <w:b/>
          <w:color w:val="auto"/>
          <w:sz w:val="36"/>
          <w:szCs w:val="36"/>
          <w:highlight w:val="none"/>
        </w:rPr>
      </w:pPr>
    </w:p>
    <w:p w14:paraId="7DF8F7CB">
      <w:pPr>
        <w:pStyle w:val="12"/>
        <w:spacing w:after="0" w:line="360" w:lineRule="auto"/>
        <w:rPr>
          <w:color w:val="auto"/>
          <w:highlight w:val="none"/>
        </w:rPr>
      </w:pPr>
    </w:p>
    <w:p w14:paraId="181E5E52">
      <w:pPr>
        <w:tabs>
          <w:tab w:val="left" w:pos="7200"/>
        </w:tabs>
        <w:wordWrap w:val="0"/>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p>
    <w:p w14:paraId="45985827">
      <w:pPr>
        <w:tabs>
          <w:tab w:val="left" w:pos="7380"/>
        </w:tabs>
        <w:wordWrap w:val="0"/>
        <w:spacing w:line="360" w:lineRule="auto"/>
        <w:ind w:firstLine="1995" w:firstLineChars="552"/>
        <w:rPr>
          <w:rFonts w:hint="eastAsia" w:ascii="宋体" w:hAnsi="宋体" w:cs="宋体"/>
          <w:b/>
          <w:bCs/>
          <w:color w:val="auto"/>
          <w:sz w:val="44"/>
          <w:highlight w:val="none"/>
        </w:rPr>
      </w:pPr>
      <w:r>
        <w:rPr>
          <w:rFonts w:hint="eastAsia" w:ascii="宋体" w:hAnsi="宋体" w:cs="宋体"/>
          <w:b/>
          <w:color w:val="auto"/>
          <w:sz w:val="36"/>
          <w:szCs w:val="36"/>
          <w:highlight w:val="none"/>
        </w:rPr>
        <w:t>中标供应商：</w:t>
      </w:r>
      <w:r>
        <w:rPr>
          <w:rFonts w:hint="eastAsia" w:ascii="宋体" w:hAnsi="宋体" w:cs="宋体"/>
          <w:b/>
          <w:color w:val="auto"/>
          <w:sz w:val="36"/>
          <w:szCs w:val="36"/>
          <w:highlight w:val="none"/>
          <w:u w:val="single"/>
        </w:rPr>
        <w:t xml:space="preserve">                   </w:t>
      </w:r>
    </w:p>
    <w:p w14:paraId="61E266AC">
      <w:pPr>
        <w:tabs>
          <w:tab w:val="left" w:pos="7380"/>
        </w:tabs>
        <w:wordWrap w:val="0"/>
        <w:spacing w:line="360" w:lineRule="auto"/>
        <w:ind w:firstLine="883"/>
        <w:rPr>
          <w:rFonts w:hint="eastAsia" w:ascii="宋体" w:hAnsi="宋体" w:cs="宋体"/>
          <w:b/>
          <w:bCs/>
          <w:color w:val="auto"/>
          <w:sz w:val="44"/>
          <w:highlight w:val="none"/>
        </w:rPr>
      </w:pPr>
    </w:p>
    <w:p w14:paraId="626D7D74">
      <w:pPr>
        <w:wordWrap w:val="0"/>
        <w:spacing w:line="360" w:lineRule="auto"/>
        <w:rPr>
          <w:rFonts w:hint="eastAsia" w:ascii="宋体" w:hAnsi="宋体" w:cs="宋体"/>
          <w:color w:val="auto"/>
          <w:sz w:val="24"/>
          <w:highlight w:val="none"/>
        </w:rPr>
      </w:pPr>
    </w:p>
    <w:p w14:paraId="27B5E58B">
      <w:pPr>
        <w:wordWrap w:val="0"/>
        <w:spacing w:line="360" w:lineRule="auto"/>
        <w:ind w:firstLine="2280" w:firstLineChars="950"/>
        <w:rPr>
          <w:rFonts w:hint="eastAsia" w:ascii="宋体" w:hAnsi="宋体" w:cs="宋体"/>
          <w:b/>
          <w:bCs/>
          <w:color w:val="auto"/>
          <w:sz w:val="44"/>
          <w:highlight w:val="non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67EB1590">
      <w:pPr>
        <w:wordWrap w:val="0"/>
        <w:snapToGrid w:val="0"/>
        <w:spacing w:line="360" w:lineRule="auto"/>
        <w:ind w:firstLine="883"/>
        <w:jc w:val="center"/>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6CCA32A4">
      <w:pPr>
        <w:wordWrap w:val="0"/>
        <w:snapToGrid w:val="0"/>
        <w:spacing w:line="360" w:lineRule="auto"/>
        <w:ind w:firstLine="883"/>
        <w:jc w:val="center"/>
        <w:rPr>
          <w:rFonts w:hint="eastAsia" w:ascii="宋体" w:hAnsi="宋体" w:cs="宋体"/>
          <w:b/>
          <w:bCs/>
          <w:color w:val="auto"/>
          <w:sz w:val="44"/>
          <w:highlight w:val="none"/>
        </w:rPr>
      </w:pPr>
    </w:p>
    <w:p w14:paraId="484DC986">
      <w:pPr>
        <w:wordWrap w:val="0"/>
        <w:snapToGrid w:val="0"/>
        <w:spacing w:line="360" w:lineRule="auto"/>
        <w:ind w:firstLine="482"/>
        <w:jc w:val="center"/>
        <w:rPr>
          <w:rFonts w:hint="eastAsia" w:ascii="宋体" w:hAnsi="宋体" w:cs="宋体"/>
          <w:b/>
          <w:color w:val="auto"/>
          <w:sz w:val="24"/>
          <w:highlight w:val="none"/>
        </w:rPr>
      </w:pPr>
      <w:r>
        <w:rPr>
          <w:rFonts w:hint="eastAsia" w:ascii="宋体" w:hAnsi="宋体" w:cs="宋体"/>
          <w:b/>
          <w:color w:val="auto"/>
          <w:sz w:val="24"/>
          <w:highlight w:val="none"/>
        </w:rPr>
        <w:t>合同目录</w:t>
      </w:r>
    </w:p>
    <w:p w14:paraId="766CC45C">
      <w:pPr>
        <w:wordWrap w:val="0"/>
        <w:snapToGrid w:val="0"/>
        <w:spacing w:line="360" w:lineRule="auto"/>
        <w:ind w:firstLine="883"/>
        <w:jc w:val="center"/>
        <w:rPr>
          <w:rFonts w:hint="eastAsia" w:ascii="宋体" w:hAnsi="宋体" w:cs="宋体"/>
          <w:b/>
          <w:bCs/>
          <w:color w:val="auto"/>
          <w:sz w:val="44"/>
          <w:highlight w:val="none"/>
        </w:rPr>
      </w:pPr>
    </w:p>
    <w:p w14:paraId="1939EF53">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第一部分 合同书</w:t>
      </w:r>
      <w:r>
        <w:rPr>
          <w:rFonts w:hint="eastAsia" w:ascii="宋体" w:hAnsi="宋体" w:cs="宋体"/>
          <w:color w:val="auto"/>
          <w:kern w:val="0"/>
          <w:sz w:val="24"/>
          <w:highlight w:val="none"/>
        </w:rPr>
        <w:t>……………………………………………………………（页码）</w:t>
      </w:r>
    </w:p>
    <w:p w14:paraId="74DF8B48">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二、第二部分 合同一般条款……………………………………………………（页码）</w:t>
      </w:r>
    </w:p>
    <w:p w14:paraId="2D90E0BD">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三、第三部分 合同专用条款……………………………………………………（页码）</w:t>
      </w:r>
    </w:p>
    <w:p w14:paraId="452D197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四、</w:t>
      </w:r>
      <w:r>
        <w:rPr>
          <w:rFonts w:hint="eastAsia" w:ascii="宋体" w:hAnsi="宋体" w:cs="宋体"/>
          <w:color w:val="auto"/>
          <w:sz w:val="24"/>
          <w:highlight w:val="none"/>
        </w:rPr>
        <w:t>第四部分 合同附件</w:t>
      </w:r>
      <w:r>
        <w:rPr>
          <w:rFonts w:hint="eastAsia" w:ascii="宋体" w:hAnsi="宋体" w:cs="宋体"/>
          <w:color w:val="auto"/>
          <w:kern w:val="0"/>
          <w:sz w:val="24"/>
          <w:highlight w:val="none"/>
        </w:rPr>
        <w:t>…………………………………………………………（页码）</w:t>
      </w:r>
    </w:p>
    <w:p w14:paraId="71CB8D29">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4.1中标通知书 …………………………………………………………………（页码）</w:t>
      </w:r>
    </w:p>
    <w:p w14:paraId="63002E64">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4.2招标文件服务需求一览表 …………………………………………………（页码）</w:t>
      </w:r>
    </w:p>
    <w:p w14:paraId="52319C7B">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4.3招标文件的更改通知（如有） ……………………………………………（页码）</w:t>
      </w:r>
    </w:p>
    <w:p w14:paraId="00098B1C">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4.4投标函 ………………………………………………………………………（页码）</w:t>
      </w:r>
    </w:p>
    <w:p w14:paraId="75B44600">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4.5报价表 ………………………………………………………………………（页码）</w:t>
      </w:r>
    </w:p>
    <w:p w14:paraId="749B7A28">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4.6投标服务技术资料表 ………………………………………………………（页码）</w:t>
      </w:r>
    </w:p>
    <w:p w14:paraId="3358BD33">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4.7商务条款偏离表 ……………………………………………………………（页码）</w:t>
      </w:r>
    </w:p>
    <w:p w14:paraId="32EFD6C1">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4.8中标供应商澄清函（如有请提供） ………………………………………（页码）</w:t>
      </w:r>
    </w:p>
    <w:p w14:paraId="40AD9035">
      <w:pPr>
        <w:wordWrap w:val="0"/>
        <w:snapToGrid w:val="0"/>
        <w:spacing w:line="360" w:lineRule="auto"/>
        <w:ind w:firstLine="420" w:firstLineChars="175"/>
        <w:rPr>
          <w:rFonts w:hint="eastAsia" w:ascii="宋体" w:hAnsi="宋体" w:cs="宋体"/>
          <w:color w:val="auto"/>
          <w:kern w:val="0"/>
          <w:sz w:val="24"/>
          <w:highlight w:val="none"/>
        </w:rPr>
      </w:pPr>
      <w:r>
        <w:rPr>
          <w:rFonts w:hint="eastAsia" w:ascii="宋体" w:hAnsi="宋体" w:cs="宋体"/>
          <w:color w:val="auto"/>
          <w:kern w:val="0"/>
          <w:sz w:val="24"/>
          <w:highlight w:val="none"/>
        </w:rPr>
        <w:t>4.9其他与本合同相关的资料（如有请提供） ………………………………（页码）</w:t>
      </w:r>
    </w:p>
    <w:p w14:paraId="7FA6607B">
      <w:pPr>
        <w:wordWrap w:val="0"/>
        <w:snapToGrid w:val="0"/>
        <w:spacing w:line="360" w:lineRule="auto"/>
        <w:rPr>
          <w:rFonts w:hint="eastAsia" w:ascii="宋体" w:hAnsi="宋体" w:cs="宋体"/>
          <w:color w:val="auto"/>
          <w:kern w:val="0"/>
          <w:sz w:val="24"/>
          <w:highlight w:val="none"/>
        </w:rPr>
      </w:pPr>
    </w:p>
    <w:p w14:paraId="77103AE5">
      <w:pPr>
        <w:widowControl/>
        <w:wordWrap w:val="0"/>
        <w:spacing w:line="360" w:lineRule="auto"/>
        <w:ind w:firstLine="344"/>
        <w:jc w:val="left"/>
        <w:rPr>
          <w:rFonts w:hint="eastAsia" w:ascii="宋体" w:hAnsi="宋体" w:cs="宋体"/>
          <w:color w:val="auto"/>
          <w:spacing w:val="-4"/>
          <w:sz w:val="18"/>
          <w:szCs w:val="20"/>
          <w:highlight w:val="none"/>
        </w:rPr>
        <w:sectPr>
          <w:pgSz w:w="11906" w:h="16838"/>
          <w:pgMar w:top="1440" w:right="1080" w:bottom="1440" w:left="1080" w:header="720" w:footer="720" w:gutter="0"/>
          <w:cols w:space="720" w:num="1"/>
          <w:docGrid w:type="lines" w:linePitch="331" w:charSpace="0"/>
        </w:sectPr>
      </w:pPr>
    </w:p>
    <w:p w14:paraId="4078DD7B">
      <w:pPr>
        <w:pStyle w:val="38"/>
        <w:wordWrap w:val="0"/>
        <w:spacing w:after="0"/>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第一部分 合同书</w:t>
      </w:r>
    </w:p>
    <w:p w14:paraId="7F6ACC6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南宁市经济信息中心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公开招标方式  </w:t>
      </w:r>
      <w:r>
        <w:rPr>
          <w:rFonts w:hint="eastAsia" w:ascii="宋体" w:hAnsi="宋体" w:cs="宋体"/>
          <w:color w:val="auto"/>
          <w:sz w:val="24"/>
          <w:highlight w:val="none"/>
        </w:rPr>
        <w:t>对</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24"/>
          <w:highlight w:val="none"/>
          <w:u w:val="single"/>
          <w:lang w:eastAsia="zh-CN"/>
        </w:rPr>
        <w:t>南宁市经济信息中心2025年第二批信息化系统运维项目（重）</w:t>
      </w:r>
      <w:r>
        <w:rPr>
          <w:rFonts w:hint="eastAsia" w:ascii="宋体" w:hAnsi="宋体" w:cs="宋体"/>
          <w:color w:val="auto"/>
          <w:sz w:val="24"/>
          <w:highlight w:val="none"/>
          <w:u w:val="single"/>
        </w:rPr>
        <w:fldChar w:fldCharType="end"/>
      </w:r>
      <w:r>
        <w:rPr>
          <w:rFonts w:hint="eastAsia" w:ascii="宋体" w:hAnsi="宋体" w:cs="宋体"/>
          <w:color w:val="auto"/>
          <w:sz w:val="24"/>
          <w:highlight w:val="none"/>
        </w:rPr>
        <w:t>项目进行了采购。经</w:t>
      </w:r>
      <w:r>
        <w:rPr>
          <w:rFonts w:hint="eastAsia" w:ascii="宋体" w:hAnsi="宋体" w:cs="宋体"/>
          <w:color w:val="auto"/>
          <w:sz w:val="24"/>
          <w:highlight w:val="none"/>
          <w:u w:val="single"/>
        </w:rPr>
        <w:t xml:space="preserve">  评标委员会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rPr>
        <w:t>为该项目中标供应商。现于中标通知书发出之日起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日内（根据项目实际情况填写，不能超过25日），按照采购文件确定的事项签订本合同。</w:t>
      </w:r>
    </w:p>
    <w:p w14:paraId="5BBDF73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zh-CN"/>
        </w:rPr>
        <w:t>根据《中华人民共和国民法典》、《中华人民共和国政府采购法》等相关法律法规之规定，按照平等、自愿、公平和诚实信用的原则，经</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（中标供应商名称）   </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2795ADF7">
      <w:pPr>
        <w:wordWrap w:val="0"/>
        <w:spacing w:line="360" w:lineRule="auto"/>
        <w:ind w:firstLine="482" w:firstLineChars="200"/>
        <w:rPr>
          <w:rFonts w:hint="eastAsia" w:ascii="宋体" w:hAnsi="宋体" w:cs="宋体"/>
          <w:b/>
          <w:color w:val="auto"/>
          <w:sz w:val="24"/>
          <w:highlight w:val="none"/>
        </w:rPr>
      </w:pPr>
      <w:bookmarkStart w:id="143" w:name="_Toc24059"/>
      <w:bookmarkStart w:id="144" w:name="_Toc2232"/>
      <w:bookmarkStart w:id="145" w:name="_Toc3029"/>
      <w:r>
        <w:rPr>
          <w:rFonts w:hint="eastAsia" w:ascii="宋体" w:hAnsi="宋体" w:cs="宋体"/>
          <w:b/>
          <w:color w:val="auto"/>
          <w:sz w:val="24"/>
          <w:highlight w:val="none"/>
        </w:rPr>
        <w:t>1.1 合同组成部分</w:t>
      </w:r>
      <w:bookmarkEnd w:id="143"/>
      <w:bookmarkEnd w:id="144"/>
      <w:bookmarkEnd w:id="145"/>
    </w:p>
    <w:p w14:paraId="104C662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296954F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1.1.1 本合同及其补充合同、变更协议；</w:t>
      </w:r>
    </w:p>
    <w:p w14:paraId="03604DE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1.1.2 中标通知书；</w:t>
      </w:r>
    </w:p>
    <w:p w14:paraId="1F8AE40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1.1.3 投标文件及“投标报价”（含澄清或者说明文件）；</w:t>
      </w:r>
    </w:p>
    <w:p w14:paraId="5089142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1.1.4 招标文件（含澄清或者修改文件）；</w:t>
      </w:r>
    </w:p>
    <w:p w14:paraId="6B58309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1.1.5 其他相关采购文件。</w:t>
      </w:r>
    </w:p>
    <w:p w14:paraId="1A0DFEDC">
      <w:pPr>
        <w:wordWrap w:val="0"/>
        <w:spacing w:line="360" w:lineRule="auto"/>
        <w:ind w:firstLine="482" w:firstLineChars="200"/>
        <w:rPr>
          <w:rFonts w:hint="eastAsia" w:ascii="宋体" w:hAnsi="宋体" w:cs="宋体"/>
          <w:b/>
          <w:color w:val="auto"/>
          <w:sz w:val="24"/>
          <w:highlight w:val="none"/>
        </w:rPr>
      </w:pPr>
      <w:bookmarkStart w:id="146" w:name="_Toc27126"/>
      <w:bookmarkStart w:id="147" w:name="_Toc24300"/>
      <w:bookmarkStart w:id="148" w:name="_Toc21295"/>
      <w:r>
        <w:rPr>
          <w:rFonts w:hint="eastAsia" w:ascii="宋体" w:hAnsi="宋体" w:cs="宋体"/>
          <w:b/>
          <w:color w:val="auto"/>
          <w:sz w:val="24"/>
          <w:highlight w:val="none"/>
        </w:rPr>
        <w:t>1.2 标的物</w:t>
      </w:r>
      <w:bookmarkEnd w:id="146"/>
      <w:bookmarkEnd w:id="147"/>
      <w:bookmarkEnd w:id="148"/>
    </w:p>
    <w:p w14:paraId="6D2216D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 标的物1信息</w:t>
      </w:r>
    </w:p>
    <w:p w14:paraId="06F0D281">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1.2.1.1名称：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077AB6">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1.2.1.2数量：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8A055E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1.2.1.3质量：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9FC5B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p>
    <w:p w14:paraId="5F8CF1BE">
      <w:pPr>
        <w:wordWrap w:val="0"/>
        <w:spacing w:line="360" w:lineRule="auto"/>
        <w:ind w:firstLine="482" w:firstLineChars="200"/>
        <w:rPr>
          <w:rFonts w:hint="eastAsia" w:ascii="宋体" w:hAnsi="宋体" w:cs="宋体"/>
          <w:b/>
          <w:color w:val="auto"/>
          <w:sz w:val="24"/>
          <w:highlight w:val="none"/>
        </w:rPr>
      </w:pPr>
      <w:bookmarkStart w:id="149" w:name="_Toc23292"/>
      <w:bookmarkStart w:id="150" w:name="_Toc21631"/>
      <w:bookmarkStart w:id="151" w:name="_Toc21551"/>
      <w:r>
        <w:rPr>
          <w:rFonts w:hint="eastAsia" w:ascii="宋体" w:hAnsi="宋体" w:cs="宋体"/>
          <w:b/>
          <w:color w:val="auto"/>
          <w:sz w:val="24"/>
          <w:highlight w:val="none"/>
        </w:rPr>
        <w:t>1.3 价款</w:t>
      </w:r>
      <w:bookmarkEnd w:id="149"/>
      <w:bookmarkEnd w:id="150"/>
      <w:bookmarkEnd w:id="151"/>
    </w:p>
    <w:p w14:paraId="0AEFCE3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本合同总价为：大写人民币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），含税。</w:t>
      </w:r>
    </w:p>
    <w:p w14:paraId="4E69874B">
      <w:pPr>
        <w:wordWrap w:val="0"/>
        <w:spacing w:line="360" w:lineRule="auto"/>
        <w:ind w:firstLine="480" w:firstLineChars="200"/>
        <w:rPr>
          <w:rFonts w:hint="eastAsia" w:ascii="宋体" w:hAnsi="宋体" w:cs="宋体"/>
          <w:color w:val="auto"/>
          <w:sz w:val="24"/>
          <w:highlight w:val="none"/>
        </w:rPr>
      </w:pPr>
    </w:p>
    <w:p w14:paraId="6142859C">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分项价格：</w:t>
      </w:r>
    </w:p>
    <w:tbl>
      <w:tblPr>
        <w:tblStyle w:val="26"/>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251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1A161D14">
            <w:pPr>
              <w:wordWrap w:val="0"/>
              <w:spacing w:line="360" w:lineRule="auto"/>
              <w:ind w:firstLine="480" w:firstLineChars="200"/>
              <w:rPr>
                <w:rFonts w:hint="eastAsia" w:ascii="宋体" w:hAnsi="宋体" w:cs="宋体"/>
                <w:color w:val="auto"/>
                <w:sz w:val="24"/>
                <w:highlight w:val="none"/>
              </w:rPr>
            </w:pPr>
            <w:bookmarkStart w:id="152" w:name="_Toc22618"/>
            <w:bookmarkStart w:id="153" w:name="_Toc10340"/>
            <w:bookmarkStart w:id="154" w:name="_Toc1814"/>
            <w:r>
              <w:rPr>
                <w:rFonts w:hint="eastAsia" w:ascii="宋体" w:hAnsi="宋体" w:cs="宋体"/>
                <w:color w:val="auto"/>
                <w:sz w:val="24"/>
                <w:highlight w:val="none"/>
              </w:rPr>
              <w:t>序号</w:t>
            </w:r>
          </w:p>
        </w:tc>
        <w:tc>
          <w:tcPr>
            <w:tcW w:w="3402" w:type="dxa"/>
            <w:tcBorders>
              <w:top w:val="single" w:color="auto" w:sz="4" w:space="0"/>
              <w:left w:val="single" w:color="auto" w:sz="4" w:space="0"/>
              <w:bottom w:val="single" w:color="auto" w:sz="4" w:space="0"/>
              <w:right w:val="single" w:color="auto" w:sz="4" w:space="0"/>
            </w:tcBorders>
            <w:vAlign w:val="center"/>
          </w:tcPr>
          <w:p w14:paraId="1B988D2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分项名称</w:t>
            </w:r>
          </w:p>
        </w:tc>
        <w:tc>
          <w:tcPr>
            <w:tcW w:w="2552" w:type="dxa"/>
            <w:tcBorders>
              <w:top w:val="single" w:color="auto" w:sz="4" w:space="0"/>
              <w:left w:val="single" w:color="auto" w:sz="4" w:space="0"/>
              <w:bottom w:val="single" w:color="auto" w:sz="4" w:space="0"/>
              <w:right w:val="single" w:color="auto" w:sz="4" w:space="0"/>
            </w:tcBorders>
            <w:vAlign w:val="center"/>
          </w:tcPr>
          <w:p w14:paraId="050428C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分项价格</w:t>
            </w:r>
          </w:p>
        </w:tc>
      </w:tr>
      <w:tr w14:paraId="4A670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78F0B488">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54082BE">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8DD13C6">
            <w:pPr>
              <w:wordWrap w:val="0"/>
              <w:spacing w:line="360" w:lineRule="auto"/>
              <w:ind w:firstLine="480" w:firstLineChars="200"/>
              <w:rPr>
                <w:rFonts w:hint="eastAsia" w:ascii="宋体" w:hAnsi="宋体" w:cs="宋体"/>
                <w:color w:val="auto"/>
                <w:sz w:val="24"/>
                <w:highlight w:val="none"/>
              </w:rPr>
            </w:pPr>
          </w:p>
        </w:tc>
      </w:tr>
      <w:tr w14:paraId="59303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22B87B5E">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31AB46A">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4D57F777">
            <w:pPr>
              <w:wordWrap w:val="0"/>
              <w:spacing w:line="360" w:lineRule="auto"/>
              <w:ind w:firstLine="480" w:firstLineChars="200"/>
              <w:rPr>
                <w:rFonts w:hint="eastAsia" w:ascii="宋体" w:hAnsi="宋体" w:cs="宋体"/>
                <w:color w:val="auto"/>
                <w:sz w:val="24"/>
                <w:highlight w:val="none"/>
              </w:rPr>
            </w:pPr>
          </w:p>
        </w:tc>
      </w:tr>
      <w:tr w14:paraId="20F29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tcBorders>
              <w:top w:val="single" w:color="auto" w:sz="4" w:space="0"/>
              <w:left w:val="single" w:color="auto" w:sz="4" w:space="0"/>
              <w:bottom w:val="single" w:color="auto" w:sz="4" w:space="0"/>
              <w:right w:val="single" w:color="auto" w:sz="4" w:space="0"/>
            </w:tcBorders>
            <w:vAlign w:val="center"/>
          </w:tcPr>
          <w:p w14:paraId="5538E85C">
            <w:pPr>
              <w:wordWrap w:val="0"/>
              <w:spacing w:line="360" w:lineRule="auto"/>
              <w:ind w:firstLine="480" w:firstLineChars="200"/>
              <w:rPr>
                <w:rFonts w:hint="eastAsia" w:ascii="宋体" w:hAnsi="宋体" w:cs="宋体"/>
                <w:color w:val="auto"/>
                <w:sz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6881CD9D">
            <w:pPr>
              <w:wordWrap w:val="0"/>
              <w:spacing w:line="360" w:lineRule="auto"/>
              <w:ind w:firstLine="480" w:firstLineChars="200"/>
              <w:rPr>
                <w:rFonts w:hint="eastAsia" w:ascii="宋体" w:hAnsi="宋体" w:cs="宋体"/>
                <w:color w:val="auto"/>
                <w:sz w:val="24"/>
                <w:highlight w:val="none"/>
              </w:rPr>
            </w:pPr>
          </w:p>
        </w:tc>
        <w:tc>
          <w:tcPr>
            <w:tcW w:w="2552" w:type="dxa"/>
            <w:tcBorders>
              <w:top w:val="single" w:color="auto" w:sz="4" w:space="0"/>
              <w:left w:val="single" w:color="auto" w:sz="4" w:space="0"/>
              <w:bottom w:val="single" w:color="auto" w:sz="4" w:space="0"/>
              <w:right w:val="single" w:color="auto" w:sz="4" w:space="0"/>
            </w:tcBorders>
            <w:vAlign w:val="center"/>
          </w:tcPr>
          <w:p w14:paraId="03D4535A">
            <w:pPr>
              <w:wordWrap w:val="0"/>
              <w:spacing w:line="360" w:lineRule="auto"/>
              <w:ind w:firstLine="480" w:firstLineChars="200"/>
              <w:rPr>
                <w:rFonts w:hint="eastAsia" w:ascii="宋体" w:hAnsi="宋体" w:cs="宋体"/>
                <w:color w:val="auto"/>
                <w:sz w:val="24"/>
                <w:highlight w:val="none"/>
              </w:rPr>
            </w:pPr>
          </w:p>
        </w:tc>
      </w:tr>
      <w:tr w14:paraId="32EE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tcBorders>
              <w:top w:val="single" w:color="auto" w:sz="4" w:space="0"/>
              <w:left w:val="single" w:color="auto" w:sz="4" w:space="0"/>
              <w:bottom w:val="single" w:color="auto" w:sz="4" w:space="0"/>
              <w:right w:val="single" w:color="auto" w:sz="4" w:space="0"/>
            </w:tcBorders>
            <w:vAlign w:val="center"/>
          </w:tcPr>
          <w:p w14:paraId="4C2CA3E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总价</w:t>
            </w:r>
          </w:p>
        </w:tc>
        <w:tc>
          <w:tcPr>
            <w:tcW w:w="2552" w:type="dxa"/>
            <w:tcBorders>
              <w:top w:val="single" w:color="auto" w:sz="4" w:space="0"/>
              <w:left w:val="single" w:color="auto" w:sz="4" w:space="0"/>
              <w:bottom w:val="single" w:color="auto" w:sz="4" w:space="0"/>
              <w:right w:val="single" w:color="auto" w:sz="4" w:space="0"/>
            </w:tcBorders>
            <w:vAlign w:val="center"/>
          </w:tcPr>
          <w:p w14:paraId="4336AFFD">
            <w:pPr>
              <w:wordWrap w:val="0"/>
              <w:spacing w:line="360" w:lineRule="auto"/>
              <w:ind w:firstLine="480" w:firstLineChars="200"/>
              <w:rPr>
                <w:rFonts w:hint="eastAsia" w:ascii="宋体" w:hAnsi="宋体" w:cs="宋体"/>
                <w:color w:val="auto"/>
                <w:sz w:val="24"/>
                <w:highlight w:val="none"/>
              </w:rPr>
            </w:pPr>
          </w:p>
        </w:tc>
      </w:tr>
    </w:tbl>
    <w:p w14:paraId="3FD30C39">
      <w:pPr>
        <w:wordWrap w:val="0"/>
        <w:spacing w:line="360" w:lineRule="auto"/>
        <w:ind w:firstLine="482" w:firstLineChars="200"/>
        <w:rPr>
          <w:rFonts w:hint="eastAsia" w:ascii="宋体" w:hAnsi="宋体" w:cs="宋体"/>
          <w:b/>
          <w:color w:val="auto"/>
          <w:sz w:val="24"/>
          <w:highlight w:val="none"/>
        </w:rPr>
      </w:pPr>
      <w:r>
        <w:rPr>
          <w:rFonts w:hint="eastAsia" w:ascii="宋体" w:hAnsi="宋体" w:cs="宋体"/>
          <w:b/>
          <w:color w:val="auto"/>
          <w:sz w:val="24"/>
          <w:highlight w:val="none"/>
        </w:rPr>
        <w:t>1.4 付款方式和发票开具方式</w:t>
      </w:r>
      <w:bookmarkEnd w:id="152"/>
      <w:bookmarkEnd w:id="153"/>
      <w:bookmarkEnd w:id="154"/>
    </w:p>
    <w:p w14:paraId="20D2C3A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1.4.1 付款方式：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5F2D37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1.4.2 发票开具方式：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CEE81F0">
      <w:pPr>
        <w:wordWrap w:val="0"/>
        <w:spacing w:line="360" w:lineRule="auto"/>
        <w:ind w:firstLine="482" w:firstLineChars="200"/>
        <w:rPr>
          <w:rFonts w:hint="eastAsia" w:ascii="宋体" w:hAnsi="宋体" w:cs="宋体"/>
          <w:b/>
          <w:color w:val="auto"/>
          <w:sz w:val="24"/>
          <w:highlight w:val="none"/>
        </w:rPr>
      </w:pPr>
      <w:bookmarkStart w:id="155" w:name="_Toc19304"/>
      <w:bookmarkStart w:id="156" w:name="_Toc2846"/>
      <w:bookmarkStart w:id="157" w:name="_Toc32071"/>
      <w:r>
        <w:rPr>
          <w:rFonts w:hint="eastAsia" w:ascii="宋体" w:hAnsi="宋体" w:cs="宋体"/>
          <w:b/>
          <w:color w:val="auto"/>
          <w:sz w:val="24"/>
          <w:highlight w:val="none"/>
        </w:rPr>
        <w:t>1.5 标的物交付期限、地点、方式</w:t>
      </w:r>
      <w:bookmarkEnd w:id="155"/>
      <w:bookmarkEnd w:id="156"/>
      <w:bookmarkEnd w:id="157"/>
      <w:r>
        <w:rPr>
          <w:rFonts w:hint="eastAsia" w:ascii="宋体" w:hAnsi="宋体" w:cs="宋体"/>
          <w:b/>
          <w:color w:val="auto"/>
          <w:sz w:val="24"/>
          <w:highlight w:val="none"/>
        </w:rPr>
        <w:t>和服务期限</w:t>
      </w:r>
    </w:p>
    <w:p w14:paraId="79B09469">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1.5.1 服务运维期：</w:t>
      </w:r>
      <w:r>
        <w:rPr>
          <w:rFonts w:hint="eastAsia" w:ascii="宋体" w:hAnsi="宋体" w:cs="宋体"/>
          <w:color w:val="auto"/>
          <w:sz w:val="24"/>
          <w:highlight w:val="none"/>
          <w:u w:val="single"/>
        </w:rPr>
        <w:t xml:space="preserve">                                                 ；</w:t>
      </w:r>
    </w:p>
    <w:p w14:paraId="2624565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1.5.2 提交服务成果地点：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E64ED5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1.5.3 交付方式：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133B2C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1.5.4 服务及质保期限：</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E441653">
      <w:pPr>
        <w:wordWrap w:val="0"/>
        <w:spacing w:line="360" w:lineRule="auto"/>
        <w:ind w:firstLine="482" w:firstLineChars="200"/>
        <w:rPr>
          <w:rFonts w:hint="eastAsia" w:ascii="宋体" w:hAnsi="宋体" w:cs="宋体"/>
          <w:b/>
          <w:color w:val="auto"/>
          <w:sz w:val="24"/>
          <w:highlight w:val="none"/>
        </w:rPr>
      </w:pPr>
      <w:bookmarkStart w:id="158" w:name="_Toc21423"/>
      <w:bookmarkStart w:id="159" w:name="_Toc27250"/>
      <w:bookmarkStart w:id="160" w:name="_Toc19554"/>
      <w:r>
        <w:rPr>
          <w:rFonts w:hint="eastAsia" w:ascii="宋体" w:hAnsi="宋体" w:cs="宋体"/>
          <w:b/>
          <w:color w:val="auto"/>
          <w:sz w:val="24"/>
          <w:highlight w:val="none"/>
        </w:rPr>
        <w:t>1.6 违约责任</w:t>
      </w:r>
      <w:bookmarkEnd w:id="158"/>
      <w:bookmarkEnd w:id="159"/>
      <w:bookmarkEnd w:id="160"/>
    </w:p>
    <w:p w14:paraId="1A92EC5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1.6.1 除不可抗力外，如果乙方没有按照本合同约定的期限、地点和方式交付标的物，甲方可要求乙方支付违约金，违约金按每迟延交付标的物一日的应交付而未交付标的物价格的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（根据项目实际填写，一般为万分之五）计算，最高限额为本合同总价的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%（根据项目实际填写，一般为20%）；迟延超过【  】（根据项目实际填写）日的，甲方有权在要求乙方支付违约金的同时，书面通知乙方解除本合同，乙方应退回全部已收取的合同价款并按合同总金额的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（根据项目实际填写，一般为20%）向甲方支付违约金；</w:t>
      </w:r>
    </w:p>
    <w:p w14:paraId="01205918">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1.6.2 除不可抗力外，如果甲方没有按照本合同约定的付款方式付款，乙方可要求甲方支付违约金，违约金按每迟延付款一日的应付而未付款的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（根据项目实际填写，一般为万分之五）计算，最高限额为欠付金额的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%（根据项目实际填写，一般为20%）；迟延付款的违约金计算数额达到前述最高限额之日起，乙方有权在要求甲方支付违约金的同时，书面通知甲方解除本合同；</w:t>
      </w:r>
    </w:p>
    <w:p w14:paraId="21523B4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05F658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1.6.4乙方在质保期内未按承诺提供售后等服务的，每发生一次向甲方支付违约金额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元。（根据项目实际填写）</w:t>
      </w:r>
    </w:p>
    <w:p w14:paraId="065FCAD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26ADD7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2B512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1.6.7 如果出现政府采购监督管理部门在处理投诉事项期间，书面通知甲方暂停采购活动的情形，或者询问或质疑事项可能影响中标结果的，导致甲方中止履行合同的情形，均不视为甲方违约。</w:t>
      </w:r>
    </w:p>
    <w:p w14:paraId="19791A72">
      <w:pPr>
        <w:wordWrap w:val="0"/>
        <w:spacing w:line="360" w:lineRule="auto"/>
        <w:ind w:firstLine="482" w:firstLineChars="200"/>
        <w:rPr>
          <w:rFonts w:hint="eastAsia" w:ascii="宋体" w:hAnsi="宋体" w:cs="宋体"/>
          <w:b/>
          <w:color w:val="auto"/>
          <w:sz w:val="24"/>
          <w:highlight w:val="none"/>
        </w:rPr>
      </w:pPr>
      <w:bookmarkStart w:id="161" w:name="_Toc15583"/>
      <w:bookmarkStart w:id="162" w:name="_Toc28375"/>
      <w:bookmarkStart w:id="163" w:name="_Toc16021"/>
      <w:r>
        <w:rPr>
          <w:rFonts w:hint="eastAsia" w:ascii="宋体" w:hAnsi="宋体" w:cs="宋体"/>
          <w:b/>
          <w:color w:val="auto"/>
          <w:sz w:val="24"/>
          <w:highlight w:val="none"/>
        </w:rPr>
        <w:t>1.7 合同争议的解决</w:t>
      </w:r>
      <w:bookmarkEnd w:id="161"/>
      <w:bookmarkEnd w:id="162"/>
      <w:bookmarkEnd w:id="163"/>
    </w:p>
    <w:p w14:paraId="05D4E50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本合同履行过程中发生的任何争议，双方当事人均应通过友好协商的方式和解或者调解解决；不愿和解、调解或者和解、调解不成的，可以选择下列第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种方式解决：</w:t>
      </w:r>
    </w:p>
    <w:p w14:paraId="131987E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1.7.1 将争议提交</w:t>
      </w:r>
      <w:r>
        <w:rPr>
          <w:rFonts w:hint="eastAsia" w:ascii="宋体" w:hAnsi="宋体" w:cs="宋体"/>
          <w:color w:val="auto"/>
          <w:sz w:val="24"/>
          <w:highlight w:val="none"/>
          <w:u w:val="single"/>
        </w:rPr>
        <w:t>南宁市</w:t>
      </w:r>
      <w:r>
        <w:rPr>
          <w:rFonts w:hint="eastAsia" w:ascii="宋体" w:hAnsi="宋体" w:cs="宋体"/>
          <w:color w:val="auto"/>
          <w:sz w:val="24"/>
          <w:highlight w:val="none"/>
        </w:rPr>
        <w:t>仲裁委员会依申请仲裁时其现行有效的仲裁规则裁决；</w:t>
      </w:r>
    </w:p>
    <w:p w14:paraId="2253B72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1.7.2 向</w:t>
      </w:r>
      <w:r>
        <w:rPr>
          <w:rFonts w:hint="eastAsia" w:ascii="宋体" w:hAnsi="宋体" w:cs="宋体"/>
          <w:color w:val="auto"/>
          <w:sz w:val="24"/>
          <w:highlight w:val="none"/>
          <w:u w:val="single"/>
        </w:rPr>
        <w:t xml:space="preserve">   甲方所在地    有管辖权的</w:t>
      </w:r>
      <w:r>
        <w:rPr>
          <w:rFonts w:hint="eastAsia" w:ascii="宋体" w:hAnsi="宋体" w:cs="宋体"/>
          <w:color w:val="auto"/>
          <w:sz w:val="24"/>
          <w:highlight w:val="none"/>
        </w:rPr>
        <w:t>人民法院起诉。</w:t>
      </w:r>
    </w:p>
    <w:p w14:paraId="36F67C94">
      <w:pPr>
        <w:wordWrap w:val="0"/>
        <w:spacing w:line="360" w:lineRule="auto"/>
        <w:ind w:firstLine="482" w:firstLineChars="200"/>
        <w:rPr>
          <w:rFonts w:hint="eastAsia" w:ascii="宋体" w:hAnsi="宋体" w:cs="宋体"/>
          <w:b/>
          <w:color w:val="auto"/>
          <w:sz w:val="24"/>
          <w:highlight w:val="none"/>
        </w:rPr>
      </w:pPr>
      <w:bookmarkStart w:id="164" w:name="_Toc15322"/>
      <w:bookmarkStart w:id="165" w:name="_Toc7245"/>
      <w:bookmarkStart w:id="166" w:name="_Toc11173"/>
      <w:r>
        <w:rPr>
          <w:rFonts w:hint="eastAsia" w:ascii="宋体" w:hAnsi="宋体" w:cs="宋体"/>
          <w:b/>
          <w:color w:val="auto"/>
          <w:sz w:val="24"/>
          <w:highlight w:val="none"/>
        </w:rPr>
        <w:t>1.8 合同生效</w:t>
      </w:r>
      <w:bookmarkEnd w:id="164"/>
      <w:bookmarkEnd w:id="165"/>
      <w:bookmarkEnd w:id="166"/>
    </w:p>
    <w:p w14:paraId="36CFE21D">
      <w:pPr>
        <w:wordWrap w:val="0"/>
        <w:spacing w:line="360" w:lineRule="auto"/>
        <w:ind w:firstLine="480" w:firstLineChars="200"/>
        <w:rPr>
          <w:rFonts w:hint="eastAsia" w:ascii="宋体" w:hAnsi="宋体" w:cs="宋体"/>
          <w:b/>
          <w:color w:val="auto"/>
          <w:sz w:val="24"/>
          <w:highlight w:val="none"/>
        </w:rPr>
      </w:pPr>
      <w:r>
        <w:rPr>
          <w:rFonts w:hint="eastAsia" w:ascii="宋体" w:hAnsi="宋体"/>
          <w:color w:val="auto"/>
          <w:sz w:val="24"/>
          <w:highlight w:val="none"/>
        </w:rPr>
        <w:t>本合同自双方当事人加盖有效公章或合同专用章时生效。</w:t>
      </w:r>
    </w:p>
    <w:p w14:paraId="59A31A7A">
      <w:pPr>
        <w:wordWrap w:val="0"/>
        <w:spacing w:line="360" w:lineRule="auto"/>
        <w:ind w:firstLine="470" w:firstLineChars="195"/>
        <w:rPr>
          <w:rFonts w:hint="eastAsia" w:ascii="宋体" w:hAnsi="宋体" w:cs="宋体"/>
          <w:color w:val="auto"/>
          <w:sz w:val="24"/>
          <w:highlight w:val="none"/>
          <w:lang w:val="zh-CN"/>
        </w:rPr>
      </w:pPr>
      <w:r>
        <w:rPr>
          <w:rFonts w:hint="eastAsia" w:ascii="宋体" w:hAnsi="宋体"/>
          <w:b/>
          <w:color w:val="auto"/>
          <w:sz w:val="24"/>
          <w:highlight w:val="none"/>
        </w:rPr>
        <w:t>1</w:t>
      </w:r>
      <w:r>
        <w:rPr>
          <w:rFonts w:ascii="宋体" w:hAnsi="宋体"/>
          <w:b/>
          <w:color w:val="auto"/>
          <w:sz w:val="24"/>
          <w:highlight w:val="none"/>
        </w:rPr>
        <w:t xml:space="preserve">.9 </w:t>
      </w:r>
      <w:r>
        <w:rPr>
          <w:rFonts w:hint="eastAsia" w:ascii="宋体" w:hAnsi="宋体"/>
          <w:b/>
          <w:color w:val="auto"/>
          <w:sz w:val="24"/>
          <w:highlight w:val="none"/>
        </w:rPr>
        <w:t>合同延续年限、条件和方式：</w:t>
      </w:r>
      <w:r>
        <w:rPr>
          <w:rFonts w:hint="eastAsia" w:ascii="宋体" w:hAnsi="宋体"/>
          <w:bCs/>
          <w:color w:val="auto"/>
          <w:sz w:val="24"/>
          <w:highlight w:val="none"/>
        </w:rPr>
        <w:t>本项目合同到期后不续签。</w:t>
      </w:r>
      <w:r>
        <w:rPr>
          <w:rFonts w:hint="eastAsia" w:ascii="宋体" w:hAnsi="宋体"/>
          <w:b/>
          <w:color w:val="auto"/>
          <w:sz w:val="24"/>
          <w:highlight w:val="none"/>
        </w:rPr>
        <w:t xml:space="preserve"> </w:t>
      </w:r>
      <w:r>
        <w:rPr>
          <w:rFonts w:ascii="宋体" w:hAnsi="宋体"/>
          <w:b/>
          <w:color w:val="auto"/>
          <w:sz w:val="24"/>
          <w:highlight w:val="none"/>
        </w:rPr>
        <w:t xml:space="preserve"> </w:t>
      </w:r>
    </w:p>
    <w:p w14:paraId="1D94BFFD">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甲方：                                  乙方：</w:t>
      </w:r>
    </w:p>
    <w:p w14:paraId="390C598A">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统一社会信用代码：                      统一社会信用代码或身份证号码：</w:t>
      </w:r>
    </w:p>
    <w:p w14:paraId="6FB96AD4">
      <w:pPr>
        <w:wordWrap w:val="0"/>
        <w:spacing w:line="360" w:lineRule="auto"/>
        <w:ind w:firstLine="480"/>
        <w:rPr>
          <w:rFonts w:hint="eastAsia" w:ascii="宋体" w:hAnsi="宋体" w:cs="宋体"/>
          <w:color w:val="auto"/>
          <w:sz w:val="24"/>
          <w:highlight w:val="none"/>
          <w:lang w:val="zh-CN"/>
        </w:rPr>
      </w:pPr>
    </w:p>
    <w:p w14:paraId="61B9C772">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住所：                                   住所：</w:t>
      </w:r>
    </w:p>
    <w:p w14:paraId="765864C1">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636C65B0">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3F822F82">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7DB783B8">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4911A1D5">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34868C02">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6C775269">
      <w:pPr>
        <w:wordWrap w:val="0"/>
        <w:spacing w:line="360" w:lineRule="auto"/>
        <w:ind w:firstLine="480"/>
        <w:rPr>
          <w:rFonts w:hint="eastAsia" w:ascii="宋体" w:hAnsi="宋体" w:cs="宋体"/>
          <w:color w:val="auto"/>
          <w:sz w:val="24"/>
          <w:highlight w:val="none"/>
          <w:lang w:val="zh-CN"/>
        </w:rPr>
      </w:pPr>
      <w:r>
        <w:rPr>
          <w:rFonts w:hint="eastAsia" w:ascii="宋体" w:hAnsi="宋体" w:cs="宋体"/>
          <w:color w:val="auto"/>
          <w:sz w:val="24"/>
          <w:highlight w:val="none"/>
          <w:lang w:val="zh-CN"/>
        </w:rPr>
        <w:t>传真:                                    传真:</w:t>
      </w:r>
    </w:p>
    <w:p w14:paraId="4659ACD5">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lang w:val="zh-CN"/>
        </w:rPr>
        <w:t>电子邮箱：                               电子邮箱：</w:t>
      </w:r>
    </w:p>
    <w:p w14:paraId="68FE4578">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开户银行：                               开户银行： </w:t>
      </w:r>
    </w:p>
    <w:p w14:paraId="07CF7593">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开户名称：                               开户名称： </w:t>
      </w:r>
    </w:p>
    <w:p w14:paraId="0374ADDA">
      <w:pPr>
        <w:wordWrap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开户账号：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12B735CF">
      <w:pPr>
        <w:wordWrap w:val="0"/>
        <w:spacing w:line="360" w:lineRule="auto"/>
        <w:ind w:firstLine="482"/>
        <w:jc w:val="center"/>
        <w:rPr>
          <w:rFonts w:hint="eastAsia" w:ascii="宋体" w:hAnsi="宋体" w:cs="宋体"/>
          <w:b/>
          <w:color w:val="auto"/>
          <w:sz w:val="28"/>
          <w:szCs w:val="28"/>
          <w:highlight w:val="none"/>
        </w:rPr>
      </w:pPr>
      <w:r>
        <w:rPr>
          <w:rFonts w:hint="eastAsia" w:ascii="宋体" w:hAnsi="宋体" w:cs="宋体"/>
          <w:b/>
          <w:color w:val="auto"/>
          <w:highlight w:val="none"/>
        </w:rPr>
        <w:br w:type="page"/>
      </w:r>
      <w:bookmarkStart w:id="167" w:name="_Toc331685783"/>
      <w:r>
        <w:rPr>
          <w:rFonts w:hint="eastAsia" w:ascii="宋体" w:hAnsi="宋体" w:cs="宋体"/>
          <w:b/>
          <w:color w:val="auto"/>
          <w:sz w:val="28"/>
          <w:szCs w:val="28"/>
          <w:highlight w:val="none"/>
        </w:rPr>
        <w:t>第二部分 合同一般条款</w:t>
      </w:r>
      <w:bookmarkEnd w:id="167"/>
    </w:p>
    <w:p w14:paraId="0DDABABF">
      <w:pPr>
        <w:wordWrap w:val="0"/>
        <w:spacing w:line="360" w:lineRule="auto"/>
        <w:ind w:firstLine="482" w:firstLineChars="200"/>
        <w:rPr>
          <w:rFonts w:hint="eastAsia" w:ascii="宋体" w:hAnsi="宋体" w:cs="宋体"/>
          <w:b/>
          <w:color w:val="auto"/>
          <w:sz w:val="24"/>
          <w:highlight w:val="none"/>
        </w:rPr>
      </w:pPr>
      <w:bookmarkStart w:id="168" w:name="_Ref467378463"/>
      <w:bookmarkStart w:id="169" w:name="_Toc259093669"/>
      <w:bookmarkStart w:id="170" w:name="_Ref467379225"/>
      <w:bookmarkStart w:id="171" w:name="_Ref467379195"/>
      <w:bookmarkStart w:id="172" w:name="_Ref467379094"/>
      <w:bookmarkStart w:id="173" w:name="_Ref467378499"/>
      <w:bookmarkStart w:id="174" w:name="_Ref467379205"/>
      <w:bookmarkStart w:id="175" w:name="_Toc487900349"/>
      <w:bookmarkStart w:id="176" w:name="_Toc19614"/>
      <w:bookmarkStart w:id="177" w:name="_Toc28763"/>
      <w:bookmarkStart w:id="178" w:name="_Toc16917"/>
      <w:bookmarkStart w:id="179" w:name="_Ref467379214"/>
      <w:bookmarkStart w:id="180" w:name="_Ref467379101"/>
      <w:bookmarkStart w:id="181" w:name="_Ref467379109"/>
      <w:bookmarkStart w:id="182" w:name="_Toc279701240"/>
      <w:bookmarkStart w:id="183" w:name="_Ref467378404"/>
      <w:r>
        <w:rPr>
          <w:rFonts w:hint="eastAsia" w:ascii="宋体" w:hAnsi="宋体" w:cs="宋体"/>
          <w:b/>
          <w:color w:val="auto"/>
          <w:sz w:val="24"/>
          <w:highlight w:val="none"/>
        </w:rPr>
        <w:t>2.1 定义</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41709D3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61384C2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 “合同”系指采购人和中标供应商签订的载明双方当事人所达成的协议，并包括所有的附件、附录和构成合同的其他文件。</w:t>
      </w:r>
    </w:p>
    <w:p w14:paraId="028F0E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2.1.2 “合同价”系指根据合同约定，中标供应商在完全履行合同义务后，采购人应支付给中标供应商的价格。</w:t>
      </w:r>
    </w:p>
    <w:p w14:paraId="3B3CBC0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 “标的物”系指中标供应商根据合同约定应向采购人交付的一切各种形态和种类的货物、服务和工程，包括但不限于原材料、燃料、设备、机械、仪表、备件、计算机软件、信息化系统、信息化维保、物业服务、产品等，并包括工具、手册等其他相关资料。</w:t>
      </w:r>
    </w:p>
    <w:p w14:paraId="5BF10D05">
      <w:pPr>
        <w:wordWrap w:val="0"/>
        <w:spacing w:line="360" w:lineRule="auto"/>
        <w:ind w:firstLine="480" w:firstLineChars="200"/>
        <w:rPr>
          <w:rFonts w:hint="eastAsia" w:ascii="宋体" w:hAnsi="宋体" w:cs="宋体"/>
          <w:color w:val="auto"/>
          <w:sz w:val="24"/>
          <w:highlight w:val="none"/>
        </w:rPr>
      </w:pPr>
      <w:bookmarkStart w:id="184" w:name="_Ref467378840"/>
      <w:r>
        <w:rPr>
          <w:rFonts w:hint="eastAsia" w:ascii="宋体" w:hAnsi="宋体" w:cs="宋体"/>
          <w:color w:val="auto"/>
          <w:sz w:val="24"/>
          <w:highlight w:val="none"/>
        </w:rPr>
        <w:t>2.1.4 “甲方”系指与中标供应商签署合同的采购人</w:t>
      </w:r>
      <w:bookmarkEnd w:id="184"/>
      <w:r>
        <w:rPr>
          <w:rFonts w:hint="eastAsia" w:ascii="宋体" w:hAnsi="宋体" w:cs="宋体"/>
          <w:color w:val="auto"/>
          <w:sz w:val="24"/>
          <w:highlight w:val="none"/>
        </w:rPr>
        <w:t>；采购人委托采购机构代表其与乙方签订合同的，采购人的授权委托书作为合同附件。</w:t>
      </w:r>
    </w:p>
    <w:p w14:paraId="74B06689">
      <w:pPr>
        <w:wordWrap w:val="0"/>
        <w:spacing w:line="360" w:lineRule="auto"/>
        <w:ind w:firstLine="480" w:firstLineChars="200"/>
        <w:rPr>
          <w:rFonts w:hint="eastAsia" w:ascii="宋体" w:hAnsi="宋体" w:cs="宋体"/>
          <w:color w:val="auto"/>
          <w:sz w:val="24"/>
          <w:highlight w:val="none"/>
        </w:rPr>
      </w:pPr>
      <w:bookmarkStart w:id="185" w:name="_Ref467379400"/>
      <w:r>
        <w:rPr>
          <w:rFonts w:hint="eastAsia" w:ascii="宋体" w:hAnsi="宋体" w:cs="宋体"/>
          <w:color w:val="auto"/>
          <w:sz w:val="24"/>
          <w:highlight w:val="none"/>
        </w:rPr>
        <w:t>2.1.5 “乙方”系指根据合同约定交付标的物的</w:t>
      </w:r>
      <w:bookmarkEnd w:id="185"/>
      <w:r>
        <w:rPr>
          <w:rFonts w:hint="eastAsia" w:ascii="宋体" w:hAnsi="宋体" w:cs="宋体"/>
          <w:color w:val="auto"/>
          <w:sz w:val="24"/>
          <w:highlight w:val="none"/>
        </w:rPr>
        <w:t>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F6594BF">
      <w:pPr>
        <w:wordWrap w:val="0"/>
        <w:spacing w:line="360" w:lineRule="auto"/>
        <w:ind w:firstLine="480" w:firstLineChars="200"/>
        <w:rPr>
          <w:rFonts w:hint="eastAsia" w:ascii="宋体" w:hAnsi="宋体" w:cs="宋体"/>
          <w:color w:val="auto"/>
          <w:sz w:val="24"/>
          <w:highlight w:val="none"/>
        </w:rPr>
      </w:pPr>
      <w:bookmarkStart w:id="186" w:name="_Ref467379436"/>
      <w:r>
        <w:rPr>
          <w:rFonts w:hint="eastAsia" w:ascii="宋体" w:hAnsi="宋体" w:cs="宋体"/>
          <w:color w:val="auto"/>
          <w:sz w:val="24"/>
          <w:highlight w:val="none"/>
        </w:rPr>
        <w:t>2.1.6 “现场”系指合同约定标的物将要运至或者实施或者安装的地点。</w:t>
      </w:r>
      <w:bookmarkEnd w:id="186"/>
    </w:p>
    <w:p w14:paraId="67B1B654">
      <w:pPr>
        <w:wordWrap w:val="0"/>
        <w:spacing w:line="360" w:lineRule="auto"/>
        <w:ind w:firstLine="482" w:firstLineChars="200"/>
        <w:rPr>
          <w:rFonts w:hint="eastAsia" w:ascii="宋体" w:hAnsi="宋体" w:cs="宋体"/>
          <w:b/>
          <w:color w:val="auto"/>
          <w:sz w:val="24"/>
          <w:highlight w:val="none"/>
        </w:rPr>
      </w:pPr>
      <w:bookmarkStart w:id="187" w:name="_Toc13336"/>
      <w:bookmarkStart w:id="188" w:name="_Toc259093670"/>
      <w:bookmarkStart w:id="189" w:name="_Toc32504"/>
      <w:bookmarkStart w:id="190" w:name="_Toc279701241"/>
      <w:bookmarkStart w:id="191" w:name="_Toc27635"/>
      <w:bookmarkStart w:id="192" w:name="_Toc487900350"/>
      <w:r>
        <w:rPr>
          <w:rFonts w:hint="eastAsia" w:ascii="宋体" w:hAnsi="宋体" w:cs="宋体"/>
          <w:b/>
          <w:color w:val="auto"/>
          <w:sz w:val="24"/>
          <w:highlight w:val="none"/>
        </w:rPr>
        <w:t>2.2 技术规范</w:t>
      </w:r>
      <w:bookmarkEnd w:id="187"/>
      <w:bookmarkEnd w:id="188"/>
      <w:bookmarkEnd w:id="189"/>
      <w:bookmarkEnd w:id="190"/>
      <w:bookmarkEnd w:id="191"/>
      <w:bookmarkEnd w:id="192"/>
    </w:p>
    <w:p w14:paraId="227E1B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14:paraId="4B6926E8">
      <w:pPr>
        <w:wordWrap w:val="0"/>
        <w:spacing w:line="360" w:lineRule="auto"/>
        <w:ind w:firstLine="482" w:firstLineChars="200"/>
        <w:rPr>
          <w:rFonts w:hint="eastAsia" w:ascii="宋体" w:hAnsi="宋体" w:cs="宋体"/>
          <w:b/>
          <w:color w:val="auto"/>
          <w:sz w:val="24"/>
          <w:highlight w:val="none"/>
        </w:rPr>
      </w:pPr>
      <w:bookmarkStart w:id="193" w:name="_Toc279701242"/>
      <w:bookmarkStart w:id="194" w:name="_Toc487900351"/>
      <w:bookmarkStart w:id="195" w:name="_Toc259093671"/>
      <w:bookmarkStart w:id="196" w:name="_Toc9829"/>
      <w:bookmarkStart w:id="197" w:name="_Toc31634"/>
      <w:bookmarkStart w:id="198" w:name="_Toc27853"/>
      <w:r>
        <w:rPr>
          <w:rFonts w:hint="eastAsia" w:ascii="宋体" w:hAnsi="宋体" w:cs="宋体"/>
          <w:b/>
          <w:color w:val="auto"/>
          <w:sz w:val="24"/>
          <w:highlight w:val="none"/>
        </w:rPr>
        <w:t>2.3 知识产权</w:t>
      </w:r>
      <w:bookmarkEnd w:id="193"/>
      <w:bookmarkEnd w:id="194"/>
      <w:bookmarkEnd w:id="195"/>
      <w:bookmarkEnd w:id="196"/>
      <w:bookmarkEnd w:id="197"/>
      <w:bookmarkEnd w:id="198"/>
    </w:p>
    <w:p w14:paraId="7E8F77A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2.3.1 乙方应保证甲方在使用该标的物或其任何一部分时不受任何第三方提出的侵犯其著作权、商标权、专利权等知识产权方面的起诉；如果任何第三方提出侵权指控，乙方须与该第三方交涉并承担由此发生的一切责任、费用和赔偿；</w:t>
      </w:r>
    </w:p>
    <w:p w14:paraId="2AA388E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2.3.2具有知识产权的计算机软件等标的物的知识产权归属，详见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C905B87">
      <w:pPr>
        <w:wordWrap w:val="0"/>
        <w:spacing w:line="360" w:lineRule="auto"/>
        <w:ind w:firstLine="482" w:firstLineChars="200"/>
        <w:rPr>
          <w:rFonts w:hint="eastAsia" w:ascii="宋体" w:hAnsi="宋体" w:cs="宋体"/>
          <w:b/>
          <w:color w:val="auto"/>
          <w:sz w:val="24"/>
          <w:highlight w:val="none"/>
        </w:rPr>
      </w:pPr>
      <w:bookmarkStart w:id="199" w:name="_Toc29149"/>
      <w:bookmarkStart w:id="200" w:name="_Toc4194"/>
      <w:bookmarkStart w:id="201" w:name="_Toc11932"/>
      <w:r>
        <w:rPr>
          <w:rFonts w:hint="eastAsia" w:ascii="宋体" w:hAnsi="宋体" w:cs="宋体"/>
          <w:b/>
          <w:color w:val="auto"/>
          <w:sz w:val="24"/>
          <w:highlight w:val="none"/>
        </w:rPr>
        <w:t>2.4 包装和装运</w:t>
      </w:r>
      <w:bookmarkEnd w:id="199"/>
      <w:bookmarkEnd w:id="200"/>
      <w:bookmarkEnd w:id="201"/>
    </w:p>
    <w:p w14:paraId="7AE010D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2.4.1除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14:paraId="2E2A20B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2.4.2 装运标的物的要求和通知，详见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AD4BBED">
      <w:pPr>
        <w:wordWrap w:val="0"/>
        <w:spacing w:line="360" w:lineRule="auto"/>
        <w:ind w:firstLine="482" w:firstLineChars="200"/>
        <w:rPr>
          <w:rFonts w:hint="eastAsia" w:ascii="宋体" w:hAnsi="宋体" w:cs="宋体"/>
          <w:b/>
          <w:color w:val="auto"/>
          <w:sz w:val="24"/>
          <w:highlight w:val="none"/>
        </w:rPr>
      </w:pPr>
      <w:bookmarkStart w:id="202" w:name="_Ref467379542"/>
      <w:bookmarkStart w:id="203" w:name="_Ref467379527"/>
      <w:bookmarkStart w:id="204" w:name="_Toc259093674"/>
      <w:bookmarkStart w:id="205" w:name="_Toc279701245"/>
      <w:bookmarkStart w:id="206" w:name="_Toc487900354"/>
      <w:bookmarkStart w:id="207" w:name="_Ref467379536"/>
      <w:bookmarkStart w:id="208" w:name="_Ref467378541"/>
      <w:bookmarkStart w:id="209" w:name="_Ref467378591"/>
      <w:bookmarkStart w:id="210" w:name="_Toc26182"/>
      <w:bookmarkStart w:id="211" w:name="_Toc30272"/>
      <w:bookmarkStart w:id="212" w:name="_Toc19074"/>
      <w:r>
        <w:rPr>
          <w:rFonts w:hint="eastAsia" w:ascii="宋体" w:hAnsi="宋体" w:cs="宋体"/>
          <w:b/>
          <w:color w:val="auto"/>
          <w:sz w:val="24"/>
          <w:highlight w:val="none"/>
        </w:rPr>
        <w:t>2.</w:t>
      </w:r>
      <w:bookmarkEnd w:id="202"/>
      <w:bookmarkEnd w:id="203"/>
      <w:bookmarkEnd w:id="204"/>
      <w:bookmarkEnd w:id="205"/>
      <w:bookmarkEnd w:id="206"/>
      <w:bookmarkEnd w:id="207"/>
      <w:bookmarkEnd w:id="208"/>
      <w:bookmarkEnd w:id="209"/>
      <w:r>
        <w:rPr>
          <w:rFonts w:hint="eastAsia" w:ascii="宋体" w:hAnsi="宋体" w:cs="宋体"/>
          <w:b/>
          <w:color w:val="auto"/>
          <w:sz w:val="24"/>
          <w:highlight w:val="none"/>
        </w:rPr>
        <w:t>5 履约检查和问题反馈</w:t>
      </w:r>
      <w:bookmarkEnd w:id="210"/>
      <w:bookmarkEnd w:id="211"/>
      <w:bookmarkEnd w:id="212"/>
    </w:p>
    <w:p w14:paraId="43568321">
      <w:pPr>
        <w:wordWrap w:val="0"/>
        <w:spacing w:line="360" w:lineRule="auto"/>
        <w:ind w:firstLine="480" w:firstLineChars="200"/>
        <w:rPr>
          <w:rFonts w:hint="eastAsia" w:ascii="宋体" w:hAnsi="宋体" w:cs="宋体"/>
          <w:color w:val="auto"/>
          <w:sz w:val="24"/>
          <w:highlight w:val="none"/>
        </w:rPr>
      </w:pPr>
      <w:bookmarkStart w:id="213" w:name="_Ref467379657"/>
      <w:r>
        <w:rPr>
          <w:rFonts w:hint="eastAsia" w:ascii="宋体" w:hAnsi="宋体" w:cs="宋体"/>
          <w:color w:val="auto"/>
          <w:sz w:val="24"/>
          <w:highlight w:val="none"/>
        </w:rPr>
        <w:t>2.5.1</w:t>
      </w:r>
      <w:bookmarkEnd w:id="213"/>
      <w:bookmarkStart w:id="214" w:name="_Toc186431854"/>
      <w:bookmarkStart w:id="215" w:name="_Toc279701247"/>
      <w:bookmarkStart w:id="216" w:name="_Toc259093676"/>
      <w:bookmarkStart w:id="217" w:name="_Ref467379807"/>
      <w:bookmarkStart w:id="218" w:name="_Ref467379793"/>
      <w:bookmarkStart w:id="219" w:name="_Toc487900357"/>
      <w:r>
        <w:rPr>
          <w:rFonts w:hint="eastAsia" w:ascii="宋体" w:hAnsi="宋体" w:cs="宋体"/>
          <w:color w:val="auto"/>
          <w:sz w:val="24"/>
          <w:highlight w:val="none"/>
        </w:rPr>
        <w:t>甲方有权在其认为必要时，对乙方是否能够按照合同约定交付标的物进行履约检查，以确保乙方所交付的标的物能够依约满足甲方之项目需求，但不得因履约检查妨碍乙方的正常工作，乙方应予积极配合；</w:t>
      </w:r>
    </w:p>
    <w:p w14:paraId="2478E62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2.5.2 合同履行期间，甲方有权将履行过程中出现的问题反馈给乙方，双方当事人应以书面形式约定需要完善和改进的内容</w:t>
      </w:r>
      <w:bookmarkEnd w:id="214"/>
      <w:bookmarkStart w:id="220" w:name="_Toc186431855"/>
      <w:r>
        <w:rPr>
          <w:rFonts w:hint="eastAsia" w:ascii="宋体" w:hAnsi="宋体" w:cs="宋体"/>
          <w:color w:val="auto"/>
          <w:sz w:val="24"/>
          <w:highlight w:val="none"/>
        </w:rPr>
        <w:t>。</w:t>
      </w:r>
    </w:p>
    <w:bookmarkEnd w:id="220"/>
    <w:p w14:paraId="2B919CC6">
      <w:pPr>
        <w:wordWrap w:val="0"/>
        <w:spacing w:line="360" w:lineRule="auto"/>
        <w:ind w:firstLine="482" w:firstLineChars="200"/>
        <w:rPr>
          <w:rFonts w:hint="eastAsia" w:ascii="宋体" w:hAnsi="宋体" w:cs="宋体"/>
          <w:b/>
          <w:color w:val="auto"/>
          <w:sz w:val="24"/>
          <w:highlight w:val="none"/>
        </w:rPr>
      </w:pPr>
      <w:bookmarkStart w:id="221" w:name="_Toc7836"/>
      <w:bookmarkStart w:id="222" w:name="_Toc19219"/>
      <w:bookmarkStart w:id="223" w:name="_Toc28451"/>
      <w:r>
        <w:rPr>
          <w:rFonts w:hint="eastAsia" w:ascii="宋体" w:hAnsi="宋体" w:cs="宋体"/>
          <w:b/>
          <w:color w:val="auto"/>
          <w:sz w:val="24"/>
          <w:highlight w:val="none"/>
        </w:rPr>
        <w:t>2.6 结算方式和付款条件</w:t>
      </w:r>
      <w:bookmarkEnd w:id="215"/>
      <w:bookmarkEnd w:id="216"/>
      <w:bookmarkEnd w:id="217"/>
      <w:bookmarkEnd w:id="218"/>
      <w:bookmarkEnd w:id="219"/>
      <w:bookmarkEnd w:id="221"/>
      <w:bookmarkEnd w:id="222"/>
      <w:bookmarkEnd w:id="223"/>
    </w:p>
    <w:p w14:paraId="4A3AC50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5751C3A">
      <w:pPr>
        <w:wordWrap w:val="0"/>
        <w:spacing w:line="360" w:lineRule="auto"/>
        <w:ind w:firstLine="482" w:firstLineChars="200"/>
        <w:rPr>
          <w:rFonts w:hint="eastAsia" w:ascii="宋体" w:hAnsi="宋体" w:cs="宋体"/>
          <w:b/>
          <w:color w:val="auto"/>
          <w:sz w:val="24"/>
          <w:highlight w:val="none"/>
        </w:rPr>
      </w:pPr>
      <w:bookmarkStart w:id="224" w:name="_Ref467379863"/>
      <w:bookmarkStart w:id="225" w:name="_Toc259093677"/>
      <w:bookmarkStart w:id="226" w:name="_Toc487900358"/>
      <w:bookmarkStart w:id="227" w:name="_Ref467379852"/>
      <w:bookmarkStart w:id="228" w:name="_Ref467379923"/>
      <w:bookmarkStart w:id="229" w:name="_Toc279701248"/>
      <w:bookmarkStart w:id="230" w:name="_Toc774"/>
      <w:bookmarkStart w:id="231" w:name="_Toc3225"/>
      <w:bookmarkStart w:id="232" w:name="_Toc16110"/>
      <w:r>
        <w:rPr>
          <w:rFonts w:hint="eastAsia" w:ascii="宋体" w:hAnsi="宋体" w:cs="宋体"/>
          <w:b/>
          <w:color w:val="auto"/>
          <w:sz w:val="24"/>
          <w:highlight w:val="none"/>
        </w:rPr>
        <w:t>2.7 技术资料</w:t>
      </w:r>
      <w:bookmarkEnd w:id="224"/>
      <w:bookmarkEnd w:id="225"/>
      <w:bookmarkEnd w:id="226"/>
      <w:bookmarkEnd w:id="227"/>
      <w:bookmarkEnd w:id="228"/>
      <w:bookmarkEnd w:id="229"/>
      <w:r>
        <w:rPr>
          <w:rFonts w:hint="eastAsia" w:ascii="宋体" w:hAnsi="宋体" w:cs="宋体"/>
          <w:b/>
          <w:color w:val="auto"/>
          <w:sz w:val="24"/>
          <w:highlight w:val="none"/>
        </w:rPr>
        <w:t>和保密义务</w:t>
      </w:r>
      <w:bookmarkEnd w:id="230"/>
      <w:bookmarkEnd w:id="231"/>
      <w:bookmarkEnd w:id="232"/>
    </w:p>
    <w:p w14:paraId="174FCC6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2.7.1 乙方有权依据合同约定和项目需要，向甲方了解有关情况，调阅有关资料等，甲方应予积极配合；</w:t>
      </w:r>
    </w:p>
    <w:p w14:paraId="571EA5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2.7.2 乙方有义务妥善保管和保护由甲方提供的前款信息和资料等；</w:t>
      </w:r>
    </w:p>
    <w:p w14:paraId="7BFEDBD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方接触到对方当事人的上述保密信息和资料。</w:t>
      </w:r>
    </w:p>
    <w:p w14:paraId="4D88A19F">
      <w:pPr>
        <w:wordWrap w:val="0"/>
        <w:spacing w:line="360" w:lineRule="auto"/>
        <w:ind w:firstLine="482" w:firstLineChars="200"/>
        <w:rPr>
          <w:rFonts w:hint="eastAsia" w:ascii="宋体" w:hAnsi="宋体" w:cs="宋体"/>
          <w:b/>
          <w:color w:val="auto"/>
          <w:sz w:val="24"/>
          <w:highlight w:val="none"/>
        </w:rPr>
      </w:pPr>
      <w:bookmarkStart w:id="233" w:name="_Toc7860"/>
      <w:r>
        <w:rPr>
          <w:rFonts w:hint="eastAsia" w:ascii="宋体" w:hAnsi="宋体" w:cs="宋体"/>
          <w:b/>
          <w:color w:val="auto"/>
          <w:sz w:val="24"/>
          <w:highlight w:val="none"/>
        </w:rPr>
        <w:t>2.8 质量保证</w:t>
      </w:r>
      <w:bookmarkEnd w:id="233"/>
    </w:p>
    <w:p w14:paraId="6EF6DCDD">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2.8.1 乙方应建立和完善履行合同的内部质量保证体系，并提供相关内部规章制度给甲方，以便甲方进行监督检查；</w:t>
      </w:r>
    </w:p>
    <w:p w14:paraId="1D327E1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2.8.2 乙方应保证履行合同的人员数量和素质、软件和硬件设备的配置、场地、环境和设施等满足全面履行合同的要求，并应接受甲方的监督检查。</w:t>
      </w:r>
    </w:p>
    <w:p w14:paraId="3B4F9D65">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sz w:val="24"/>
          <w:highlight w:val="none"/>
        </w:rPr>
        <w:t>2.8.3乙方应确保项目技术人员的数量和水平与投标文件一致。未经甲方书面同意，乙方不得擅自更换投标文件中注明的项目经理和技术负责人。否则</w:t>
      </w:r>
      <w:r>
        <w:rPr>
          <w:rFonts w:hint="eastAsia" w:ascii="宋体" w:hAnsi="宋体" w:cs="宋体"/>
          <w:color w:val="auto"/>
          <w:kern w:val="0"/>
          <w:sz w:val="24"/>
          <w:highlight w:val="none"/>
        </w:rPr>
        <w:t>甲方有权放弃或终止合同，并没收履约保证金。</w:t>
      </w:r>
    </w:p>
    <w:p w14:paraId="022F151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2.8.4因乙方原因造成甲方其他系统不能正常运行，酿成重大事故（工作日系统中断一天以上）的，乙方应承担全部法律责任，并赔偿经济损失，赔偿金额为项目总价的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（根据项目实际情况填写，一般为30%）。</w:t>
      </w:r>
    </w:p>
    <w:p w14:paraId="3AFB9EBB">
      <w:pPr>
        <w:wordWrap w:val="0"/>
        <w:spacing w:line="360" w:lineRule="auto"/>
        <w:ind w:firstLine="482" w:firstLineChars="200"/>
        <w:rPr>
          <w:rFonts w:hint="eastAsia" w:ascii="宋体" w:hAnsi="宋体" w:cs="宋体"/>
          <w:b/>
          <w:color w:val="auto"/>
          <w:sz w:val="24"/>
          <w:highlight w:val="none"/>
        </w:rPr>
      </w:pPr>
      <w:bookmarkStart w:id="234" w:name="_Toc17244"/>
      <w:bookmarkStart w:id="235" w:name="_Toc487900362"/>
      <w:bookmarkStart w:id="236" w:name="_Toc279701252"/>
      <w:bookmarkStart w:id="237" w:name="_Toc259093681"/>
      <w:r>
        <w:rPr>
          <w:rFonts w:hint="eastAsia" w:ascii="宋体" w:hAnsi="宋体" w:cs="宋体"/>
          <w:b/>
          <w:color w:val="auto"/>
          <w:sz w:val="24"/>
          <w:highlight w:val="none"/>
        </w:rPr>
        <w:t>2.9 标的物的风险负担</w:t>
      </w:r>
      <w:bookmarkEnd w:id="234"/>
    </w:p>
    <w:p w14:paraId="3C0CAA22">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5CF78E1">
      <w:pPr>
        <w:wordWrap w:val="0"/>
        <w:spacing w:line="360" w:lineRule="auto"/>
        <w:ind w:firstLine="482" w:firstLineChars="200"/>
        <w:rPr>
          <w:rFonts w:hint="eastAsia" w:ascii="宋体" w:hAnsi="宋体" w:cs="宋体"/>
          <w:b/>
          <w:color w:val="auto"/>
          <w:sz w:val="24"/>
          <w:highlight w:val="none"/>
        </w:rPr>
      </w:pPr>
      <w:bookmarkStart w:id="238" w:name="_Toc14055"/>
      <w:r>
        <w:rPr>
          <w:rFonts w:hint="eastAsia" w:ascii="宋体" w:hAnsi="宋体" w:cs="宋体"/>
          <w:b/>
          <w:color w:val="auto"/>
          <w:sz w:val="24"/>
          <w:highlight w:val="none"/>
        </w:rPr>
        <w:t>2.10 延迟交货</w:t>
      </w:r>
      <w:bookmarkEnd w:id="235"/>
      <w:bookmarkEnd w:id="236"/>
      <w:bookmarkEnd w:id="237"/>
      <w:bookmarkEnd w:id="238"/>
      <w:r>
        <w:rPr>
          <w:rFonts w:hint="eastAsia" w:ascii="宋体" w:hAnsi="宋体" w:cs="宋体"/>
          <w:b/>
          <w:color w:val="auto"/>
          <w:sz w:val="24"/>
          <w:highlight w:val="none"/>
        </w:rPr>
        <w:t>/交付</w:t>
      </w:r>
    </w:p>
    <w:p w14:paraId="12E1F07F">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14:paraId="5A75CFE0">
      <w:pPr>
        <w:wordWrap w:val="0"/>
        <w:spacing w:line="360" w:lineRule="auto"/>
        <w:ind w:firstLine="482" w:firstLineChars="200"/>
        <w:rPr>
          <w:rFonts w:hint="eastAsia" w:ascii="宋体" w:hAnsi="宋体" w:cs="宋体"/>
          <w:b/>
          <w:color w:val="auto"/>
          <w:sz w:val="24"/>
          <w:highlight w:val="none"/>
        </w:rPr>
      </w:pPr>
      <w:bookmarkStart w:id="239" w:name="_Toc7502"/>
      <w:bookmarkStart w:id="240" w:name="_Toc279701254"/>
      <w:bookmarkStart w:id="241" w:name="_Toc487900364"/>
      <w:bookmarkStart w:id="242" w:name="_Toc259093683"/>
      <w:bookmarkStart w:id="243" w:name="_Ref467378121"/>
      <w:r>
        <w:rPr>
          <w:rFonts w:hint="eastAsia" w:ascii="宋体" w:hAnsi="宋体" w:cs="宋体"/>
          <w:b/>
          <w:color w:val="auto"/>
          <w:sz w:val="24"/>
          <w:highlight w:val="none"/>
        </w:rPr>
        <w:t>2.11 合同变更</w:t>
      </w:r>
      <w:bookmarkEnd w:id="239"/>
    </w:p>
    <w:p w14:paraId="03B076B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14:paraId="178C082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2.11.2 合同继续履行将损害国家利益和社会公共利益的，双方当事人应当以书面形式变更合同。有过错的一方应当承担赔偿责任，双方当事人都有过错的，各自承担相应的责任。</w:t>
      </w:r>
      <w:bookmarkStart w:id="244" w:name="_Toc259093688"/>
      <w:bookmarkStart w:id="245" w:name="_Toc279701259"/>
      <w:bookmarkStart w:id="246" w:name="_Toc487900369"/>
    </w:p>
    <w:p w14:paraId="56397209">
      <w:pPr>
        <w:wordWrap w:val="0"/>
        <w:spacing w:line="360" w:lineRule="auto"/>
        <w:ind w:firstLine="482" w:firstLineChars="200"/>
        <w:rPr>
          <w:rFonts w:hint="eastAsia" w:ascii="宋体" w:hAnsi="宋体" w:cs="宋体"/>
          <w:b/>
          <w:color w:val="auto"/>
          <w:sz w:val="24"/>
          <w:highlight w:val="none"/>
        </w:rPr>
      </w:pPr>
      <w:bookmarkStart w:id="247" w:name="_Toc15237"/>
      <w:bookmarkStart w:id="248" w:name="_Toc10366"/>
      <w:bookmarkStart w:id="249" w:name="_Toc22955"/>
      <w:r>
        <w:rPr>
          <w:rFonts w:hint="eastAsia" w:ascii="宋体" w:hAnsi="宋体" w:cs="宋体"/>
          <w:b/>
          <w:color w:val="auto"/>
          <w:sz w:val="24"/>
          <w:highlight w:val="none"/>
        </w:rPr>
        <w:t>2.12 合同转让</w:t>
      </w:r>
      <w:bookmarkEnd w:id="244"/>
      <w:bookmarkEnd w:id="245"/>
      <w:bookmarkEnd w:id="246"/>
      <w:r>
        <w:rPr>
          <w:rFonts w:hint="eastAsia" w:ascii="宋体" w:hAnsi="宋体" w:cs="宋体"/>
          <w:b/>
          <w:color w:val="auto"/>
          <w:sz w:val="24"/>
          <w:highlight w:val="none"/>
        </w:rPr>
        <w:t>和分包</w:t>
      </w:r>
      <w:bookmarkEnd w:id="247"/>
      <w:bookmarkEnd w:id="248"/>
      <w:bookmarkEnd w:id="249"/>
    </w:p>
    <w:p w14:paraId="3A32879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14:paraId="7813E67D">
      <w:pPr>
        <w:wordWrap w:val="0"/>
        <w:spacing w:line="360" w:lineRule="auto"/>
        <w:ind w:firstLine="482" w:firstLineChars="200"/>
        <w:rPr>
          <w:rFonts w:hint="eastAsia" w:ascii="宋体" w:hAnsi="宋体" w:cs="宋体"/>
          <w:b/>
          <w:color w:val="auto"/>
          <w:sz w:val="24"/>
          <w:highlight w:val="none"/>
        </w:rPr>
      </w:pPr>
      <w:bookmarkStart w:id="250" w:name="_Toc14066"/>
      <w:bookmarkStart w:id="251" w:name="_Toc13566"/>
      <w:bookmarkStart w:id="252" w:name="_Toc16508"/>
      <w:r>
        <w:rPr>
          <w:rFonts w:hint="eastAsia" w:ascii="宋体" w:hAnsi="宋体" w:cs="宋体"/>
          <w:b/>
          <w:color w:val="auto"/>
          <w:sz w:val="24"/>
          <w:highlight w:val="none"/>
        </w:rPr>
        <w:t>2.13 不可抗力</w:t>
      </w:r>
      <w:bookmarkEnd w:id="250"/>
      <w:bookmarkEnd w:id="251"/>
      <w:bookmarkEnd w:id="252"/>
    </w:p>
    <w:p w14:paraId="7BE5B09B">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2.13.1如果任何一方遭遇法律规定的不可抗力，致使合同履行受阻时，履行合同的期限应予延长，延长的期限应相当于不可抗力所影响的时间；</w:t>
      </w:r>
    </w:p>
    <w:p w14:paraId="359C67A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2.13.2受不可抗力影响的一方在不可抗力发生后，应在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约定时间内以书面形式通知对方当事人，并在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约定时间内，将有关部门出具的证明文件送达对方当事人。</w:t>
      </w:r>
    </w:p>
    <w:p w14:paraId="51783AD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2.13.3 因不可抗力致使不能实现合同目的的，当事人可以解除合同；</w:t>
      </w:r>
    </w:p>
    <w:p w14:paraId="5F06E28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2.13.4 因不可抗力致使合同有变更必要的，双方当事人应在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约定时间内以书面形式变更合同；</w:t>
      </w:r>
    </w:p>
    <w:p w14:paraId="04417B94">
      <w:pPr>
        <w:wordWrap w:val="0"/>
        <w:spacing w:line="360" w:lineRule="auto"/>
        <w:ind w:firstLine="482" w:firstLineChars="200"/>
        <w:rPr>
          <w:rFonts w:hint="eastAsia" w:ascii="宋体" w:hAnsi="宋体" w:cs="宋体"/>
          <w:b/>
          <w:color w:val="auto"/>
          <w:sz w:val="24"/>
          <w:highlight w:val="none"/>
        </w:rPr>
      </w:pPr>
      <w:bookmarkStart w:id="253" w:name="_Toc487900365"/>
      <w:bookmarkStart w:id="254" w:name="_Toc6969"/>
      <w:bookmarkStart w:id="255" w:name="_Toc259093684"/>
      <w:bookmarkStart w:id="256" w:name="_Toc30676"/>
      <w:bookmarkStart w:id="257" w:name="_Toc689"/>
      <w:bookmarkStart w:id="258" w:name="_Toc279701255"/>
      <w:r>
        <w:rPr>
          <w:rFonts w:hint="eastAsia" w:ascii="宋体" w:hAnsi="宋体" w:cs="宋体"/>
          <w:b/>
          <w:color w:val="auto"/>
          <w:sz w:val="24"/>
          <w:highlight w:val="none"/>
        </w:rPr>
        <w:t>2.14 税费</w:t>
      </w:r>
      <w:bookmarkEnd w:id="253"/>
      <w:bookmarkEnd w:id="254"/>
      <w:bookmarkEnd w:id="255"/>
      <w:bookmarkEnd w:id="256"/>
      <w:bookmarkEnd w:id="257"/>
      <w:bookmarkEnd w:id="258"/>
    </w:p>
    <w:p w14:paraId="360FF62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与合同有关的一切税费，均按照中华人民共和国法律的相关规定执行。</w:t>
      </w:r>
    </w:p>
    <w:p w14:paraId="7E0D607C">
      <w:pPr>
        <w:wordWrap w:val="0"/>
        <w:spacing w:line="360" w:lineRule="auto"/>
        <w:ind w:firstLine="482" w:firstLineChars="200"/>
        <w:rPr>
          <w:rFonts w:hint="eastAsia" w:ascii="宋体" w:hAnsi="宋体" w:cs="宋体"/>
          <w:b/>
          <w:color w:val="auto"/>
          <w:sz w:val="24"/>
          <w:highlight w:val="none"/>
        </w:rPr>
      </w:pPr>
      <w:bookmarkStart w:id="259" w:name="_Toc487900368"/>
      <w:bookmarkStart w:id="260" w:name="_Toc8298"/>
      <w:bookmarkStart w:id="261" w:name="_Toc279701258"/>
      <w:bookmarkStart w:id="262" w:name="_Toc16959"/>
      <w:bookmarkStart w:id="263" w:name="_Toc259093687"/>
      <w:bookmarkStart w:id="264" w:name="_Toc7102"/>
      <w:r>
        <w:rPr>
          <w:rFonts w:hint="eastAsia" w:ascii="宋体" w:hAnsi="宋体" w:cs="宋体"/>
          <w:b/>
          <w:color w:val="auto"/>
          <w:sz w:val="24"/>
          <w:highlight w:val="none"/>
        </w:rPr>
        <w:t>2.15 乙方破产</w:t>
      </w:r>
      <w:bookmarkEnd w:id="259"/>
      <w:bookmarkEnd w:id="260"/>
      <w:bookmarkEnd w:id="261"/>
      <w:bookmarkEnd w:id="262"/>
      <w:bookmarkEnd w:id="263"/>
      <w:bookmarkEnd w:id="264"/>
    </w:p>
    <w:p w14:paraId="798D2F4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D976B3F">
      <w:pPr>
        <w:wordWrap w:val="0"/>
        <w:spacing w:line="360" w:lineRule="auto"/>
        <w:ind w:firstLine="482" w:firstLineChars="200"/>
        <w:rPr>
          <w:rFonts w:hint="eastAsia" w:ascii="宋体" w:hAnsi="宋体" w:cs="宋体"/>
          <w:b/>
          <w:color w:val="auto"/>
          <w:sz w:val="24"/>
          <w:highlight w:val="none"/>
        </w:rPr>
      </w:pPr>
      <w:bookmarkStart w:id="265" w:name="_Toc6134"/>
      <w:bookmarkStart w:id="266" w:name="_Toc15387"/>
      <w:bookmarkStart w:id="267" w:name="_Toc29333"/>
      <w:r>
        <w:rPr>
          <w:rFonts w:hint="eastAsia" w:ascii="宋体" w:hAnsi="宋体" w:cs="宋体"/>
          <w:b/>
          <w:color w:val="auto"/>
          <w:sz w:val="24"/>
          <w:highlight w:val="none"/>
        </w:rPr>
        <w:t>2.16 合同中止、终止</w:t>
      </w:r>
      <w:bookmarkEnd w:id="265"/>
      <w:bookmarkEnd w:id="266"/>
      <w:bookmarkEnd w:id="267"/>
    </w:p>
    <w:p w14:paraId="27228BDC">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2.16.1 双方当事人不得擅自中止或者终止合同；</w:t>
      </w:r>
    </w:p>
    <w:p w14:paraId="3501D89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2.16.2合同继续履行将损害国家利益和社会公共利益的，双方当事人应当中止或者终止合同。有过错的一方应当承担赔偿责任，双方当事人都有过错的，各自承担相应的责任。</w:t>
      </w:r>
    </w:p>
    <w:p w14:paraId="3050C6AD">
      <w:pPr>
        <w:wordWrap w:val="0"/>
        <w:spacing w:line="360" w:lineRule="auto"/>
        <w:ind w:firstLine="482" w:firstLineChars="200"/>
        <w:rPr>
          <w:rFonts w:hint="eastAsia" w:ascii="宋体" w:hAnsi="宋体" w:cs="宋体"/>
          <w:b/>
          <w:color w:val="auto"/>
          <w:sz w:val="24"/>
          <w:highlight w:val="none"/>
        </w:rPr>
      </w:pPr>
      <w:bookmarkStart w:id="268" w:name="_Toc1125"/>
      <w:bookmarkStart w:id="269" w:name="_Toc6596"/>
      <w:bookmarkStart w:id="270" w:name="_Toc14563"/>
      <w:r>
        <w:rPr>
          <w:rFonts w:hint="eastAsia" w:ascii="宋体" w:hAnsi="宋体" w:cs="宋体"/>
          <w:b/>
          <w:color w:val="auto"/>
          <w:sz w:val="24"/>
          <w:highlight w:val="none"/>
        </w:rPr>
        <w:t>2.17 检验和验收</w:t>
      </w:r>
      <w:bookmarkEnd w:id="268"/>
      <w:bookmarkEnd w:id="269"/>
      <w:bookmarkEnd w:id="270"/>
    </w:p>
    <w:p w14:paraId="4DCF08D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2.17.1标的物交付前，乙方应对标的物的质量、数量等方面进行详细、全面的检验，并向甲方出具证明标的物符合合同约定的文件；标的物交付时，乙方在</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约定时间内组织验收，并可依法邀请相关方参加，验收应出具验收书。</w:t>
      </w:r>
    </w:p>
    <w:p w14:paraId="057853F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C653A8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2.17.3 检验和验收标准、程序等具体内容以及前述验收书的效力详见</w:t>
      </w:r>
      <w:r>
        <w:rPr>
          <w:rFonts w:hint="eastAsia" w:ascii="宋体" w:hAnsi="宋体" w:cs="宋体"/>
          <w:b/>
          <w:i/>
          <w:color w:val="auto"/>
          <w:sz w:val="24"/>
          <w:highlight w:val="none"/>
          <w:u w:val="single"/>
        </w:rPr>
        <w:t>合同专用条款</w:t>
      </w:r>
      <w:r>
        <w:rPr>
          <w:rFonts w:hint="eastAsia" w:ascii="宋体" w:hAnsi="宋体" w:cs="宋体"/>
          <w:i/>
          <w:color w:val="auto"/>
          <w:sz w:val="24"/>
          <w:highlight w:val="none"/>
        </w:rPr>
        <w:t>。</w:t>
      </w:r>
    </w:p>
    <w:bookmarkEnd w:id="240"/>
    <w:bookmarkEnd w:id="241"/>
    <w:bookmarkEnd w:id="242"/>
    <w:bookmarkEnd w:id="243"/>
    <w:p w14:paraId="1027FC9A">
      <w:pPr>
        <w:wordWrap w:val="0"/>
        <w:spacing w:line="360" w:lineRule="auto"/>
        <w:ind w:firstLine="482" w:firstLineChars="200"/>
        <w:rPr>
          <w:rFonts w:hint="eastAsia" w:ascii="宋体" w:hAnsi="宋体" w:cs="宋体"/>
          <w:b/>
          <w:color w:val="auto"/>
          <w:sz w:val="24"/>
          <w:highlight w:val="none"/>
        </w:rPr>
      </w:pPr>
      <w:bookmarkStart w:id="271" w:name="_Toc259093690"/>
      <w:bookmarkStart w:id="272" w:name="_Toc487900371"/>
      <w:bookmarkStart w:id="273" w:name="_Toc279701261"/>
      <w:bookmarkStart w:id="274" w:name="_Toc25182"/>
      <w:bookmarkStart w:id="275" w:name="_Toc11284"/>
      <w:bookmarkStart w:id="276" w:name="_Toc19604"/>
      <w:r>
        <w:rPr>
          <w:rFonts w:hint="eastAsia" w:ascii="宋体" w:hAnsi="宋体" w:cs="宋体"/>
          <w:b/>
          <w:color w:val="auto"/>
          <w:sz w:val="24"/>
          <w:highlight w:val="none"/>
        </w:rPr>
        <w:t>2.18 通知</w:t>
      </w:r>
      <w:bookmarkEnd w:id="271"/>
      <w:bookmarkEnd w:id="272"/>
      <w:bookmarkEnd w:id="273"/>
      <w:r>
        <w:rPr>
          <w:rFonts w:hint="eastAsia" w:ascii="宋体" w:hAnsi="宋体" w:cs="宋体"/>
          <w:b/>
          <w:color w:val="auto"/>
          <w:sz w:val="24"/>
          <w:highlight w:val="none"/>
        </w:rPr>
        <w:t>和送达</w:t>
      </w:r>
      <w:bookmarkEnd w:id="274"/>
      <w:bookmarkEnd w:id="275"/>
      <w:bookmarkEnd w:id="276"/>
    </w:p>
    <w:p w14:paraId="0024CE64">
      <w:pPr>
        <w:wordWrap w:val="0"/>
        <w:spacing w:line="360" w:lineRule="auto"/>
        <w:ind w:firstLine="480" w:firstLineChars="200"/>
        <w:rPr>
          <w:rFonts w:hint="eastAsia" w:ascii="宋体" w:hAnsi="宋体" w:cs="宋体"/>
          <w:color w:val="auto"/>
          <w:sz w:val="24"/>
          <w:highlight w:val="none"/>
        </w:rPr>
      </w:pPr>
      <w:bookmarkStart w:id="277" w:name="_Toc3135"/>
      <w:bookmarkStart w:id="278" w:name="_Toc6698"/>
      <w:bookmarkStart w:id="279" w:name="_Toc259093691"/>
      <w:bookmarkStart w:id="280" w:name="_Toc487900372"/>
      <w:bookmarkStart w:id="281" w:name="_Toc279701262"/>
      <w:r>
        <w:rPr>
          <w:rFonts w:hint="eastAsia" w:ascii="宋体" w:hAnsi="宋体" w:cs="宋体"/>
          <w:color w:val="auto"/>
          <w:sz w:val="24"/>
          <w:highlight w:val="none"/>
        </w:rPr>
        <w:t>2.18.1 任何一方因履行合同而以合同第一部分尾部所列明的</w:t>
      </w:r>
      <w:r>
        <w:rPr>
          <w:rFonts w:hint="eastAsia" w:ascii="宋体" w:hAnsi="宋体" w:cs="宋体"/>
          <w:color w:val="auto"/>
          <w:sz w:val="24"/>
          <w:highlight w:val="none"/>
          <w:u w:val="single"/>
        </w:rPr>
        <w:t>“约定送达地址”</w:t>
      </w:r>
      <w:r>
        <w:rPr>
          <w:rFonts w:hint="eastAsia" w:ascii="宋体" w:hAnsi="宋体" w:cs="宋体"/>
          <w:color w:val="auto"/>
          <w:sz w:val="24"/>
          <w:highlight w:val="none"/>
        </w:rPr>
        <w:t>为收件地址的所有通知、文件、材料，均视为已向对方当事人送达；任何一方变更上述送达方式或者地址的，应于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个工作日（根据项目实际情况填写）内书面通知对方当事人，在对方当事人收到有关变更通知之前，变更前的约定送达方式或者地址仍视为有效。</w:t>
      </w:r>
      <w:bookmarkEnd w:id="277"/>
      <w:bookmarkEnd w:id="278"/>
    </w:p>
    <w:p w14:paraId="6FF58361">
      <w:pPr>
        <w:wordWrap w:val="0"/>
        <w:spacing w:line="360" w:lineRule="auto"/>
        <w:ind w:firstLine="480" w:firstLineChars="200"/>
        <w:rPr>
          <w:rFonts w:hint="eastAsia" w:ascii="宋体" w:hAnsi="宋体" w:cs="宋体"/>
          <w:color w:val="auto"/>
          <w:sz w:val="24"/>
          <w:highlight w:val="none"/>
        </w:rPr>
      </w:pPr>
      <w:bookmarkStart w:id="282" w:name="_Toc23294"/>
      <w:bookmarkStart w:id="283" w:name="_Toc23128"/>
      <w:r>
        <w:rPr>
          <w:rFonts w:hint="eastAsia" w:ascii="宋体" w:hAnsi="宋体" w:cs="宋体"/>
          <w:color w:val="auto"/>
          <w:sz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82"/>
      <w:bookmarkEnd w:id="283"/>
    </w:p>
    <w:p w14:paraId="5F55414E">
      <w:pPr>
        <w:wordWrap w:val="0"/>
        <w:spacing w:line="360" w:lineRule="auto"/>
        <w:ind w:firstLine="482" w:firstLineChars="200"/>
        <w:rPr>
          <w:rFonts w:hint="eastAsia" w:ascii="宋体" w:hAnsi="宋体" w:cs="宋体"/>
          <w:b/>
          <w:color w:val="auto"/>
          <w:sz w:val="24"/>
          <w:highlight w:val="none"/>
        </w:rPr>
      </w:pPr>
      <w:bookmarkStart w:id="284" w:name="_Toc30599"/>
      <w:bookmarkStart w:id="285" w:name="_Toc4355"/>
      <w:bookmarkStart w:id="286" w:name="_Toc18540"/>
      <w:r>
        <w:rPr>
          <w:rFonts w:hint="eastAsia" w:ascii="宋体" w:hAnsi="宋体" w:cs="宋体"/>
          <w:b/>
          <w:color w:val="auto"/>
          <w:sz w:val="24"/>
          <w:highlight w:val="none"/>
        </w:rPr>
        <w:t>2.19 计量单位</w:t>
      </w:r>
      <w:bookmarkEnd w:id="279"/>
      <w:bookmarkEnd w:id="280"/>
      <w:bookmarkEnd w:id="281"/>
      <w:bookmarkEnd w:id="284"/>
      <w:bookmarkEnd w:id="285"/>
      <w:bookmarkEnd w:id="286"/>
    </w:p>
    <w:p w14:paraId="4177487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1C47F9B">
      <w:pPr>
        <w:wordWrap w:val="0"/>
        <w:spacing w:line="360" w:lineRule="auto"/>
        <w:ind w:firstLine="482" w:firstLineChars="200"/>
        <w:rPr>
          <w:rFonts w:hint="eastAsia" w:ascii="宋体" w:hAnsi="宋体" w:cs="宋体"/>
          <w:b/>
          <w:color w:val="auto"/>
          <w:sz w:val="24"/>
          <w:highlight w:val="none"/>
        </w:rPr>
      </w:pPr>
      <w:bookmarkStart w:id="287" w:name="_Toc10330"/>
      <w:bookmarkStart w:id="288" w:name="_Toc259093692"/>
      <w:bookmarkStart w:id="289" w:name="_Toc12773"/>
      <w:bookmarkStart w:id="290" w:name="_Toc279701263"/>
      <w:bookmarkStart w:id="291" w:name="_Toc487900373"/>
      <w:bookmarkStart w:id="292" w:name="_Toc18567"/>
      <w:r>
        <w:rPr>
          <w:rFonts w:hint="eastAsia" w:ascii="宋体" w:hAnsi="宋体" w:cs="宋体"/>
          <w:b/>
          <w:color w:val="auto"/>
          <w:sz w:val="24"/>
          <w:highlight w:val="none"/>
        </w:rPr>
        <w:t>2.20 合同使用的文字和适用的法律</w:t>
      </w:r>
      <w:bookmarkEnd w:id="287"/>
      <w:bookmarkEnd w:id="288"/>
      <w:bookmarkEnd w:id="289"/>
      <w:bookmarkEnd w:id="290"/>
      <w:bookmarkEnd w:id="291"/>
      <w:bookmarkEnd w:id="292"/>
    </w:p>
    <w:p w14:paraId="6E90596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2.20.1 合同使用汉语书就、变更和解释；</w:t>
      </w:r>
    </w:p>
    <w:p w14:paraId="4FEC5C0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2.20.2 合同适用中华人民共和国法律。</w:t>
      </w:r>
    </w:p>
    <w:p w14:paraId="28DC5304">
      <w:pPr>
        <w:wordWrap w:val="0"/>
        <w:spacing w:line="360" w:lineRule="auto"/>
        <w:ind w:firstLine="482" w:firstLineChars="200"/>
        <w:rPr>
          <w:rFonts w:hint="eastAsia" w:ascii="宋体" w:hAnsi="宋体" w:cs="宋体"/>
          <w:b/>
          <w:color w:val="auto"/>
          <w:sz w:val="24"/>
          <w:highlight w:val="none"/>
        </w:rPr>
      </w:pPr>
      <w:bookmarkStart w:id="293" w:name="_Toc16673"/>
      <w:bookmarkStart w:id="294" w:name="_Toc3148"/>
      <w:bookmarkStart w:id="295" w:name="_Toc259093693"/>
      <w:bookmarkStart w:id="296" w:name="_Toc12004"/>
      <w:bookmarkStart w:id="297" w:name="_Toc279701264"/>
      <w:bookmarkStart w:id="298" w:name="_Toc487900374"/>
      <w:r>
        <w:rPr>
          <w:rFonts w:hint="eastAsia" w:ascii="宋体" w:hAnsi="宋体" w:cs="宋体"/>
          <w:b/>
          <w:color w:val="auto"/>
          <w:sz w:val="24"/>
          <w:highlight w:val="none"/>
        </w:rPr>
        <w:t>2.21 履约保证金</w:t>
      </w:r>
      <w:bookmarkEnd w:id="293"/>
      <w:bookmarkEnd w:id="294"/>
      <w:bookmarkEnd w:id="295"/>
      <w:bookmarkEnd w:id="296"/>
      <w:bookmarkEnd w:id="297"/>
    </w:p>
    <w:p w14:paraId="6E64F17C">
      <w:pPr>
        <w:wordWrap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highlight w:val="none"/>
        </w:rPr>
        <w:t>本项目不收取履约保证金</w:t>
      </w:r>
    </w:p>
    <w:p w14:paraId="7BCBD09D">
      <w:pPr>
        <w:wordWrap w:val="0"/>
        <w:spacing w:line="360" w:lineRule="auto"/>
        <w:ind w:firstLine="482" w:firstLineChars="200"/>
        <w:rPr>
          <w:rFonts w:hint="eastAsia" w:ascii="宋体" w:hAnsi="宋体" w:cs="宋体"/>
          <w:color w:val="auto"/>
          <w:kern w:val="0"/>
          <w:sz w:val="24"/>
          <w:highlight w:val="none"/>
          <w:lang w:val="zh-CN"/>
        </w:rPr>
      </w:pPr>
      <w:r>
        <w:rPr>
          <w:rFonts w:hint="eastAsia" w:ascii="宋体" w:hAnsi="宋体" w:cs="宋体"/>
          <w:b/>
          <w:color w:val="auto"/>
          <w:sz w:val="24"/>
          <w:highlight w:val="none"/>
        </w:rPr>
        <w:t>2.22 中小企业政策</w:t>
      </w:r>
    </w:p>
    <w:p w14:paraId="2926A271">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2.22.1本合同（□是  □否）为中小企业“政采贷”可融资合同，关于中小企业信用融资事项见采购文件“投标人须知正文”。</w:t>
      </w:r>
    </w:p>
    <w:p w14:paraId="6B14DA21">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2.22.2本合同（□是  □否）为中小企业预留合同。</w:t>
      </w:r>
    </w:p>
    <w:bookmarkEnd w:id="298"/>
    <w:p w14:paraId="65118C9E">
      <w:pPr>
        <w:wordWrap w:val="0"/>
        <w:spacing w:line="360" w:lineRule="auto"/>
        <w:ind w:firstLine="482" w:firstLineChars="200"/>
        <w:rPr>
          <w:rFonts w:hint="eastAsia" w:ascii="宋体" w:hAnsi="宋体" w:cs="宋体"/>
          <w:b/>
          <w:color w:val="auto"/>
          <w:sz w:val="24"/>
          <w:highlight w:val="none"/>
        </w:rPr>
      </w:pPr>
      <w:bookmarkStart w:id="299" w:name="_Toc6885"/>
      <w:bookmarkStart w:id="300" w:name="_Toc19890"/>
      <w:bookmarkStart w:id="301" w:name="_Toc14001"/>
      <w:r>
        <w:rPr>
          <w:rFonts w:hint="eastAsia" w:ascii="宋体" w:hAnsi="宋体" w:cs="宋体"/>
          <w:b/>
          <w:color w:val="auto"/>
          <w:sz w:val="24"/>
          <w:highlight w:val="none"/>
        </w:rPr>
        <w:t>2.23 合同份数</w:t>
      </w:r>
      <w:bookmarkEnd w:id="299"/>
      <w:bookmarkEnd w:id="300"/>
      <w:bookmarkEnd w:id="301"/>
    </w:p>
    <w:p w14:paraId="18594003">
      <w:pPr>
        <w:wordWrap w:val="0"/>
        <w:spacing w:line="360" w:lineRule="auto"/>
        <w:jc w:val="center"/>
        <w:rPr>
          <w:rFonts w:hint="eastAsia" w:ascii="宋体" w:hAnsi="宋体" w:cs="宋体"/>
          <w:b/>
          <w:color w:val="auto"/>
          <w:sz w:val="28"/>
          <w:szCs w:val="28"/>
          <w:highlight w:val="none"/>
        </w:rPr>
      </w:pPr>
      <w:r>
        <w:rPr>
          <w:rFonts w:hint="eastAsia" w:ascii="宋体" w:hAnsi="宋体"/>
          <w:color w:val="auto"/>
          <w:sz w:val="24"/>
          <w:highlight w:val="none"/>
        </w:rPr>
        <w:t>本合同壹式</w:t>
      </w:r>
      <w:r>
        <w:rPr>
          <w:rFonts w:hint="eastAsia" w:ascii="宋体" w:hAnsi="宋体"/>
          <w:color w:val="auto"/>
          <w:sz w:val="24"/>
          <w:highlight w:val="none"/>
          <w:u w:val="single"/>
        </w:rPr>
        <w:t xml:space="preserve">   </w:t>
      </w:r>
      <w:r>
        <w:rPr>
          <w:rFonts w:hint="eastAsia" w:ascii="宋体" w:hAnsi="宋体"/>
          <w:color w:val="auto"/>
          <w:sz w:val="24"/>
          <w:highlight w:val="none"/>
        </w:rPr>
        <w:t>份，甲方执</w:t>
      </w:r>
      <w:r>
        <w:rPr>
          <w:rFonts w:hint="eastAsia" w:ascii="宋体" w:hAnsi="宋体"/>
          <w:color w:val="auto"/>
          <w:sz w:val="24"/>
          <w:highlight w:val="none"/>
          <w:u w:val="single"/>
        </w:rPr>
        <w:t xml:space="preserve">   </w:t>
      </w:r>
      <w:r>
        <w:rPr>
          <w:rFonts w:hint="eastAsia" w:ascii="宋体" w:hAnsi="宋体"/>
          <w:color w:val="auto"/>
          <w:sz w:val="24"/>
          <w:highlight w:val="none"/>
        </w:rPr>
        <w:t>份，乙方执</w:t>
      </w:r>
      <w:r>
        <w:rPr>
          <w:rFonts w:hint="eastAsia" w:ascii="宋体" w:hAnsi="宋体"/>
          <w:color w:val="auto"/>
          <w:sz w:val="24"/>
          <w:highlight w:val="none"/>
          <w:u w:val="single"/>
        </w:rPr>
        <w:t xml:space="preserve">   </w:t>
      </w:r>
      <w:r>
        <w:rPr>
          <w:rFonts w:hint="eastAsia" w:ascii="宋体" w:hAnsi="宋体"/>
          <w:color w:val="auto"/>
          <w:sz w:val="24"/>
          <w:highlight w:val="none"/>
        </w:rPr>
        <w:t>份，代理机构执</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份。每份均具有同等法律效力。</w:t>
      </w:r>
      <w:r>
        <w:rPr>
          <w:rFonts w:hint="eastAsia" w:ascii="宋体" w:hAnsi="宋体" w:cs="宋体"/>
          <w:color w:val="auto"/>
          <w:highlight w:val="none"/>
        </w:rPr>
        <w:br w:type="page"/>
      </w:r>
      <w:bookmarkStart w:id="302" w:name="_Toc331685784"/>
      <w:r>
        <w:rPr>
          <w:rFonts w:hint="eastAsia" w:ascii="宋体" w:hAnsi="宋体" w:cs="宋体"/>
          <w:b/>
          <w:color w:val="auto"/>
          <w:sz w:val="28"/>
          <w:szCs w:val="28"/>
          <w:highlight w:val="none"/>
        </w:rPr>
        <w:t>第三部分  合同专用条款</w:t>
      </w:r>
      <w:bookmarkEnd w:id="302"/>
    </w:p>
    <w:p w14:paraId="12A1A486">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p w14:paraId="058D83CE">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3.1具有知识产权的标的物知识产权归属：</w:t>
      </w:r>
    </w:p>
    <w:p w14:paraId="388E9B91">
      <w:pPr>
        <w:wordWrap w:val="0"/>
        <w:spacing w:line="360" w:lineRule="auto"/>
        <w:ind w:firstLine="480" w:firstLineChars="200"/>
        <w:rPr>
          <w:rFonts w:hint="eastAsia" w:ascii="宋体" w:hAnsi="宋体" w:cs="宋体"/>
          <w:color w:val="auto"/>
          <w:sz w:val="24"/>
          <w:highlight w:val="none"/>
        </w:rPr>
      </w:pPr>
    </w:p>
    <w:p w14:paraId="1B3B4DEA">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3.2包装和装运专用条款（如果有）：</w:t>
      </w:r>
    </w:p>
    <w:p w14:paraId="625EFE57">
      <w:pPr>
        <w:wordWrap w:val="0"/>
        <w:spacing w:line="360" w:lineRule="auto"/>
        <w:ind w:firstLine="480" w:firstLineChars="200"/>
        <w:rPr>
          <w:rFonts w:hint="eastAsia" w:ascii="宋体" w:hAnsi="宋体" w:cs="宋体"/>
          <w:color w:val="auto"/>
          <w:sz w:val="24"/>
          <w:highlight w:val="none"/>
        </w:rPr>
      </w:pPr>
    </w:p>
    <w:p w14:paraId="0912F461">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3.3装运标的物的要求和通知：</w:t>
      </w:r>
    </w:p>
    <w:p w14:paraId="76284D11">
      <w:pPr>
        <w:wordWrap w:val="0"/>
        <w:spacing w:line="360" w:lineRule="auto"/>
        <w:ind w:firstLine="480" w:firstLineChars="200"/>
        <w:rPr>
          <w:rFonts w:hint="eastAsia" w:ascii="宋体" w:hAnsi="宋体" w:cs="宋体"/>
          <w:color w:val="auto"/>
          <w:sz w:val="24"/>
          <w:highlight w:val="none"/>
        </w:rPr>
      </w:pPr>
    </w:p>
    <w:p w14:paraId="73E22F8A">
      <w:pPr>
        <w:wordWrap w:val="0"/>
        <w:spacing w:line="360" w:lineRule="auto"/>
        <w:ind w:firstLine="480" w:firstLineChars="200"/>
        <w:rPr>
          <w:rFonts w:hint="eastAsia" w:ascii="宋体" w:hAnsi="宋体" w:cs="宋体"/>
          <w:b/>
          <w:color w:val="auto"/>
          <w:sz w:val="24"/>
          <w:highlight w:val="none"/>
        </w:rPr>
      </w:pPr>
      <w:bookmarkStart w:id="303" w:name="_Hlk162970729"/>
      <w:r>
        <w:rPr>
          <w:rFonts w:hint="eastAsia" w:ascii="宋体" w:hAnsi="宋体" w:cs="宋体"/>
          <w:color w:val="auto"/>
          <w:sz w:val="24"/>
          <w:highlight w:val="none"/>
        </w:rPr>
        <w:t>3.4</w:t>
      </w:r>
      <w:r>
        <w:rPr>
          <w:rFonts w:hint="eastAsia" w:ascii="宋体" w:hAnsi="宋体" w:cs="宋体"/>
          <w:b/>
          <w:color w:val="auto"/>
          <w:sz w:val="24"/>
          <w:highlight w:val="none"/>
        </w:rPr>
        <w:t>结算方式和付款条件</w:t>
      </w:r>
    </w:p>
    <w:p w14:paraId="7DA631E5">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本次项目合同总价为大写人民币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元）。</w:t>
      </w:r>
    </w:p>
    <w:bookmarkEnd w:id="303"/>
    <w:p w14:paraId="21E79E5C">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本项目采用以下勾选结算方式进行支付：</w:t>
      </w:r>
    </w:p>
    <w:p w14:paraId="6DDC042E">
      <w:pPr>
        <w:wordWrap w:val="0"/>
        <w:spacing w:line="360" w:lineRule="auto"/>
        <w:ind w:firstLine="480" w:firstLineChars="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□采用一次性支付方式，付款条件为：</w:t>
      </w:r>
      <w:r>
        <w:rPr>
          <w:rFonts w:hint="eastAsia" w:ascii="宋体" w:hAnsi="宋体" w:cs="宋体"/>
          <w:color w:val="auto"/>
          <w:kern w:val="0"/>
          <w:sz w:val="24"/>
          <w:highlight w:val="none"/>
          <w:u w:val="single"/>
        </w:rPr>
        <w:t xml:space="preserve">           </w:t>
      </w:r>
    </w:p>
    <w:p w14:paraId="3A43CEE4">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□采用分期付款方式，付款条件为</w:t>
      </w:r>
      <w:r>
        <w:rPr>
          <w:rFonts w:hint="eastAsia" w:ascii="宋体" w:hAnsi="宋体" w:cs="宋体"/>
          <w:color w:val="auto"/>
          <w:kern w:val="0"/>
          <w:sz w:val="24"/>
          <w:highlight w:val="none"/>
        </w:rPr>
        <w:t>：</w:t>
      </w:r>
    </w:p>
    <w:p w14:paraId="375D4B29">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第一期付款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4A02F5D9">
      <w:pPr>
        <w:wordWrap w:val="0"/>
        <w:spacing w:line="360" w:lineRule="auto"/>
        <w:ind w:firstLine="480" w:firstLineChars="200"/>
        <w:rPr>
          <w:rFonts w:hint="eastAsia" w:ascii="宋体" w:hAnsi="宋体" w:cs="宋体"/>
          <w:color w:val="auto"/>
          <w:kern w:val="0"/>
          <w:sz w:val="24"/>
          <w:highlight w:val="none"/>
          <w:u w:val="single"/>
        </w:rPr>
      </w:pPr>
      <w:r>
        <w:rPr>
          <w:rFonts w:hint="eastAsia" w:ascii="宋体" w:hAnsi="宋体" w:cs="宋体"/>
          <w:color w:val="auto"/>
          <w:kern w:val="0"/>
          <w:sz w:val="24"/>
          <w:highlight w:val="none"/>
          <w:lang w:val="zh-CN"/>
        </w:rPr>
        <w:t>第</w:t>
      </w:r>
      <w:r>
        <w:rPr>
          <w:rFonts w:hint="eastAsia" w:ascii="宋体" w:hAnsi="宋体" w:cs="宋体"/>
          <w:color w:val="auto"/>
          <w:kern w:val="0"/>
          <w:sz w:val="24"/>
          <w:highlight w:val="none"/>
        </w:rPr>
        <w:t>二</w:t>
      </w:r>
      <w:r>
        <w:rPr>
          <w:rFonts w:hint="eastAsia" w:ascii="宋体" w:hAnsi="宋体" w:cs="宋体"/>
          <w:color w:val="auto"/>
          <w:kern w:val="0"/>
          <w:sz w:val="24"/>
          <w:highlight w:val="none"/>
          <w:lang w:val="zh-CN"/>
        </w:rPr>
        <w:t>期付款</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 xml:space="preserve">                                        </w:t>
      </w:r>
    </w:p>
    <w:p w14:paraId="62D56084">
      <w:pPr>
        <w:wordWrap w:val="0"/>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w:t>
      </w:r>
    </w:p>
    <w:p w14:paraId="4B28687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甲方无故逾期支付服务费用的，按照每逾期一日支付欠付服务费额度的（根据项目实际填写，一般为万分之五）</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承担违约责任，违约金上限按照《合同书》约定执行。</w:t>
      </w:r>
    </w:p>
    <w:p w14:paraId="6738A7C6">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3.5</w:t>
      </w:r>
      <w:r>
        <w:rPr>
          <w:rFonts w:hint="eastAsia" w:ascii="宋体" w:hAnsi="宋体" w:cs="宋体"/>
          <w:b/>
          <w:color w:val="auto"/>
          <w:sz w:val="24"/>
          <w:highlight w:val="none"/>
        </w:rPr>
        <w:t>标的物的风险负担</w:t>
      </w:r>
    </w:p>
    <w:p w14:paraId="2AF2AA42">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标的物或者在途标的物或者交付给第一承运人后的标的物毁损、灭失的风险负担：</w:t>
      </w:r>
    </w:p>
    <w:p w14:paraId="2B3508FD">
      <w:pPr>
        <w:wordWrap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 xml:space="preserve">乙方                                                                       </w:t>
      </w:r>
    </w:p>
    <w:p w14:paraId="3ED1D477">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3.5.1受不可抗力影响的一方在不可抗力发生后，应在日内（根据项目实际填写）以书面形式通知对方当事人，并在日内，将有关部门出具的证明文件送达对方当事人。</w:t>
      </w:r>
    </w:p>
    <w:p w14:paraId="0D67C90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3.5.2因不可抗力致使合同有变更必要的，双方当事人应在日内（根据项目实际填写）以书面形式变更合同；</w:t>
      </w:r>
    </w:p>
    <w:p w14:paraId="6457FAD9">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14:paraId="16699BF0">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3.5.4 检验和验收标准、程序等具体内容以及前述验收书的效力：</w:t>
      </w:r>
    </w:p>
    <w:p w14:paraId="2AEFB7ED">
      <w:pPr>
        <w:wordWrap w:val="0"/>
        <w:spacing w:line="360" w:lineRule="auto"/>
        <w:ind w:firstLine="480" w:firstLineChars="200"/>
        <w:rPr>
          <w:rFonts w:hint="eastAsia" w:ascii="宋体" w:hAnsi="宋体" w:cs="宋体"/>
          <w:color w:val="auto"/>
          <w:sz w:val="24"/>
          <w:highlight w:val="none"/>
        </w:rPr>
      </w:pPr>
    </w:p>
    <w:p w14:paraId="2D98C325">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3.5.5 其他：</w:t>
      </w:r>
    </w:p>
    <w:p w14:paraId="13096356">
      <w:pPr>
        <w:wordWrap w:val="0"/>
        <w:spacing w:line="360" w:lineRule="auto"/>
        <w:ind w:firstLine="480" w:firstLineChars="200"/>
        <w:rPr>
          <w:rFonts w:hint="eastAsia" w:ascii="宋体" w:hAnsi="宋体" w:cs="宋体"/>
          <w:b/>
          <w:color w:val="auto"/>
          <w:sz w:val="24"/>
          <w:highlight w:val="none"/>
        </w:rPr>
      </w:pPr>
      <w:r>
        <w:rPr>
          <w:rFonts w:hint="eastAsia" w:ascii="宋体" w:hAnsi="宋体" w:cs="宋体"/>
          <w:color w:val="auto"/>
          <w:sz w:val="24"/>
          <w:highlight w:val="none"/>
        </w:rPr>
        <w:t>3.6</w:t>
      </w:r>
      <w:r>
        <w:rPr>
          <w:rFonts w:hint="eastAsia" w:ascii="宋体" w:hAnsi="宋体" w:cs="宋体"/>
          <w:b/>
          <w:color w:val="auto"/>
          <w:sz w:val="24"/>
          <w:highlight w:val="none"/>
        </w:rPr>
        <w:t>项目验收：</w:t>
      </w:r>
    </w:p>
    <w:p w14:paraId="599C9070">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14:paraId="5278C83B">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14:paraId="64236E0A">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14:paraId="226E7C2F">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3.6.4验收产生的费用：</w:t>
      </w:r>
    </w:p>
    <w:p w14:paraId="34D1B19D">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olor w:val="auto"/>
          <w:sz w:val="24"/>
          <w:highlight w:val="none"/>
        </w:rPr>
        <w:t>验收产生的费用由乙方承担。</w:t>
      </w:r>
    </w:p>
    <w:p w14:paraId="744ABE9C">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3.6.5验收内容及资料要求：</w:t>
      </w:r>
    </w:p>
    <w:p w14:paraId="4B689D44">
      <w:pPr>
        <w:tabs>
          <w:tab w:val="left" w:pos="904"/>
        </w:tabs>
        <w:wordWrap w:val="0"/>
        <w:snapToGrid w:val="0"/>
        <w:spacing w:line="360" w:lineRule="auto"/>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根根据采购文件确定的技术指标或者服务要求确定验收指标和标准。未进行相应约定的，应当符合国家强制性规定、政策要求、安全标准、行业或企业有关标准等。</w:t>
      </w:r>
    </w:p>
    <w:p w14:paraId="34630A31">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kern w:val="0"/>
          <w:sz w:val="24"/>
          <w:highlight w:val="none"/>
        </w:rPr>
        <w:t>3.6.6</w:t>
      </w:r>
      <w:r>
        <w:rPr>
          <w:rFonts w:hint="eastAsia" w:ascii="宋体" w:hAnsi="宋体" w:cs="宋体"/>
          <w:color w:val="auto"/>
          <w:sz w:val="24"/>
          <w:highlight w:val="none"/>
        </w:rPr>
        <w:t>验收内容</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814"/>
        <w:gridCol w:w="5621"/>
      </w:tblGrid>
      <w:tr w14:paraId="38E6D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7" w:type="dxa"/>
            <w:vAlign w:val="center"/>
          </w:tcPr>
          <w:p w14:paraId="4B889EBC">
            <w:pPr>
              <w:widowControl/>
              <w:spacing w:line="360" w:lineRule="auto"/>
              <w:rPr>
                <w:rFonts w:hint="eastAsia" w:ascii="宋体" w:hAnsi="宋体" w:cs="仿宋"/>
                <w:bCs/>
                <w:color w:val="auto"/>
                <w:kern w:val="0"/>
                <w:sz w:val="24"/>
                <w:highlight w:val="none"/>
              </w:rPr>
            </w:pPr>
            <w:r>
              <w:rPr>
                <w:rFonts w:hint="eastAsia" w:ascii="宋体" w:hAnsi="宋体" w:cs="仿宋"/>
                <w:bCs/>
                <w:color w:val="auto"/>
                <w:kern w:val="0"/>
                <w:sz w:val="24"/>
                <w:highlight w:val="none"/>
              </w:rPr>
              <w:t>序号</w:t>
            </w:r>
          </w:p>
        </w:tc>
        <w:tc>
          <w:tcPr>
            <w:tcW w:w="1814" w:type="dxa"/>
            <w:vAlign w:val="center"/>
          </w:tcPr>
          <w:p w14:paraId="16D3976D">
            <w:pPr>
              <w:widowControl/>
              <w:spacing w:line="360" w:lineRule="auto"/>
              <w:ind w:firstLine="48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验收内容</w:t>
            </w:r>
          </w:p>
        </w:tc>
        <w:tc>
          <w:tcPr>
            <w:tcW w:w="5621" w:type="dxa"/>
            <w:vAlign w:val="center"/>
          </w:tcPr>
          <w:p w14:paraId="2434A385">
            <w:pPr>
              <w:widowControl/>
              <w:spacing w:line="360" w:lineRule="auto"/>
              <w:ind w:firstLine="48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 xml:space="preserve"> 验收标准</w:t>
            </w:r>
          </w:p>
        </w:tc>
      </w:tr>
      <w:tr w14:paraId="34A6E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637" w:type="dxa"/>
            <w:vAlign w:val="center"/>
          </w:tcPr>
          <w:p w14:paraId="6BF5E290">
            <w:pPr>
              <w:widowControl/>
              <w:spacing w:line="360" w:lineRule="auto"/>
              <w:rPr>
                <w:rFonts w:hint="eastAsia" w:ascii="宋体" w:hAnsi="宋体" w:cs="仿宋"/>
                <w:bCs/>
                <w:color w:val="auto"/>
                <w:kern w:val="0"/>
                <w:sz w:val="24"/>
                <w:highlight w:val="none"/>
              </w:rPr>
            </w:pPr>
            <w:r>
              <w:rPr>
                <w:rFonts w:hint="eastAsia" w:ascii="宋体" w:hAnsi="宋体" w:cs="仿宋"/>
                <w:bCs/>
                <w:color w:val="auto"/>
                <w:kern w:val="0"/>
                <w:sz w:val="24"/>
                <w:highlight w:val="none"/>
              </w:rPr>
              <w:t>1</w:t>
            </w:r>
          </w:p>
        </w:tc>
        <w:tc>
          <w:tcPr>
            <w:tcW w:w="1814" w:type="dxa"/>
            <w:vAlign w:val="center"/>
          </w:tcPr>
          <w:p w14:paraId="286B87C1">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服务的数量</w:t>
            </w:r>
          </w:p>
        </w:tc>
        <w:tc>
          <w:tcPr>
            <w:tcW w:w="5621" w:type="dxa"/>
            <w:vAlign w:val="center"/>
          </w:tcPr>
          <w:p w14:paraId="4E9CBF31">
            <w:pPr>
              <w:widowControl/>
              <w:spacing w:line="360" w:lineRule="auto"/>
              <w:ind w:firstLine="200"/>
              <w:jc w:val="center"/>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0CDA5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37" w:type="dxa"/>
            <w:vAlign w:val="center"/>
          </w:tcPr>
          <w:p w14:paraId="647AAD77">
            <w:pPr>
              <w:widowControl/>
              <w:spacing w:line="360" w:lineRule="auto"/>
              <w:rPr>
                <w:rFonts w:hint="eastAsia" w:ascii="宋体" w:hAnsi="宋体" w:cs="仿宋"/>
                <w:bCs/>
                <w:color w:val="auto"/>
                <w:kern w:val="0"/>
                <w:sz w:val="24"/>
                <w:highlight w:val="none"/>
              </w:rPr>
            </w:pPr>
            <w:r>
              <w:rPr>
                <w:rFonts w:hint="eastAsia" w:ascii="宋体" w:hAnsi="宋体" w:cs="仿宋"/>
                <w:bCs/>
                <w:color w:val="auto"/>
                <w:kern w:val="0"/>
                <w:sz w:val="24"/>
                <w:highlight w:val="none"/>
              </w:rPr>
              <w:t>2</w:t>
            </w:r>
          </w:p>
        </w:tc>
        <w:tc>
          <w:tcPr>
            <w:tcW w:w="1814" w:type="dxa"/>
            <w:vAlign w:val="center"/>
          </w:tcPr>
          <w:p w14:paraId="6C3120BF">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服务标的的质量文件</w:t>
            </w:r>
          </w:p>
        </w:tc>
        <w:tc>
          <w:tcPr>
            <w:tcW w:w="5621" w:type="dxa"/>
            <w:vAlign w:val="center"/>
          </w:tcPr>
          <w:p w14:paraId="31AE1F34">
            <w:pPr>
              <w:widowControl/>
              <w:spacing w:line="360" w:lineRule="auto"/>
              <w:ind w:firstLine="200"/>
              <w:jc w:val="center"/>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35E5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637" w:type="dxa"/>
            <w:vAlign w:val="center"/>
          </w:tcPr>
          <w:p w14:paraId="082D1D3E">
            <w:pPr>
              <w:widowControl/>
              <w:spacing w:line="360" w:lineRule="auto"/>
              <w:rPr>
                <w:rFonts w:hint="eastAsia" w:ascii="宋体" w:hAnsi="宋体" w:cs="仿宋"/>
                <w:bCs/>
                <w:color w:val="auto"/>
                <w:kern w:val="0"/>
                <w:sz w:val="24"/>
                <w:highlight w:val="none"/>
              </w:rPr>
            </w:pPr>
            <w:r>
              <w:rPr>
                <w:rFonts w:ascii="宋体" w:hAnsi="宋体" w:cs="仿宋"/>
                <w:bCs/>
                <w:color w:val="auto"/>
                <w:kern w:val="0"/>
                <w:sz w:val="24"/>
                <w:highlight w:val="none"/>
              </w:rPr>
              <w:t>3</w:t>
            </w:r>
          </w:p>
        </w:tc>
        <w:tc>
          <w:tcPr>
            <w:tcW w:w="1814" w:type="dxa"/>
            <w:vAlign w:val="center"/>
          </w:tcPr>
          <w:p w14:paraId="187C7987">
            <w:pPr>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 xml:space="preserve">服务标的技术、性能指标 </w:t>
            </w:r>
          </w:p>
        </w:tc>
        <w:tc>
          <w:tcPr>
            <w:tcW w:w="5621" w:type="dxa"/>
            <w:vAlign w:val="center"/>
          </w:tcPr>
          <w:p w14:paraId="1D031D5D">
            <w:pPr>
              <w:spacing w:line="360" w:lineRule="auto"/>
              <w:ind w:firstLine="480" w:firstLineChars="200"/>
              <w:jc w:val="left"/>
              <w:rPr>
                <w:rFonts w:hint="eastAsia" w:ascii="宋体" w:hAnsi="宋体" w:cs="仿宋"/>
                <w:color w:val="auto"/>
                <w:highlight w:val="none"/>
              </w:rPr>
            </w:pPr>
            <w:r>
              <w:rPr>
                <w:rFonts w:hint="eastAsia" w:ascii="宋体" w:hAnsi="宋体" w:cs="仿宋"/>
                <w:color w:val="auto"/>
                <w:kern w:val="0"/>
                <w:sz w:val="24"/>
                <w:highlight w:val="none"/>
              </w:rPr>
              <w:t>按项目招标文件要求和投标（响应）文件执行</w:t>
            </w:r>
          </w:p>
        </w:tc>
      </w:tr>
      <w:tr w14:paraId="7163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637" w:type="dxa"/>
            <w:vAlign w:val="center"/>
          </w:tcPr>
          <w:p w14:paraId="17ECCD93">
            <w:pPr>
              <w:widowControl/>
              <w:spacing w:line="360" w:lineRule="auto"/>
              <w:rPr>
                <w:rFonts w:hint="eastAsia" w:ascii="宋体" w:hAnsi="宋体" w:cs="仿宋"/>
                <w:color w:val="auto"/>
                <w:kern w:val="0"/>
                <w:sz w:val="24"/>
                <w:highlight w:val="none"/>
              </w:rPr>
            </w:pPr>
            <w:r>
              <w:rPr>
                <w:rFonts w:ascii="宋体" w:hAnsi="宋体" w:cs="仿宋"/>
                <w:color w:val="auto"/>
                <w:kern w:val="0"/>
                <w:sz w:val="24"/>
                <w:highlight w:val="none"/>
              </w:rPr>
              <w:t>4</w:t>
            </w:r>
          </w:p>
        </w:tc>
        <w:tc>
          <w:tcPr>
            <w:tcW w:w="1814" w:type="dxa"/>
            <w:vAlign w:val="center"/>
          </w:tcPr>
          <w:p w14:paraId="5929AA23">
            <w:pPr>
              <w:spacing w:line="360" w:lineRule="auto"/>
              <w:ind w:firstLine="200"/>
              <w:jc w:val="center"/>
              <w:rPr>
                <w:rFonts w:hint="eastAsia" w:ascii="宋体" w:hAnsi="宋体" w:cs="仿宋"/>
                <w:color w:val="auto"/>
                <w:sz w:val="24"/>
                <w:highlight w:val="none"/>
              </w:rPr>
            </w:pPr>
            <w:r>
              <w:rPr>
                <w:rFonts w:hint="eastAsia" w:ascii="宋体" w:hAnsi="宋体" w:cs="仿宋"/>
                <w:color w:val="auto"/>
                <w:sz w:val="24"/>
                <w:highlight w:val="none"/>
              </w:rPr>
              <w:t>售后服务</w:t>
            </w:r>
          </w:p>
          <w:p w14:paraId="6CDC26DC">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color w:val="auto"/>
                <w:sz w:val="24"/>
                <w:highlight w:val="none"/>
              </w:rPr>
              <w:t>承诺</w:t>
            </w:r>
          </w:p>
        </w:tc>
        <w:tc>
          <w:tcPr>
            <w:tcW w:w="5621" w:type="dxa"/>
            <w:vAlign w:val="center"/>
          </w:tcPr>
          <w:p w14:paraId="3A933E60">
            <w:pPr>
              <w:widowControl/>
              <w:spacing w:line="360" w:lineRule="auto"/>
              <w:ind w:firstLine="200"/>
              <w:jc w:val="center"/>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r w14:paraId="35447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637" w:type="dxa"/>
            <w:vAlign w:val="center"/>
          </w:tcPr>
          <w:p w14:paraId="48B7F06E">
            <w:pPr>
              <w:widowControl/>
              <w:spacing w:line="360" w:lineRule="auto"/>
              <w:rPr>
                <w:rFonts w:hint="eastAsia" w:ascii="宋体" w:hAnsi="宋体" w:cs="仿宋"/>
                <w:bCs/>
                <w:color w:val="auto"/>
                <w:kern w:val="0"/>
                <w:sz w:val="24"/>
                <w:highlight w:val="none"/>
              </w:rPr>
            </w:pPr>
            <w:r>
              <w:rPr>
                <w:rFonts w:ascii="宋体" w:hAnsi="宋体" w:cs="仿宋"/>
                <w:bCs/>
                <w:color w:val="auto"/>
                <w:kern w:val="0"/>
                <w:sz w:val="24"/>
                <w:highlight w:val="none"/>
              </w:rPr>
              <w:t>5</w:t>
            </w:r>
          </w:p>
        </w:tc>
        <w:tc>
          <w:tcPr>
            <w:tcW w:w="1814" w:type="dxa"/>
            <w:vAlign w:val="center"/>
          </w:tcPr>
          <w:p w14:paraId="77C34C0F">
            <w:pPr>
              <w:widowControl/>
              <w:spacing w:line="360" w:lineRule="auto"/>
              <w:ind w:firstLine="200"/>
              <w:jc w:val="center"/>
              <w:rPr>
                <w:rFonts w:hint="eastAsia" w:ascii="宋体" w:hAnsi="宋体" w:cs="仿宋"/>
                <w:bCs/>
                <w:color w:val="auto"/>
                <w:kern w:val="0"/>
                <w:sz w:val="24"/>
                <w:highlight w:val="none"/>
              </w:rPr>
            </w:pPr>
            <w:r>
              <w:rPr>
                <w:rFonts w:hint="eastAsia" w:ascii="宋体" w:hAnsi="宋体" w:cs="仿宋"/>
                <w:bCs/>
                <w:color w:val="auto"/>
                <w:kern w:val="0"/>
                <w:sz w:val="24"/>
                <w:highlight w:val="none"/>
              </w:rPr>
              <w:t>其他工作</w:t>
            </w:r>
          </w:p>
        </w:tc>
        <w:tc>
          <w:tcPr>
            <w:tcW w:w="5621" w:type="dxa"/>
            <w:vAlign w:val="center"/>
          </w:tcPr>
          <w:p w14:paraId="085BCDE6">
            <w:pPr>
              <w:widowControl/>
              <w:spacing w:line="360" w:lineRule="auto"/>
              <w:ind w:firstLine="480" w:firstLineChars="200"/>
              <w:jc w:val="left"/>
              <w:rPr>
                <w:rFonts w:hint="eastAsia" w:ascii="宋体" w:hAnsi="宋体" w:cs="仿宋"/>
                <w:color w:val="auto"/>
                <w:kern w:val="0"/>
                <w:sz w:val="24"/>
                <w:highlight w:val="none"/>
              </w:rPr>
            </w:pPr>
            <w:r>
              <w:rPr>
                <w:rFonts w:hint="eastAsia" w:ascii="宋体" w:hAnsi="宋体" w:cs="仿宋"/>
                <w:color w:val="auto"/>
                <w:kern w:val="0"/>
                <w:sz w:val="24"/>
                <w:highlight w:val="none"/>
              </w:rPr>
              <w:t>按项目招标文件要求和投标（响应）文件执行</w:t>
            </w:r>
          </w:p>
        </w:tc>
      </w:tr>
    </w:tbl>
    <w:p w14:paraId="40C8A4AC">
      <w:pPr>
        <w:tabs>
          <w:tab w:val="left" w:pos="904"/>
        </w:tabs>
        <w:wordWrap w:val="0"/>
        <w:snapToGrid w:val="0"/>
        <w:spacing w:line="360" w:lineRule="auto"/>
        <w:ind w:firstLine="480" w:firstLineChars="200"/>
        <w:jc w:val="left"/>
        <w:rPr>
          <w:rFonts w:hint="eastAsia" w:ascii="宋体" w:hAnsi="宋体" w:cs="宋体"/>
          <w:color w:val="auto"/>
          <w:sz w:val="24"/>
          <w:highlight w:val="none"/>
        </w:rPr>
      </w:pPr>
    </w:p>
    <w:p w14:paraId="6B6E3EDE">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3.6.7验收资料要求</w:t>
      </w:r>
    </w:p>
    <w:p w14:paraId="14F6DDC1">
      <w:pPr>
        <w:tabs>
          <w:tab w:val="left" w:pos="904"/>
        </w:tabs>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验收资料要求包括（不限于）以下内容：</w:t>
      </w:r>
    </w:p>
    <w:p w14:paraId="1443A546">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（1）采购文件；</w:t>
      </w:r>
    </w:p>
    <w:p w14:paraId="2FFCEFEB">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（2）投标文件；</w:t>
      </w:r>
    </w:p>
    <w:p w14:paraId="71178126">
      <w:pPr>
        <w:tabs>
          <w:tab w:val="left" w:pos="904"/>
        </w:tabs>
        <w:wordWrap w:val="0"/>
        <w:adjustRightInd w:val="0"/>
        <w:snapToGrid w:val="0"/>
        <w:spacing w:line="360" w:lineRule="auto"/>
        <w:ind w:firstLine="240" w:firstLineChars="100"/>
        <w:jc w:val="left"/>
        <w:rPr>
          <w:rFonts w:hint="eastAsia" w:ascii="宋体" w:hAnsi="宋体" w:cs="宋体"/>
          <w:color w:val="auto"/>
          <w:sz w:val="24"/>
          <w:highlight w:val="none"/>
        </w:rPr>
      </w:pPr>
      <w:r>
        <w:rPr>
          <w:rFonts w:hint="eastAsia" w:ascii="宋体" w:hAnsi="宋体" w:cs="宋体"/>
          <w:color w:val="auto"/>
          <w:sz w:val="24"/>
          <w:highlight w:val="none"/>
        </w:rPr>
        <w:t>（3）采购合同；</w:t>
      </w:r>
    </w:p>
    <w:p w14:paraId="4604E673">
      <w:pPr>
        <w:tabs>
          <w:tab w:val="left" w:pos="904"/>
        </w:tabs>
        <w:wordWrap w:val="0"/>
        <w:adjustRightInd w:val="0"/>
        <w:snapToGrid w:val="0"/>
        <w:spacing w:line="360" w:lineRule="auto"/>
        <w:ind w:firstLine="240" w:firstLineChars="100"/>
        <w:jc w:val="left"/>
        <w:rPr>
          <w:rFonts w:hint="eastAsia" w:ascii="宋体" w:hAnsi="宋体" w:cs="宋体"/>
          <w:b/>
          <w:color w:val="auto"/>
          <w:sz w:val="36"/>
          <w:szCs w:val="20"/>
          <w:highlight w:val="none"/>
        </w:rPr>
      </w:pPr>
      <w:r>
        <w:rPr>
          <w:rFonts w:hint="eastAsia" w:ascii="宋体" w:hAnsi="宋体" w:cs="宋体"/>
          <w:color w:val="auto"/>
          <w:sz w:val="24"/>
          <w:highlight w:val="none"/>
        </w:rPr>
        <w:t>（4）其他需提供的相关材料：（业主根据项目实际增减第（4）点验收资料内容）。</w:t>
      </w:r>
    </w:p>
    <w:p w14:paraId="5BB2DBEB">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61B0F868">
      <w:pPr>
        <w:pStyle w:val="14"/>
        <w:tabs>
          <w:tab w:val="left" w:pos="2472"/>
        </w:tabs>
        <w:wordWrap w:val="0"/>
        <w:spacing w:line="360" w:lineRule="auto"/>
        <w:ind w:firstLine="723"/>
        <w:rPr>
          <w:rFonts w:hint="eastAsia" w:hAnsi="宋体" w:cs="宋体"/>
          <w:b/>
          <w:color w:val="auto"/>
          <w:sz w:val="36"/>
          <w:highlight w:val="none"/>
        </w:rPr>
      </w:pPr>
    </w:p>
    <w:p w14:paraId="2777A436">
      <w:pPr>
        <w:pStyle w:val="14"/>
        <w:tabs>
          <w:tab w:val="left" w:pos="2472"/>
        </w:tabs>
        <w:wordWrap w:val="0"/>
        <w:spacing w:line="360" w:lineRule="auto"/>
        <w:ind w:firstLine="723"/>
        <w:rPr>
          <w:rFonts w:hint="eastAsia" w:hAnsi="宋体" w:cs="宋体"/>
          <w:b/>
          <w:color w:val="auto"/>
          <w:sz w:val="36"/>
          <w:highlight w:val="none"/>
        </w:rPr>
      </w:pPr>
    </w:p>
    <w:p w14:paraId="7A9EB817">
      <w:pPr>
        <w:pStyle w:val="14"/>
        <w:tabs>
          <w:tab w:val="left" w:pos="2472"/>
        </w:tabs>
        <w:wordWrap w:val="0"/>
        <w:spacing w:line="360" w:lineRule="auto"/>
        <w:ind w:firstLine="723"/>
        <w:rPr>
          <w:rFonts w:hint="eastAsia" w:hAnsi="宋体" w:cs="宋体"/>
          <w:b/>
          <w:color w:val="auto"/>
          <w:sz w:val="36"/>
          <w:highlight w:val="none"/>
        </w:rPr>
      </w:pPr>
    </w:p>
    <w:p w14:paraId="2D2240C8">
      <w:pPr>
        <w:pStyle w:val="14"/>
        <w:tabs>
          <w:tab w:val="left" w:pos="2472"/>
        </w:tabs>
        <w:wordWrap w:val="0"/>
        <w:spacing w:line="360" w:lineRule="auto"/>
        <w:ind w:firstLine="723"/>
        <w:rPr>
          <w:rFonts w:hint="eastAsia" w:hAnsi="宋体" w:cs="宋体"/>
          <w:b/>
          <w:color w:val="auto"/>
          <w:sz w:val="36"/>
          <w:highlight w:val="none"/>
        </w:rPr>
      </w:pPr>
    </w:p>
    <w:p w14:paraId="01E011CE">
      <w:pPr>
        <w:pStyle w:val="14"/>
        <w:tabs>
          <w:tab w:val="left" w:pos="2472"/>
        </w:tabs>
        <w:wordWrap w:val="0"/>
        <w:spacing w:line="360" w:lineRule="auto"/>
        <w:ind w:firstLine="723"/>
        <w:rPr>
          <w:rFonts w:hint="eastAsia" w:hAnsi="宋体" w:cs="宋体"/>
          <w:b/>
          <w:color w:val="auto"/>
          <w:sz w:val="36"/>
          <w:highlight w:val="none"/>
        </w:rPr>
      </w:pPr>
    </w:p>
    <w:p w14:paraId="445272A0">
      <w:pPr>
        <w:pStyle w:val="14"/>
        <w:tabs>
          <w:tab w:val="left" w:pos="2472"/>
        </w:tabs>
        <w:wordWrap w:val="0"/>
        <w:spacing w:line="360" w:lineRule="auto"/>
        <w:ind w:firstLine="723"/>
        <w:rPr>
          <w:rFonts w:hint="eastAsia" w:hAnsi="宋体" w:cs="宋体"/>
          <w:b/>
          <w:color w:val="auto"/>
          <w:sz w:val="36"/>
          <w:highlight w:val="none"/>
        </w:rPr>
      </w:pPr>
    </w:p>
    <w:p w14:paraId="19E2E056">
      <w:pPr>
        <w:pStyle w:val="14"/>
        <w:tabs>
          <w:tab w:val="left" w:pos="2472"/>
        </w:tabs>
        <w:wordWrap w:val="0"/>
        <w:spacing w:line="360" w:lineRule="auto"/>
        <w:ind w:firstLine="723"/>
        <w:rPr>
          <w:rFonts w:hint="eastAsia" w:hAnsi="宋体" w:cs="宋体"/>
          <w:b/>
          <w:color w:val="auto"/>
          <w:sz w:val="36"/>
          <w:highlight w:val="none"/>
        </w:rPr>
      </w:pPr>
    </w:p>
    <w:p w14:paraId="364679C8">
      <w:pPr>
        <w:pStyle w:val="14"/>
        <w:tabs>
          <w:tab w:val="left" w:pos="2472"/>
        </w:tabs>
        <w:wordWrap w:val="0"/>
        <w:spacing w:line="360" w:lineRule="auto"/>
        <w:ind w:firstLine="723"/>
        <w:jc w:val="center"/>
        <w:outlineLvl w:val="0"/>
        <w:rPr>
          <w:rFonts w:hint="eastAsia" w:hAnsi="宋体" w:cs="宋体"/>
          <w:b/>
          <w:color w:val="auto"/>
          <w:sz w:val="36"/>
          <w:highlight w:val="none"/>
        </w:rPr>
      </w:pPr>
      <w:bookmarkStart w:id="304" w:name="_Toc2856"/>
      <w:r>
        <w:rPr>
          <w:rFonts w:hint="eastAsia" w:hAnsi="宋体" w:cs="宋体"/>
          <w:b/>
          <w:color w:val="auto"/>
          <w:sz w:val="36"/>
          <w:highlight w:val="none"/>
        </w:rPr>
        <w:t>第六章 投标文件格式</w:t>
      </w:r>
      <w:bookmarkEnd w:id="304"/>
    </w:p>
    <w:p w14:paraId="242AD8CB">
      <w:pPr>
        <w:widowControl/>
        <w:wordWrap w:val="0"/>
        <w:spacing w:line="360" w:lineRule="auto"/>
        <w:jc w:val="left"/>
        <w:rPr>
          <w:rFonts w:hint="eastAsia" w:ascii="宋体" w:hAnsi="宋体" w:cs="宋体"/>
          <w:color w:val="auto"/>
          <w:szCs w:val="20"/>
          <w:highlight w:val="none"/>
        </w:rPr>
        <w:sectPr>
          <w:pgSz w:w="11906" w:h="16838"/>
          <w:pgMar w:top="1440" w:right="1080" w:bottom="1440" w:left="1080" w:header="720" w:footer="720" w:gutter="0"/>
          <w:cols w:space="720" w:num="1"/>
          <w:docGrid w:type="lines" w:linePitch="331" w:charSpace="0"/>
        </w:sectPr>
      </w:pPr>
    </w:p>
    <w:p w14:paraId="6C411F56">
      <w:pPr>
        <w:pStyle w:val="14"/>
        <w:wordWrap w:val="0"/>
        <w:spacing w:line="360" w:lineRule="auto"/>
        <w:ind w:firstLine="551" w:firstLineChars="196"/>
        <w:jc w:val="center"/>
        <w:outlineLvl w:val="1"/>
        <w:rPr>
          <w:rFonts w:hint="eastAsia" w:hAnsi="宋体" w:cs="宋体"/>
          <w:b/>
          <w:bCs/>
          <w:color w:val="auto"/>
          <w:sz w:val="28"/>
          <w:szCs w:val="28"/>
          <w:highlight w:val="none"/>
        </w:rPr>
      </w:pPr>
      <w:bookmarkStart w:id="305" w:name="_Toc13658"/>
      <w:r>
        <w:rPr>
          <w:rFonts w:hint="eastAsia" w:hAnsi="宋体" w:cs="宋体"/>
          <w:b/>
          <w:bCs/>
          <w:color w:val="auto"/>
          <w:sz w:val="28"/>
          <w:szCs w:val="28"/>
          <w:highlight w:val="none"/>
        </w:rPr>
        <w:t>第一节 投标文件外层包装封面</w:t>
      </w:r>
      <w:bookmarkEnd w:id="305"/>
    </w:p>
    <w:p w14:paraId="54EBAF5B">
      <w:pPr>
        <w:wordWrap w:val="0"/>
        <w:spacing w:line="360" w:lineRule="auto"/>
        <w:ind w:firstLine="960"/>
        <w:jc w:val="center"/>
        <w:rPr>
          <w:rFonts w:hint="eastAsia" w:ascii="宋体" w:hAnsi="宋体" w:cs="宋体"/>
          <w:color w:val="auto"/>
          <w:spacing w:val="20"/>
          <w:sz w:val="44"/>
          <w:szCs w:val="44"/>
          <w:highlight w:val="none"/>
        </w:rPr>
      </w:pPr>
    </w:p>
    <w:p w14:paraId="07778212">
      <w:pPr>
        <w:wordWrap w:val="0"/>
        <w:spacing w:line="360" w:lineRule="auto"/>
        <w:ind w:firstLine="960"/>
        <w:jc w:val="center"/>
        <w:rPr>
          <w:rFonts w:hint="eastAsia" w:ascii="宋体" w:hAnsi="宋体" w:cs="宋体"/>
          <w:color w:val="auto"/>
          <w:spacing w:val="20"/>
          <w:sz w:val="44"/>
          <w:szCs w:val="44"/>
          <w:highlight w:val="none"/>
        </w:rPr>
      </w:pPr>
    </w:p>
    <w:p w14:paraId="66F7112D">
      <w:pPr>
        <w:wordWrap w:val="0"/>
        <w:spacing w:line="360" w:lineRule="auto"/>
        <w:ind w:firstLine="960"/>
        <w:jc w:val="center"/>
        <w:rPr>
          <w:rFonts w:hint="eastAsia" w:ascii="宋体" w:hAnsi="宋体" w:cs="宋体"/>
          <w:color w:val="auto"/>
          <w:spacing w:val="20"/>
          <w:sz w:val="44"/>
          <w:szCs w:val="44"/>
          <w:highlight w:val="none"/>
        </w:rPr>
      </w:pPr>
    </w:p>
    <w:p w14:paraId="0251B013">
      <w:pPr>
        <w:wordWrap w:val="0"/>
        <w:spacing w:line="360" w:lineRule="auto"/>
        <w:ind w:firstLine="960"/>
        <w:jc w:val="center"/>
        <w:rPr>
          <w:rFonts w:hint="eastAsia" w:ascii="宋体" w:hAnsi="宋体" w:cs="宋体"/>
          <w:color w:val="auto"/>
          <w:spacing w:val="20"/>
          <w:sz w:val="44"/>
          <w:szCs w:val="44"/>
          <w:highlight w:val="none"/>
        </w:rPr>
      </w:pPr>
    </w:p>
    <w:p w14:paraId="0DE5C655">
      <w:pPr>
        <w:wordWrap w:val="0"/>
        <w:spacing w:line="360" w:lineRule="auto"/>
        <w:ind w:firstLine="960"/>
        <w:jc w:val="center"/>
        <w:rPr>
          <w:rFonts w:hint="eastAsia" w:ascii="宋体" w:hAnsi="宋体" w:cs="宋体"/>
          <w:color w:val="auto"/>
          <w:spacing w:val="20"/>
          <w:sz w:val="44"/>
          <w:szCs w:val="44"/>
          <w:highlight w:val="none"/>
        </w:rPr>
      </w:pPr>
      <w:r>
        <w:rPr>
          <w:rFonts w:hint="eastAsia" w:ascii="宋体" w:hAnsi="宋体" w:cs="宋体"/>
          <w:color w:val="auto"/>
          <w:spacing w:val="20"/>
          <w:sz w:val="44"/>
          <w:szCs w:val="44"/>
          <w:highlight w:val="none"/>
          <w:u w:val="single"/>
        </w:rPr>
        <w:t xml:space="preserve">             </w:t>
      </w:r>
      <w:r>
        <w:rPr>
          <w:rFonts w:hint="eastAsia" w:ascii="宋体" w:hAnsi="宋体" w:cs="宋体"/>
          <w:color w:val="auto"/>
          <w:spacing w:val="20"/>
          <w:sz w:val="44"/>
          <w:szCs w:val="44"/>
          <w:highlight w:val="none"/>
        </w:rPr>
        <w:t>项目</w:t>
      </w:r>
    </w:p>
    <w:p w14:paraId="3DA7ADE6">
      <w:pPr>
        <w:wordWrap w:val="0"/>
        <w:spacing w:line="360" w:lineRule="auto"/>
        <w:ind w:firstLine="1123"/>
        <w:jc w:val="center"/>
        <w:rPr>
          <w:rFonts w:hint="eastAsia" w:ascii="宋体" w:hAnsi="宋体" w:cs="宋体"/>
          <w:color w:val="auto"/>
          <w:spacing w:val="40"/>
          <w:w w:val="110"/>
          <w:sz w:val="44"/>
          <w:szCs w:val="44"/>
          <w:highlight w:val="none"/>
        </w:rPr>
      </w:pPr>
      <w:r>
        <w:rPr>
          <w:rFonts w:hint="eastAsia" w:ascii="宋体" w:hAnsi="宋体" w:cs="宋体"/>
          <w:color w:val="auto"/>
          <w:spacing w:val="40"/>
          <w:w w:val="110"/>
          <w:sz w:val="44"/>
          <w:szCs w:val="44"/>
          <w:highlight w:val="none"/>
        </w:rPr>
        <w:t>投标文件</w:t>
      </w:r>
    </w:p>
    <w:p w14:paraId="4E789E0D">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（电子投标文件）</w:t>
      </w:r>
    </w:p>
    <w:tbl>
      <w:tblPr>
        <w:tblStyle w:val="26"/>
        <w:tblW w:w="7773" w:type="dxa"/>
        <w:jc w:val="center"/>
        <w:tblLayout w:type="fixed"/>
        <w:tblCellMar>
          <w:top w:w="0" w:type="dxa"/>
          <w:left w:w="108" w:type="dxa"/>
          <w:bottom w:w="0" w:type="dxa"/>
          <w:right w:w="108" w:type="dxa"/>
        </w:tblCellMar>
      </w:tblPr>
      <w:tblGrid>
        <w:gridCol w:w="1601"/>
        <w:gridCol w:w="6172"/>
      </w:tblGrid>
      <w:tr w14:paraId="73E3D369">
        <w:tblPrEx>
          <w:tblCellMar>
            <w:top w:w="0" w:type="dxa"/>
            <w:left w:w="108" w:type="dxa"/>
            <w:bottom w:w="0" w:type="dxa"/>
            <w:right w:w="108" w:type="dxa"/>
          </w:tblCellMar>
        </w:tblPrEx>
        <w:trPr>
          <w:jc w:val="center"/>
        </w:trPr>
        <w:tc>
          <w:tcPr>
            <w:tcW w:w="1601" w:type="dxa"/>
            <w:vAlign w:val="bottom"/>
          </w:tcPr>
          <w:p w14:paraId="60DAF524">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6172" w:type="dxa"/>
            <w:tcBorders>
              <w:top w:val="nil"/>
              <w:left w:val="nil"/>
              <w:bottom w:val="single" w:color="000000" w:sz="4" w:space="0"/>
              <w:right w:val="nil"/>
            </w:tcBorders>
            <w:vAlign w:val="bottom"/>
          </w:tcPr>
          <w:p w14:paraId="414C6EAA">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0452A0EF">
        <w:tblPrEx>
          <w:tblCellMar>
            <w:top w:w="0" w:type="dxa"/>
            <w:left w:w="108" w:type="dxa"/>
            <w:bottom w:w="0" w:type="dxa"/>
            <w:right w:w="108" w:type="dxa"/>
          </w:tblCellMar>
        </w:tblPrEx>
        <w:trPr>
          <w:jc w:val="center"/>
        </w:trPr>
        <w:tc>
          <w:tcPr>
            <w:tcW w:w="1601" w:type="dxa"/>
            <w:vAlign w:val="bottom"/>
          </w:tcPr>
          <w:p w14:paraId="73C70BB4">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采购人式：</w:t>
            </w:r>
          </w:p>
        </w:tc>
        <w:tc>
          <w:tcPr>
            <w:tcW w:w="6172" w:type="dxa"/>
            <w:tcBorders>
              <w:top w:val="single" w:color="000000" w:sz="4" w:space="0"/>
              <w:left w:val="nil"/>
              <w:bottom w:val="single" w:color="000000" w:sz="4" w:space="0"/>
              <w:right w:val="nil"/>
            </w:tcBorders>
            <w:vAlign w:val="bottom"/>
          </w:tcPr>
          <w:p w14:paraId="4F8F040A">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48EA19A7">
        <w:tblPrEx>
          <w:tblCellMar>
            <w:top w:w="0" w:type="dxa"/>
            <w:left w:w="108" w:type="dxa"/>
            <w:bottom w:w="0" w:type="dxa"/>
            <w:right w:w="108" w:type="dxa"/>
          </w:tblCellMar>
        </w:tblPrEx>
        <w:trPr>
          <w:jc w:val="center"/>
        </w:trPr>
        <w:tc>
          <w:tcPr>
            <w:tcW w:w="1601" w:type="dxa"/>
            <w:vAlign w:val="bottom"/>
          </w:tcPr>
          <w:p w14:paraId="00D785F1">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项目编号：</w:t>
            </w:r>
          </w:p>
        </w:tc>
        <w:tc>
          <w:tcPr>
            <w:tcW w:w="6172" w:type="dxa"/>
            <w:tcBorders>
              <w:top w:val="single" w:color="000000" w:sz="4" w:space="0"/>
              <w:left w:val="nil"/>
              <w:bottom w:val="single" w:color="000000" w:sz="4" w:space="0"/>
              <w:right w:val="nil"/>
            </w:tcBorders>
            <w:vAlign w:val="bottom"/>
          </w:tcPr>
          <w:p w14:paraId="6B7DD163">
            <w:pPr>
              <w:wordWrap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tc>
      </w:tr>
      <w:tr w14:paraId="30223B28">
        <w:tblPrEx>
          <w:tblCellMar>
            <w:top w:w="0" w:type="dxa"/>
            <w:left w:w="108" w:type="dxa"/>
            <w:bottom w:w="0" w:type="dxa"/>
            <w:right w:w="108" w:type="dxa"/>
          </w:tblCellMar>
        </w:tblPrEx>
        <w:trPr>
          <w:jc w:val="center"/>
        </w:trPr>
        <w:tc>
          <w:tcPr>
            <w:tcW w:w="1601" w:type="dxa"/>
            <w:vAlign w:val="bottom"/>
          </w:tcPr>
          <w:p w14:paraId="296FA4F2">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所投分标：</w:t>
            </w:r>
          </w:p>
        </w:tc>
        <w:tc>
          <w:tcPr>
            <w:tcW w:w="6172" w:type="dxa"/>
            <w:tcBorders>
              <w:top w:val="single" w:color="000000" w:sz="4" w:space="0"/>
              <w:left w:val="nil"/>
              <w:bottom w:val="single" w:color="000000" w:sz="4" w:space="0"/>
              <w:right w:val="nil"/>
            </w:tcBorders>
            <w:vAlign w:val="bottom"/>
          </w:tcPr>
          <w:p w14:paraId="55E6015C">
            <w:pPr>
              <w:wordWrap w:val="0"/>
              <w:spacing w:line="360" w:lineRule="auto"/>
              <w:jc w:val="left"/>
              <w:rPr>
                <w:rFonts w:hint="eastAsia" w:ascii="宋体" w:hAnsi="宋体" w:cs="宋体"/>
                <w:color w:val="auto"/>
                <w:sz w:val="24"/>
                <w:highlight w:val="none"/>
              </w:rPr>
            </w:pPr>
          </w:p>
        </w:tc>
      </w:tr>
      <w:tr w14:paraId="6B0E3E46">
        <w:tblPrEx>
          <w:tblCellMar>
            <w:top w:w="0" w:type="dxa"/>
            <w:left w:w="108" w:type="dxa"/>
            <w:bottom w:w="0" w:type="dxa"/>
            <w:right w:w="108" w:type="dxa"/>
          </w:tblCellMar>
        </w:tblPrEx>
        <w:trPr>
          <w:jc w:val="center"/>
        </w:trPr>
        <w:tc>
          <w:tcPr>
            <w:tcW w:w="1601" w:type="dxa"/>
            <w:vAlign w:val="bottom"/>
          </w:tcPr>
          <w:p w14:paraId="343A7A7F">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投标人名称：</w:t>
            </w:r>
          </w:p>
        </w:tc>
        <w:tc>
          <w:tcPr>
            <w:tcW w:w="6172" w:type="dxa"/>
            <w:tcBorders>
              <w:top w:val="single" w:color="000000" w:sz="4" w:space="0"/>
              <w:left w:val="nil"/>
              <w:bottom w:val="single" w:color="000000" w:sz="4" w:space="0"/>
              <w:right w:val="nil"/>
            </w:tcBorders>
            <w:vAlign w:val="bottom"/>
          </w:tcPr>
          <w:p w14:paraId="1CE16179">
            <w:pPr>
              <w:wordWrap w:val="0"/>
              <w:spacing w:line="360" w:lineRule="auto"/>
              <w:jc w:val="left"/>
              <w:rPr>
                <w:rFonts w:hint="eastAsia" w:ascii="宋体" w:hAnsi="宋体" w:cs="宋体"/>
                <w:color w:val="auto"/>
                <w:sz w:val="24"/>
                <w:highlight w:val="none"/>
              </w:rPr>
            </w:pPr>
          </w:p>
        </w:tc>
      </w:tr>
      <w:tr w14:paraId="55584594">
        <w:tblPrEx>
          <w:tblCellMar>
            <w:top w:w="0" w:type="dxa"/>
            <w:left w:w="108" w:type="dxa"/>
            <w:bottom w:w="0" w:type="dxa"/>
            <w:right w:w="108" w:type="dxa"/>
          </w:tblCellMar>
        </w:tblPrEx>
        <w:trPr>
          <w:jc w:val="center"/>
        </w:trPr>
        <w:tc>
          <w:tcPr>
            <w:tcW w:w="1601" w:type="dxa"/>
            <w:vAlign w:val="bottom"/>
          </w:tcPr>
          <w:p w14:paraId="2F5E3853">
            <w:pPr>
              <w:wordWrap w:val="0"/>
              <w:spacing w:line="360" w:lineRule="auto"/>
              <w:jc w:val="distribute"/>
              <w:rPr>
                <w:rFonts w:hint="eastAsia" w:ascii="宋体" w:hAnsi="宋体" w:cs="宋体"/>
                <w:color w:val="auto"/>
                <w:sz w:val="24"/>
                <w:highlight w:val="none"/>
              </w:rPr>
            </w:pPr>
            <w:r>
              <w:rPr>
                <w:rFonts w:hint="eastAsia" w:ascii="宋体" w:hAnsi="宋体" w:cs="宋体"/>
                <w:color w:val="auto"/>
                <w:sz w:val="24"/>
                <w:highlight w:val="none"/>
              </w:rPr>
              <w:t>投标人地址：</w:t>
            </w:r>
          </w:p>
        </w:tc>
        <w:tc>
          <w:tcPr>
            <w:tcW w:w="6172" w:type="dxa"/>
            <w:tcBorders>
              <w:top w:val="single" w:color="000000" w:sz="4" w:space="0"/>
              <w:left w:val="nil"/>
              <w:bottom w:val="single" w:color="000000" w:sz="4" w:space="0"/>
              <w:right w:val="nil"/>
            </w:tcBorders>
            <w:vAlign w:val="bottom"/>
          </w:tcPr>
          <w:p w14:paraId="1B8CBB34">
            <w:pPr>
              <w:wordWrap w:val="0"/>
              <w:spacing w:line="360" w:lineRule="auto"/>
              <w:jc w:val="left"/>
              <w:rPr>
                <w:rFonts w:hint="eastAsia" w:ascii="宋体" w:hAnsi="宋体" w:cs="宋体"/>
                <w:color w:val="auto"/>
                <w:sz w:val="24"/>
                <w:highlight w:val="none"/>
              </w:rPr>
            </w:pPr>
          </w:p>
        </w:tc>
      </w:tr>
    </w:tbl>
    <w:p w14:paraId="4DA813AE">
      <w:pPr>
        <w:wordWrap w:val="0"/>
        <w:spacing w:line="360" w:lineRule="auto"/>
        <w:ind w:firstLine="4200" w:firstLineChars="1750"/>
        <w:rPr>
          <w:rFonts w:hint="eastAsia" w:ascii="宋体" w:hAnsi="宋体" w:cs="宋体"/>
          <w:color w:val="auto"/>
          <w:sz w:val="24"/>
          <w:highlight w:val="none"/>
        </w:rPr>
      </w:pPr>
    </w:p>
    <w:p w14:paraId="50F5DF90">
      <w:pPr>
        <w:wordWrap w:val="0"/>
        <w:spacing w:line="360" w:lineRule="auto"/>
        <w:ind w:firstLine="4200" w:firstLineChars="1750"/>
        <w:rPr>
          <w:rFonts w:hint="eastAsia" w:ascii="宋体" w:hAnsi="宋体" w:cs="宋体"/>
          <w:color w:val="auto"/>
          <w:sz w:val="24"/>
          <w:highlight w:val="none"/>
        </w:rPr>
      </w:pPr>
    </w:p>
    <w:p w14:paraId="34E9FCB1">
      <w:pPr>
        <w:wordWrap w:val="0"/>
        <w:spacing w:line="360" w:lineRule="auto"/>
        <w:ind w:firstLine="4200" w:firstLineChars="1750"/>
        <w:rPr>
          <w:rFonts w:hint="eastAsia" w:ascii="宋体" w:hAnsi="宋体" w:cs="宋体"/>
          <w:color w:val="auto"/>
          <w:sz w:val="24"/>
          <w:highlight w:val="none"/>
        </w:rPr>
      </w:pPr>
    </w:p>
    <w:p w14:paraId="18FD43CE">
      <w:pPr>
        <w:wordWrap w:val="0"/>
        <w:spacing w:line="360" w:lineRule="auto"/>
        <w:ind w:firstLine="5880" w:firstLineChars="2450"/>
        <w:rPr>
          <w:rFonts w:hint="eastAsia" w:ascii="宋体" w:hAnsi="宋体" w:cs="宋体"/>
          <w:color w:val="auto"/>
          <w:sz w:val="24"/>
          <w:highlight w:val="none"/>
        </w:rPr>
      </w:pPr>
      <w:r>
        <w:rPr>
          <w:rFonts w:hint="eastAsia" w:ascii="宋体" w:hAnsi="宋体" w:cs="宋体"/>
          <w:color w:val="auto"/>
          <w:sz w:val="24"/>
          <w:highlight w:val="none"/>
        </w:rPr>
        <w:t>投标截止时间前不得解密</w:t>
      </w:r>
    </w:p>
    <w:p w14:paraId="1992A9CC">
      <w:pPr>
        <w:wordWrap w:val="0"/>
        <w:spacing w:line="360" w:lineRule="auto"/>
        <w:ind w:firstLine="6480" w:firstLineChars="2700"/>
        <w:rPr>
          <w:rFonts w:hint="eastAsia" w:ascii="宋体" w:hAnsi="宋体" w:cs="宋体"/>
          <w:color w:val="auto"/>
          <w:sz w:val="24"/>
          <w:highlight w:val="none"/>
        </w:rPr>
      </w:pPr>
      <w:r>
        <w:rPr>
          <w:rFonts w:hint="eastAsia" w:ascii="宋体" w:hAnsi="宋体" w:cs="宋体"/>
          <w:color w:val="auto"/>
          <w:sz w:val="24"/>
          <w:highlight w:val="none"/>
        </w:rPr>
        <w:t>年   月   日</w:t>
      </w:r>
    </w:p>
    <w:p w14:paraId="1F163179">
      <w:pPr>
        <w:widowControl/>
        <w:wordWrap w:val="0"/>
        <w:spacing w:line="360" w:lineRule="auto"/>
        <w:jc w:val="left"/>
        <w:rPr>
          <w:rFonts w:hint="eastAsia" w:ascii="宋体" w:hAnsi="宋体" w:cs="宋体"/>
          <w:color w:val="auto"/>
          <w:sz w:val="24"/>
          <w:highlight w:val="none"/>
        </w:rPr>
        <w:sectPr>
          <w:pgSz w:w="11907" w:h="16840"/>
          <w:pgMar w:top="1440" w:right="1080" w:bottom="1440" w:left="1080" w:header="720" w:footer="720" w:gutter="0"/>
          <w:cols w:space="720" w:num="1"/>
        </w:sectPr>
      </w:pPr>
    </w:p>
    <w:p w14:paraId="3576A669">
      <w:pPr>
        <w:pStyle w:val="14"/>
        <w:wordWrap w:val="0"/>
        <w:spacing w:line="360" w:lineRule="auto"/>
        <w:ind w:firstLine="562"/>
        <w:jc w:val="center"/>
        <w:outlineLvl w:val="1"/>
        <w:rPr>
          <w:rFonts w:hint="eastAsia" w:hAnsi="宋体" w:cs="宋体"/>
          <w:b/>
          <w:bCs/>
          <w:color w:val="auto"/>
          <w:sz w:val="28"/>
          <w:szCs w:val="28"/>
          <w:highlight w:val="none"/>
        </w:rPr>
      </w:pPr>
      <w:bookmarkStart w:id="306" w:name="_Toc20946"/>
      <w:r>
        <w:rPr>
          <w:rFonts w:hint="eastAsia" w:hAnsi="宋体" w:cs="宋体"/>
          <w:b/>
          <w:bCs/>
          <w:color w:val="auto"/>
          <w:sz w:val="28"/>
          <w:szCs w:val="28"/>
          <w:highlight w:val="none"/>
        </w:rPr>
        <w:t>第二节 资格证明文件格式</w:t>
      </w:r>
      <w:bookmarkEnd w:id="306"/>
    </w:p>
    <w:p w14:paraId="3F5437FB">
      <w:pPr>
        <w:pStyle w:val="14"/>
        <w:wordWrap w:val="0"/>
        <w:spacing w:line="360" w:lineRule="auto"/>
        <w:ind w:firstLine="600"/>
        <w:rPr>
          <w:rFonts w:hint="eastAsia" w:hAnsi="宋体" w:cs="宋体"/>
          <w:color w:val="auto"/>
          <w:sz w:val="30"/>
          <w:highlight w:val="none"/>
        </w:rPr>
      </w:pPr>
    </w:p>
    <w:p w14:paraId="627197FC">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609458D">
      <w:pPr>
        <w:wordWrap w:val="0"/>
        <w:snapToGrid w:val="0"/>
        <w:spacing w:line="360" w:lineRule="auto"/>
        <w:rPr>
          <w:rFonts w:hint="eastAsia" w:ascii="宋体" w:hAnsi="宋体" w:cs="宋体"/>
          <w:color w:val="auto"/>
          <w:sz w:val="24"/>
          <w:szCs w:val="20"/>
          <w:highlight w:val="none"/>
        </w:rPr>
      </w:pPr>
    </w:p>
    <w:p w14:paraId="5F126F53">
      <w:pPr>
        <w:wordWrap w:val="0"/>
        <w:snapToGrid w:val="0"/>
        <w:spacing w:line="360" w:lineRule="auto"/>
        <w:ind w:firstLine="643"/>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资格证明文件（封面）</w:t>
      </w:r>
    </w:p>
    <w:p w14:paraId="5E95DEB9">
      <w:pPr>
        <w:wordWrap w:val="0"/>
        <w:snapToGrid w:val="0"/>
        <w:spacing w:line="360" w:lineRule="auto"/>
        <w:rPr>
          <w:rFonts w:hint="eastAsia" w:ascii="宋体" w:hAnsi="宋体" w:cs="宋体"/>
          <w:bCs/>
          <w:color w:val="auto"/>
          <w:sz w:val="24"/>
          <w:szCs w:val="20"/>
          <w:highlight w:val="none"/>
        </w:rPr>
      </w:pPr>
    </w:p>
    <w:p w14:paraId="76F1DBCB">
      <w:pPr>
        <w:wordWrap w:val="0"/>
        <w:snapToGrid w:val="0"/>
        <w:spacing w:line="360" w:lineRule="auto"/>
        <w:rPr>
          <w:rFonts w:hint="eastAsia" w:ascii="宋体" w:hAnsi="宋体" w:cs="宋体"/>
          <w:bCs/>
          <w:color w:val="auto"/>
          <w:sz w:val="24"/>
          <w:szCs w:val="20"/>
          <w:highlight w:val="none"/>
        </w:rPr>
      </w:pPr>
    </w:p>
    <w:p w14:paraId="2E693D48">
      <w:pPr>
        <w:wordWrap w:val="0"/>
        <w:snapToGrid w:val="0"/>
        <w:spacing w:line="360" w:lineRule="auto"/>
        <w:rPr>
          <w:rFonts w:hint="eastAsia" w:ascii="宋体" w:hAnsi="宋体" w:cs="宋体"/>
          <w:bCs/>
          <w:color w:val="auto"/>
          <w:sz w:val="24"/>
          <w:szCs w:val="20"/>
          <w:highlight w:val="none"/>
        </w:rPr>
      </w:pPr>
    </w:p>
    <w:p w14:paraId="3AC4F437">
      <w:pPr>
        <w:wordWrap w:val="0"/>
        <w:snapToGrid w:val="0"/>
        <w:spacing w:line="360" w:lineRule="auto"/>
        <w:rPr>
          <w:rFonts w:hint="eastAsia" w:ascii="宋体" w:hAnsi="宋体" w:cs="宋体"/>
          <w:bCs/>
          <w:color w:val="auto"/>
          <w:sz w:val="24"/>
          <w:szCs w:val="20"/>
          <w:highlight w:val="none"/>
        </w:rPr>
      </w:pPr>
    </w:p>
    <w:p w14:paraId="3F604AB4">
      <w:pPr>
        <w:wordWrap w:val="0"/>
        <w:snapToGrid w:val="0"/>
        <w:spacing w:line="360" w:lineRule="auto"/>
        <w:rPr>
          <w:rFonts w:hint="eastAsia" w:ascii="宋体" w:hAnsi="宋体" w:cs="宋体"/>
          <w:bCs/>
          <w:color w:val="auto"/>
          <w:sz w:val="24"/>
          <w:szCs w:val="20"/>
          <w:highlight w:val="none"/>
        </w:rPr>
      </w:pPr>
    </w:p>
    <w:p w14:paraId="427B1FD3">
      <w:pPr>
        <w:wordWrap w:val="0"/>
        <w:snapToGrid w:val="0"/>
        <w:spacing w:line="360" w:lineRule="auto"/>
        <w:rPr>
          <w:rFonts w:hint="eastAsia" w:ascii="宋体" w:hAnsi="宋体" w:cs="宋体"/>
          <w:bCs/>
          <w:color w:val="auto"/>
          <w:sz w:val="24"/>
          <w:szCs w:val="20"/>
          <w:highlight w:val="none"/>
        </w:rPr>
      </w:pPr>
    </w:p>
    <w:p w14:paraId="0D4E384F">
      <w:pPr>
        <w:wordWrap w:val="0"/>
        <w:snapToGrid w:val="0"/>
        <w:spacing w:line="360" w:lineRule="auto"/>
        <w:rPr>
          <w:rFonts w:hint="eastAsia" w:ascii="宋体" w:hAnsi="宋体" w:cs="宋体"/>
          <w:bCs/>
          <w:color w:val="auto"/>
          <w:sz w:val="24"/>
          <w:szCs w:val="20"/>
          <w:highlight w:val="none"/>
        </w:rPr>
      </w:pPr>
    </w:p>
    <w:p w14:paraId="58B955F5">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4CDAEEA8">
      <w:pPr>
        <w:wordWrap w:val="0"/>
        <w:snapToGrid w:val="0"/>
        <w:spacing w:line="360" w:lineRule="auto"/>
        <w:ind w:firstLine="540" w:firstLineChars="225"/>
        <w:rPr>
          <w:rFonts w:hint="eastAsia" w:ascii="宋体" w:hAnsi="宋体" w:cs="宋体"/>
          <w:bCs/>
          <w:color w:val="auto"/>
          <w:sz w:val="24"/>
          <w:szCs w:val="20"/>
          <w:highlight w:val="none"/>
        </w:rPr>
      </w:pPr>
    </w:p>
    <w:p w14:paraId="792049FB">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r>
        <w:rPr>
          <w:rFonts w:hint="eastAsia" w:ascii="宋体" w:hAnsi="宋体" w:cs="宋体"/>
          <w:color w:val="auto"/>
          <w:sz w:val="24"/>
          <w:highlight w:val="none"/>
        </w:rPr>
        <w:t xml:space="preserve"> </w:t>
      </w:r>
    </w:p>
    <w:p w14:paraId="7EE633DA">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59F03F49">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FE65025">
      <w:pPr>
        <w:pStyle w:val="10"/>
        <w:wordWrap w:val="0"/>
        <w:snapToGrid w:val="0"/>
        <w:spacing w:line="360" w:lineRule="auto"/>
        <w:ind w:firstLine="540" w:firstLineChars="225"/>
        <w:rPr>
          <w:rFonts w:hint="eastAsia" w:ascii="宋体" w:hAnsi="宋体" w:cs="宋体"/>
          <w:bCs/>
          <w:color w:val="auto"/>
          <w:sz w:val="24"/>
          <w:szCs w:val="24"/>
          <w:highlight w:val="none"/>
        </w:rPr>
      </w:pPr>
    </w:p>
    <w:p w14:paraId="3C6EEBEE">
      <w:pPr>
        <w:pStyle w:val="10"/>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6D815C7E">
      <w:pPr>
        <w:pStyle w:val="10"/>
        <w:wordWrap w:val="0"/>
        <w:snapToGrid w:val="0"/>
        <w:spacing w:line="360" w:lineRule="auto"/>
        <w:ind w:firstLine="540" w:firstLineChars="225"/>
        <w:rPr>
          <w:rFonts w:hint="eastAsia" w:ascii="宋体" w:hAnsi="宋体" w:cs="宋体"/>
          <w:bCs/>
          <w:color w:val="auto"/>
          <w:sz w:val="24"/>
          <w:szCs w:val="24"/>
          <w:highlight w:val="none"/>
        </w:rPr>
      </w:pPr>
    </w:p>
    <w:p w14:paraId="26B6A5D9">
      <w:pPr>
        <w:pStyle w:val="10"/>
        <w:wordWrap w:val="0"/>
        <w:snapToGrid w:val="0"/>
        <w:spacing w:line="360" w:lineRule="auto"/>
        <w:ind w:firstLine="960" w:firstLineChars="400"/>
        <w:rPr>
          <w:rFonts w:hint="eastAsia" w:ascii="宋体" w:hAnsi="宋体" w:cs="宋体"/>
          <w:bCs/>
          <w:color w:val="auto"/>
          <w:sz w:val="24"/>
          <w:szCs w:val="24"/>
          <w:highlight w:val="none"/>
        </w:rPr>
      </w:pPr>
    </w:p>
    <w:p w14:paraId="26326AB7">
      <w:pPr>
        <w:wordWrap w:val="0"/>
        <w:snapToGrid w:val="0"/>
        <w:spacing w:line="360" w:lineRule="auto"/>
        <w:ind w:firstLine="480"/>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6EEF3095">
      <w:pPr>
        <w:widowControl/>
        <w:wordWrap w:val="0"/>
        <w:spacing w:line="360" w:lineRule="auto"/>
        <w:ind w:firstLine="600"/>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1AF5D13E">
      <w:pPr>
        <w:wordWrap w:val="0"/>
        <w:spacing w:line="360" w:lineRule="auto"/>
        <w:ind w:firstLine="723"/>
        <w:jc w:val="cente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3312FF2E">
      <w:pPr>
        <w:wordWrap w:val="0"/>
        <w:snapToGrid w:val="0"/>
        <w:spacing w:line="360" w:lineRule="auto"/>
        <w:rPr>
          <w:rFonts w:hint="eastAsia" w:ascii="宋体" w:hAnsi="宋体" w:cs="宋体"/>
          <w:color w:val="auto"/>
          <w:kern w:val="0"/>
          <w:sz w:val="24"/>
          <w:highlight w:val="none"/>
        </w:rPr>
      </w:pPr>
    </w:p>
    <w:p w14:paraId="0BACCED7">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w:t>
      </w:r>
      <w:r>
        <w:rPr>
          <w:rFonts w:hint="eastAsia" w:ascii="宋体" w:hAnsi="宋体" w:cs="宋体"/>
          <w:color w:val="auto"/>
          <w:sz w:val="24"/>
          <w:highlight w:val="none"/>
        </w:rPr>
        <w:t>营业执照(或事业法人登记证或其他工商等登记证明材料)复印件（投标人为自然人的，须提供</w:t>
      </w:r>
      <w:r>
        <w:rPr>
          <w:rFonts w:hint="eastAsia" w:ascii="宋体" w:hAnsi="宋体" w:cs="宋体"/>
          <w:color w:val="auto"/>
          <w:kern w:val="0"/>
          <w:sz w:val="24"/>
          <w:highlight w:val="none"/>
        </w:rPr>
        <w:t>自然人的身份证明</w:t>
      </w:r>
      <w:r>
        <w:rPr>
          <w:rFonts w:hint="eastAsia" w:ascii="宋体" w:hAnsi="宋体" w:cs="宋体"/>
          <w:color w:val="auto"/>
          <w:sz w:val="24"/>
          <w:highlight w:val="none"/>
        </w:rPr>
        <w:t>）</w:t>
      </w:r>
      <w:r>
        <w:rPr>
          <w:rFonts w:hint="eastAsia" w:ascii="宋体" w:hAnsi="宋体" w:cs="宋体"/>
          <w:color w:val="auto"/>
          <w:kern w:val="0"/>
          <w:sz w:val="24"/>
          <w:highlight w:val="none"/>
        </w:rPr>
        <w:t>……………………………………………………………（页码）</w:t>
      </w:r>
    </w:p>
    <w:p w14:paraId="37E943AD">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二、符合参与政府采购活动的资格条件依法缴纳税收、社会保障资金等方面的材料…………………………………………………………………………………………（页码）</w:t>
      </w:r>
    </w:p>
    <w:p w14:paraId="02B69369">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三、财务状况报告方面的材料…………………………………………………………（页码）</w:t>
      </w:r>
    </w:p>
    <w:p w14:paraId="7EBB115C">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四、投标人直接控股股东信息</w:t>
      </w:r>
      <w:r>
        <w:rPr>
          <w:rFonts w:hint="eastAsia" w:ascii="宋体" w:hAnsi="宋体" w:cs="宋体"/>
          <w:color w:val="auto"/>
          <w:kern w:val="0"/>
          <w:sz w:val="24"/>
          <w:highlight w:val="none"/>
        </w:rPr>
        <w:t>…………………………………………………………（页码）</w:t>
      </w:r>
    </w:p>
    <w:p w14:paraId="5813F941">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五、投标人直接管理关系信息表</w:t>
      </w:r>
      <w:r>
        <w:rPr>
          <w:rFonts w:hint="eastAsia" w:ascii="宋体" w:hAnsi="宋体" w:cs="宋体"/>
          <w:color w:val="auto"/>
          <w:kern w:val="0"/>
          <w:sz w:val="24"/>
          <w:highlight w:val="none"/>
        </w:rPr>
        <w:t>………………………………………………………（页码）</w:t>
      </w:r>
    </w:p>
    <w:p w14:paraId="65ED1A84">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六、投标资格声明函……………………………………………………………………（页码）</w:t>
      </w:r>
    </w:p>
    <w:p w14:paraId="3235DBC4">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七、联合体协议书（</w:t>
      </w:r>
      <w:r>
        <w:rPr>
          <w:rFonts w:hint="eastAsia" w:ascii="宋体" w:hAnsi="宋体" w:cs="宋体"/>
          <w:color w:val="auto"/>
          <w:sz w:val="24"/>
          <w:highlight w:val="none"/>
        </w:rPr>
        <w:t>以联合体形式投标的，提供联合体协议；本项目不接受联合体投标或者投标人不以联合体形式投标的，则不需要提供</w:t>
      </w:r>
      <w:r>
        <w:rPr>
          <w:rFonts w:hint="eastAsia" w:ascii="宋体" w:hAnsi="宋体" w:cs="宋体"/>
          <w:color w:val="auto"/>
          <w:kern w:val="0"/>
          <w:sz w:val="24"/>
          <w:highlight w:val="none"/>
        </w:rPr>
        <w:t>）………………………………………（页码）</w:t>
      </w:r>
    </w:p>
    <w:p w14:paraId="3CA64D81">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八、中小企业声明函……………………………………………………………………（页码）</w:t>
      </w:r>
    </w:p>
    <w:p w14:paraId="752B46CA">
      <w:pPr>
        <w:wordWrap w:val="0"/>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九、除招标文件规定必须提供以外，投标人认为需要提供的其他证明材料………（页码）</w:t>
      </w:r>
    </w:p>
    <w:p w14:paraId="0E7A7105">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030DBC76">
      <w:pPr>
        <w:widowControl/>
        <w:wordWrap w:val="0"/>
        <w:spacing w:line="360" w:lineRule="auto"/>
        <w:ind w:firstLine="600"/>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0E85559B">
      <w:pPr>
        <w:wordWrap w:val="0"/>
        <w:snapToGrid w:val="0"/>
        <w:spacing w:line="360" w:lineRule="auto"/>
        <w:ind w:firstLine="643"/>
        <w:rPr>
          <w:rFonts w:hint="eastAsia" w:ascii="宋体" w:hAnsi="宋体" w:cs="宋体"/>
          <w:b/>
          <w:color w:val="auto"/>
          <w:kern w:val="0"/>
          <w:sz w:val="32"/>
          <w:szCs w:val="32"/>
          <w:highlight w:val="none"/>
          <w:lang w:val="zh-CN"/>
        </w:rPr>
      </w:pPr>
    </w:p>
    <w:p w14:paraId="5B62F104">
      <w:pPr>
        <w:wordWrap w:val="0"/>
        <w:spacing w:line="360" w:lineRule="auto"/>
        <w:ind w:firstLine="643"/>
        <w:jc w:val="center"/>
        <w:rPr>
          <w:rFonts w:hint="eastAsia" w:ascii="宋体" w:hAnsi="宋体" w:cs="宋体"/>
          <w:b/>
          <w:color w:val="auto"/>
          <w:sz w:val="30"/>
          <w:szCs w:val="30"/>
          <w:highlight w:val="none"/>
        </w:rPr>
      </w:pPr>
      <w:r>
        <w:rPr>
          <w:rFonts w:hint="eastAsia" w:ascii="宋体" w:hAnsi="宋体" w:cs="宋体"/>
          <w:b/>
          <w:color w:val="auto"/>
          <w:kern w:val="0"/>
          <w:sz w:val="32"/>
          <w:szCs w:val="32"/>
          <w:highlight w:val="none"/>
          <w:lang w:val="zh-CN"/>
        </w:rPr>
        <w:t>一、</w:t>
      </w:r>
      <w:r>
        <w:rPr>
          <w:rFonts w:hint="eastAsia" w:ascii="宋体" w:hAnsi="宋体" w:cs="宋体"/>
          <w:b/>
          <w:color w:val="auto"/>
          <w:sz w:val="30"/>
          <w:szCs w:val="30"/>
          <w:highlight w:val="none"/>
        </w:rPr>
        <w:t>营业执照(或事业法人登记证或其他工商等登记证明材料)复印件（投标人为自然人的，提供自然人的身份证明）</w:t>
      </w:r>
    </w:p>
    <w:p w14:paraId="78ED858A">
      <w:pPr>
        <w:wordWrap w:val="0"/>
        <w:spacing w:line="360" w:lineRule="auto"/>
        <w:ind w:firstLine="602"/>
        <w:rPr>
          <w:rFonts w:hint="eastAsia" w:ascii="宋体" w:hAnsi="宋体" w:cs="宋体"/>
          <w:b/>
          <w:color w:val="auto"/>
          <w:sz w:val="30"/>
          <w:szCs w:val="30"/>
          <w:highlight w:val="none"/>
        </w:rPr>
      </w:pPr>
    </w:p>
    <w:p w14:paraId="6E9EF3F3">
      <w:pPr>
        <w:wordWrap w:val="0"/>
        <w:snapToGrid w:val="0"/>
        <w:spacing w:line="360" w:lineRule="auto"/>
        <w:ind w:firstLine="480"/>
        <w:jc w:val="cente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投标人名称(电子签章)：                              </w:t>
      </w:r>
    </w:p>
    <w:p w14:paraId="2EE27D7B">
      <w:pPr>
        <w:wordWrap w:val="0"/>
        <w:spacing w:line="360" w:lineRule="auto"/>
        <w:jc w:val="center"/>
        <w:rPr>
          <w:rFonts w:hint="eastAsia" w:ascii="宋体" w:hAnsi="宋体" w:cs="宋体"/>
          <w:b/>
          <w:color w:val="auto"/>
          <w:sz w:val="30"/>
          <w:szCs w:val="30"/>
          <w:highlight w:val="none"/>
        </w:rPr>
      </w:pPr>
      <w:r>
        <w:rPr>
          <w:rFonts w:hint="eastAsia" w:ascii="宋体" w:hAnsi="宋体" w:cs="宋体"/>
          <w:color w:val="auto"/>
          <w:kern w:val="0"/>
          <w:sz w:val="24"/>
          <w:highlight w:val="none"/>
          <w:lang w:val="zh-CN"/>
        </w:rPr>
        <w:t xml:space="preserve">                   日期：  年  月</w:t>
      </w:r>
    </w:p>
    <w:p w14:paraId="164A30D2">
      <w:pPr>
        <w:wordWrap w:val="0"/>
        <w:spacing w:line="360" w:lineRule="auto"/>
        <w:ind w:firstLine="602"/>
        <w:jc w:val="center"/>
        <w:rPr>
          <w:rFonts w:hint="eastAsia" w:ascii="宋体" w:hAnsi="宋体" w:cs="宋体"/>
          <w:b/>
          <w:color w:val="auto"/>
          <w:sz w:val="30"/>
          <w:szCs w:val="30"/>
          <w:highlight w:val="none"/>
        </w:rPr>
      </w:pPr>
    </w:p>
    <w:p w14:paraId="46AAC3C0">
      <w:pPr>
        <w:wordWrap w:val="0"/>
        <w:snapToGrid w:val="0"/>
        <w:spacing w:line="360" w:lineRule="auto"/>
        <w:ind w:right="480" w:firstLine="602"/>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二、</w:t>
      </w:r>
      <w:r>
        <w:rPr>
          <w:rFonts w:hint="eastAsia" w:ascii="宋体" w:hAnsi="宋体" w:cs="宋体"/>
          <w:b/>
          <w:color w:val="auto"/>
          <w:kern w:val="0"/>
          <w:sz w:val="32"/>
          <w:szCs w:val="32"/>
          <w:highlight w:val="none"/>
        </w:rPr>
        <w:t>符合参与政府采购活动的资格条件依法缴纳税收、社会保障资金等方面的材料</w:t>
      </w:r>
    </w:p>
    <w:p w14:paraId="19B26162">
      <w:pPr>
        <w:wordWrap w:val="0"/>
        <w:snapToGrid w:val="0"/>
        <w:spacing w:line="360" w:lineRule="auto"/>
        <w:ind w:firstLine="480" w:firstLineChars="200"/>
        <w:rPr>
          <w:rFonts w:hint="eastAsia" w:ascii="宋体" w:hAnsi="宋体" w:cs="宋体"/>
          <w:color w:val="auto"/>
          <w:sz w:val="24"/>
          <w:highlight w:val="none"/>
        </w:rPr>
      </w:pPr>
    </w:p>
    <w:p w14:paraId="6F01B8F8">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371A2D55">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4F8CD303">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2880899">
      <w:pPr>
        <w:wordWrap w:val="0"/>
        <w:snapToGrid w:val="0"/>
        <w:spacing w:line="360" w:lineRule="auto"/>
        <w:ind w:right="480" w:firstLine="602"/>
        <w:jc w:val="center"/>
        <w:rPr>
          <w:rFonts w:hint="eastAsia" w:ascii="宋体" w:hAnsi="宋体" w:cs="宋体"/>
          <w:b/>
          <w:color w:val="auto"/>
          <w:kern w:val="0"/>
          <w:sz w:val="32"/>
          <w:szCs w:val="32"/>
          <w:highlight w:val="none"/>
        </w:rPr>
      </w:pPr>
      <w:r>
        <w:rPr>
          <w:rFonts w:hint="eastAsia" w:ascii="宋体" w:hAnsi="宋体" w:cs="宋体"/>
          <w:b/>
          <w:color w:val="auto"/>
          <w:sz w:val="30"/>
          <w:szCs w:val="30"/>
          <w:highlight w:val="none"/>
        </w:rPr>
        <w:t>三、</w:t>
      </w:r>
      <w:r>
        <w:rPr>
          <w:rFonts w:hint="eastAsia" w:ascii="宋体" w:hAnsi="宋体" w:cs="宋体"/>
          <w:b/>
          <w:color w:val="auto"/>
          <w:kern w:val="0"/>
          <w:sz w:val="32"/>
          <w:szCs w:val="32"/>
          <w:highlight w:val="none"/>
        </w:rPr>
        <w:t>财务状况报告方面的材料</w:t>
      </w:r>
    </w:p>
    <w:p w14:paraId="46059128">
      <w:pPr>
        <w:wordWrap w:val="0"/>
        <w:snapToGrid w:val="0"/>
        <w:spacing w:line="360" w:lineRule="auto"/>
        <w:ind w:firstLine="480" w:firstLineChars="200"/>
        <w:rPr>
          <w:rFonts w:hint="eastAsia" w:ascii="宋体" w:hAnsi="宋体" w:cs="宋体"/>
          <w:color w:val="auto"/>
          <w:sz w:val="24"/>
          <w:highlight w:val="none"/>
        </w:rPr>
      </w:pPr>
    </w:p>
    <w:p w14:paraId="4AF921FE">
      <w:pPr>
        <w:wordWrap w:val="0"/>
        <w:snapToGrid w:val="0"/>
        <w:spacing w:line="360" w:lineRule="auto"/>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A4C2DD6">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投标人名称(电子签章)：</w:t>
      </w:r>
    </w:p>
    <w:p w14:paraId="597DA90F">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B73A58A">
      <w:pPr>
        <w:wordWrap w:val="0"/>
        <w:snapToGrid w:val="0"/>
        <w:spacing w:line="360" w:lineRule="auto"/>
        <w:ind w:firstLine="5160" w:firstLineChars="2150"/>
        <w:rPr>
          <w:rFonts w:hint="eastAsia" w:ascii="宋体" w:hAnsi="宋体" w:cs="宋体"/>
          <w:color w:val="auto"/>
          <w:kern w:val="0"/>
          <w:sz w:val="24"/>
          <w:highlight w:val="none"/>
          <w:lang w:val="zh-CN"/>
        </w:rPr>
      </w:pPr>
    </w:p>
    <w:p w14:paraId="7E28DBEF">
      <w:pPr>
        <w:wordWrap w:val="0"/>
        <w:snapToGrid w:val="0"/>
        <w:spacing w:line="360" w:lineRule="auto"/>
        <w:ind w:right="480" w:firstLine="643"/>
        <w:jc w:val="center"/>
        <w:rPr>
          <w:rFonts w:hint="eastAsia" w:ascii="宋体" w:hAnsi="宋体" w:cs="宋体"/>
          <w:b/>
          <w:color w:val="auto"/>
          <w:kern w:val="0"/>
          <w:sz w:val="32"/>
          <w:szCs w:val="32"/>
          <w:highlight w:val="none"/>
          <w:lang w:val="zh-CN"/>
        </w:rPr>
      </w:pPr>
    </w:p>
    <w:p w14:paraId="2831013B">
      <w:pPr>
        <w:wordWrap w:val="0"/>
        <w:snapToGrid w:val="0"/>
        <w:spacing w:line="360" w:lineRule="auto"/>
        <w:ind w:right="480" w:firstLine="643"/>
        <w:jc w:val="center"/>
        <w:rPr>
          <w:rFonts w:hint="eastAsia" w:ascii="宋体" w:hAnsi="宋体" w:cs="宋体"/>
          <w:b/>
          <w:color w:val="auto"/>
          <w:sz w:val="28"/>
          <w:szCs w:val="28"/>
          <w:highlight w:val="none"/>
        </w:rPr>
      </w:pPr>
      <w:r>
        <w:rPr>
          <w:rFonts w:hint="eastAsia" w:ascii="宋体" w:hAnsi="宋体" w:cs="宋体"/>
          <w:b/>
          <w:color w:val="auto"/>
          <w:kern w:val="0"/>
          <w:sz w:val="32"/>
          <w:szCs w:val="32"/>
          <w:highlight w:val="none"/>
        </w:rPr>
        <w:br w:type="page"/>
      </w:r>
    </w:p>
    <w:p w14:paraId="4206D862">
      <w:pPr>
        <w:wordWrap w:val="0"/>
        <w:snapToGrid w:val="0"/>
        <w:spacing w:line="360" w:lineRule="auto"/>
        <w:ind w:firstLine="643"/>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四、投标人直接控股股东信息表</w:t>
      </w:r>
    </w:p>
    <w:tbl>
      <w:tblPr>
        <w:tblStyle w:val="26"/>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0FF1925E">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1640B00">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2A210D">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06D8375">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2FF3812">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FDC7B3B">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19660C40">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FE984E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3423687">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0BA09D">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EE38A8">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5126D30">
            <w:pPr>
              <w:wordWrap w:val="0"/>
              <w:spacing w:line="360" w:lineRule="auto"/>
              <w:jc w:val="center"/>
              <w:rPr>
                <w:rFonts w:hint="eastAsia" w:ascii="宋体" w:hAnsi="宋体" w:cs="宋体"/>
                <w:color w:val="auto"/>
                <w:kern w:val="0"/>
                <w:sz w:val="24"/>
                <w:highlight w:val="none"/>
              </w:rPr>
            </w:pPr>
          </w:p>
        </w:tc>
      </w:tr>
      <w:tr w14:paraId="177731D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25220DE">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75BE61">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4AE1830">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442186">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FF74590">
            <w:pPr>
              <w:wordWrap w:val="0"/>
              <w:spacing w:line="360" w:lineRule="auto"/>
              <w:jc w:val="center"/>
              <w:rPr>
                <w:rFonts w:hint="eastAsia" w:ascii="宋体" w:hAnsi="宋体" w:cs="宋体"/>
                <w:color w:val="auto"/>
                <w:kern w:val="0"/>
                <w:sz w:val="24"/>
                <w:highlight w:val="none"/>
              </w:rPr>
            </w:pPr>
          </w:p>
        </w:tc>
      </w:tr>
      <w:tr w14:paraId="016DA879">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D463B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9A43528">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3D513">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5FECF8">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F27B072">
            <w:pPr>
              <w:wordWrap w:val="0"/>
              <w:spacing w:line="360" w:lineRule="auto"/>
              <w:jc w:val="center"/>
              <w:rPr>
                <w:rFonts w:hint="eastAsia" w:ascii="宋体" w:hAnsi="宋体" w:cs="宋体"/>
                <w:color w:val="auto"/>
                <w:kern w:val="0"/>
                <w:sz w:val="24"/>
                <w:highlight w:val="none"/>
              </w:rPr>
            </w:pPr>
          </w:p>
        </w:tc>
      </w:tr>
      <w:tr w14:paraId="4D23573F">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8FB67E">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83A029">
            <w:pPr>
              <w:wordWrap w:val="0"/>
              <w:spacing w:line="360" w:lineRule="auto"/>
              <w:jc w:val="center"/>
              <w:rPr>
                <w:rFonts w:hint="eastAsia"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834435A">
            <w:pPr>
              <w:wordWrap w:val="0"/>
              <w:spacing w:line="360" w:lineRule="auto"/>
              <w:jc w:val="center"/>
              <w:rPr>
                <w:rFonts w:hint="eastAsia" w:ascii="宋体" w:hAnsi="宋体" w:cs="宋体"/>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A7B026">
            <w:pPr>
              <w:wordWrap w:val="0"/>
              <w:spacing w:line="360" w:lineRule="auto"/>
              <w:jc w:val="center"/>
              <w:rPr>
                <w:rFonts w:hint="eastAsia"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584F38">
            <w:pPr>
              <w:wordWrap w:val="0"/>
              <w:spacing w:line="360" w:lineRule="auto"/>
              <w:jc w:val="center"/>
              <w:rPr>
                <w:rFonts w:hint="eastAsia" w:ascii="宋体" w:hAnsi="宋体" w:cs="宋体"/>
                <w:color w:val="auto"/>
                <w:kern w:val="0"/>
                <w:sz w:val="24"/>
                <w:highlight w:val="none"/>
              </w:rPr>
            </w:pPr>
          </w:p>
        </w:tc>
      </w:tr>
    </w:tbl>
    <w:p w14:paraId="5CA3E272">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5E567902">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926EE45">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2.本表所指的控股关系仅限于直接控股关系，不包括间接的控股关系。公司实际控制人与公司之间的关系不属于本表所指的直接控股关系。</w:t>
      </w:r>
    </w:p>
    <w:p w14:paraId="50E14598">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3.供应商不存在直接控股股东的，则填“无”。</w:t>
      </w:r>
    </w:p>
    <w:p w14:paraId="1E02F0CE">
      <w:pPr>
        <w:wordWrap w:val="0"/>
        <w:snapToGrid w:val="0"/>
        <w:spacing w:line="360" w:lineRule="auto"/>
        <w:jc w:val="left"/>
        <w:rPr>
          <w:rFonts w:hint="eastAsia" w:ascii="宋体" w:hAnsi="宋体" w:cs="宋体"/>
          <w:color w:val="auto"/>
          <w:sz w:val="24"/>
          <w:highlight w:val="none"/>
        </w:rPr>
      </w:pPr>
    </w:p>
    <w:p w14:paraId="195F00F5">
      <w:pPr>
        <w:wordWrap w:val="0"/>
        <w:snapToGrid w:val="0"/>
        <w:spacing w:line="360" w:lineRule="auto"/>
        <w:jc w:val="left"/>
        <w:rPr>
          <w:rFonts w:hint="eastAsia" w:ascii="宋体" w:hAnsi="宋体" w:cs="宋体"/>
          <w:color w:val="auto"/>
          <w:sz w:val="24"/>
          <w:highlight w:val="none"/>
        </w:rPr>
      </w:pPr>
    </w:p>
    <w:p w14:paraId="6FC4149E">
      <w:pPr>
        <w:wordWrap w:val="0"/>
        <w:snapToGrid w:val="0"/>
        <w:spacing w:line="360" w:lineRule="auto"/>
        <w:jc w:val="left"/>
        <w:rPr>
          <w:rFonts w:hint="eastAsia" w:ascii="宋体" w:hAnsi="宋体" w:cs="宋体"/>
          <w:color w:val="auto"/>
          <w:sz w:val="24"/>
          <w:highlight w:val="none"/>
        </w:rPr>
      </w:pPr>
    </w:p>
    <w:p w14:paraId="057A6F74">
      <w:pPr>
        <w:wordWrap w:val="0"/>
        <w:snapToGrid w:val="0"/>
        <w:spacing w:line="360" w:lineRule="auto"/>
        <w:jc w:val="left"/>
        <w:rPr>
          <w:rFonts w:hint="eastAsia" w:ascii="宋体" w:hAnsi="宋体" w:cs="宋体"/>
          <w:color w:val="auto"/>
          <w:sz w:val="24"/>
          <w:highlight w:val="none"/>
        </w:rPr>
      </w:pPr>
    </w:p>
    <w:p w14:paraId="537DBD54">
      <w:pPr>
        <w:wordWrap w:val="0"/>
        <w:snapToGrid w:val="0"/>
        <w:spacing w:line="360" w:lineRule="auto"/>
        <w:jc w:val="left"/>
        <w:rPr>
          <w:rFonts w:hint="eastAsia" w:ascii="宋体" w:hAnsi="宋体" w:cs="宋体"/>
          <w:color w:val="auto"/>
          <w:sz w:val="24"/>
          <w:highlight w:val="none"/>
        </w:rPr>
      </w:pPr>
    </w:p>
    <w:p w14:paraId="22B54B23">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F90AD6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FABB4B6">
      <w:pPr>
        <w:wordWrap w:val="0"/>
        <w:snapToGrid w:val="0"/>
        <w:spacing w:line="360" w:lineRule="auto"/>
        <w:ind w:firstLine="562"/>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DAF2495">
      <w:pPr>
        <w:wordWrap w:val="0"/>
        <w:snapToGrid w:val="0"/>
        <w:spacing w:line="360" w:lineRule="auto"/>
        <w:ind w:firstLine="643"/>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五、投标人直接管理关系信息表</w:t>
      </w:r>
    </w:p>
    <w:tbl>
      <w:tblPr>
        <w:tblStyle w:val="26"/>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18DA899">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78F7ACC">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CFF166">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AB89A6">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1E24F58">
            <w:pPr>
              <w:wordWrap w:val="0"/>
              <w:spacing w:line="360" w:lineRule="auto"/>
              <w:ind w:firstLine="482"/>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A206E6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6F0A7EB">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FEB7DA9">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606FB7">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58300E">
            <w:pPr>
              <w:wordWrap w:val="0"/>
              <w:spacing w:line="360" w:lineRule="auto"/>
              <w:jc w:val="center"/>
              <w:rPr>
                <w:rFonts w:hint="eastAsia" w:ascii="宋体" w:hAnsi="宋体" w:cs="宋体"/>
                <w:color w:val="auto"/>
                <w:kern w:val="0"/>
                <w:sz w:val="24"/>
                <w:highlight w:val="none"/>
              </w:rPr>
            </w:pPr>
          </w:p>
        </w:tc>
      </w:tr>
      <w:tr w14:paraId="7FCA6213">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3503AA">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B6D066">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F428AD">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2D4841">
            <w:pPr>
              <w:wordWrap w:val="0"/>
              <w:spacing w:line="360" w:lineRule="auto"/>
              <w:jc w:val="center"/>
              <w:rPr>
                <w:rFonts w:hint="eastAsia" w:ascii="宋体" w:hAnsi="宋体" w:cs="宋体"/>
                <w:color w:val="auto"/>
                <w:kern w:val="0"/>
                <w:sz w:val="24"/>
                <w:highlight w:val="none"/>
              </w:rPr>
            </w:pPr>
          </w:p>
        </w:tc>
      </w:tr>
      <w:tr w14:paraId="28E2921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97DC56">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5ED2D5A">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486FF99">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A47C8F1">
            <w:pPr>
              <w:wordWrap w:val="0"/>
              <w:spacing w:line="360" w:lineRule="auto"/>
              <w:jc w:val="center"/>
              <w:rPr>
                <w:rFonts w:hint="eastAsia" w:ascii="宋体" w:hAnsi="宋体" w:cs="宋体"/>
                <w:color w:val="auto"/>
                <w:kern w:val="0"/>
                <w:sz w:val="24"/>
                <w:highlight w:val="none"/>
              </w:rPr>
            </w:pPr>
          </w:p>
        </w:tc>
      </w:tr>
      <w:tr w14:paraId="54C8B9AD">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8FAD7D">
            <w:pPr>
              <w:wordWrap w:val="0"/>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DCE8A20">
            <w:pPr>
              <w:wordWrap w:val="0"/>
              <w:spacing w:line="360" w:lineRule="auto"/>
              <w:jc w:val="center"/>
              <w:rPr>
                <w:rFonts w:hint="eastAsia"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44860">
            <w:pPr>
              <w:wordWrap w:val="0"/>
              <w:spacing w:line="360" w:lineRule="auto"/>
              <w:jc w:val="center"/>
              <w:rPr>
                <w:rFonts w:hint="eastAsia"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DB34A9">
            <w:pPr>
              <w:wordWrap w:val="0"/>
              <w:spacing w:line="360" w:lineRule="auto"/>
              <w:jc w:val="center"/>
              <w:rPr>
                <w:rFonts w:hint="eastAsia" w:ascii="宋体" w:hAnsi="宋体" w:cs="宋体"/>
                <w:color w:val="auto"/>
                <w:kern w:val="0"/>
                <w:sz w:val="24"/>
                <w:highlight w:val="none"/>
              </w:rPr>
            </w:pPr>
          </w:p>
        </w:tc>
      </w:tr>
    </w:tbl>
    <w:p w14:paraId="08CA19C4">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注：</w:t>
      </w:r>
    </w:p>
    <w:p w14:paraId="0545EB97">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1.管理关系：是指不具有出资持股关系的其他单位之间存在的管理与被管理关系，如一些上下级关系的事业单位和团体组织。</w:t>
      </w:r>
    </w:p>
    <w:p w14:paraId="7A858BD4">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pacing w:val="-6"/>
          <w:sz w:val="24"/>
          <w:highlight w:val="none"/>
        </w:rPr>
        <w:t>本表所指的管理关系仅限于直接管理关系，不包括间接的管理关系。</w:t>
      </w:r>
    </w:p>
    <w:p w14:paraId="07A57763">
      <w:pPr>
        <w:wordWrap w:val="0"/>
        <w:snapToGrid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3.供应商不存在直接管理关系的，则填“无”。</w:t>
      </w:r>
    </w:p>
    <w:p w14:paraId="699C0641">
      <w:pPr>
        <w:wordWrap w:val="0"/>
        <w:snapToGrid w:val="0"/>
        <w:spacing w:line="360" w:lineRule="auto"/>
        <w:jc w:val="left"/>
        <w:rPr>
          <w:rFonts w:hint="eastAsia" w:ascii="宋体" w:hAnsi="宋体" w:cs="宋体"/>
          <w:color w:val="auto"/>
          <w:sz w:val="24"/>
          <w:highlight w:val="none"/>
        </w:rPr>
      </w:pPr>
    </w:p>
    <w:p w14:paraId="119A2723">
      <w:pPr>
        <w:wordWrap w:val="0"/>
        <w:snapToGrid w:val="0"/>
        <w:spacing w:line="360" w:lineRule="auto"/>
        <w:jc w:val="left"/>
        <w:rPr>
          <w:rFonts w:hint="eastAsia" w:ascii="宋体" w:hAnsi="宋体" w:cs="宋体"/>
          <w:color w:val="auto"/>
          <w:sz w:val="24"/>
          <w:highlight w:val="none"/>
        </w:rPr>
      </w:pPr>
    </w:p>
    <w:p w14:paraId="0259A510">
      <w:pPr>
        <w:wordWrap w:val="0"/>
        <w:snapToGrid w:val="0"/>
        <w:spacing w:line="360" w:lineRule="auto"/>
        <w:jc w:val="left"/>
        <w:rPr>
          <w:rFonts w:hint="eastAsia" w:ascii="宋体" w:hAnsi="宋体" w:cs="宋体"/>
          <w:color w:val="auto"/>
          <w:sz w:val="24"/>
          <w:highlight w:val="none"/>
        </w:rPr>
      </w:pPr>
    </w:p>
    <w:p w14:paraId="4E7D416E">
      <w:pPr>
        <w:wordWrap w:val="0"/>
        <w:snapToGrid w:val="0"/>
        <w:spacing w:line="360" w:lineRule="auto"/>
        <w:jc w:val="left"/>
        <w:rPr>
          <w:rFonts w:hint="eastAsia" w:ascii="宋体" w:hAnsi="宋体" w:cs="宋体"/>
          <w:color w:val="auto"/>
          <w:sz w:val="24"/>
          <w:highlight w:val="none"/>
        </w:rPr>
      </w:pPr>
    </w:p>
    <w:p w14:paraId="4BCE2FDD">
      <w:pPr>
        <w:wordWrap w:val="0"/>
        <w:snapToGrid w:val="0"/>
        <w:spacing w:line="360" w:lineRule="auto"/>
        <w:jc w:val="left"/>
        <w:rPr>
          <w:rFonts w:hint="eastAsia" w:ascii="宋体" w:hAnsi="宋体" w:cs="宋体"/>
          <w:color w:val="auto"/>
          <w:sz w:val="24"/>
          <w:highlight w:val="none"/>
        </w:rPr>
      </w:pPr>
    </w:p>
    <w:p w14:paraId="7182A586">
      <w:pPr>
        <w:wordWrap w:val="0"/>
        <w:snapToGrid w:val="0"/>
        <w:spacing w:line="360" w:lineRule="auto"/>
        <w:jc w:val="left"/>
        <w:rPr>
          <w:rFonts w:hint="eastAsia" w:ascii="宋体" w:hAnsi="宋体" w:cs="宋体"/>
          <w:color w:val="auto"/>
          <w:sz w:val="24"/>
          <w:highlight w:val="none"/>
        </w:rPr>
      </w:pPr>
    </w:p>
    <w:p w14:paraId="5181D8D9">
      <w:pPr>
        <w:wordWrap w:val="0"/>
        <w:snapToGrid w:val="0"/>
        <w:spacing w:line="360" w:lineRule="auto"/>
        <w:jc w:val="left"/>
        <w:rPr>
          <w:rFonts w:hint="eastAsia" w:ascii="宋体" w:hAnsi="宋体" w:cs="宋体"/>
          <w:color w:val="auto"/>
          <w:sz w:val="24"/>
          <w:highlight w:val="none"/>
        </w:rPr>
      </w:pPr>
    </w:p>
    <w:p w14:paraId="7075A6A1">
      <w:pPr>
        <w:wordWrap w:val="0"/>
        <w:snapToGrid w:val="0"/>
        <w:spacing w:line="360" w:lineRule="auto"/>
        <w:jc w:val="left"/>
        <w:rPr>
          <w:rFonts w:hint="eastAsia" w:ascii="宋体" w:hAnsi="宋体" w:cs="宋体"/>
          <w:color w:val="auto"/>
          <w:sz w:val="24"/>
          <w:highlight w:val="none"/>
        </w:rPr>
      </w:pPr>
    </w:p>
    <w:p w14:paraId="2A8D62A3">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5063BDC1">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FC8D8CB">
      <w:pPr>
        <w:wordWrap w:val="0"/>
        <w:snapToGrid w:val="0"/>
        <w:spacing w:line="360" w:lineRule="auto"/>
        <w:jc w:val="left"/>
        <w:rPr>
          <w:rFonts w:hint="eastAsia" w:ascii="宋体" w:hAnsi="宋体" w:cs="宋体"/>
          <w:color w:val="auto"/>
          <w:szCs w:val="21"/>
          <w:highlight w:val="none"/>
        </w:rPr>
      </w:pPr>
    </w:p>
    <w:p w14:paraId="2E303EEB">
      <w:pPr>
        <w:wordWrap w:val="0"/>
        <w:snapToGrid w:val="0"/>
        <w:spacing w:line="360" w:lineRule="auto"/>
        <w:ind w:firstLine="482"/>
        <w:jc w:val="left"/>
        <w:rPr>
          <w:rFonts w:hint="eastAsia" w:ascii="宋体" w:hAnsi="宋体" w:cs="宋体"/>
          <w:b/>
          <w:color w:val="auto"/>
          <w:sz w:val="24"/>
          <w:szCs w:val="20"/>
          <w:highlight w:val="none"/>
        </w:rPr>
      </w:pPr>
    </w:p>
    <w:p w14:paraId="5A6542E4">
      <w:pPr>
        <w:wordWrap w:val="0"/>
        <w:snapToGrid w:val="0"/>
        <w:spacing w:line="360" w:lineRule="auto"/>
        <w:ind w:firstLine="482"/>
        <w:jc w:val="left"/>
        <w:rPr>
          <w:rFonts w:hint="eastAsia" w:ascii="宋体" w:hAnsi="宋体" w:cs="宋体"/>
          <w:b/>
          <w:color w:val="auto"/>
          <w:sz w:val="24"/>
          <w:highlight w:val="none"/>
        </w:rPr>
      </w:pPr>
    </w:p>
    <w:p w14:paraId="670F739D">
      <w:pPr>
        <w:wordWrap w:val="0"/>
        <w:snapToGrid w:val="0"/>
        <w:spacing w:line="360" w:lineRule="auto"/>
        <w:ind w:firstLine="482"/>
        <w:jc w:val="left"/>
        <w:rPr>
          <w:rFonts w:hint="eastAsia" w:ascii="宋体" w:hAnsi="宋体" w:cs="宋体"/>
          <w:b/>
          <w:color w:val="auto"/>
          <w:sz w:val="24"/>
          <w:szCs w:val="20"/>
          <w:highlight w:val="none"/>
        </w:rPr>
      </w:pPr>
      <w:r>
        <w:rPr>
          <w:rFonts w:hint="eastAsia" w:ascii="宋体" w:hAnsi="宋体" w:cs="宋体"/>
          <w:b/>
          <w:color w:val="auto"/>
          <w:sz w:val="24"/>
          <w:szCs w:val="20"/>
          <w:highlight w:val="none"/>
        </w:rPr>
        <w:t xml:space="preserve"> </w:t>
      </w:r>
    </w:p>
    <w:p w14:paraId="7483207D">
      <w:pPr>
        <w:wordWrap w:val="0"/>
        <w:snapToGrid w:val="0"/>
        <w:spacing w:line="360" w:lineRule="auto"/>
        <w:ind w:firstLine="482"/>
        <w:jc w:val="left"/>
        <w:rPr>
          <w:rFonts w:hint="eastAsia" w:ascii="宋体" w:hAnsi="宋体" w:cs="宋体"/>
          <w:b/>
          <w:color w:val="auto"/>
          <w:sz w:val="24"/>
          <w:szCs w:val="20"/>
          <w:highlight w:val="none"/>
        </w:rPr>
      </w:pPr>
    </w:p>
    <w:p w14:paraId="49C0752F">
      <w:pPr>
        <w:wordWrap w:val="0"/>
        <w:snapToGrid w:val="0"/>
        <w:spacing w:line="360" w:lineRule="auto"/>
        <w:jc w:val="left"/>
        <w:rPr>
          <w:rFonts w:hint="eastAsia" w:ascii="宋体" w:hAnsi="宋体" w:cs="宋体"/>
          <w:color w:val="auto"/>
          <w:highlight w:val="none"/>
        </w:rPr>
      </w:pPr>
    </w:p>
    <w:p w14:paraId="306D496D">
      <w:pPr>
        <w:wordWrap w:val="0"/>
        <w:snapToGrid w:val="0"/>
        <w:spacing w:line="360" w:lineRule="auto"/>
        <w:ind w:firstLine="64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六、投标资格声明函</w:t>
      </w:r>
    </w:p>
    <w:p w14:paraId="496F1939">
      <w:pPr>
        <w:tabs>
          <w:tab w:val="left" w:pos="7200"/>
        </w:tabs>
        <w:wordWrap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致：</w:t>
      </w:r>
      <w:bookmarkStart w:id="307" w:name="PO_3000001866_PM031_5"/>
      <w:r>
        <w:rPr>
          <w:rFonts w:hint="eastAsia" w:ascii="宋体" w:hAnsi="宋体" w:cs="宋体"/>
          <w:color w:val="auto"/>
          <w:szCs w:val="21"/>
          <w:highlight w:val="none"/>
          <w:u w:val="single"/>
        </w:rPr>
        <w:t>广西邕政采购代理有限公司</w:t>
      </w:r>
      <w:bookmarkEnd w:id="307"/>
      <w:r>
        <w:rPr>
          <w:rFonts w:hint="eastAsia" w:ascii="宋体" w:hAnsi="宋体" w:cs="宋体"/>
          <w:color w:val="auto"/>
          <w:szCs w:val="21"/>
          <w:highlight w:val="none"/>
          <w:u w:val="single"/>
        </w:rPr>
        <w:t xml:space="preserve"> </w:t>
      </w:r>
    </w:p>
    <w:p w14:paraId="5925C52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我方愿意参加贵方组织的_</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         ）项目的投标，为便于贵方公正、择优地确定中标供应商，我方就本次投标有关事项郑重声明如下：</w:t>
      </w:r>
    </w:p>
    <w:p w14:paraId="5775EC62">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6CC2DD2F">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5166D79">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3.经查询，在“信用中国”和“中国政府采购网”网站我方未被列入失信被执行人、重大税收违法失信主体、政府采购严重违法失信行为记录名单。</w:t>
      </w:r>
    </w:p>
    <w:p w14:paraId="77D77E0C">
      <w:pPr>
        <w:wordWrap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4.以上事项如有虚假或隐瞒，我方愿意承担一切后果，并不再寻求任何旨在减轻或免除法律责任的辩解。 </w:t>
      </w:r>
    </w:p>
    <w:p w14:paraId="7868FD10">
      <w:pPr>
        <w:tabs>
          <w:tab w:val="left" w:pos="7200"/>
        </w:tabs>
        <w:wordWrap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说明：</w:t>
      </w:r>
    </w:p>
    <w:p w14:paraId="77A1605B">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失信主体、政府采购严重违法失信行为记录名单的投标人，将被拒绝参与本项目政府采购活动。</w:t>
      </w:r>
    </w:p>
    <w:p w14:paraId="107F38F6">
      <w:pPr>
        <w:wordWrap w:val="0"/>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4AB159C7">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3.如为联合体投标，盖章处须加盖联合体各方公章并由联合体各方法定代表人分别签署，否则投标无效。</w:t>
      </w:r>
    </w:p>
    <w:p w14:paraId="22DECB6A">
      <w:pPr>
        <w:wordWrap w:val="0"/>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3278F3B9">
      <w:pPr>
        <w:wordWrap w:val="0"/>
        <w:snapToGrid w:val="0"/>
        <w:spacing w:line="360" w:lineRule="auto"/>
        <w:ind w:left="7428" w:leftChars="2223" w:hanging="2760" w:hangingChars="1150"/>
        <w:jc w:val="left"/>
        <w:rPr>
          <w:rFonts w:hint="eastAsia" w:ascii="宋体" w:hAnsi="宋体" w:cs="宋体"/>
          <w:color w:val="auto"/>
          <w:kern w:val="0"/>
          <w:sz w:val="24"/>
          <w:highlight w:val="none"/>
          <w:lang w:val="zh-CN"/>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投标人名称(电子签章)：</w:t>
      </w:r>
      <w:r>
        <w:rPr>
          <w:rFonts w:hint="eastAsia" w:ascii="宋体" w:hAnsi="宋体" w:cs="宋体"/>
          <w:color w:val="auto"/>
          <w:szCs w:val="21"/>
          <w:highlight w:val="none"/>
        </w:rPr>
        <w:t xml:space="preserve">                       年    月    日</w:t>
      </w:r>
    </w:p>
    <w:p w14:paraId="6A3A6388">
      <w:pPr>
        <w:widowControl/>
        <w:wordWrap w:val="0"/>
        <w:spacing w:line="360" w:lineRule="auto"/>
        <w:ind w:firstLine="602"/>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515BB62C">
      <w:pPr>
        <w:pStyle w:val="12"/>
        <w:wordWrap w:val="0"/>
        <w:spacing w:after="0" w:line="360" w:lineRule="auto"/>
        <w:rPr>
          <w:rFonts w:hint="eastAsia" w:hAnsi="宋体" w:cs="宋体"/>
          <w:b/>
          <w:bCs/>
          <w:color w:val="auto"/>
          <w:sz w:val="30"/>
          <w:szCs w:val="30"/>
          <w:highlight w:val="none"/>
        </w:rPr>
      </w:pPr>
      <w:bookmarkStart w:id="308" w:name="_Toc19686838"/>
    </w:p>
    <w:p w14:paraId="45650239">
      <w:pPr>
        <w:pStyle w:val="14"/>
        <w:wordWrap w:val="0"/>
        <w:spacing w:line="360" w:lineRule="auto"/>
        <w:ind w:firstLine="602"/>
        <w:jc w:val="center"/>
        <w:rPr>
          <w:rFonts w:hint="eastAsia" w:hAnsi="宋体" w:cs="宋体"/>
          <w:color w:val="auto"/>
          <w:highlight w:val="none"/>
        </w:rPr>
      </w:pPr>
      <w:bookmarkStart w:id="309" w:name="_Toc30766"/>
      <w:r>
        <w:rPr>
          <w:rFonts w:hint="eastAsia" w:hAnsi="宋体" w:cs="宋体"/>
          <w:color w:val="auto"/>
          <w:kern w:val="0"/>
          <w:sz w:val="30"/>
          <w:szCs w:val="30"/>
          <w:highlight w:val="none"/>
        </w:rPr>
        <w:t>七、</w:t>
      </w:r>
      <w:r>
        <w:rPr>
          <w:rFonts w:hint="eastAsia" w:hAnsi="宋体" w:cs="宋体"/>
          <w:b/>
          <w:bCs/>
          <w:color w:val="auto"/>
          <w:sz w:val="30"/>
          <w:szCs w:val="30"/>
          <w:highlight w:val="none"/>
        </w:rPr>
        <w:t>联合体协议书</w:t>
      </w:r>
    </w:p>
    <w:p w14:paraId="183C1D5A">
      <w:pPr>
        <w:wordWrap w:val="0"/>
        <w:autoSpaceDE w:val="0"/>
        <w:autoSpaceDN w:val="0"/>
        <w:adjustRightInd w:val="0"/>
        <w:spacing w:line="360" w:lineRule="auto"/>
        <w:jc w:val="left"/>
        <w:rPr>
          <w:rFonts w:hint="eastAsia" w:ascii="宋体" w:hAnsi="宋体" w:cs="宋体"/>
          <w:color w:val="auto"/>
          <w:kern w:val="0"/>
          <w:szCs w:val="21"/>
          <w:highlight w:val="none"/>
          <w:u w:val="single"/>
        </w:rPr>
      </w:pPr>
    </w:p>
    <w:p w14:paraId="23FE209E">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（所有成员单位名称）自愿组成联合体，共同参加</w:t>
      </w:r>
      <w:r>
        <w:rPr>
          <w:rFonts w:hint="eastAsia" w:ascii="宋体" w:hAnsi="宋体" w:cs="宋体"/>
          <w:color w:val="auto"/>
          <w:kern w:val="0"/>
          <w:szCs w:val="21"/>
          <w:highlight w:val="none"/>
          <w:u w:val="single"/>
        </w:rPr>
        <w:t xml:space="preserve">     广西邕政采购代理有限公司  </w:t>
      </w:r>
      <w:r>
        <w:rPr>
          <w:rFonts w:hint="eastAsia" w:ascii="宋体" w:hAnsi="宋体" w:cs="宋体"/>
          <w:color w:val="auto"/>
          <w:kern w:val="0"/>
          <w:szCs w:val="21"/>
          <w:highlight w:val="none"/>
        </w:rPr>
        <w:t>组织的</w:t>
      </w:r>
      <w:r>
        <w:rPr>
          <w:rFonts w:hint="eastAsia" w:ascii="宋体" w:hAnsi="宋体" w:cs="宋体"/>
          <w:color w:val="auto"/>
          <w:kern w:val="0"/>
          <w:szCs w:val="21"/>
          <w:highlight w:val="none"/>
          <w:u w:val="single"/>
        </w:rPr>
        <w:t xml:space="preserve">     </w:t>
      </w:r>
      <w:r>
        <w:rPr>
          <w:rFonts w:hint="eastAsia" w:ascii="宋体" w:hAnsi="宋体" w:cs="宋体"/>
          <w:color w:val="auto"/>
          <w:szCs w:val="21"/>
          <w:highlight w:val="none"/>
          <w:u w:val="single"/>
        </w:rPr>
        <w:t xml:space="preserve">（项目名称）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（项目编号：</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）投标。现就联合体投标事宜订立如下协议：</w:t>
      </w:r>
    </w:p>
    <w:p w14:paraId="591F0527">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color w:val="auto"/>
          <w:highlight w:val="none"/>
        </w:rPr>
        <w:t>________________________</w:t>
      </w:r>
      <w:r>
        <w:rPr>
          <w:rFonts w:hint="eastAsia" w:ascii="宋体" w:hAnsi="宋体" w:cs="宋体"/>
          <w:color w:val="auto"/>
          <w:kern w:val="0"/>
          <w:szCs w:val="21"/>
          <w:highlight w:val="none"/>
        </w:rPr>
        <w:t>（某成员单位名称）为联合体名称牵头人。</w:t>
      </w:r>
    </w:p>
    <w:p w14:paraId="243105F3">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552AAC43">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4B052CEF">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4、联合体各成员单位内部的职责分工如下</w:t>
      </w:r>
      <w:r>
        <w:rPr>
          <w:rFonts w:hint="eastAsia" w:ascii="宋体" w:hAnsi="宋体" w:cs="宋体"/>
          <w:color w:val="auto"/>
          <w:kern w:val="0"/>
          <w:szCs w:val="21"/>
          <w:highlight w:val="none"/>
          <w:u w:val="single"/>
        </w:rPr>
        <w:t>：</w:t>
      </w:r>
      <w:r>
        <w:rPr>
          <w:rFonts w:hint="eastAsia" w:ascii="宋体" w:hAnsi="宋体" w:cs="宋体"/>
          <w:color w:val="auto"/>
          <w:szCs w:val="21"/>
          <w:highlight w:val="none"/>
          <w:u w:val="single"/>
        </w:rPr>
        <w:t>________________________________________________</w:t>
      </w:r>
      <w:r>
        <w:rPr>
          <w:rFonts w:hint="eastAsia" w:ascii="宋体" w:hAnsi="宋体" w:cs="宋体"/>
          <w:color w:val="auto"/>
          <w:kern w:val="0"/>
          <w:szCs w:val="21"/>
          <w:highlight w:val="none"/>
        </w:rPr>
        <w:t>。</w:t>
      </w:r>
    </w:p>
    <w:p w14:paraId="42576A53">
      <w:pPr>
        <w:pStyle w:val="14"/>
        <w:wordWrap w:val="0"/>
        <w:spacing w:line="360" w:lineRule="auto"/>
        <w:ind w:firstLine="420" w:firstLineChars="200"/>
        <w:rPr>
          <w:rFonts w:hint="eastAsia" w:hAnsi="宋体" w:cs="宋体"/>
          <w:color w:val="auto"/>
          <w:szCs w:val="21"/>
          <w:highlight w:val="none"/>
        </w:rPr>
      </w:pPr>
      <w:r>
        <w:rPr>
          <w:rFonts w:hint="eastAsia" w:hAnsi="宋体" w:cs="宋体"/>
          <w:color w:val="auto"/>
          <w:kern w:val="0"/>
          <w:highlight w:val="none"/>
        </w:rPr>
        <w:t>5、本联合体中</w:t>
      </w:r>
      <w:r>
        <w:rPr>
          <w:rFonts w:hint="eastAsia" w:hAnsi="宋体" w:cs="宋体"/>
          <w:color w:val="auto"/>
          <w:kern w:val="0"/>
          <w:highlight w:val="none"/>
          <w:u w:val="single"/>
        </w:rPr>
        <w:t>，</w:t>
      </w:r>
      <w:r>
        <w:rPr>
          <w:rFonts w:hint="eastAsia" w:hAnsi="宋体" w:cs="宋体"/>
          <w:color w:val="auto"/>
          <w:highlight w:val="none"/>
          <w:u w:val="single"/>
        </w:rPr>
        <w:t>________________________</w:t>
      </w:r>
      <w:r>
        <w:rPr>
          <w:rFonts w:hint="eastAsia" w:hAnsi="宋体" w:cs="宋体"/>
          <w:color w:val="auto"/>
          <w:kern w:val="0"/>
          <w:highlight w:val="none"/>
          <w:u w:val="single"/>
        </w:rPr>
        <w:t>（某成员单位名称）为</w:t>
      </w:r>
      <w:r>
        <w:rPr>
          <w:rFonts w:hint="eastAsia" w:hAnsi="宋体" w:cs="宋体"/>
          <w:color w:val="auto"/>
          <w:highlight w:val="none"/>
          <w:u w:val="single"/>
        </w:rPr>
        <w:t>______</w:t>
      </w:r>
      <w:r>
        <w:rPr>
          <w:rFonts w:hint="eastAsia" w:hAnsi="宋体" w:cs="宋体"/>
          <w:color w:val="auto"/>
          <w:highlight w:val="none"/>
        </w:rPr>
        <w:t>（请填写：中型、小型、微型）企业，其协议合同金额占联合体协议合同总金额的</w:t>
      </w:r>
      <w:r>
        <w:rPr>
          <w:rFonts w:hint="eastAsia" w:hAnsi="宋体" w:cs="宋体"/>
          <w:color w:val="auto"/>
          <w:highlight w:val="none"/>
          <w:u w:val="single"/>
        </w:rPr>
        <w:t>______</w:t>
      </w:r>
      <w:r>
        <w:rPr>
          <w:rFonts w:hint="eastAsia" w:hAnsi="宋体" w:cs="宋体"/>
          <w:color w:val="auto"/>
          <w:highlight w:val="none"/>
        </w:rPr>
        <w:t>%。【如联合体成员中有小型、微型企业的，请填写此条，否则无需填写；如联合体成员中有多个小型、微型企业的，请逐一列出。】</w:t>
      </w:r>
    </w:p>
    <w:p w14:paraId="53235960">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6、本协议书自签署之日起生效，合同履行完毕后自动失效。</w:t>
      </w:r>
    </w:p>
    <w:p w14:paraId="127A0302">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7、本协议书一式</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份，联合体成员和采购代理机构各执一份。</w:t>
      </w:r>
    </w:p>
    <w:p w14:paraId="7E2ABE5E">
      <w:pPr>
        <w:wordWrap w:val="0"/>
        <w:autoSpaceDE w:val="0"/>
        <w:autoSpaceDN w:val="0"/>
        <w:adjustRightInd w:val="0"/>
        <w:spacing w:line="360" w:lineRule="auto"/>
        <w:ind w:firstLine="48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注：本协议书由法定代表人签字的，应附法定代表人身份证明；本协议书由委托代理人签字的，应附法定代表人授权委托书。</w:t>
      </w:r>
    </w:p>
    <w:p w14:paraId="39C63D0B">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牵头人名称：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4A856B0B">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7F6C906E">
      <w:pPr>
        <w:wordWrap w:val="0"/>
        <w:autoSpaceDE w:val="0"/>
        <w:autoSpaceDN w:val="0"/>
        <w:adjustRightInd w:val="0"/>
        <w:spacing w:line="360" w:lineRule="auto"/>
        <w:jc w:val="left"/>
        <w:rPr>
          <w:rFonts w:hint="eastAsia" w:ascii="宋体" w:hAnsi="宋体" w:cs="宋体"/>
          <w:color w:val="auto"/>
          <w:kern w:val="0"/>
          <w:szCs w:val="21"/>
          <w:highlight w:val="none"/>
        </w:rPr>
      </w:pPr>
    </w:p>
    <w:p w14:paraId="2F02D4FB">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成员一名称：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6D893829">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（手写签名/电子签名）</w:t>
      </w:r>
    </w:p>
    <w:p w14:paraId="08D416D3">
      <w:pPr>
        <w:wordWrap w:val="0"/>
        <w:autoSpaceDE w:val="0"/>
        <w:autoSpaceDN w:val="0"/>
        <w:adjustRightInd w:val="0"/>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（公章/电子签章）</w:t>
      </w:r>
    </w:p>
    <w:p w14:paraId="1E2A963C">
      <w:pPr>
        <w:pStyle w:val="14"/>
        <w:wordWrap w:val="0"/>
        <w:spacing w:line="360" w:lineRule="auto"/>
        <w:rPr>
          <w:rFonts w:hint="eastAsia" w:hAnsi="宋体" w:cs="宋体"/>
          <w:color w:val="auto"/>
          <w:szCs w:val="21"/>
          <w:highlight w:val="none"/>
        </w:rPr>
      </w:pPr>
      <w:r>
        <w:rPr>
          <w:rFonts w:hint="eastAsia" w:hAnsi="宋体" w:cs="宋体"/>
          <w:color w:val="auto"/>
          <w:kern w:val="0"/>
          <w:szCs w:val="21"/>
          <w:highlight w:val="none"/>
        </w:rPr>
        <w:t>法定代表人或其委托代理人：</w:t>
      </w:r>
      <w:r>
        <w:rPr>
          <w:rFonts w:hint="eastAsia" w:hAnsi="宋体" w:cs="宋体"/>
          <w:color w:val="auto"/>
          <w:kern w:val="0"/>
          <w:szCs w:val="21"/>
          <w:highlight w:val="none"/>
          <w:u w:val="single"/>
        </w:rPr>
        <w:t xml:space="preserve">                         </w:t>
      </w:r>
      <w:r>
        <w:rPr>
          <w:rFonts w:hint="eastAsia" w:hAnsi="宋体" w:cs="宋体"/>
          <w:color w:val="auto"/>
          <w:kern w:val="0"/>
          <w:szCs w:val="21"/>
          <w:highlight w:val="none"/>
        </w:rPr>
        <w:t>（手写签名/电子签名）</w:t>
      </w:r>
    </w:p>
    <w:p w14:paraId="5586D867">
      <w:pPr>
        <w:wordWrap w:val="0"/>
        <w:snapToGrid w:val="0"/>
        <w:spacing w:line="360" w:lineRule="auto"/>
        <w:rPr>
          <w:rFonts w:hint="eastAsia" w:ascii="宋体" w:hAnsi="宋体" w:cs="宋体"/>
          <w:color w:val="auto"/>
          <w:kern w:val="0"/>
          <w:sz w:val="30"/>
          <w:szCs w:val="30"/>
          <w:highlight w:val="none"/>
        </w:rPr>
        <w:sectPr>
          <w:pgSz w:w="11906" w:h="16838"/>
          <w:pgMar w:top="1440" w:right="1080" w:bottom="1440" w:left="1080" w:header="720" w:footer="720" w:gutter="0"/>
          <w:cols w:space="720" w:num="1"/>
          <w:docGrid w:type="lines" w:linePitch="331" w:charSpace="0"/>
        </w:sectPr>
      </w:pPr>
    </w:p>
    <w:p w14:paraId="5D6B5155">
      <w:pPr>
        <w:wordWrap w:val="0"/>
        <w:snapToGrid w:val="0"/>
        <w:spacing w:line="360" w:lineRule="auto"/>
        <w:jc w:val="center"/>
        <w:rPr>
          <w:rFonts w:hint="eastAsia" w:hAnsi="宋体" w:cs="宋体"/>
          <w:b/>
          <w:color w:val="auto"/>
          <w:sz w:val="30"/>
          <w:szCs w:val="30"/>
          <w:highlight w:val="none"/>
        </w:rPr>
      </w:pPr>
      <w:r>
        <w:rPr>
          <w:rFonts w:hint="eastAsia" w:hAnsi="宋体" w:cs="宋体"/>
          <w:b/>
          <w:color w:val="auto"/>
          <w:sz w:val="30"/>
          <w:szCs w:val="30"/>
          <w:highlight w:val="none"/>
        </w:rPr>
        <w:t>八、中小企业声明函</w:t>
      </w:r>
    </w:p>
    <w:p w14:paraId="41FA35E4">
      <w:pPr>
        <w:pStyle w:val="2"/>
        <w:wordWrap w:val="0"/>
        <w:spacing w:line="360" w:lineRule="auto"/>
        <w:ind w:firstLine="404"/>
        <w:rPr>
          <w:rFonts w:hint="eastAsia" w:hAnsi="宋体" w:cs="宋体"/>
          <w:color w:val="auto"/>
          <w:sz w:val="21"/>
          <w:szCs w:val="21"/>
          <w:highlight w:val="none"/>
        </w:rPr>
      </w:pPr>
      <w:r>
        <w:rPr>
          <w:rFonts w:hint="eastAsia" w:hAnsi="宋体" w:cs="宋体"/>
          <w:color w:val="auto"/>
          <w:sz w:val="21"/>
          <w:szCs w:val="21"/>
          <w:highlight w:val="none"/>
        </w:rPr>
        <w:t>说明：</w:t>
      </w:r>
    </w:p>
    <w:p w14:paraId="06EFF621">
      <w:pPr>
        <w:pStyle w:val="2"/>
        <w:wordWrap w:val="0"/>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1、本声明函主要供参加政府采购活动的中小企业填写，非中小企业无需填写。</w:t>
      </w:r>
    </w:p>
    <w:p w14:paraId="37D5693B">
      <w:pPr>
        <w:pStyle w:val="2"/>
        <w:wordWrap w:val="0"/>
        <w:spacing w:line="360" w:lineRule="auto"/>
        <w:ind w:firstLine="404" w:firstLineChars="200"/>
        <w:rPr>
          <w:rFonts w:hint="eastAsia" w:hAnsi="宋体" w:cs="宋体"/>
          <w:color w:val="auto"/>
          <w:sz w:val="21"/>
          <w:szCs w:val="21"/>
          <w:highlight w:val="none"/>
        </w:rPr>
      </w:pPr>
      <w:r>
        <w:rPr>
          <w:rFonts w:hint="eastAsia" w:hAnsi="宋体" w:cs="宋体"/>
          <w:color w:val="auto"/>
          <w:sz w:val="21"/>
          <w:szCs w:val="21"/>
          <w:highlight w:val="none"/>
        </w:rPr>
        <w:t>2、小型、微型企业提供中型企业提供的服务的，视同为中型企业。</w:t>
      </w:r>
    </w:p>
    <w:p w14:paraId="289CCB45">
      <w:pPr>
        <w:pStyle w:val="2"/>
        <w:wordWrap w:val="0"/>
        <w:spacing w:line="360" w:lineRule="auto"/>
        <w:ind w:firstLine="404" w:firstLineChars="200"/>
        <w:rPr>
          <w:rFonts w:hint="eastAsia" w:hAnsi="宋体" w:cs="宋体"/>
          <w:color w:val="auto"/>
          <w:sz w:val="21"/>
          <w:szCs w:val="21"/>
          <w:highlight w:val="none"/>
        </w:rPr>
      </w:pPr>
    </w:p>
    <w:p w14:paraId="03325DDE">
      <w:pPr>
        <w:pStyle w:val="12"/>
        <w:wordWrap w:val="0"/>
        <w:spacing w:after="0" w:line="360" w:lineRule="auto"/>
        <w:ind w:right="142" w:firstLine="420" w:firstLineChars="200"/>
        <w:rPr>
          <w:rFonts w:hint="eastAsia"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本公司（联合体）郑重声明，根据《政府采购促进中小企业发展管理办法》（财库﹝2020﹞46号）的规定，本公司（联合体）参加</w:t>
      </w:r>
      <w:r>
        <w:rPr>
          <w:rFonts w:hint="eastAsia" w:ascii="宋体" w:hAnsi="宋体" w:cs="宋体"/>
          <w:color w:val="auto"/>
          <w:highlight w:val="none"/>
          <w:u w:val="single"/>
          <w:lang w:eastAsia="zh-CN"/>
        </w:rPr>
        <w:t xml:space="preserve"> 南宁市经济信息中心</w:t>
      </w:r>
      <w:r>
        <w:rPr>
          <w:rFonts w:hint="eastAsia" w:ascii="宋体" w:hAnsi="宋体" w:cs="宋体"/>
          <w:color w:val="auto"/>
          <w:highlight w:val="none"/>
          <w:u w:val="single"/>
        </w:rPr>
        <w:t xml:space="preserve"> </w:t>
      </w:r>
      <w:r>
        <w:rPr>
          <w:rFonts w:hint="eastAsia" w:ascii="宋体" w:hAnsi="宋体" w:cs="宋体"/>
          <w:color w:val="auto"/>
          <w:highlight w:val="none"/>
        </w:rPr>
        <w:t>的</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fldChar w:fldCharType="begin"/>
      </w:r>
      <w:r>
        <w:rPr>
          <w:rFonts w:hint="eastAsia" w:ascii="宋体" w:hAnsi="宋体" w:cs="宋体"/>
          <w:color w:val="auto"/>
          <w:highlight w:val="none"/>
          <w:u w:val="single"/>
        </w:rPr>
        <w:instrText xml:space="preserve"> HYPERLINK "https://pay.gcy.zfcg.gxzf.gov.cn/purchaseplan_front/" \l "/plan/list/_blank" \t "https://pay.gcy.zfcg.gxzf.gov.cn/purchaseplan_front/" </w:instrText>
      </w:r>
      <w:r>
        <w:rPr>
          <w:rFonts w:hint="eastAsia" w:ascii="宋体" w:hAnsi="宋体" w:cs="宋体"/>
          <w:color w:val="auto"/>
          <w:highlight w:val="none"/>
          <w:u w:val="single"/>
        </w:rPr>
        <w:fldChar w:fldCharType="separate"/>
      </w:r>
      <w:r>
        <w:rPr>
          <w:rFonts w:hint="eastAsia" w:ascii="宋体" w:hAnsi="宋体" w:cs="宋体"/>
          <w:color w:val="auto"/>
          <w:highlight w:val="none"/>
          <w:u w:val="single"/>
          <w:lang w:eastAsia="zh-CN"/>
        </w:rPr>
        <w:t>南宁市经济信息中心2025年第二批信息化系统运维项目（重）</w:t>
      </w:r>
      <w:r>
        <w:rPr>
          <w:rFonts w:hint="eastAsia" w:ascii="宋体" w:hAnsi="宋体" w:cs="宋体"/>
          <w:color w:val="auto"/>
          <w:highlight w:val="none"/>
          <w:u w:val="single"/>
        </w:rPr>
        <w:fldChar w:fldCharType="end"/>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none"/>
        </w:rPr>
        <w:t>采</w:t>
      </w:r>
      <w:r>
        <w:rPr>
          <w:rFonts w:hint="eastAsia" w:ascii="宋体" w:hAnsi="宋体" w:cs="宋体"/>
          <w:color w:val="auto"/>
          <w:highlight w:val="none"/>
        </w:rPr>
        <w:t>购活动，服务全部由符合政策要求的中小企业承接。相关企业（含联合体中的中小企业、签订分包意向协议的中小企业）的具体情况如下：</w:t>
      </w:r>
    </w:p>
    <w:p w14:paraId="7A5989E1">
      <w:pPr>
        <w:tabs>
          <w:tab w:val="left" w:pos="1384"/>
          <w:tab w:val="left" w:pos="4562"/>
          <w:tab w:val="left" w:pos="6803"/>
        </w:tabs>
        <w:wordWrap w:val="0"/>
        <w:spacing w:line="360" w:lineRule="auto"/>
        <w:ind w:right="142" w:firstLine="630" w:firstLineChars="300"/>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2025年南宁市发展改革委重要工作精细化管理系统及南宁市发改委内控一体化系统技术运维服务</w:t>
      </w:r>
      <w:r>
        <w:rPr>
          <w:rFonts w:hint="eastAsia" w:ascii="宋体" w:hAnsi="宋体" w:cs="宋体"/>
          <w:color w:val="auto"/>
          <w:szCs w:val="21"/>
          <w:highlight w:val="none"/>
        </w:rPr>
        <w:t>，属于</w:t>
      </w:r>
      <w:r>
        <w:rPr>
          <w:rFonts w:hint="eastAsia" w:ascii="宋体" w:hAnsi="宋体" w:cs="宋体"/>
          <w:color w:val="auto"/>
          <w:szCs w:val="21"/>
          <w:highlight w:val="none"/>
          <w:u w:val="single"/>
          <w:lang w:val="en-US" w:eastAsia="zh-CN"/>
        </w:rPr>
        <w:t xml:space="preserve"> 软件和信息技术服务业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bookmarkStart w:id="324" w:name="_GoBack"/>
      <w:bookmarkEnd w:id="324"/>
      <w:r>
        <w:rPr>
          <w:rFonts w:hint="eastAsia" w:ascii="宋体" w:hAnsi="宋体" w:cs="宋体"/>
          <w:color w:val="auto"/>
          <w:szCs w:val="21"/>
          <w:highlight w:val="none"/>
          <w:u w:val="single"/>
        </w:rPr>
        <w:t xml:space="preserve">       （中型企业、小型企业、微型企业）</w:t>
      </w:r>
      <w:r>
        <w:rPr>
          <w:rFonts w:hint="eastAsia" w:ascii="宋体" w:hAnsi="宋体" w:cs="宋体"/>
          <w:color w:val="auto"/>
          <w:szCs w:val="21"/>
          <w:highlight w:val="none"/>
        </w:rPr>
        <w:t>；</w:t>
      </w:r>
    </w:p>
    <w:p w14:paraId="1AF31C2E">
      <w:pPr>
        <w:tabs>
          <w:tab w:val="left" w:pos="1065"/>
          <w:tab w:val="left" w:pos="4262"/>
          <w:tab w:val="left" w:pos="6477"/>
        </w:tabs>
        <w:wordWrap w:val="0"/>
        <w:spacing w:line="360" w:lineRule="auto"/>
        <w:ind w:right="84" w:firstLine="600" w:firstLineChars="286"/>
        <w:rPr>
          <w:rFonts w:hint="eastAsia"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rPr>
        <w:t>2025年“发改书吧”信息共享系统运维服务</w:t>
      </w:r>
      <w:r>
        <w:rPr>
          <w:rFonts w:hint="eastAsia" w:ascii="宋体" w:hAnsi="宋体" w:cs="宋体"/>
          <w:color w:val="auto"/>
          <w:szCs w:val="21"/>
          <w:highlight w:val="none"/>
        </w:rPr>
        <w:t>，属于</w:t>
      </w:r>
      <w:r>
        <w:rPr>
          <w:rFonts w:hint="eastAsia" w:ascii="宋体" w:hAnsi="宋体" w:cs="宋体"/>
          <w:color w:val="auto"/>
          <w:szCs w:val="21"/>
          <w:highlight w:val="none"/>
          <w:u w:val="single"/>
          <w:lang w:val="en-US" w:eastAsia="zh-CN"/>
        </w:rPr>
        <w:t xml:space="preserve"> 软件和信息技术服务业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5FAC6CA">
      <w:pPr>
        <w:tabs>
          <w:tab w:val="left" w:pos="1065"/>
          <w:tab w:val="left" w:pos="4262"/>
          <w:tab w:val="left" w:pos="6477"/>
        </w:tabs>
        <w:wordWrap w:val="0"/>
        <w:spacing w:line="360" w:lineRule="auto"/>
        <w:ind w:right="84" w:firstLine="600" w:firstLineChars="286"/>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u w:val="single"/>
        </w:rPr>
        <w:t>2025年城建计划管理分析支持系统运维服务</w:t>
      </w:r>
      <w:r>
        <w:rPr>
          <w:rFonts w:hint="eastAsia" w:ascii="宋体" w:hAnsi="宋体" w:cs="宋体"/>
          <w:color w:val="auto"/>
          <w:szCs w:val="21"/>
          <w:highlight w:val="none"/>
        </w:rPr>
        <w:t>，属于</w:t>
      </w:r>
      <w:r>
        <w:rPr>
          <w:rFonts w:hint="eastAsia" w:ascii="宋体" w:hAnsi="宋体" w:cs="宋体"/>
          <w:color w:val="auto"/>
          <w:szCs w:val="21"/>
          <w:highlight w:val="none"/>
          <w:u w:val="single"/>
          <w:lang w:val="en-US" w:eastAsia="zh-CN"/>
        </w:rPr>
        <w:t xml:space="preserve"> 软件和信息技术服务业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31B9F4BE">
      <w:pPr>
        <w:tabs>
          <w:tab w:val="left" w:pos="1065"/>
          <w:tab w:val="left" w:pos="4262"/>
          <w:tab w:val="left" w:pos="6477"/>
        </w:tabs>
        <w:wordWrap w:val="0"/>
        <w:spacing w:line="360" w:lineRule="auto"/>
        <w:ind w:right="84" w:firstLine="600" w:firstLineChars="286"/>
        <w:rPr>
          <w:rFonts w:hint="eastAsia" w:ascii="宋体" w:hAnsi="宋体" w:cs="宋体"/>
          <w:color w:val="auto"/>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u w:val="single"/>
        </w:rPr>
        <w:t>2025年强首府战略作战云运维服务</w:t>
      </w:r>
      <w:r>
        <w:rPr>
          <w:rFonts w:hint="eastAsia" w:ascii="宋体" w:hAnsi="宋体" w:cs="宋体"/>
          <w:color w:val="auto"/>
          <w:szCs w:val="21"/>
          <w:highlight w:val="none"/>
        </w:rPr>
        <w:t>，属于</w:t>
      </w:r>
      <w:r>
        <w:rPr>
          <w:rFonts w:hint="eastAsia" w:ascii="宋体" w:hAnsi="宋体" w:cs="宋体"/>
          <w:color w:val="auto"/>
          <w:szCs w:val="21"/>
          <w:highlight w:val="none"/>
          <w:u w:val="single"/>
          <w:lang w:val="en-US" w:eastAsia="zh-CN"/>
        </w:rPr>
        <w:t xml:space="preserve"> 软件和信息技术服务业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0C327967">
      <w:pPr>
        <w:tabs>
          <w:tab w:val="left" w:pos="1065"/>
          <w:tab w:val="left" w:pos="4262"/>
          <w:tab w:val="left" w:pos="6477"/>
        </w:tabs>
        <w:wordWrap w:val="0"/>
        <w:spacing w:line="360" w:lineRule="auto"/>
        <w:ind w:right="84" w:firstLine="600" w:firstLineChars="286"/>
        <w:rPr>
          <w:rFonts w:hint="eastAsia" w:ascii="宋体" w:hAnsi="宋体" w:eastAsia="宋体" w:cs="宋体"/>
          <w:color w:val="auto"/>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u w:val="single"/>
        </w:rPr>
        <w:t>2025年强首府作战云可视化系统及智能展示调度系统运维服务</w:t>
      </w:r>
      <w:r>
        <w:rPr>
          <w:rFonts w:hint="eastAsia" w:ascii="宋体" w:hAnsi="宋体" w:cs="宋体"/>
          <w:color w:val="auto"/>
          <w:szCs w:val="21"/>
          <w:highlight w:val="none"/>
        </w:rPr>
        <w:t>，属于</w:t>
      </w:r>
      <w:r>
        <w:rPr>
          <w:rFonts w:hint="eastAsia" w:ascii="宋体" w:hAnsi="宋体" w:cs="宋体"/>
          <w:color w:val="auto"/>
          <w:szCs w:val="21"/>
          <w:highlight w:val="none"/>
          <w:u w:val="single"/>
          <w:lang w:val="en-US" w:eastAsia="zh-CN"/>
        </w:rPr>
        <w:t xml:space="preserve"> 软件和信息技术服务业 </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lang w:eastAsia="zh-CN"/>
        </w:rPr>
        <w:t>。</w:t>
      </w:r>
    </w:p>
    <w:p w14:paraId="0170F4DC">
      <w:pPr>
        <w:pStyle w:val="12"/>
        <w:wordWrap w:val="0"/>
        <w:spacing w:after="0" w:line="360" w:lineRule="auto"/>
        <w:ind w:right="142" w:firstLine="420" w:firstLineChars="200"/>
        <w:rPr>
          <w:rFonts w:hint="eastAsia"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347B528D">
      <w:pPr>
        <w:pStyle w:val="12"/>
        <w:wordWrap w:val="0"/>
        <w:spacing w:after="0" w:line="360" w:lineRule="auto"/>
        <w:ind w:right="142" w:firstLine="420" w:firstLineChars="200"/>
        <w:rPr>
          <w:rFonts w:hint="eastAsia" w:hAnsi="宋体" w:cs="宋体"/>
          <w:color w:val="auto"/>
          <w:szCs w:val="21"/>
          <w:highlight w:val="none"/>
        </w:rPr>
      </w:pPr>
      <w:r>
        <w:rPr>
          <w:rFonts w:hint="eastAsia" w:ascii="宋体" w:hAnsi="宋体" w:cs="宋体"/>
          <w:color w:val="auto"/>
          <w:highlight w:val="none"/>
        </w:rPr>
        <w:t>本企业对上述声明内容的真实性负责。如有虚假，将依法承担相应责任。</w:t>
      </w:r>
    </w:p>
    <w:p w14:paraId="51E53FD0">
      <w:pPr>
        <w:pStyle w:val="14"/>
        <w:wordWrap w:val="0"/>
        <w:spacing w:line="360" w:lineRule="auto"/>
        <w:ind w:firstLine="420" w:firstLineChars="200"/>
        <w:rPr>
          <w:rFonts w:hint="eastAsia" w:hAnsi="宋体" w:cs="宋体"/>
          <w:color w:val="auto"/>
          <w:szCs w:val="21"/>
          <w:highlight w:val="none"/>
        </w:rPr>
      </w:pPr>
    </w:p>
    <w:p w14:paraId="59088BBE">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3756A2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1719CC1">
      <w:pPr>
        <w:pStyle w:val="14"/>
        <w:wordWrap w:val="0"/>
        <w:spacing w:line="360" w:lineRule="auto"/>
        <w:ind w:firstLine="420" w:firstLineChars="200"/>
        <w:rPr>
          <w:rFonts w:hint="eastAsia" w:hAnsi="宋体" w:cs="宋体"/>
          <w:color w:val="auto"/>
          <w:szCs w:val="21"/>
          <w:highlight w:val="none"/>
        </w:rPr>
      </w:pPr>
    </w:p>
    <w:p w14:paraId="54C69A9A">
      <w:pPr>
        <w:wordWrap w:val="0"/>
        <w:snapToGrid w:val="0"/>
        <w:spacing w:line="360" w:lineRule="auto"/>
        <w:ind w:firstLine="400"/>
        <w:jc w:val="left"/>
        <w:rPr>
          <w:rFonts w:hint="eastAsia" w:ascii="宋体" w:hAnsi="宋体" w:cs="宋体"/>
          <w:color w:val="auto"/>
          <w:sz w:val="20"/>
          <w:highlight w:val="none"/>
        </w:rPr>
      </w:pPr>
      <w:r>
        <w:rPr>
          <w:rFonts w:hint="eastAsia" w:ascii="宋体" w:hAnsi="宋体" w:cs="宋体"/>
          <w:color w:val="auto"/>
          <w:sz w:val="20"/>
          <w:highlight w:val="none"/>
        </w:rPr>
        <w:t>注：</w:t>
      </w:r>
    </w:p>
    <w:p w14:paraId="321B0A26">
      <w:pPr>
        <w:numPr>
          <w:ilvl w:val="0"/>
          <w:numId w:val="7"/>
        </w:numPr>
        <w:wordWrap w:val="0"/>
        <w:snapToGrid w:val="0"/>
        <w:spacing w:line="360" w:lineRule="auto"/>
        <w:ind w:firstLine="400"/>
        <w:jc w:val="left"/>
        <w:rPr>
          <w:rFonts w:hint="eastAsia" w:ascii="宋体" w:hAnsi="宋体" w:cs="宋体"/>
          <w:color w:val="auto"/>
          <w:sz w:val="20"/>
          <w:highlight w:val="none"/>
        </w:rPr>
      </w:pPr>
      <w:r>
        <w:rPr>
          <w:rFonts w:hint="eastAsia" w:ascii="宋体" w:hAnsi="宋体" w:cs="宋体"/>
          <w:color w:val="auto"/>
          <w:sz w:val="20"/>
          <w:highlight w:val="none"/>
        </w:rPr>
        <w:t>从业人员、营业收入、资产总额填报上一年度数据，无上一年度数据的新成立企业可不填报。</w:t>
      </w:r>
    </w:p>
    <w:p w14:paraId="0192DA02">
      <w:pPr>
        <w:wordWrap w:val="0"/>
        <w:snapToGrid w:val="0"/>
        <w:spacing w:line="360" w:lineRule="auto"/>
        <w:rPr>
          <w:rFonts w:hint="eastAsia" w:ascii="宋体" w:hAnsi="宋体" w:cs="宋体"/>
          <w:color w:val="auto"/>
          <w:kern w:val="0"/>
          <w:sz w:val="30"/>
          <w:szCs w:val="30"/>
          <w:highlight w:val="none"/>
        </w:rPr>
        <w:sectPr>
          <w:pgSz w:w="11906" w:h="16838"/>
          <w:pgMar w:top="1440" w:right="1080" w:bottom="1440" w:left="1080" w:header="720" w:footer="720" w:gutter="0"/>
          <w:cols w:space="720" w:num="1"/>
          <w:docGrid w:type="lines" w:linePitch="331" w:charSpace="0"/>
        </w:sectPr>
      </w:pPr>
      <w:r>
        <w:rPr>
          <w:rFonts w:hint="eastAsia" w:hAnsi="宋体" w:cs="宋体"/>
          <w:color w:val="auto"/>
          <w:sz w:val="20"/>
          <w:highlight w:val="none"/>
        </w:rPr>
        <w:t>2、请根据自己的真实情况出具《中小企业声明函》。依法享受中小企业优惠政策的，采购人或者采购代理机构在公告中标结果时，同时公告其《中小企业声明函》，接受社会监督。</w:t>
      </w:r>
    </w:p>
    <w:p w14:paraId="16C1F941">
      <w:pPr>
        <w:wordWrap w:val="0"/>
        <w:snapToGrid w:val="0"/>
        <w:spacing w:line="360" w:lineRule="auto"/>
        <w:rPr>
          <w:rFonts w:hint="eastAsia" w:ascii="宋体" w:hAnsi="宋体" w:cs="宋体"/>
          <w:color w:val="auto"/>
          <w:kern w:val="0"/>
          <w:sz w:val="30"/>
          <w:szCs w:val="30"/>
          <w:highlight w:val="none"/>
        </w:rPr>
      </w:pPr>
      <w:r>
        <w:rPr>
          <w:rFonts w:hint="eastAsia" w:ascii="宋体" w:hAnsi="宋体" w:cs="宋体"/>
          <w:color w:val="auto"/>
          <w:kern w:val="0"/>
          <w:sz w:val="30"/>
          <w:szCs w:val="30"/>
          <w:highlight w:val="none"/>
        </w:rPr>
        <w:t>九、除招标文件规定必须提供以外，投标人认为需要提供的其他证明材料</w:t>
      </w:r>
    </w:p>
    <w:p w14:paraId="16D58441">
      <w:pPr>
        <w:pStyle w:val="14"/>
        <w:wordWrap w:val="0"/>
        <w:spacing w:line="360" w:lineRule="auto"/>
        <w:ind w:firstLine="562"/>
        <w:jc w:val="center"/>
        <w:outlineLvl w:val="1"/>
        <w:rPr>
          <w:rFonts w:hint="eastAsia" w:hAnsi="宋体" w:cs="宋体"/>
          <w:b/>
          <w:bCs/>
          <w:color w:val="auto"/>
          <w:sz w:val="28"/>
          <w:szCs w:val="28"/>
          <w:highlight w:val="none"/>
        </w:rPr>
        <w:sectPr>
          <w:pgSz w:w="11906" w:h="16838"/>
          <w:pgMar w:top="1440" w:right="1080" w:bottom="1440" w:left="1080" w:header="720" w:footer="720" w:gutter="0"/>
          <w:cols w:space="720" w:num="1"/>
          <w:docGrid w:type="lines" w:linePitch="331" w:charSpace="0"/>
        </w:sectPr>
      </w:pPr>
    </w:p>
    <w:p w14:paraId="7395A3E4">
      <w:pPr>
        <w:pStyle w:val="14"/>
        <w:wordWrap w:val="0"/>
        <w:spacing w:line="360" w:lineRule="auto"/>
        <w:ind w:firstLine="562"/>
        <w:jc w:val="center"/>
        <w:outlineLvl w:val="1"/>
        <w:rPr>
          <w:rFonts w:hint="eastAsia" w:hAnsi="宋体" w:cs="宋体"/>
          <w:b/>
          <w:bCs/>
          <w:color w:val="auto"/>
          <w:sz w:val="28"/>
          <w:szCs w:val="28"/>
          <w:highlight w:val="none"/>
        </w:rPr>
      </w:pPr>
      <w:r>
        <w:rPr>
          <w:rFonts w:hint="eastAsia" w:hAnsi="宋体" w:cs="宋体"/>
          <w:b/>
          <w:bCs/>
          <w:color w:val="auto"/>
          <w:sz w:val="28"/>
          <w:szCs w:val="28"/>
          <w:highlight w:val="none"/>
        </w:rPr>
        <w:t>第三节 商务文件格式</w:t>
      </w:r>
      <w:bookmarkEnd w:id="308"/>
      <w:bookmarkEnd w:id="309"/>
    </w:p>
    <w:p w14:paraId="567A5EB2">
      <w:pPr>
        <w:wordWrap w:val="0"/>
        <w:snapToGrid w:val="0"/>
        <w:spacing w:line="360" w:lineRule="auto"/>
        <w:ind w:firstLine="600"/>
        <w:rPr>
          <w:rFonts w:hint="eastAsia" w:ascii="宋体" w:hAnsi="宋体" w:cs="宋体"/>
          <w:color w:val="auto"/>
          <w:sz w:val="30"/>
          <w:szCs w:val="20"/>
          <w:highlight w:val="none"/>
        </w:rPr>
      </w:pPr>
    </w:p>
    <w:p w14:paraId="15A13E24">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 xml:space="preserve">             电子投标文件</w:t>
      </w:r>
    </w:p>
    <w:p w14:paraId="0CB33D84">
      <w:pPr>
        <w:wordWrap w:val="0"/>
        <w:snapToGrid w:val="0"/>
        <w:spacing w:line="360" w:lineRule="auto"/>
        <w:rPr>
          <w:rFonts w:hint="eastAsia" w:ascii="宋体" w:hAnsi="宋体" w:cs="宋体"/>
          <w:color w:val="auto"/>
          <w:sz w:val="24"/>
          <w:szCs w:val="20"/>
          <w:highlight w:val="none"/>
        </w:rPr>
      </w:pPr>
    </w:p>
    <w:p w14:paraId="779EE607">
      <w:pPr>
        <w:wordWrap w:val="0"/>
        <w:snapToGrid w:val="0"/>
        <w:spacing w:line="360" w:lineRule="auto"/>
        <w:ind w:firstLine="643"/>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商务文件（封面）</w:t>
      </w:r>
    </w:p>
    <w:p w14:paraId="7DEF0FE1">
      <w:pPr>
        <w:wordWrap w:val="0"/>
        <w:snapToGrid w:val="0"/>
        <w:spacing w:line="360" w:lineRule="auto"/>
        <w:rPr>
          <w:rFonts w:hint="eastAsia" w:ascii="宋体" w:hAnsi="宋体" w:cs="宋体"/>
          <w:bCs/>
          <w:color w:val="auto"/>
          <w:sz w:val="24"/>
          <w:szCs w:val="20"/>
          <w:highlight w:val="none"/>
        </w:rPr>
      </w:pPr>
    </w:p>
    <w:p w14:paraId="0EBC7972">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3C9EA242">
      <w:pPr>
        <w:wordWrap w:val="0"/>
        <w:snapToGrid w:val="0"/>
        <w:spacing w:line="360" w:lineRule="auto"/>
        <w:ind w:firstLine="540" w:firstLineChars="225"/>
        <w:rPr>
          <w:rFonts w:hint="eastAsia" w:ascii="宋体" w:hAnsi="宋体" w:cs="宋体"/>
          <w:bCs/>
          <w:color w:val="auto"/>
          <w:sz w:val="24"/>
          <w:szCs w:val="20"/>
          <w:highlight w:val="none"/>
        </w:rPr>
      </w:pPr>
    </w:p>
    <w:p w14:paraId="0589E9C6">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2A684A3B">
      <w:pPr>
        <w:wordWrap w:val="0"/>
        <w:snapToGrid w:val="0"/>
        <w:spacing w:line="360" w:lineRule="auto"/>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2FD36F76">
      <w:pPr>
        <w:wordWrap w:val="0"/>
        <w:snapToGrid w:val="0"/>
        <w:spacing w:line="360" w:lineRule="auto"/>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1427B6CB">
      <w:pPr>
        <w:wordWrap w:val="0"/>
        <w:snapToGrid w:val="0"/>
        <w:spacing w:line="360" w:lineRule="auto"/>
        <w:ind w:firstLine="540" w:firstLineChars="225"/>
        <w:rPr>
          <w:rFonts w:hint="eastAsia" w:ascii="宋体" w:hAnsi="宋体" w:cs="宋体"/>
          <w:bCs/>
          <w:color w:val="auto"/>
          <w:sz w:val="24"/>
          <w:szCs w:val="20"/>
          <w:highlight w:val="none"/>
        </w:rPr>
      </w:pPr>
    </w:p>
    <w:p w14:paraId="404D7899">
      <w:pPr>
        <w:pStyle w:val="10"/>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79EABD1D">
      <w:pPr>
        <w:pStyle w:val="10"/>
        <w:wordWrap w:val="0"/>
        <w:snapToGrid w:val="0"/>
        <w:spacing w:line="360" w:lineRule="auto"/>
        <w:ind w:firstLine="540" w:firstLineChars="225"/>
        <w:rPr>
          <w:rFonts w:hint="eastAsia" w:ascii="宋体" w:hAnsi="宋体" w:cs="宋体"/>
          <w:bCs/>
          <w:color w:val="auto"/>
          <w:sz w:val="24"/>
          <w:szCs w:val="24"/>
          <w:highlight w:val="none"/>
        </w:rPr>
      </w:pPr>
    </w:p>
    <w:p w14:paraId="649176D4">
      <w:pPr>
        <w:pStyle w:val="10"/>
        <w:wordWrap w:val="0"/>
        <w:snapToGrid w:val="0"/>
        <w:spacing w:line="360" w:lineRule="auto"/>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992D344">
      <w:pPr>
        <w:pStyle w:val="10"/>
        <w:wordWrap w:val="0"/>
        <w:snapToGrid w:val="0"/>
        <w:spacing w:line="360" w:lineRule="auto"/>
        <w:ind w:firstLine="960" w:firstLineChars="400"/>
        <w:rPr>
          <w:rFonts w:hint="eastAsia" w:ascii="宋体" w:hAnsi="宋体" w:cs="宋体"/>
          <w:bCs/>
          <w:color w:val="auto"/>
          <w:sz w:val="24"/>
          <w:szCs w:val="24"/>
          <w:highlight w:val="none"/>
        </w:rPr>
      </w:pPr>
    </w:p>
    <w:p w14:paraId="38D6E55A">
      <w:pPr>
        <w:wordWrap w:val="0"/>
        <w:snapToGrid w:val="0"/>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F4CE3A2">
      <w:pPr>
        <w:wordWrap w:val="0"/>
        <w:snapToGrid w:val="0"/>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BBF5F90">
      <w:pPr>
        <w:wordWrap w:val="0"/>
        <w:spacing w:line="360" w:lineRule="auto"/>
        <w:ind w:right="420"/>
        <w:rPr>
          <w:rFonts w:hint="eastAsia" w:ascii="宋体" w:hAnsi="宋体" w:cs="宋体"/>
          <w:color w:val="auto"/>
          <w:sz w:val="24"/>
          <w:szCs w:val="20"/>
          <w:highlight w:val="none"/>
        </w:rPr>
      </w:pPr>
    </w:p>
    <w:p w14:paraId="27E0184E">
      <w:pPr>
        <w:wordWrap w:val="0"/>
        <w:spacing w:line="360" w:lineRule="auto"/>
        <w:ind w:right="420"/>
        <w:rPr>
          <w:rFonts w:hint="eastAsia" w:ascii="宋体" w:hAnsi="宋体" w:cs="宋体"/>
          <w:color w:val="auto"/>
          <w:sz w:val="24"/>
          <w:szCs w:val="20"/>
          <w:highlight w:val="none"/>
        </w:rPr>
      </w:pPr>
    </w:p>
    <w:p w14:paraId="0AE2B0D6">
      <w:pPr>
        <w:wordWrap w:val="0"/>
        <w:spacing w:line="360" w:lineRule="auto"/>
        <w:ind w:right="420"/>
        <w:rPr>
          <w:rFonts w:hint="eastAsia" w:ascii="宋体" w:hAnsi="宋体" w:cs="宋体"/>
          <w:color w:val="auto"/>
          <w:sz w:val="24"/>
          <w:szCs w:val="20"/>
          <w:highlight w:val="none"/>
        </w:rPr>
      </w:pPr>
    </w:p>
    <w:p w14:paraId="256C83C6">
      <w:pPr>
        <w:wordWrap w:val="0"/>
        <w:spacing w:line="360" w:lineRule="auto"/>
        <w:ind w:right="420"/>
        <w:rPr>
          <w:rFonts w:hint="eastAsia" w:ascii="宋体" w:hAnsi="宋体" w:cs="宋体"/>
          <w:color w:val="auto"/>
          <w:sz w:val="24"/>
          <w:szCs w:val="20"/>
          <w:highlight w:val="none"/>
        </w:rPr>
      </w:pPr>
    </w:p>
    <w:p w14:paraId="468E8FE6">
      <w:pPr>
        <w:wordWrap w:val="0"/>
        <w:spacing w:line="360" w:lineRule="auto"/>
        <w:ind w:right="420"/>
        <w:rPr>
          <w:rFonts w:hint="eastAsia" w:ascii="宋体" w:hAnsi="宋体" w:cs="宋体"/>
          <w:color w:val="auto"/>
          <w:sz w:val="24"/>
          <w:szCs w:val="20"/>
          <w:highlight w:val="none"/>
        </w:rPr>
      </w:pPr>
    </w:p>
    <w:p w14:paraId="21A7CB8D">
      <w:pPr>
        <w:wordWrap w:val="0"/>
        <w:spacing w:line="360" w:lineRule="auto"/>
        <w:ind w:right="420"/>
        <w:rPr>
          <w:rFonts w:hint="eastAsia" w:ascii="宋体" w:hAnsi="宋体" w:cs="宋体"/>
          <w:color w:val="auto"/>
          <w:sz w:val="24"/>
          <w:szCs w:val="20"/>
          <w:highlight w:val="none"/>
        </w:rPr>
      </w:pPr>
    </w:p>
    <w:p w14:paraId="35311592">
      <w:pPr>
        <w:wordWrap w:val="0"/>
        <w:spacing w:line="360" w:lineRule="auto"/>
        <w:ind w:right="420"/>
        <w:rPr>
          <w:rFonts w:hint="eastAsia" w:ascii="宋体" w:hAnsi="宋体" w:cs="宋体"/>
          <w:color w:val="auto"/>
          <w:sz w:val="24"/>
          <w:szCs w:val="20"/>
          <w:highlight w:val="none"/>
        </w:rPr>
      </w:pPr>
    </w:p>
    <w:p w14:paraId="3AF0D964">
      <w:pPr>
        <w:wordWrap w:val="0"/>
        <w:spacing w:line="360" w:lineRule="auto"/>
        <w:ind w:right="420"/>
        <w:rPr>
          <w:rFonts w:hint="eastAsia" w:ascii="宋体" w:hAnsi="宋体" w:cs="宋体"/>
          <w:color w:val="auto"/>
          <w:sz w:val="24"/>
          <w:szCs w:val="20"/>
          <w:highlight w:val="none"/>
        </w:rPr>
      </w:pPr>
    </w:p>
    <w:p w14:paraId="1022D0D5">
      <w:pPr>
        <w:wordWrap w:val="0"/>
        <w:spacing w:line="360" w:lineRule="auto"/>
        <w:ind w:right="420"/>
        <w:rPr>
          <w:rFonts w:hint="eastAsia" w:ascii="宋体" w:hAnsi="宋体" w:cs="宋体"/>
          <w:color w:val="auto"/>
          <w:sz w:val="24"/>
          <w:szCs w:val="20"/>
          <w:highlight w:val="none"/>
        </w:rPr>
      </w:pPr>
    </w:p>
    <w:p w14:paraId="3B221E94">
      <w:pPr>
        <w:wordWrap w:val="0"/>
        <w:spacing w:line="360" w:lineRule="auto"/>
        <w:ind w:right="420" w:firstLine="723"/>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 xml:space="preserve"> </w:t>
      </w:r>
    </w:p>
    <w:p w14:paraId="5A8F13AD">
      <w:pPr>
        <w:wordWrap w:val="0"/>
        <w:spacing w:line="360" w:lineRule="auto"/>
        <w:ind w:firstLine="482"/>
        <w:rPr>
          <w:rFonts w:hint="eastAsia" w:ascii="宋体" w:hAnsi="宋体" w:cs="宋体"/>
          <w:b/>
          <w:color w:val="auto"/>
          <w:kern w:val="0"/>
          <w:sz w:val="24"/>
          <w:highlight w:val="none"/>
        </w:rPr>
      </w:pPr>
    </w:p>
    <w:p w14:paraId="389F1E17">
      <w:pPr>
        <w:wordWrap w:val="0"/>
        <w:spacing w:line="360" w:lineRule="auto"/>
        <w:ind w:firstLine="562"/>
        <w:jc w:val="cente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商务文件目录</w:t>
      </w:r>
    </w:p>
    <w:p w14:paraId="66474658">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一、无串通投标行为的承诺函……………………………………………………………（页码）</w:t>
      </w:r>
    </w:p>
    <w:p w14:paraId="1DCF9595">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6B78325F">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13EEFC54">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365FA837">
      <w:pPr>
        <w:pStyle w:val="39"/>
        <w:wordWrap w:val="0"/>
        <w:spacing w:line="360" w:lineRule="auto"/>
        <w:rPr>
          <w:rFonts w:hint="eastAsia" w:ascii="宋体" w:hAnsi="宋体" w:eastAsia="宋体" w:cs="宋体"/>
          <w:color w:val="auto"/>
          <w:highlight w:val="none"/>
        </w:rPr>
      </w:pPr>
      <w:bookmarkStart w:id="310" w:name="OLE_LINK6"/>
      <w:bookmarkStart w:id="311" w:name="OLE_LINK7"/>
      <w:bookmarkStart w:id="312" w:name="OLE_LINK5"/>
      <w:r>
        <w:rPr>
          <w:rFonts w:hint="eastAsia" w:ascii="宋体" w:hAnsi="宋体" w:eastAsia="宋体" w:cs="宋体"/>
          <w:color w:val="auto"/>
          <w:highlight w:val="none"/>
        </w:rPr>
        <w:t>五、投标人情况介绍</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542924B6">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六、投标人类似业绩的证明文件（如有要求）</w:t>
      </w:r>
      <w:r>
        <w:rPr>
          <w:rFonts w:hint="eastAsia" w:ascii="宋体" w:hAnsi="宋体" w:eastAsia="宋体" w:cs="宋体"/>
          <w:color w:val="auto"/>
          <w:highlight w:val="none"/>
          <w:lang w:val="zh-CN"/>
        </w:rPr>
        <w:t>………</w:t>
      </w:r>
      <w:r>
        <w:rPr>
          <w:rFonts w:hint="eastAsia" w:ascii="宋体" w:hAnsi="宋体" w:eastAsia="宋体" w:cs="宋体"/>
          <w:color w:val="auto"/>
          <w:highlight w:val="none"/>
        </w:rPr>
        <w:t>…s……</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bookmarkEnd w:id="310"/>
      <w:bookmarkEnd w:id="311"/>
    </w:p>
    <w:p w14:paraId="546EB6CA">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七、其他商务文件或说明</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bookmarkEnd w:id="312"/>
    <w:p w14:paraId="090E25B4">
      <w:pPr>
        <w:wordWrap w:val="0"/>
        <w:spacing w:line="360" w:lineRule="auto"/>
        <w:ind w:firstLine="482"/>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5494FAAC">
      <w:pPr>
        <w:widowControl/>
        <w:wordWrap w:val="0"/>
        <w:spacing w:line="360" w:lineRule="auto"/>
        <w:jc w:val="left"/>
        <w:rPr>
          <w:rFonts w:hint="eastAsia" w:ascii="宋体" w:hAnsi="宋体" w:cs="宋体"/>
          <w:color w:val="auto"/>
          <w:highlight w:val="none"/>
        </w:rPr>
        <w:sectPr>
          <w:pgSz w:w="11906" w:h="16838"/>
          <w:pgMar w:top="1440" w:right="1080" w:bottom="1440" w:left="1080" w:header="720" w:footer="720" w:gutter="0"/>
          <w:cols w:space="720" w:num="1"/>
          <w:docGrid w:type="lines" w:linePitch="331" w:charSpace="0"/>
        </w:sectPr>
      </w:pPr>
    </w:p>
    <w:p w14:paraId="18EB75CF">
      <w:pPr>
        <w:wordWrap w:val="0"/>
        <w:snapToGrid w:val="0"/>
        <w:spacing w:line="360" w:lineRule="auto"/>
        <w:ind w:left="420" w:firstLine="60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一、无串通投标行为的承诺函</w:t>
      </w:r>
    </w:p>
    <w:p w14:paraId="432E7FDB">
      <w:pPr>
        <w:wordWrap w:val="0"/>
        <w:snapToGrid w:val="0"/>
        <w:spacing w:line="360" w:lineRule="auto"/>
        <w:ind w:left="420" w:firstLine="64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投标人参加本项目无串通投标行为的承诺函</w:t>
      </w:r>
    </w:p>
    <w:p w14:paraId="64850041">
      <w:pPr>
        <w:wordWrap w:val="0"/>
        <w:snapToGrid w:val="0"/>
        <w:spacing w:line="360" w:lineRule="auto"/>
        <w:ind w:firstLine="482"/>
        <w:rPr>
          <w:rFonts w:hint="eastAsia" w:ascii="宋体" w:hAnsi="宋体" w:cs="宋体"/>
          <w:b/>
          <w:color w:val="auto"/>
          <w:szCs w:val="21"/>
          <w:highlight w:val="none"/>
        </w:rPr>
      </w:pPr>
    </w:p>
    <w:p w14:paraId="04B55D78">
      <w:pPr>
        <w:wordWrap w:val="0"/>
        <w:snapToGrid w:val="0"/>
        <w:spacing w:line="360" w:lineRule="auto"/>
        <w:ind w:firstLine="482"/>
        <w:jc w:val="left"/>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2C0CB94F">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710DB785">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7826EC81">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3E198F9B">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1726C2B">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2671FD1">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1284A8C0">
      <w:pPr>
        <w:wordWrap w:val="0"/>
        <w:snapToGrid w:val="0"/>
        <w:spacing w:line="360" w:lineRule="auto"/>
        <w:ind w:firstLine="482"/>
        <w:jc w:val="left"/>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558E379">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1.投标人直接或者间接从采购人或者采购代理机构处获得其他投标人的相关信息并修改其投标文件或者投标文件；</w:t>
      </w:r>
    </w:p>
    <w:p w14:paraId="5595BC2B">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2.投标人按照采购人或者采购代理机构的授意撤换、修改投标文件或者投标文件；</w:t>
      </w:r>
    </w:p>
    <w:p w14:paraId="3724F945">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3.投标人之间协商报价、技术方案等投标文件或者投标文件的实质性内容；</w:t>
      </w:r>
    </w:p>
    <w:p w14:paraId="1407D2AC">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1C1E6A72">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B9EA7C">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594BFE18">
      <w:pPr>
        <w:wordWrap w:val="0"/>
        <w:snapToGrid w:val="0"/>
        <w:spacing w:line="360" w:lineRule="auto"/>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C87D0D3">
      <w:pPr>
        <w:wordWrap w:val="0"/>
        <w:snapToGrid w:val="0"/>
        <w:spacing w:line="360" w:lineRule="auto"/>
        <w:ind w:firstLine="413" w:firstLineChars="196"/>
        <w:jc w:val="left"/>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以上情形一经核查属实，我方愿意承担一切后果，接受政府采购监管部门对我方认定存在围标串标行为，并不再寻求任何旨在减轻或者免除法律责任的辩解。</w:t>
      </w:r>
    </w:p>
    <w:p w14:paraId="7AA5FDC0">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6ABE71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03952DC">
      <w:pPr>
        <w:pStyle w:val="14"/>
        <w:wordWrap w:val="0"/>
        <w:snapToGrid w:val="0"/>
        <w:spacing w:line="360" w:lineRule="auto"/>
        <w:ind w:firstLine="482"/>
        <w:jc w:val="center"/>
        <w:rPr>
          <w:rFonts w:hint="eastAsia" w:hAnsi="宋体" w:cs="宋体"/>
          <w:b/>
          <w:color w:val="auto"/>
          <w:sz w:val="24"/>
          <w:highlight w:val="none"/>
        </w:rPr>
      </w:pPr>
      <w:r>
        <w:rPr>
          <w:rFonts w:hint="eastAsia" w:hAnsi="宋体" w:cs="宋体"/>
          <w:b/>
          <w:color w:val="auto"/>
          <w:sz w:val="24"/>
          <w:highlight w:val="none"/>
        </w:rPr>
        <w:br w:type="page"/>
      </w:r>
      <w:r>
        <w:rPr>
          <w:rFonts w:hint="eastAsia" w:hAnsi="宋体" w:cs="宋体"/>
          <w:b/>
          <w:bCs/>
          <w:color w:val="auto"/>
          <w:sz w:val="30"/>
          <w:szCs w:val="30"/>
          <w:highlight w:val="none"/>
        </w:rPr>
        <w:t>二、法定代表人身份证明及法定代表人有效身份证正反面复印件</w:t>
      </w:r>
    </w:p>
    <w:p w14:paraId="74D663E5">
      <w:pPr>
        <w:wordWrap w:val="0"/>
        <w:spacing w:line="360" w:lineRule="auto"/>
        <w:ind w:left="540" w:firstLine="643"/>
        <w:jc w:val="center"/>
        <w:rPr>
          <w:rFonts w:hint="eastAsia" w:ascii="宋体" w:hAnsi="宋体" w:cs="宋体"/>
          <w:b/>
          <w:color w:val="auto"/>
          <w:sz w:val="32"/>
          <w:szCs w:val="32"/>
          <w:highlight w:val="none"/>
        </w:rPr>
      </w:pPr>
    </w:p>
    <w:p w14:paraId="11281EAF">
      <w:pPr>
        <w:wordWrap w:val="0"/>
        <w:spacing w:line="360" w:lineRule="auto"/>
        <w:ind w:left="540" w:firstLine="643"/>
        <w:jc w:val="center"/>
        <w:rPr>
          <w:rFonts w:hint="eastAsia" w:ascii="宋体" w:hAnsi="宋体" w:cs="宋体"/>
          <w:color w:val="auto"/>
          <w:sz w:val="32"/>
          <w:szCs w:val="32"/>
          <w:highlight w:val="none"/>
        </w:rPr>
      </w:pPr>
      <w:r>
        <w:rPr>
          <w:rFonts w:hint="eastAsia" w:ascii="宋体" w:hAnsi="宋体" w:cs="宋体"/>
          <w:b/>
          <w:color w:val="auto"/>
          <w:sz w:val="32"/>
          <w:szCs w:val="32"/>
          <w:highlight w:val="none"/>
        </w:rPr>
        <w:t>法定代表人身份证明</w:t>
      </w:r>
    </w:p>
    <w:p w14:paraId="456844D3">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投 标 人：</w:t>
      </w:r>
      <w:r>
        <w:rPr>
          <w:rFonts w:hint="eastAsia" w:ascii="宋体" w:hAnsi="宋体" w:cs="宋体"/>
          <w:color w:val="auto"/>
          <w:sz w:val="24"/>
          <w:highlight w:val="none"/>
          <w:u w:val="single"/>
        </w:rPr>
        <w:t xml:space="preserve">                                                        </w:t>
      </w:r>
    </w:p>
    <w:p w14:paraId="20684F9D">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3703B8DD">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0DEA1C5F">
      <w:pPr>
        <w:wordWrap w:val="0"/>
        <w:spacing w:line="360" w:lineRule="auto"/>
        <w:ind w:left="540"/>
        <w:rPr>
          <w:rFonts w:hint="eastAsia"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171A7106">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301A03F8">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（投标人名称）              </w:t>
      </w:r>
      <w:r>
        <w:rPr>
          <w:rFonts w:hint="eastAsia" w:ascii="宋体" w:hAnsi="宋体" w:cs="宋体"/>
          <w:color w:val="auto"/>
          <w:sz w:val="24"/>
          <w:highlight w:val="none"/>
        </w:rPr>
        <w:t>的法定代表人。</w:t>
      </w:r>
    </w:p>
    <w:p w14:paraId="2D384B60">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特此证明。</w:t>
      </w:r>
    </w:p>
    <w:p w14:paraId="4FB995B7">
      <w:pPr>
        <w:wordWrap w:val="0"/>
        <w:spacing w:line="360" w:lineRule="auto"/>
        <w:ind w:left="540"/>
        <w:rPr>
          <w:rFonts w:hint="eastAsia" w:ascii="宋体" w:hAnsi="宋体" w:cs="宋体"/>
          <w:color w:val="auto"/>
          <w:sz w:val="24"/>
          <w:highlight w:val="none"/>
        </w:rPr>
      </w:pPr>
    </w:p>
    <w:p w14:paraId="2969D40E">
      <w:pPr>
        <w:wordWrap w:val="0"/>
        <w:spacing w:line="360" w:lineRule="auto"/>
        <w:ind w:left="540"/>
        <w:rPr>
          <w:rFonts w:hint="eastAsia" w:ascii="宋体" w:hAnsi="宋体" w:cs="宋体"/>
          <w:color w:val="auto"/>
          <w:sz w:val="24"/>
          <w:highlight w:val="none"/>
        </w:rPr>
      </w:pPr>
    </w:p>
    <w:p w14:paraId="41CBD9BA">
      <w:pPr>
        <w:wordWrap w:val="0"/>
        <w:spacing w:line="360" w:lineRule="auto"/>
        <w:ind w:left="540"/>
        <w:rPr>
          <w:rFonts w:hint="eastAsia"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751514DD">
      <w:pPr>
        <w:wordWrap w:val="0"/>
        <w:spacing w:line="360" w:lineRule="auto"/>
        <w:ind w:left="540"/>
        <w:rPr>
          <w:rFonts w:hint="eastAsia" w:ascii="宋体" w:hAnsi="宋体" w:cs="宋体"/>
          <w:color w:val="auto"/>
          <w:sz w:val="24"/>
          <w:highlight w:val="none"/>
        </w:rPr>
      </w:pPr>
    </w:p>
    <w:p w14:paraId="71F92CEB">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AC7326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DE91FAE">
      <w:pPr>
        <w:wordWrap w:val="0"/>
        <w:snapToGrid w:val="0"/>
        <w:spacing w:line="360" w:lineRule="auto"/>
        <w:ind w:firstLine="482"/>
        <w:jc w:val="center"/>
        <w:rPr>
          <w:rFonts w:hint="eastAsia" w:ascii="宋体" w:hAnsi="宋体" w:cs="宋体"/>
          <w:b/>
          <w:color w:val="auto"/>
          <w:sz w:val="24"/>
          <w:highlight w:val="none"/>
        </w:rPr>
      </w:pPr>
    </w:p>
    <w:p w14:paraId="6B5F43E4">
      <w:pPr>
        <w:wordWrap w:val="0"/>
        <w:snapToGrid w:val="0"/>
        <w:spacing w:line="360" w:lineRule="auto"/>
        <w:ind w:firstLine="600" w:firstLineChars="250"/>
        <w:jc w:val="left"/>
        <w:rPr>
          <w:rFonts w:hint="eastAsia" w:ascii="宋体" w:hAnsi="宋体" w:cs="宋体"/>
          <w:color w:val="auto"/>
          <w:sz w:val="24"/>
          <w:highlight w:val="none"/>
        </w:rPr>
      </w:pPr>
      <w:r>
        <w:rPr>
          <w:rFonts w:hint="eastAsia" w:ascii="宋体" w:hAnsi="宋体" w:cs="宋体"/>
          <w:color w:val="auto"/>
          <w:sz w:val="24"/>
          <w:highlight w:val="none"/>
        </w:rPr>
        <w:t>注：自然人投标的无需提供</w:t>
      </w:r>
    </w:p>
    <w:p w14:paraId="4F6341AB">
      <w:pPr>
        <w:wordWrap w:val="0"/>
        <w:snapToGrid w:val="0"/>
        <w:spacing w:line="360" w:lineRule="auto"/>
        <w:ind w:firstLine="600" w:firstLineChars="250"/>
        <w:jc w:val="left"/>
        <w:rPr>
          <w:rFonts w:hint="eastAsia" w:ascii="宋体" w:hAnsi="宋体" w:cs="宋体"/>
          <w:color w:val="auto"/>
          <w:sz w:val="24"/>
          <w:highlight w:val="none"/>
        </w:rPr>
      </w:pPr>
    </w:p>
    <w:p w14:paraId="548529CD">
      <w:pPr>
        <w:wordWrap w:val="0"/>
        <w:snapToGrid w:val="0"/>
        <w:spacing w:line="360" w:lineRule="auto"/>
        <w:ind w:firstLine="602" w:firstLineChars="250"/>
        <w:jc w:val="left"/>
        <w:rPr>
          <w:rFonts w:hint="eastAsia" w:ascii="宋体" w:hAnsi="宋体" w:cs="宋体"/>
          <w:b/>
          <w:color w:val="auto"/>
          <w:sz w:val="24"/>
          <w:szCs w:val="20"/>
          <w:highlight w:val="none"/>
        </w:r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3C54A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7AFCCD2E">
            <w:pPr>
              <w:wordWrap w:val="0"/>
              <w:spacing w:line="360" w:lineRule="auto"/>
              <w:ind w:firstLine="482"/>
              <w:rPr>
                <w:rFonts w:hint="eastAsia" w:ascii="宋体" w:hAnsi="宋体" w:cs="宋体"/>
                <w:b/>
                <w:color w:val="auto"/>
                <w:sz w:val="24"/>
                <w:highlight w:val="none"/>
              </w:rPr>
            </w:pPr>
          </w:p>
          <w:p w14:paraId="614CD463">
            <w:pPr>
              <w:wordWrap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29938441">
      <w:pPr>
        <w:pStyle w:val="14"/>
        <w:wordWrap w:val="0"/>
        <w:snapToGrid w:val="0"/>
        <w:spacing w:line="360" w:lineRule="auto"/>
        <w:ind w:firstLine="482"/>
        <w:jc w:val="center"/>
        <w:rPr>
          <w:rFonts w:hint="eastAsia" w:hAnsi="宋体" w:cs="宋体"/>
          <w:b/>
          <w:color w:val="auto"/>
          <w:sz w:val="24"/>
          <w:highlight w:val="none"/>
        </w:rPr>
      </w:pPr>
      <w:r>
        <w:rPr>
          <w:rFonts w:hint="eastAsia" w:hAnsi="宋体" w:cs="宋体"/>
          <w:b/>
          <w:color w:val="auto"/>
          <w:sz w:val="24"/>
          <w:highlight w:val="none"/>
        </w:rPr>
        <w:t>附件：</w:t>
      </w:r>
      <w:r>
        <w:rPr>
          <w:rFonts w:hint="eastAsia" w:hAnsi="宋体" w:cs="宋体"/>
          <w:b/>
          <w:color w:val="auto"/>
          <w:sz w:val="24"/>
          <w:highlight w:val="none"/>
        </w:rPr>
        <w:br w:type="page"/>
      </w:r>
      <w:r>
        <w:rPr>
          <w:rFonts w:hint="eastAsia" w:hAnsi="宋体" w:cs="宋体"/>
          <w:b/>
          <w:bCs/>
          <w:color w:val="auto"/>
          <w:sz w:val="30"/>
          <w:szCs w:val="30"/>
          <w:highlight w:val="none"/>
        </w:rPr>
        <w:t>三、法定代表人授权委托书及委托代理人有效身份证正反面复印件（如有委托时）</w:t>
      </w:r>
    </w:p>
    <w:p w14:paraId="7D61ED0F">
      <w:pPr>
        <w:wordWrap w:val="0"/>
        <w:snapToGrid w:val="0"/>
        <w:spacing w:line="360" w:lineRule="auto"/>
        <w:ind w:firstLine="643"/>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法定代表人授权委托书</w:t>
      </w:r>
    </w:p>
    <w:p w14:paraId="69C61C8D">
      <w:pPr>
        <w:wordWrap w:val="0"/>
        <w:snapToGrid w:val="0"/>
        <w:spacing w:line="360" w:lineRule="auto"/>
        <w:ind w:firstLine="482"/>
        <w:jc w:val="center"/>
        <w:rPr>
          <w:rFonts w:hint="eastAsia" w:ascii="宋体" w:hAnsi="宋体" w:cs="宋体"/>
          <w:b/>
          <w:color w:val="auto"/>
          <w:sz w:val="24"/>
          <w:highlight w:val="none"/>
        </w:rPr>
      </w:pPr>
    </w:p>
    <w:p w14:paraId="7CA3C48D">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致：</w:t>
      </w:r>
      <w:r>
        <w:rPr>
          <w:rFonts w:hint="eastAsia" w:hAnsi="宋体" w:cs="宋体"/>
          <w:color w:val="auto"/>
          <w:highlight w:val="none"/>
          <w:u w:val="single"/>
        </w:rPr>
        <w:t xml:space="preserve"> </w:t>
      </w:r>
      <w:bookmarkStart w:id="313" w:name="PO_3000001866_PM031_7"/>
      <w:r>
        <w:rPr>
          <w:rFonts w:hint="eastAsia" w:hAnsi="宋体" w:cs="宋体"/>
          <w:color w:val="auto"/>
          <w:highlight w:val="none"/>
          <w:u w:val="single"/>
        </w:rPr>
        <w:t>广西邕政采购代理有限公司</w:t>
      </w:r>
      <w:bookmarkEnd w:id="313"/>
      <w:r>
        <w:rPr>
          <w:rFonts w:hint="eastAsia" w:hAnsi="宋体" w:cs="宋体"/>
          <w:color w:val="auto"/>
          <w:highlight w:val="none"/>
          <w:u w:val="single"/>
        </w:rPr>
        <w:t xml:space="preserve"> </w:t>
      </w:r>
    </w:p>
    <w:p w14:paraId="0867F28B">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w:t>
      </w:r>
      <w:r>
        <w:rPr>
          <w:rFonts w:hint="eastAsia" w:hAnsi="宋体" w:cs="宋体"/>
          <w:color w:val="auto"/>
          <w:highlight w:val="none"/>
        </w:rPr>
        <w:t>（姓名）系</w:t>
      </w:r>
      <w:r>
        <w:rPr>
          <w:rFonts w:hint="eastAsia" w:hAnsi="宋体" w:cs="宋体"/>
          <w:color w:val="auto"/>
          <w:highlight w:val="none"/>
          <w:u w:val="single"/>
        </w:rPr>
        <w:t xml:space="preserve">                 </w:t>
      </w:r>
      <w:r>
        <w:rPr>
          <w:rFonts w:hint="eastAsia" w:hAnsi="宋体" w:cs="宋体"/>
          <w:color w:val="auto"/>
          <w:highlight w:val="none"/>
        </w:rPr>
        <w:t>（投标人名称）的法定代表人，现授权我单位在职正式员工</w:t>
      </w:r>
      <w:r>
        <w:rPr>
          <w:rFonts w:hint="eastAsia" w:hAnsi="宋体" w:cs="宋体"/>
          <w:color w:val="auto"/>
          <w:highlight w:val="none"/>
          <w:u w:val="single"/>
        </w:rPr>
        <w:t xml:space="preserve">        </w:t>
      </w:r>
      <w:r>
        <w:rPr>
          <w:rFonts w:hint="eastAsia" w:hAnsi="宋体" w:cs="宋体"/>
          <w:color w:val="auto"/>
          <w:highlight w:val="none"/>
        </w:rPr>
        <w:t>（姓名和职务）为我方代理人。代理人根据授权，以我方名义签署、澄清、说明、补正、递交、撤回、修改贵方组织的</w:t>
      </w:r>
      <w:r>
        <w:rPr>
          <w:rFonts w:hint="eastAsia" w:hAnsi="宋体" w:cs="宋体"/>
          <w:color w:val="auto"/>
          <w:highlight w:val="none"/>
          <w:u w:val="single"/>
        </w:rPr>
        <w:t xml:space="preserve"> </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）的投标文件、签订合同和处理一切有关事宜，其法律后果由我方承担。</w:t>
      </w:r>
    </w:p>
    <w:p w14:paraId="2CAC91BE">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本授权书于</w:t>
      </w:r>
      <w:r>
        <w:rPr>
          <w:rFonts w:hint="eastAsia" w:hAnsi="宋体" w:cs="宋体"/>
          <w:color w:val="auto"/>
          <w:spacing w:val="10"/>
          <w:sz w:val="24"/>
          <w:highlight w:val="none"/>
          <w:u w:val="single"/>
        </w:rPr>
        <w:t xml:space="preserve">    </w:t>
      </w:r>
      <w:r>
        <w:rPr>
          <w:rFonts w:hint="eastAsia" w:hAnsi="宋体" w:cs="宋体"/>
          <w:color w:val="auto"/>
          <w:highlight w:val="none"/>
        </w:rPr>
        <w:t>年</w:t>
      </w:r>
      <w:r>
        <w:rPr>
          <w:rFonts w:hint="eastAsia" w:hAnsi="宋体" w:cs="宋体"/>
          <w:color w:val="auto"/>
          <w:spacing w:val="10"/>
          <w:sz w:val="24"/>
          <w:highlight w:val="none"/>
          <w:u w:val="single"/>
        </w:rPr>
        <w:t xml:space="preserve">    </w:t>
      </w:r>
      <w:r>
        <w:rPr>
          <w:rFonts w:hint="eastAsia" w:hAnsi="宋体" w:cs="宋体"/>
          <w:color w:val="auto"/>
          <w:highlight w:val="none"/>
        </w:rPr>
        <w:t>月</w:t>
      </w:r>
      <w:r>
        <w:rPr>
          <w:rFonts w:hint="eastAsia" w:hAnsi="宋体" w:cs="宋体"/>
          <w:color w:val="auto"/>
          <w:spacing w:val="10"/>
          <w:sz w:val="24"/>
          <w:highlight w:val="none"/>
          <w:u w:val="single"/>
        </w:rPr>
        <w:t xml:space="preserve">    </w:t>
      </w:r>
      <w:r>
        <w:rPr>
          <w:rFonts w:hint="eastAsia" w:hAnsi="宋体" w:cs="宋体"/>
          <w:color w:val="auto"/>
          <w:highlight w:val="none"/>
        </w:rPr>
        <w:t>日签字生效，委托期限：</w:t>
      </w:r>
      <w:r>
        <w:rPr>
          <w:rFonts w:hint="eastAsia" w:hAnsi="宋体" w:cs="宋体"/>
          <w:color w:val="auto"/>
          <w:spacing w:val="10"/>
          <w:sz w:val="24"/>
          <w:highlight w:val="none"/>
          <w:u w:val="single"/>
        </w:rPr>
        <w:t xml:space="preserve">    </w:t>
      </w:r>
      <w:r>
        <w:rPr>
          <w:rFonts w:hint="eastAsia" w:hAnsi="宋体" w:cs="宋体"/>
          <w:color w:val="auto"/>
          <w:highlight w:val="none"/>
        </w:rPr>
        <w:t>。</w:t>
      </w:r>
    </w:p>
    <w:p w14:paraId="53F36299">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代理人无转委托权。</w:t>
      </w:r>
    </w:p>
    <w:p w14:paraId="1C0C8762">
      <w:pPr>
        <w:pStyle w:val="14"/>
        <w:wordWrap w:val="0"/>
        <w:spacing w:line="360" w:lineRule="auto"/>
        <w:ind w:firstLine="480"/>
        <w:rPr>
          <w:rFonts w:hint="eastAsia" w:hAnsi="宋体" w:cs="宋体"/>
          <w:color w:val="auto"/>
          <w:highlight w:val="none"/>
        </w:rPr>
      </w:pPr>
    </w:p>
    <w:p w14:paraId="34709371">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投标人（或联合体投标</w:t>
      </w:r>
      <w:r>
        <w:rPr>
          <w:rFonts w:hint="eastAsia" w:hAnsi="宋体" w:cs="宋体"/>
          <w:color w:val="auto"/>
          <w:kern w:val="0"/>
          <w:szCs w:val="21"/>
          <w:highlight w:val="none"/>
        </w:rPr>
        <w:t>牵头人名称</w:t>
      </w:r>
      <w:r>
        <w:rPr>
          <w:rFonts w:hint="eastAsia" w:hAnsi="宋体" w:cs="宋体"/>
          <w:color w:val="auto"/>
          <w:highlight w:val="none"/>
        </w:rPr>
        <w:t>）（盖单位公章）：</w:t>
      </w:r>
      <w:r>
        <w:rPr>
          <w:rFonts w:hint="eastAsia" w:hAnsi="宋体" w:cs="宋体"/>
          <w:color w:val="auto"/>
          <w:highlight w:val="none"/>
          <w:u w:val="single"/>
        </w:rPr>
        <w:t xml:space="preserve">                                    </w:t>
      </w:r>
    </w:p>
    <w:p w14:paraId="10D5DAAA">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79DFF754">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法定代表人身份证号码：</w:t>
      </w:r>
      <w:r>
        <w:rPr>
          <w:rFonts w:hint="eastAsia" w:hAnsi="宋体" w:cs="宋体"/>
          <w:color w:val="auto"/>
          <w:highlight w:val="none"/>
          <w:u w:val="single"/>
        </w:rPr>
        <w:t xml:space="preserve">                                   </w:t>
      </w:r>
    </w:p>
    <w:p w14:paraId="2FC5D1B0">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委托代理人（签字）：</w:t>
      </w:r>
      <w:r>
        <w:rPr>
          <w:rFonts w:hint="eastAsia" w:hAnsi="宋体" w:cs="宋体"/>
          <w:color w:val="auto"/>
          <w:highlight w:val="none"/>
          <w:u w:val="single"/>
        </w:rPr>
        <w:t xml:space="preserve">                                </w:t>
      </w:r>
    </w:p>
    <w:p w14:paraId="371C87E9">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委托代理人身份证号码：</w:t>
      </w:r>
      <w:r>
        <w:rPr>
          <w:rFonts w:hint="eastAsia" w:hAnsi="宋体" w:cs="宋体"/>
          <w:color w:val="auto"/>
          <w:highlight w:val="none"/>
          <w:u w:val="single"/>
        </w:rPr>
        <w:t xml:space="preserve">                                   </w:t>
      </w:r>
    </w:p>
    <w:p w14:paraId="3FAC0FF3">
      <w:pPr>
        <w:pStyle w:val="14"/>
        <w:wordWrap w:val="0"/>
        <w:spacing w:line="360" w:lineRule="auto"/>
        <w:ind w:firstLine="480"/>
        <w:rPr>
          <w:rFonts w:hint="eastAsia" w:hAnsi="宋体" w:cs="宋体"/>
          <w:color w:val="auto"/>
          <w:highlight w:val="none"/>
          <w:u w:val="single"/>
        </w:rPr>
      </w:pPr>
    </w:p>
    <w:p w14:paraId="14BD9498">
      <w:pPr>
        <w:pStyle w:val="14"/>
        <w:wordWrap w:val="0"/>
        <w:spacing w:line="360" w:lineRule="auto"/>
        <w:ind w:firstLine="480"/>
        <w:rPr>
          <w:rFonts w:hint="eastAsia" w:hAnsi="宋体" w:cs="宋体"/>
          <w:color w:val="auto"/>
          <w:highlight w:val="none"/>
          <w:u w:val="single"/>
        </w:rPr>
      </w:pPr>
      <w:r>
        <w:rPr>
          <w:rFonts w:hint="eastAsia" w:hAnsi="宋体" w:cs="宋体"/>
          <w:color w:val="auto"/>
          <w:kern w:val="0"/>
          <w:szCs w:val="21"/>
          <w:highlight w:val="none"/>
        </w:rPr>
        <w:t>成员一名称：</w:t>
      </w:r>
      <w:r>
        <w:rPr>
          <w:rFonts w:hint="eastAsia" w:hAnsi="宋体" w:cs="宋体"/>
          <w:color w:val="auto"/>
          <w:highlight w:val="none"/>
        </w:rPr>
        <w:t>（盖单位公章）：</w:t>
      </w:r>
      <w:r>
        <w:rPr>
          <w:rFonts w:hint="eastAsia" w:hAnsi="宋体" w:cs="宋体"/>
          <w:color w:val="auto"/>
          <w:highlight w:val="none"/>
          <w:u w:val="single"/>
        </w:rPr>
        <w:t xml:space="preserve">                                    </w:t>
      </w:r>
    </w:p>
    <w:p w14:paraId="01A60800">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法定代表人（签字）：</w:t>
      </w:r>
      <w:r>
        <w:rPr>
          <w:rFonts w:hint="eastAsia" w:hAnsi="宋体" w:cs="宋体"/>
          <w:color w:val="auto"/>
          <w:highlight w:val="none"/>
          <w:u w:val="single"/>
        </w:rPr>
        <w:t xml:space="preserve">                                </w:t>
      </w:r>
    </w:p>
    <w:p w14:paraId="1F8184F0">
      <w:pPr>
        <w:pStyle w:val="14"/>
        <w:wordWrap w:val="0"/>
        <w:spacing w:line="360" w:lineRule="auto"/>
        <w:ind w:firstLine="480"/>
        <w:rPr>
          <w:rFonts w:hint="eastAsia" w:hAnsi="宋体" w:cs="宋体"/>
          <w:color w:val="auto"/>
          <w:highlight w:val="none"/>
          <w:u w:val="single"/>
        </w:rPr>
      </w:pPr>
    </w:p>
    <w:p w14:paraId="0544D689">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成员二名称：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（盖单位公章）</w:t>
      </w:r>
    </w:p>
    <w:p w14:paraId="4E80A23B">
      <w:pPr>
        <w:wordWrap w:val="0"/>
        <w:autoSpaceDE w:val="0"/>
        <w:autoSpaceDN w:val="0"/>
        <w:adjustRightIn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法定代表人或其委托代理人：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88D565B">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w:t>
      </w:r>
    </w:p>
    <w:p w14:paraId="1CFB685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p>
    <w:p w14:paraId="2411B62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1.法定代表人和委托代理人必须在授权委托书上亲笔签名，不得使用印章、签名章或者其他电子制版签名代替，</w:t>
      </w:r>
      <w:r>
        <w:rPr>
          <w:rFonts w:hint="eastAsia" w:ascii="宋体" w:hAnsi="宋体" w:cs="宋体"/>
          <w:b/>
          <w:bCs/>
          <w:color w:val="auto"/>
          <w:szCs w:val="21"/>
          <w:highlight w:val="none"/>
        </w:rPr>
        <w:t>否则作无效投标处理</w:t>
      </w:r>
      <w:r>
        <w:rPr>
          <w:rFonts w:hint="eastAsia" w:ascii="宋体" w:hAnsi="宋体" w:cs="宋体"/>
          <w:color w:val="auto"/>
          <w:szCs w:val="21"/>
          <w:highlight w:val="none"/>
        </w:rPr>
        <w:t>；</w:t>
      </w:r>
    </w:p>
    <w:p w14:paraId="0E165F8F">
      <w:pPr>
        <w:wordWrap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2.以联合体形式投标的，本授权委托书应由联合体牵头人的法定代表人按上述规定签署。</w:t>
      </w:r>
    </w:p>
    <w:p w14:paraId="76D8A581">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272D6D79">
      <w:pPr>
        <w:wordWrap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4. 若为联合体投标须各方签字或盖章。</w:t>
      </w:r>
    </w:p>
    <w:p w14:paraId="42C5BCA2">
      <w:pPr>
        <w:wordWrap w:val="0"/>
        <w:spacing w:line="360" w:lineRule="auto"/>
        <w:ind w:firstLine="482"/>
        <w:rPr>
          <w:rFonts w:hint="eastAsia" w:ascii="宋体" w:hAnsi="宋体" w:cs="宋体"/>
          <w:b/>
          <w:color w:val="auto"/>
          <w:sz w:val="24"/>
          <w:highlight w:val="none"/>
        </w:rPr>
      </w:pPr>
    </w:p>
    <w:p w14:paraId="5132EF83">
      <w:pPr>
        <w:wordWrap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附件：</w:t>
      </w:r>
    </w:p>
    <w:tbl>
      <w:tblPr>
        <w:tblStyle w:val="26"/>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7E2F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40" w:hRule="atLeast"/>
        </w:trPr>
        <w:tc>
          <w:tcPr>
            <w:tcW w:w="7990" w:type="dxa"/>
            <w:tcBorders>
              <w:top w:val="single" w:color="auto" w:sz="4" w:space="0"/>
              <w:left w:val="single" w:color="auto" w:sz="4" w:space="0"/>
              <w:bottom w:val="single" w:color="auto" w:sz="4" w:space="0"/>
              <w:right w:val="single" w:color="auto" w:sz="4" w:space="0"/>
            </w:tcBorders>
          </w:tcPr>
          <w:p w14:paraId="443BB32C">
            <w:pPr>
              <w:wordWrap w:val="0"/>
              <w:spacing w:line="360" w:lineRule="auto"/>
              <w:ind w:firstLine="482"/>
              <w:rPr>
                <w:rFonts w:hint="eastAsia" w:ascii="宋体" w:hAnsi="宋体" w:cs="宋体"/>
                <w:b/>
                <w:color w:val="auto"/>
                <w:sz w:val="24"/>
                <w:highlight w:val="none"/>
              </w:rPr>
            </w:pPr>
          </w:p>
          <w:p w14:paraId="36D5DCA3">
            <w:pPr>
              <w:wordWrap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全权代表身份证复印件粘帖处（正、反面）</w:t>
            </w:r>
          </w:p>
        </w:tc>
      </w:tr>
    </w:tbl>
    <w:p w14:paraId="7FE035BF">
      <w:pPr>
        <w:wordWrap w:val="0"/>
        <w:snapToGrid w:val="0"/>
        <w:spacing w:line="360" w:lineRule="auto"/>
        <w:jc w:val="left"/>
        <w:rPr>
          <w:rFonts w:hint="eastAsia" w:ascii="宋体" w:hAnsi="宋体" w:cs="宋体"/>
          <w:color w:val="auto"/>
          <w:szCs w:val="21"/>
          <w:highlight w:val="none"/>
        </w:rPr>
      </w:pPr>
    </w:p>
    <w:p w14:paraId="204330F0">
      <w:pPr>
        <w:wordWrap w:val="0"/>
        <w:snapToGrid w:val="0"/>
        <w:spacing w:line="360" w:lineRule="auto"/>
        <w:ind w:firstLine="566" w:firstLineChars="236"/>
        <w:jc w:val="center"/>
        <w:rPr>
          <w:rFonts w:hint="eastAsia" w:ascii="宋体" w:hAnsi="宋体" w:cs="宋体"/>
          <w:color w:val="auto"/>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rPr>
        <w:br w:type="page"/>
      </w:r>
    </w:p>
    <w:p w14:paraId="74043DA5">
      <w:pPr>
        <w:wordWrap w:val="0"/>
        <w:spacing w:line="360" w:lineRule="auto"/>
        <w:ind w:firstLine="602"/>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四、商务条款偏离表</w:t>
      </w:r>
    </w:p>
    <w:p w14:paraId="2873E628">
      <w:pPr>
        <w:wordWrap w:val="0"/>
        <w:spacing w:line="360" w:lineRule="auto"/>
        <w:ind w:firstLine="600"/>
        <w:jc w:val="center"/>
        <w:rPr>
          <w:rFonts w:hint="eastAsia" w:ascii="宋体" w:hAnsi="宋体" w:cs="宋体"/>
          <w:b/>
          <w:color w:val="auto"/>
          <w:sz w:val="24"/>
          <w:szCs w:val="20"/>
          <w:highlight w:val="none"/>
        </w:rPr>
      </w:pPr>
      <w:r>
        <w:rPr>
          <w:rFonts w:hint="eastAsia" w:ascii="宋体" w:hAnsi="宋体" w:cs="宋体"/>
          <w:color w:val="auto"/>
          <w:sz w:val="30"/>
          <w:szCs w:val="20"/>
          <w:highlight w:val="none"/>
        </w:rPr>
        <w:t>(注：按项目需求表具体项目修改)</w:t>
      </w:r>
    </w:p>
    <w:p w14:paraId="611C7FE8">
      <w:pPr>
        <w:wordWrap w:val="0"/>
        <w:snapToGrid w:val="0"/>
        <w:spacing w:line="360" w:lineRule="auto"/>
        <w:jc w:val="left"/>
        <w:rPr>
          <w:rFonts w:hint="eastAsia" w:ascii="宋体" w:hAnsi="宋体" w:cs="宋体"/>
          <w:color w:val="auto"/>
          <w:sz w:val="24"/>
          <w:highlight w:val="none"/>
        </w:rPr>
      </w:pPr>
    </w:p>
    <w:p w14:paraId="07847BA6">
      <w:pPr>
        <w:pStyle w:val="14"/>
        <w:wordWrap w:val="0"/>
        <w:spacing w:line="360" w:lineRule="auto"/>
        <w:ind w:left="-424" w:leftChars="-202" w:firstLine="480"/>
        <w:rPr>
          <w:rFonts w:hint="eastAsia" w:hAnsi="宋体" w:cs="宋体"/>
          <w:color w:val="auto"/>
          <w:sz w:val="24"/>
          <w:szCs w:val="24"/>
          <w:highlight w:val="none"/>
        </w:rPr>
      </w:pPr>
      <w:r>
        <w:rPr>
          <w:rFonts w:hint="eastAsia" w:hAnsi="宋体" w:cs="宋体"/>
          <w:color w:val="auto"/>
          <w:highlight w:val="none"/>
        </w:rPr>
        <w:t>请逐条对应本项目招标文件第二章“服务需求一览表”中“商务条款”的要求，详细填写相应的具体内容。“偏离说明”一栏应当选择“正偏离”、“负偏离”或“无偏离”进行填写。</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4F1A9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14:paraId="7F0977D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14:paraId="3DC69EB9">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招标文件的商务需求</w:t>
            </w:r>
          </w:p>
        </w:tc>
        <w:tc>
          <w:tcPr>
            <w:tcW w:w="2516" w:type="dxa"/>
            <w:tcBorders>
              <w:top w:val="single" w:color="auto" w:sz="4" w:space="0"/>
              <w:left w:val="single" w:color="auto" w:sz="4" w:space="0"/>
              <w:right w:val="single" w:color="auto" w:sz="4" w:space="0"/>
            </w:tcBorders>
          </w:tcPr>
          <w:p w14:paraId="18164E9F">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tcPr>
          <w:p w14:paraId="1CEBE613">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4ED2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043A6C1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14:paraId="650C1E2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3D261BE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69BB886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618E15F7">
            <w:pPr>
              <w:wordWrap w:val="0"/>
              <w:spacing w:line="360" w:lineRule="auto"/>
              <w:rPr>
                <w:rFonts w:hint="eastAsia" w:ascii="宋体" w:hAnsi="宋体" w:cs="宋体"/>
                <w:color w:val="auto"/>
                <w:szCs w:val="21"/>
                <w:highlight w:val="none"/>
              </w:rPr>
            </w:pPr>
          </w:p>
        </w:tc>
      </w:tr>
      <w:tr w14:paraId="5B63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71FE1039">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E54B3F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41C2BFAE">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1FE92A5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5415A321">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686F6D3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E7B086A">
            <w:pPr>
              <w:wordWrap w:val="0"/>
              <w:spacing w:line="360" w:lineRule="auto"/>
              <w:rPr>
                <w:rFonts w:hint="eastAsia" w:ascii="宋体" w:hAnsi="宋体" w:cs="宋体"/>
                <w:color w:val="auto"/>
                <w:szCs w:val="21"/>
                <w:highlight w:val="none"/>
              </w:rPr>
            </w:pPr>
          </w:p>
        </w:tc>
      </w:tr>
      <w:tr w14:paraId="2AC6F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0E1FD27">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519C49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46904C60">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B740721">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0648465A">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20C827D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03860C5">
            <w:pPr>
              <w:wordWrap w:val="0"/>
              <w:spacing w:line="360" w:lineRule="auto"/>
              <w:rPr>
                <w:rFonts w:hint="eastAsia" w:ascii="宋体" w:hAnsi="宋体" w:cs="宋体"/>
                <w:color w:val="auto"/>
                <w:szCs w:val="21"/>
                <w:highlight w:val="none"/>
              </w:rPr>
            </w:pPr>
          </w:p>
        </w:tc>
      </w:tr>
      <w:tr w14:paraId="0726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46AA61CB">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12BA86B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6A8B4AB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20D819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6BABA0C">
            <w:pPr>
              <w:wordWrap w:val="0"/>
              <w:spacing w:line="360" w:lineRule="auto"/>
              <w:rPr>
                <w:rFonts w:hint="eastAsia" w:ascii="宋体" w:hAnsi="宋体" w:cs="宋体"/>
                <w:color w:val="auto"/>
                <w:szCs w:val="21"/>
                <w:highlight w:val="none"/>
              </w:rPr>
            </w:pPr>
          </w:p>
        </w:tc>
      </w:tr>
      <w:tr w14:paraId="528B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3287761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14:paraId="643459A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2E1701E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2F48B3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5047F7A">
            <w:pPr>
              <w:wordWrap w:val="0"/>
              <w:spacing w:line="360" w:lineRule="auto"/>
              <w:rPr>
                <w:rFonts w:hint="eastAsia" w:ascii="宋体" w:hAnsi="宋体" w:cs="宋体"/>
                <w:color w:val="auto"/>
                <w:szCs w:val="21"/>
                <w:highlight w:val="none"/>
              </w:rPr>
            </w:pPr>
          </w:p>
        </w:tc>
      </w:tr>
      <w:tr w14:paraId="40999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3AD204E7">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2892CD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6DB7F1E2">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3BDB924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0DB9F453">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D47C44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8A32042">
            <w:pPr>
              <w:wordWrap w:val="0"/>
              <w:spacing w:line="360" w:lineRule="auto"/>
              <w:rPr>
                <w:rFonts w:hint="eastAsia" w:ascii="宋体" w:hAnsi="宋体" w:cs="宋体"/>
                <w:color w:val="auto"/>
                <w:szCs w:val="21"/>
                <w:highlight w:val="none"/>
              </w:rPr>
            </w:pPr>
          </w:p>
        </w:tc>
      </w:tr>
      <w:tr w14:paraId="3CD4E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25A20D07">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56F7684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67DA9AD2">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1B2436E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1AE7B314">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3CB4F9C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6A9BC2EE">
            <w:pPr>
              <w:wordWrap w:val="0"/>
              <w:spacing w:line="360" w:lineRule="auto"/>
              <w:rPr>
                <w:rFonts w:hint="eastAsia" w:ascii="宋体" w:hAnsi="宋体" w:cs="宋体"/>
                <w:color w:val="auto"/>
                <w:szCs w:val="21"/>
                <w:highlight w:val="none"/>
              </w:rPr>
            </w:pPr>
          </w:p>
        </w:tc>
      </w:tr>
      <w:tr w14:paraId="4F36E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52CC24F1">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6BECF2F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869C29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2BF2F6E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5655DDF2">
            <w:pPr>
              <w:wordWrap w:val="0"/>
              <w:spacing w:line="360" w:lineRule="auto"/>
              <w:rPr>
                <w:rFonts w:hint="eastAsia" w:ascii="宋体" w:hAnsi="宋体" w:cs="宋体"/>
                <w:color w:val="auto"/>
                <w:szCs w:val="21"/>
                <w:highlight w:val="none"/>
              </w:rPr>
            </w:pPr>
          </w:p>
        </w:tc>
      </w:tr>
      <w:tr w14:paraId="157F6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14:paraId="27B0256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14:paraId="7A3A928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416079D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tc>
        <w:tc>
          <w:tcPr>
            <w:tcW w:w="2516" w:type="dxa"/>
            <w:tcBorders>
              <w:top w:val="single" w:color="auto" w:sz="4" w:space="0"/>
              <w:left w:val="single" w:color="auto" w:sz="4" w:space="0"/>
              <w:right w:val="single" w:color="auto" w:sz="4" w:space="0"/>
            </w:tcBorders>
          </w:tcPr>
          <w:p w14:paraId="1EE31BF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9ED62B4">
            <w:pPr>
              <w:wordWrap w:val="0"/>
              <w:spacing w:line="360" w:lineRule="auto"/>
              <w:rPr>
                <w:rFonts w:hint="eastAsia" w:ascii="宋体" w:hAnsi="宋体" w:cs="宋体"/>
                <w:color w:val="auto"/>
                <w:szCs w:val="21"/>
                <w:highlight w:val="none"/>
              </w:rPr>
            </w:pPr>
          </w:p>
        </w:tc>
      </w:tr>
      <w:tr w14:paraId="0488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06D645B5">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0103DD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7C2D9EB9">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63D43ED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2D8A1EBD">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09D55CC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47DCB51F">
            <w:pPr>
              <w:wordWrap w:val="0"/>
              <w:spacing w:line="360" w:lineRule="auto"/>
              <w:rPr>
                <w:rFonts w:hint="eastAsia" w:ascii="宋体" w:hAnsi="宋体" w:cs="宋体"/>
                <w:color w:val="auto"/>
                <w:szCs w:val="21"/>
                <w:highlight w:val="none"/>
              </w:rPr>
            </w:pPr>
          </w:p>
        </w:tc>
      </w:tr>
      <w:tr w14:paraId="482F6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14:paraId="65D718AA">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7360A59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135BEDA7">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16BBBEFA">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70621865">
            <w:pPr>
              <w:wordWrap w:val="0"/>
              <w:spacing w:line="360" w:lineRule="auto"/>
              <w:rPr>
                <w:rFonts w:hint="eastAsia" w:ascii="宋体" w:hAnsi="宋体" w:cs="宋体"/>
                <w:color w:val="auto"/>
                <w:szCs w:val="21"/>
                <w:highlight w:val="none"/>
              </w:rPr>
            </w:pPr>
          </w:p>
        </w:tc>
        <w:tc>
          <w:tcPr>
            <w:tcW w:w="2516" w:type="dxa"/>
            <w:tcBorders>
              <w:left w:val="single" w:color="auto" w:sz="4" w:space="0"/>
              <w:right w:val="single" w:color="auto" w:sz="4" w:space="0"/>
            </w:tcBorders>
          </w:tcPr>
          <w:p w14:paraId="1EFFA41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7CE605D0">
            <w:pPr>
              <w:wordWrap w:val="0"/>
              <w:spacing w:line="360" w:lineRule="auto"/>
              <w:rPr>
                <w:rFonts w:hint="eastAsia" w:ascii="宋体" w:hAnsi="宋体" w:cs="宋体"/>
                <w:color w:val="auto"/>
                <w:szCs w:val="21"/>
                <w:highlight w:val="none"/>
              </w:rPr>
            </w:pPr>
          </w:p>
        </w:tc>
      </w:tr>
      <w:tr w14:paraId="19B98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14:paraId="79F5F311">
            <w:pPr>
              <w:wordWrap w:val="0"/>
              <w:spacing w:line="360" w:lineRule="auto"/>
              <w:rPr>
                <w:rFonts w:hint="eastAsia" w:ascii="宋体" w:hAnsi="宋体" w:cs="宋体"/>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14:paraId="32AE1D8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7BF1FDE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516" w:type="dxa"/>
            <w:tcBorders>
              <w:left w:val="single" w:color="auto" w:sz="4" w:space="0"/>
              <w:bottom w:val="single" w:color="auto" w:sz="4" w:space="0"/>
              <w:right w:val="single" w:color="auto" w:sz="4" w:space="0"/>
            </w:tcBorders>
          </w:tcPr>
          <w:p w14:paraId="3CFCE2E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p w14:paraId="348868C9">
            <w:pPr>
              <w:wordWrap w:val="0"/>
              <w:spacing w:line="360" w:lineRule="auto"/>
              <w:rPr>
                <w:rFonts w:hint="eastAsia" w:ascii="宋体" w:hAnsi="宋体" w:cs="宋体"/>
                <w:color w:val="auto"/>
                <w:szCs w:val="21"/>
                <w:highlight w:val="none"/>
              </w:rPr>
            </w:pPr>
          </w:p>
        </w:tc>
      </w:tr>
      <w:tr w14:paraId="70A5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tcPr>
          <w:p w14:paraId="0C03A48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3F3B5C58">
      <w:pPr>
        <w:pStyle w:val="14"/>
        <w:wordWrap w:val="0"/>
        <w:spacing w:line="360" w:lineRule="auto"/>
        <w:ind w:left="-708" w:leftChars="-337"/>
        <w:rPr>
          <w:rFonts w:hint="eastAsia" w:hAnsi="宋体" w:cs="宋体"/>
          <w:color w:val="auto"/>
          <w:highlight w:val="none"/>
        </w:rPr>
      </w:pPr>
    </w:p>
    <w:p w14:paraId="43E0414C">
      <w:pPr>
        <w:pStyle w:val="14"/>
        <w:wordWrap w:val="0"/>
        <w:spacing w:line="360" w:lineRule="auto"/>
        <w:ind w:left="-708" w:leftChars="-337"/>
        <w:rPr>
          <w:rFonts w:hint="eastAsia" w:hAnsi="宋体" w:cs="宋体"/>
          <w:color w:val="auto"/>
          <w:highlight w:val="none"/>
        </w:rPr>
      </w:pPr>
      <w:r>
        <w:rPr>
          <w:rFonts w:hint="eastAsia" w:hAnsi="宋体" w:cs="宋体"/>
          <w:color w:val="auto"/>
          <w:highlight w:val="none"/>
        </w:rPr>
        <w:t>注：</w:t>
      </w:r>
    </w:p>
    <w:p w14:paraId="5303D8C9">
      <w:pPr>
        <w:pStyle w:val="14"/>
        <w:wordWrap w:val="0"/>
        <w:spacing w:line="360" w:lineRule="auto"/>
        <w:ind w:left="-708" w:leftChars="-337" w:firstLine="420" w:firstLineChars="200"/>
        <w:rPr>
          <w:rFonts w:hint="eastAsia" w:hAnsi="宋体" w:cs="宋体"/>
          <w:color w:val="auto"/>
          <w:highlight w:val="none"/>
        </w:rPr>
      </w:pPr>
      <w:r>
        <w:rPr>
          <w:rFonts w:hint="eastAsia" w:hAnsi="宋体" w:cs="宋体"/>
          <w:color w:val="auto"/>
          <w:highlight w:val="none"/>
        </w:rPr>
        <w:t>1.表格内容均需按要求填写并盖章，不得留空，否则按投标无效处理。</w:t>
      </w:r>
    </w:p>
    <w:p w14:paraId="0D15FB27">
      <w:pPr>
        <w:pStyle w:val="14"/>
        <w:wordWrap w:val="0"/>
        <w:spacing w:line="360" w:lineRule="auto"/>
        <w:ind w:left="-603" w:leftChars="-287" w:firstLine="316" w:firstLineChars="150"/>
        <w:rPr>
          <w:rFonts w:hint="eastAsia" w:hAnsi="宋体" w:cs="宋体"/>
          <w:color w:val="auto"/>
          <w:highlight w:val="none"/>
        </w:rPr>
      </w:pPr>
      <w:r>
        <w:rPr>
          <w:rFonts w:hint="eastAsia" w:hAnsi="宋体" w:cs="宋体"/>
          <w:b/>
          <w:bCs/>
          <w:color w:val="auto"/>
          <w:highlight w:val="none"/>
        </w:rPr>
        <w:t>2.如果招标文件需求为小于或大于某个数值标准时，投标文件承诺不得直接复制招标文件需求，投标文件承诺内容应当写明投标货物具体参数或商务响应承诺的具体数值，否则按投标无效处理。</w:t>
      </w:r>
      <w:r>
        <w:rPr>
          <w:rFonts w:hint="eastAsia" w:hAnsi="宋体" w:cs="宋体"/>
          <w:color w:val="auto"/>
          <w:highlight w:val="none"/>
        </w:rPr>
        <w:t>如该采购需求属于不能明确具体数值的，采购人应在此采购需求的数值后标注◆号，对标注◆号的采购需求不适用上述“竞标无效”条款。</w:t>
      </w:r>
    </w:p>
    <w:p w14:paraId="2EA6325C">
      <w:pPr>
        <w:pStyle w:val="14"/>
        <w:wordWrap w:val="0"/>
        <w:spacing w:line="360" w:lineRule="auto"/>
        <w:ind w:left="-603" w:leftChars="-287" w:firstLine="315" w:firstLineChars="150"/>
        <w:rPr>
          <w:rFonts w:hint="eastAsia" w:hAnsi="宋体" w:cs="宋体"/>
          <w:color w:val="auto"/>
          <w:highlight w:val="none"/>
        </w:rPr>
      </w:pPr>
      <w:r>
        <w:rPr>
          <w:rFonts w:hint="eastAsia" w:hAnsi="宋体" w:cs="宋体"/>
          <w:color w:val="auto"/>
          <w:highlight w:val="none"/>
        </w:rPr>
        <w:t>3.当投标文件的商务内容低于招标文件要求时，投标人应当如实写明“负偏离”，否则视为虚假应标。</w:t>
      </w:r>
    </w:p>
    <w:p w14:paraId="31703FA9">
      <w:pPr>
        <w:pStyle w:val="14"/>
        <w:wordWrap w:val="0"/>
        <w:spacing w:line="360" w:lineRule="auto"/>
        <w:ind w:left="-708" w:leftChars="-337" w:firstLine="420" w:firstLineChars="200"/>
        <w:rPr>
          <w:rFonts w:hint="eastAsia" w:hAnsi="宋体" w:cs="宋体"/>
          <w:color w:val="auto"/>
          <w:highlight w:val="none"/>
        </w:rPr>
      </w:pPr>
      <w:r>
        <w:rPr>
          <w:rFonts w:hint="eastAsia" w:hAnsi="宋体" w:cs="宋体"/>
          <w:color w:val="auto"/>
          <w:szCs w:val="21"/>
          <w:highlight w:val="none"/>
        </w:rPr>
        <w:t>4.采购需求中带“▲”及“★”的条款，也要分别在本表“投标文件的商务需求”、“投标文件承诺的商务条款”中标记。</w:t>
      </w:r>
    </w:p>
    <w:p w14:paraId="1D5F563E">
      <w:pPr>
        <w:wordWrap w:val="0"/>
        <w:snapToGrid w:val="0"/>
        <w:spacing w:line="360" w:lineRule="auto"/>
        <w:rPr>
          <w:rFonts w:hint="eastAsia" w:ascii="宋体" w:hAnsi="宋体" w:cs="宋体"/>
          <w:color w:val="auto"/>
          <w:sz w:val="24"/>
          <w:highlight w:val="none"/>
        </w:rPr>
      </w:pPr>
    </w:p>
    <w:p w14:paraId="77B3C284">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7AC2D62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513901D">
      <w:pPr>
        <w:widowControl/>
        <w:wordWrap w:val="0"/>
        <w:spacing w:line="360" w:lineRule="auto"/>
        <w:jc w:val="left"/>
        <w:rPr>
          <w:rFonts w:hint="eastAsia" w:ascii="宋体" w:hAnsi="宋体" w:cs="宋体"/>
          <w:color w:val="auto"/>
          <w:szCs w:val="21"/>
          <w:highlight w:val="none"/>
        </w:rPr>
        <w:sectPr>
          <w:pgSz w:w="11906" w:h="16838"/>
          <w:pgMar w:top="1440" w:right="1080" w:bottom="1440" w:left="1080" w:header="851" w:footer="992" w:gutter="0"/>
          <w:cols w:space="720" w:num="1"/>
        </w:sectPr>
      </w:pPr>
    </w:p>
    <w:p w14:paraId="40BE253D">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五、投标人情况介绍</w:t>
      </w:r>
    </w:p>
    <w:p w14:paraId="065D33D6">
      <w:pPr>
        <w:wordWrap w:val="0"/>
        <w:spacing w:line="360" w:lineRule="auto"/>
        <w:ind w:firstLine="4048" w:firstLineChars="1687"/>
        <w:rPr>
          <w:rFonts w:hint="eastAsia" w:ascii="宋体" w:hAnsi="宋体" w:cs="宋体"/>
          <w:color w:val="auto"/>
          <w:kern w:val="0"/>
          <w:sz w:val="24"/>
          <w:highlight w:val="none"/>
        </w:rPr>
      </w:pPr>
      <w:r>
        <w:rPr>
          <w:rFonts w:hint="eastAsia" w:ascii="宋体" w:hAnsi="宋体" w:cs="宋体"/>
          <w:color w:val="auto"/>
          <w:sz w:val="24"/>
          <w:highlight w:val="none"/>
        </w:rPr>
        <w:t>（格式自拟）</w:t>
      </w:r>
    </w:p>
    <w:p w14:paraId="4468BFD2">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D4E4585">
      <w:pPr>
        <w:wordWrap w:val="0"/>
        <w:snapToGrid w:val="0"/>
        <w:spacing w:line="360" w:lineRule="auto"/>
        <w:ind w:firstLine="4935" w:firstLineChars="2350"/>
        <w:rPr>
          <w:rFonts w:hint="eastAsia" w:ascii="宋体" w:hAnsi="宋体" w:cs="宋体"/>
          <w:color w:val="auto"/>
          <w:szCs w:val="21"/>
          <w:highlight w:val="none"/>
        </w:rPr>
      </w:pPr>
    </w:p>
    <w:p w14:paraId="71471FB8">
      <w:pPr>
        <w:wordWrap w:val="0"/>
        <w:snapToGrid w:val="0"/>
        <w:spacing w:line="360" w:lineRule="auto"/>
        <w:ind w:firstLine="4935" w:firstLineChars="2350"/>
        <w:rPr>
          <w:rFonts w:hint="eastAsia" w:ascii="宋体" w:hAnsi="宋体" w:cs="宋体"/>
          <w:color w:val="auto"/>
          <w:szCs w:val="21"/>
          <w:highlight w:val="none"/>
        </w:rPr>
      </w:pPr>
    </w:p>
    <w:p w14:paraId="5D8BB0C5">
      <w:pPr>
        <w:wordWrap w:val="0"/>
        <w:snapToGrid w:val="0"/>
        <w:spacing w:line="360" w:lineRule="auto"/>
        <w:ind w:firstLine="4935" w:firstLineChars="2350"/>
        <w:rPr>
          <w:rFonts w:hint="eastAsia" w:ascii="宋体" w:hAnsi="宋体" w:cs="宋体"/>
          <w:color w:val="auto"/>
          <w:szCs w:val="21"/>
          <w:highlight w:val="none"/>
        </w:rPr>
      </w:pPr>
    </w:p>
    <w:p w14:paraId="2A808E08">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09273F38">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B0351CA">
      <w:pPr>
        <w:wordWrap w:val="0"/>
        <w:snapToGrid w:val="0"/>
        <w:spacing w:line="360" w:lineRule="auto"/>
        <w:ind w:firstLine="602" w:firstLineChars="200"/>
        <w:jc w:val="center"/>
        <w:rPr>
          <w:rFonts w:hint="eastAsia" w:ascii="宋体" w:hAnsi="宋体" w:cs="宋体"/>
          <w:b/>
          <w:bCs/>
          <w:color w:val="auto"/>
          <w:sz w:val="30"/>
          <w:szCs w:val="30"/>
          <w:highlight w:val="none"/>
        </w:rPr>
      </w:pPr>
    </w:p>
    <w:p w14:paraId="1A11C4E8">
      <w:pPr>
        <w:widowControl/>
        <w:wordWrap w:val="0"/>
        <w:spacing w:line="360" w:lineRule="auto"/>
        <w:ind w:firstLine="602"/>
        <w:jc w:val="left"/>
        <w:rPr>
          <w:rFonts w:hint="eastAsia" w:ascii="宋体" w:hAnsi="宋体" w:cs="宋体"/>
          <w:b/>
          <w:bCs/>
          <w:color w:val="auto"/>
          <w:sz w:val="30"/>
          <w:szCs w:val="30"/>
          <w:highlight w:val="none"/>
        </w:rPr>
        <w:sectPr>
          <w:pgSz w:w="11906" w:h="16838"/>
          <w:pgMar w:top="1440" w:right="1080" w:bottom="1440" w:left="1080" w:header="720" w:footer="720" w:gutter="0"/>
          <w:cols w:space="720" w:num="1"/>
          <w:docGrid w:type="lines" w:linePitch="331" w:charSpace="0"/>
        </w:sectPr>
      </w:pPr>
    </w:p>
    <w:p w14:paraId="091EE3D9">
      <w:pPr>
        <w:wordWrap w:val="0"/>
        <w:snapToGrid w:val="0"/>
        <w:spacing w:line="360" w:lineRule="auto"/>
        <w:ind w:firstLine="602" w:firstLineChars="20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六、投标人业绩证明文件（如有要求）</w:t>
      </w:r>
    </w:p>
    <w:p w14:paraId="365E2B1C">
      <w:pPr>
        <w:pStyle w:val="20"/>
        <w:wordWrap w:val="0"/>
        <w:snapToGrid w:val="0"/>
        <w:spacing w:line="360" w:lineRule="auto"/>
        <w:ind w:left="480" w:hanging="480"/>
        <w:rPr>
          <w:rFonts w:hint="eastAsia" w:ascii="宋体" w:hAnsi="宋体" w:cs="宋体"/>
          <w:color w:val="auto"/>
          <w:sz w:val="24"/>
          <w:highlight w:val="none"/>
        </w:rPr>
      </w:pPr>
    </w:p>
    <w:p w14:paraId="2115E0FF">
      <w:pPr>
        <w:pStyle w:val="20"/>
        <w:wordWrap w:val="0"/>
        <w:snapToGrid w:val="0"/>
        <w:spacing w:line="360" w:lineRule="auto"/>
        <w:ind w:left="480" w:hanging="480"/>
        <w:rPr>
          <w:rFonts w:hint="eastAsia" w:ascii="宋体" w:hAnsi="宋体" w:cs="宋体"/>
          <w:color w:val="auto"/>
          <w:sz w:val="24"/>
          <w:highlight w:val="none"/>
        </w:rPr>
      </w:pPr>
    </w:p>
    <w:p w14:paraId="58DA3493">
      <w:pPr>
        <w:pStyle w:val="20"/>
        <w:wordWrap w:val="0"/>
        <w:snapToGrid w:val="0"/>
        <w:spacing w:line="360" w:lineRule="auto"/>
        <w:ind w:left="480" w:hanging="480"/>
        <w:rPr>
          <w:rFonts w:hint="eastAsia" w:ascii="宋体" w:hAnsi="宋体" w:cs="宋体"/>
          <w:color w:val="auto"/>
          <w:sz w:val="24"/>
          <w:highlight w:val="none"/>
        </w:rPr>
      </w:pPr>
    </w:p>
    <w:p w14:paraId="70AC1A5A">
      <w:pPr>
        <w:wordWrap w:val="0"/>
        <w:autoSpaceDE w:val="0"/>
        <w:autoSpaceDN w:val="0"/>
        <w:spacing w:line="360" w:lineRule="auto"/>
        <w:ind w:firstLine="482"/>
        <w:rPr>
          <w:rFonts w:hint="eastAsia" w:ascii="宋体" w:hAnsi="宋体" w:cs="宋体"/>
          <w:color w:val="auto"/>
          <w:sz w:val="24"/>
          <w:highlight w:val="none"/>
        </w:rPr>
      </w:pPr>
      <w:r>
        <w:rPr>
          <w:rFonts w:hint="eastAsia" w:ascii="宋体" w:hAnsi="宋体" w:cs="宋体"/>
          <w:b/>
          <w:color w:val="auto"/>
          <w:sz w:val="24"/>
          <w:highlight w:val="none"/>
        </w:rPr>
        <w:t>附表 :相关项目业绩一览表（投标人培训项目合同复印件、用户验收报告、用户评价意见格式自拟）</w:t>
      </w:r>
    </w:p>
    <w:tbl>
      <w:tblPr>
        <w:tblStyle w:val="26"/>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62B240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2F970226">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3C9204C6">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FEF791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p w14:paraId="1789DAB8">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金额</w:t>
            </w:r>
          </w:p>
          <w:p w14:paraId="7108D60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332ADCDA">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33F03EB4">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采购人联系人及</w:t>
            </w:r>
          </w:p>
          <w:p w14:paraId="4D6E90F0">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r>
      <w:tr w14:paraId="0A906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071A3CB8">
            <w:pPr>
              <w:widowControl/>
              <w:wordWrap w:val="0"/>
              <w:spacing w:line="360" w:lineRule="auto"/>
              <w:jc w:val="left"/>
              <w:rPr>
                <w:rFonts w:hint="eastAsia" w:ascii="宋体" w:hAnsi="宋体" w:cs="宋体"/>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042CC692">
            <w:pPr>
              <w:widowControl/>
              <w:wordWrap w:val="0"/>
              <w:spacing w:line="360" w:lineRule="auto"/>
              <w:jc w:val="left"/>
              <w:rPr>
                <w:rFonts w:hint="eastAsia" w:ascii="宋体" w:hAnsi="宋体" w:cs="宋体"/>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5928E67C">
            <w:pPr>
              <w:widowControl/>
              <w:wordWrap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8429341">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6ED589C3">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3D19DCE2">
            <w:pPr>
              <w:wordWrap w:val="0"/>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A254247">
            <w:pPr>
              <w:widowControl/>
              <w:wordWrap w:val="0"/>
              <w:spacing w:line="360" w:lineRule="auto"/>
              <w:jc w:val="left"/>
              <w:rPr>
                <w:rFonts w:hint="eastAsia" w:ascii="宋体" w:hAnsi="宋体" w:cs="宋体"/>
                <w:color w:val="auto"/>
                <w:sz w:val="24"/>
                <w:highlight w:val="none"/>
              </w:rPr>
            </w:pPr>
          </w:p>
        </w:tc>
      </w:tr>
      <w:tr w14:paraId="38DCA4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tcPr>
          <w:p w14:paraId="2C629051">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72928C8">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B319616">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E9D3B66">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5C4B0B46">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8925F04">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FB0DED8">
            <w:pPr>
              <w:wordWrap w:val="0"/>
              <w:snapToGrid w:val="0"/>
              <w:spacing w:line="360" w:lineRule="auto"/>
              <w:jc w:val="left"/>
              <w:rPr>
                <w:rFonts w:hint="eastAsia" w:ascii="宋体" w:hAnsi="宋体" w:cs="宋体"/>
                <w:color w:val="auto"/>
                <w:sz w:val="24"/>
                <w:highlight w:val="none"/>
              </w:rPr>
            </w:pPr>
          </w:p>
        </w:tc>
      </w:tr>
      <w:tr w14:paraId="77E2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26F69505">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0BED73C1">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3A0ED97D">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9955DB9">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37647E24">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632F9EA9">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7CF0B251">
            <w:pPr>
              <w:wordWrap w:val="0"/>
              <w:snapToGrid w:val="0"/>
              <w:spacing w:line="360" w:lineRule="auto"/>
              <w:jc w:val="left"/>
              <w:rPr>
                <w:rFonts w:hint="eastAsia" w:ascii="宋体" w:hAnsi="宋体" w:cs="宋体"/>
                <w:color w:val="auto"/>
                <w:sz w:val="24"/>
                <w:highlight w:val="none"/>
              </w:rPr>
            </w:pPr>
          </w:p>
        </w:tc>
      </w:tr>
      <w:tr w14:paraId="59FE4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tcPr>
          <w:p w14:paraId="352E39D5">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12CD36B7">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01745855">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66854C49">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F21DC32">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3D73C9B3">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098FEE7F">
            <w:pPr>
              <w:wordWrap w:val="0"/>
              <w:snapToGrid w:val="0"/>
              <w:spacing w:line="360" w:lineRule="auto"/>
              <w:jc w:val="left"/>
              <w:rPr>
                <w:rFonts w:hint="eastAsia" w:ascii="宋体" w:hAnsi="宋体" w:cs="宋体"/>
                <w:color w:val="auto"/>
                <w:sz w:val="24"/>
                <w:highlight w:val="none"/>
              </w:rPr>
            </w:pPr>
          </w:p>
        </w:tc>
      </w:tr>
      <w:tr w14:paraId="3E11C6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174A98F1">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6221ED82">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5FB46C73">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4478D6EE">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5CF2FF7">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0E32C8E1">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29FEDCB5">
            <w:pPr>
              <w:wordWrap w:val="0"/>
              <w:snapToGrid w:val="0"/>
              <w:spacing w:line="360" w:lineRule="auto"/>
              <w:jc w:val="left"/>
              <w:rPr>
                <w:rFonts w:hint="eastAsia" w:ascii="宋体" w:hAnsi="宋体" w:cs="宋体"/>
                <w:color w:val="auto"/>
                <w:sz w:val="24"/>
                <w:highlight w:val="none"/>
              </w:rPr>
            </w:pPr>
          </w:p>
        </w:tc>
      </w:tr>
      <w:tr w14:paraId="3A3736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tcPr>
          <w:p w14:paraId="5E252C02">
            <w:pPr>
              <w:wordWrap w:val="0"/>
              <w:snapToGrid w:val="0"/>
              <w:spacing w:line="360" w:lineRule="auto"/>
              <w:jc w:val="left"/>
              <w:rPr>
                <w:rFonts w:hint="eastAsia" w:ascii="宋体" w:hAnsi="宋体" w:cs="宋体"/>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tcPr>
          <w:p w14:paraId="552BCE7F">
            <w:pPr>
              <w:wordWrap w:val="0"/>
              <w:snapToGrid w:val="0"/>
              <w:spacing w:line="360" w:lineRule="auto"/>
              <w:jc w:val="left"/>
              <w:rPr>
                <w:rFonts w:hint="eastAsia" w:ascii="宋体" w:hAnsi="宋体" w:cs="宋体"/>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tcPr>
          <w:p w14:paraId="1CE80F53">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044EB898">
            <w:pPr>
              <w:wordWrap w:val="0"/>
              <w:snapToGrid w:val="0"/>
              <w:spacing w:line="360" w:lineRule="auto"/>
              <w:jc w:val="left"/>
              <w:rPr>
                <w:rFonts w:hint="eastAsia" w:ascii="宋体" w:hAnsi="宋体" w:cs="宋体"/>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tcPr>
          <w:p w14:paraId="7B16AAAB">
            <w:pPr>
              <w:wordWrap w:val="0"/>
              <w:snapToGrid w:val="0"/>
              <w:spacing w:line="360" w:lineRule="auto"/>
              <w:jc w:val="left"/>
              <w:rPr>
                <w:rFonts w:hint="eastAsia" w:ascii="宋体" w:hAnsi="宋体" w:cs="宋体"/>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tcPr>
          <w:p w14:paraId="26EF4B82">
            <w:pPr>
              <w:wordWrap w:val="0"/>
              <w:snapToGrid w:val="0"/>
              <w:spacing w:line="360" w:lineRule="auto"/>
              <w:jc w:val="left"/>
              <w:rPr>
                <w:rFonts w:hint="eastAsia" w:ascii="宋体" w:hAnsi="宋体" w:cs="宋体"/>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tcPr>
          <w:p w14:paraId="179F85BA">
            <w:pPr>
              <w:wordWrap w:val="0"/>
              <w:snapToGrid w:val="0"/>
              <w:spacing w:line="360" w:lineRule="auto"/>
              <w:jc w:val="left"/>
              <w:rPr>
                <w:rFonts w:hint="eastAsia" w:ascii="宋体" w:hAnsi="宋体" w:cs="宋体"/>
                <w:color w:val="auto"/>
                <w:sz w:val="24"/>
                <w:highlight w:val="none"/>
              </w:rPr>
            </w:pPr>
          </w:p>
        </w:tc>
      </w:tr>
    </w:tbl>
    <w:p w14:paraId="38B33665">
      <w:pPr>
        <w:pStyle w:val="14"/>
        <w:wordWrap w:val="0"/>
        <w:spacing w:line="360" w:lineRule="auto"/>
        <w:ind w:left="72"/>
        <w:rPr>
          <w:rFonts w:hint="eastAsia" w:hAnsi="宋体" w:cs="宋体"/>
          <w:color w:val="auto"/>
          <w:highlight w:val="none"/>
        </w:rPr>
      </w:pPr>
      <w:r>
        <w:rPr>
          <w:rFonts w:hint="eastAsia" w:hAnsi="宋体" w:cs="宋体"/>
          <w:color w:val="auto"/>
          <w:highlight w:val="none"/>
        </w:rPr>
        <w:t>注：投标人可按上述的格式自行编制，须随表提交相应的合同复印件和用户单位验收证明并注明所在投标人商务技术文件页码。</w:t>
      </w:r>
    </w:p>
    <w:p w14:paraId="5A01F3B6">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D246A85">
      <w:pPr>
        <w:wordWrap w:val="0"/>
        <w:snapToGrid w:val="0"/>
        <w:spacing w:line="360" w:lineRule="auto"/>
        <w:ind w:firstLine="4935" w:firstLineChars="2350"/>
        <w:rPr>
          <w:rFonts w:hint="eastAsia" w:ascii="宋体" w:hAnsi="宋体" w:cs="宋体"/>
          <w:color w:val="auto"/>
          <w:szCs w:val="21"/>
          <w:highlight w:val="none"/>
        </w:rPr>
      </w:pPr>
    </w:p>
    <w:p w14:paraId="46D3D848">
      <w:pPr>
        <w:wordWrap w:val="0"/>
        <w:snapToGrid w:val="0"/>
        <w:spacing w:line="360" w:lineRule="auto"/>
        <w:ind w:firstLine="10080" w:firstLineChars="480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37DA83C2">
      <w:pPr>
        <w:wordWrap w:val="0"/>
        <w:snapToGrid w:val="0"/>
        <w:spacing w:line="360" w:lineRule="auto"/>
        <w:ind w:firstLine="10080" w:firstLineChars="42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018FE6D7">
      <w:pPr>
        <w:widowControl/>
        <w:wordWrap w:val="0"/>
        <w:spacing w:line="360" w:lineRule="auto"/>
        <w:jc w:val="left"/>
        <w:rPr>
          <w:rFonts w:hint="eastAsia" w:ascii="宋体" w:hAnsi="宋体" w:cs="宋体"/>
          <w:color w:val="auto"/>
          <w:kern w:val="0"/>
          <w:sz w:val="24"/>
          <w:highlight w:val="none"/>
          <w:lang w:val="zh-CN"/>
        </w:rPr>
        <w:sectPr>
          <w:pgSz w:w="16838" w:h="11906" w:orient="landscape"/>
          <w:pgMar w:top="1440" w:right="1080" w:bottom="1440" w:left="1080" w:header="720" w:footer="720" w:gutter="0"/>
          <w:cols w:space="720" w:num="1"/>
          <w:docGrid w:type="lines" w:linePitch="331" w:charSpace="0"/>
        </w:sectPr>
      </w:pPr>
    </w:p>
    <w:p w14:paraId="439CDBD3">
      <w:pPr>
        <w:pStyle w:val="14"/>
        <w:wordWrap w:val="0"/>
        <w:spacing w:line="360" w:lineRule="auto"/>
        <w:ind w:firstLine="562"/>
        <w:jc w:val="center"/>
        <w:outlineLvl w:val="1"/>
        <w:rPr>
          <w:rFonts w:hint="eastAsia" w:hAnsi="宋体" w:cs="宋体"/>
          <w:b/>
          <w:bCs/>
          <w:color w:val="auto"/>
          <w:sz w:val="28"/>
          <w:szCs w:val="28"/>
          <w:highlight w:val="none"/>
        </w:rPr>
      </w:pPr>
      <w:bookmarkStart w:id="314" w:name="_Toc27389"/>
      <w:bookmarkStart w:id="315" w:name="_Toc19686839"/>
      <w:r>
        <w:rPr>
          <w:rFonts w:hint="eastAsia" w:hAnsi="宋体" w:cs="宋体"/>
          <w:b/>
          <w:bCs/>
          <w:color w:val="auto"/>
          <w:sz w:val="28"/>
          <w:szCs w:val="28"/>
          <w:highlight w:val="none"/>
        </w:rPr>
        <w:t>第四节 技术文件格式</w:t>
      </w:r>
      <w:bookmarkEnd w:id="314"/>
      <w:bookmarkEnd w:id="315"/>
    </w:p>
    <w:p w14:paraId="1ACBA607">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08432BD4">
      <w:pPr>
        <w:wordWrap w:val="0"/>
        <w:snapToGrid w:val="0"/>
        <w:spacing w:line="360" w:lineRule="auto"/>
        <w:rPr>
          <w:rFonts w:hint="eastAsia" w:ascii="宋体" w:hAnsi="宋体" w:cs="宋体"/>
          <w:color w:val="auto"/>
          <w:sz w:val="24"/>
          <w:szCs w:val="20"/>
          <w:highlight w:val="none"/>
        </w:rPr>
      </w:pPr>
    </w:p>
    <w:p w14:paraId="51376ED7">
      <w:pPr>
        <w:wordWrap w:val="0"/>
        <w:snapToGrid w:val="0"/>
        <w:spacing w:line="360" w:lineRule="auto"/>
        <w:ind w:firstLine="643"/>
        <w:jc w:val="center"/>
        <w:rPr>
          <w:rFonts w:hint="eastAsia" w:ascii="宋体" w:hAnsi="宋体" w:cs="宋体"/>
          <w:b/>
          <w:bCs/>
          <w:color w:val="auto"/>
          <w:sz w:val="32"/>
          <w:szCs w:val="32"/>
          <w:highlight w:val="none"/>
        </w:rPr>
      </w:pPr>
    </w:p>
    <w:p w14:paraId="297600B7">
      <w:pPr>
        <w:wordWrap w:val="0"/>
        <w:snapToGrid w:val="0"/>
        <w:spacing w:line="360" w:lineRule="auto"/>
        <w:ind w:firstLine="643"/>
        <w:jc w:val="center"/>
        <w:rPr>
          <w:rFonts w:hint="eastAsia" w:ascii="宋体" w:hAnsi="宋体" w:cs="宋体"/>
          <w:b/>
          <w:bCs/>
          <w:color w:val="auto"/>
          <w:sz w:val="32"/>
          <w:szCs w:val="32"/>
          <w:highlight w:val="none"/>
        </w:rPr>
      </w:pPr>
    </w:p>
    <w:p w14:paraId="6A745BA9">
      <w:pPr>
        <w:wordWrap w:val="0"/>
        <w:snapToGrid w:val="0"/>
        <w:spacing w:line="360" w:lineRule="auto"/>
        <w:ind w:firstLine="643"/>
        <w:jc w:val="center"/>
        <w:rPr>
          <w:rFonts w:hint="eastAsia" w:ascii="宋体" w:hAnsi="宋体" w:cs="宋体"/>
          <w:b/>
          <w:bCs/>
          <w:color w:val="auto"/>
          <w:sz w:val="32"/>
          <w:szCs w:val="32"/>
          <w:highlight w:val="none"/>
        </w:rPr>
      </w:pPr>
    </w:p>
    <w:p w14:paraId="3AA7CDC1">
      <w:pPr>
        <w:wordWrap w:val="0"/>
        <w:snapToGrid w:val="0"/>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技术文件（封面）</w:t>
      </w:r>
    </w:p>
    <w:p w14:paraId="6C351AB3">
      <w:pPr>
        <w:wordWrap w:val="0"/>
        <w:snapToGrid w:val="0"/>
        <w:spacing w:line="360" w:lineRule="auto"/>
        <w:rPr>
          <w:rFonts w:hint="eastAsia" w:ascii="宋体" w:hAnsi="宋体" w:cs="宋体"/>
          <w:bCs/>
          <w:color w:val="auto"/>
          <w:sz w:val="24"/>
          <w:szCs w:val="20"/>
          <w:highlight w:val="none"/>
        </w:rPr>
      </w:pPr>
    </w:p>
    <w:p w14:paraId="61DF0636">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562A5ABD">
      <w:pPr>
        <w:wordWrap w:val="0"/>
        <w:snapToGrid w:val="0"/>
        <w:spacing w:line="360" w:lineRule="auto"/>
        <w:ind w:left="599" w:leftChars="228" w:hanging="120" w:hangingChars="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297EE354">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29E1D77B">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3D064E69">
      <w:pPr>
        <w:wordWrap w:val="0"/>
        <w:snapToGrid w:val="0"/>
        <w:spacing w:line="360" w:lineRule="auto"/>
        <w:ind w:firstLine="600" w:firstLineChars="2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7BAC45A3">
      <w:pPr>
        <w:wordWrap w:val="0"/>
        <w:snapToGrid w:val="0"/>
        <w:spacing w:line="360" w:lineRule="auto"/>
        <w:ind w:firstLine="480"/>
        <w:jc w:val="center"/>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44C67CD">
      <w:pPr>
        <w:wordWrap w:val="0"/>
        <w:snapToGrid w:val="0"/>
        <w:spacing w:line="360" w:lineRule="auto"/>
        <w:ind w:firstLine="480"/>
        <w:jc w:val="center"/>
        <w:rPr>
          <w:rFonts w:hint="eastAsia" w:ascii="宋体" w:hAnsi="宋体" w:cs="宋体"/>
          <w:color w:val="auto"/>
          <w:sz w:val="24"/>
          <w:szCs w:val="20"/>
          <w:highlight w:val="none"/>
        </w:rPr>
      </w:pPr>
    </w:p>
    <w:p w14:paraId="75B2A447">
      <w:pPr>
        <w:wordWrap w:val="0"/>
        <w:spacing w:line="360" w:lineRule="auto"/>
        <w:ind w:firstLine="482"/>
        <w:jc w:val="center"/>
        <w:rPr>
          <w:rFonts w:hint="eastAsia" w:ascii="宋体" w:hAnsi="宋体" w:cs="宋体"/>
          <w:b/>
          <w:color w:val="auto"/>
          <w:kern w:val="0"/>
          <w:sz w:val="28"/>
          <w:szCs w:val="28"/>
          <w:highlight w:val="none"/>
        </w:rPr>
      </w:pPr>
      <w:r>
        <w:rPr>
          <w:rFonts w:hint="eastAsia" w:ascii="宋体" w:hAnsi="宋体" w:cs="宋体"/>
          <w:b/>
          <w:bCs/>
          <w:color w:val="auto"/>
          <w:sz w:val="24"/>
          <w:highlight w:val="none"/>
        </w:rPr>
        <w:br w:type="page"/>
      </w:r>
      <w:r>
        <w:rPr>
          <w:rFonts w:hint="eastAsia" w:ascii="宋体" w:hAnsi="宋体" w:cs="宋体"/>
          <w:b/>
          <w:color w:val="auto"/>
          <w:kern w:val="0"/>
          <w:sz w:val="28"/>
          <w:szCs w:val="28"/>
          <w:highlight w:val="none"/>
        </w:rPr>
        <w:t>技术文件目录</w:t>
      </w:r>
    </w:p>
    <w:p w14:paraId="2EDED47C">
      <w:pPr>
        <w:pStyle w:val="12"/>
        <w:spacing w:after="0" w:line="360" w:lineRule="auto"/>
        <w:ind w:firstLine="562"/>
        <w:rPr>
          <w:rFonts w:hint="eastAsia" w:ascii="宋体" w:hAnsi="宋体" w:cs="宋体"/>
          <w:b/>
          <w:color w:val="auto"/>
          <w:kern w:val="0"/>
          <w:sz w:val="28"/>
          <w:szCs w:val="28"/>
          <w:highlight w:val="none"/>
        </w:rPr>
      </w:pPr>
    </w:p>
    <w:p w14:paraId="37BAD0E2">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一、服务需求、技术需求偏离表…………………………………………………（页码）</w:t>
      </w:r>
    </w:p>
    <w:p w14:paraId="6FC4DE34">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二、组织服务方案（如有）…………………………………………………………（页码）</w:t>
      </w:r>
    </w:p>
    <w:p w14:paraId="59C0AA19">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三、售后服务方案 ………………………………</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71DE8E6">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项目实施人员一览表</w:t>
      </w:r>
      <w:r>
        <w:rPr>
          <w:rFonts w:hint="eastAsia" w:ascii="宋体" w:hAnsi="宋体" w:eastAsia="宋体" w:cs="宋体"/>
          <w:color w:val="auto"/>
          <w:highlight w:val="none"/>
        </w:rPr>
        <w:t>（如有）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C33CADE">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五、投标人对项目的合理化建议和改进措施（如有）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B77408C">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六、优惠条件及特殊承诺（如有）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3546C788">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七、备品备件及供选择的配套零部件清单（如有）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1931F2BA">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八、培训计划（如有）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2DC17C30">
      <w:pPr>
        <w:pStyle w:val="39"/>
        <w:wordWrap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九、认为需要的其他技术文件或说明（如有）</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1CA5713">
      <w:pPr>
        <w:wordWrap w:val="0"/>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注：以上目录是基本格式要求，各投标人可根据自身情况进一步向下增加内容或细化。</w:t>
      </w:r>
    </w:p>
    <w:p w14:paraId="78EB2BDC">
      <w:pPr>
        <w:wordWrap w:val="0"/>
        <w:snapToGrid w:val="0"/>
        <w:spacing w:line="360" w:lineRule="auto"/>
        <w:ind w:left="143" w:leftChars="68" w:firstLine="472" w:firstLineChars="196"/>
        <w:jc w:val="left"/>
        <w:rPr>
          <w:rFonts w:hint="eastAsia" w:ascii="宋体" w:hAnsi="宋体" w:cs="宋体"/>
          <w:b/>
          <w:color w:val="auto"/>
          <w:sz w:val="24"/>
          <w:highlight w:val="none"/>
        </w:rPr>
      </w:pPr>
    </w:p>
    <w:p w14:paraId="1BA3F247">
      <w:pPr>
        <w:wordWrap w:val="0"/>
        <w:snapToGrid w:val="0"/>
        <w:spacing w:line="360" w:lineRule="auto"/>
        <w:ind w:left="143" w:leftChars="68" w:firstLine="472" w:firstLineChars="196"/>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 xml:space="preserve"> </w:t>
      </w:r>
    </w:p>
    <w:p w14:paraId="09B9B99F">
      <w:pPr>
        <w:pStyle w:val="14"/>
        <w:wordWrap w:val="0"/>
        <w:spacing w:line="360" w:lineRule="auto"/>
        <w:jc w:val="center"/>
        <w:rPr>
          <w:rFonts w:hint="eastAsia" w:hAnsi="宋体" w:cs="宋体"/>
          <w:b/>
          <w:bCs/>
          <w:color w:val="auto"/>
          <w:sz w:val="30"/>
          <w:szCs w:val="30"/>
          <w:highlight w:val="none"/>
        </w:rPr>
      </w:pPr>
      <w:r>
        <w:rPr>
          <w:rFonts w:hint="eastAsia" w:hAnsi="宋体" w:cs="宋体"/>
          <w:b/>
          <w:bCs/>
          <w:color w:val="auto"/>
          <w:sz w:val="30"/>
          <w:szCs w:val="30"/>
          <w:highlight w:val="none"/>
        </w:rPr>
        <w:t>一、服务需求、技术需求偏离表</w:t>
      </w:r>
    </w:p>
    <w:p w14:paraId="5168BF4C">
      <w:pPr>
        <w:pStyle w:val="14"/>
        <w:wordWrap w:val="0"/>
        <w:spacing w:line="360" w:lineRule="auto"/>
        <w:ind w:firstLine="420" w:firstLineChars="200"/>
        <w:rPr>
          <w:rFonts w:hint="eastAsia" w:hAnsi="宋体" w:cs="宋体"/>
          <w:color w:val="auto"/>
          <w:highlight w:val="none"/>
        </w:rPr>
      </w:pPr>
    </w:p>
    <w:p w14:paraId="0AEBD9A1">
      <w:pPr>
        <w:pStyle w:val="14"/>
        <w:wordWrap w:val="0"/>
        <w:spacing w:line="360" w:lineRule="auto"/>
        <w:ind w:firstLine="480" w:firstLineChars="200"/>
        <w:rPr>
          <w:rFonts w:hint="eastAsia" w:hAnsi="宋体" w:cs="宋体"/>
          <w:color w:val="auto"/>
          <w:sz w:val="24"/>
          <w:szCs w:val="24"/>
          <w:highlight w:val="none"/>
        </w:rPr>
      </w:pPr>
      <w:r>
        <w:rPr>
          <w:rFonts w:hint="eastAsia" w:hAnsi="宋体" w:cs="宋体"/>
          <w:color w:val="auto"/>
          <w:sz w:val="24"/>
          <w:szCs w:val="24"/>
          <w:highlight w:val="none"/>
        </w:rPr>
        <w:t>请根据所投服务的实际技术参数，</w:t>
      </w:r>
      <w:r>
        <w:rPr>
          <w:rFonts w:hint="eastAsia" w:hAnsi="宋体" w:cs="宋体"/>
          <w:b/>
          <w:color w:val="auto"/>
          <w:sz w:val="28"/>
          <w:szCs w:val="28"/>
          <w:highlight w:val="none"/>
        </w:rPr>
        <w:t>逐条对应</w:t>
      </w:r>
      <w:r>
        <w:rPr>
          <w:rFonts w:hint="eastAsia" w:hAnsi="宋体" w:cs="宋体"/>
          <w:color w:val="auto"/>
          <w:sz w:val="24"/>
          <w:szCs w:val="24"/>
          <w:highlight w:val="none"/>
        </w:rPr>
        <w:t>本项目招标文件第二章“服务需求一览表”中的</w:t>
      </w:r>
      <w:r>
        <w:rPr>
          <w:rFonts w:hint="eastAsia" w:hAnsi="宋体" w:cs="宋体"/>
          <w:b/>
          <w:color w:val="auto"/>
          <w:sz w:val="28"/>
          <w:szCs w:val="28"/>
          <w:highlight w:val="none"/>
        </w:rPr>
        <w:t>采购清单及服务参数</w:t>
      </w:r>
      <w:r>
        <w:rPr>
          <w:rFonts w:hint="eastAsia" w:hAnsi="宋体" w:cs="宋体"/>
          <w:color w:val="auto"/>
          <w:sz w:val="24"/>
          <w:szCs w:val="24"/>
          <w:highlight w:val="none"/>
        </w:rPr>
        <w:t>详细填写相应的具体内容。“偏离说明”一栏应当选择“正偏离”、“负偏离”或“无偏离”进行填写。</w:t>
      </w:r>
    </w:p>
    <w:tbl>
      <w:tblPr>
        <w:tblStyle w:val="26"/>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4DFC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7EEF5E8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6EBA53D5">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057CF05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7BD8B93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6382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7194E7DE">
            <w:pPr>
              <w:widowControl/>
              <w:wordWrap w:val="0"/>
              <w:spacing w:line="360" w:lineRule="auto"/>
              <w:jc w:val="left"/>
              <w:rPr>
                <w:rFonts w:hint="eastAsia" w:ascii="宋体" w:hAnsi="宋体" w:cs="宋体"/>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223C83C">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vAlign w:val="center"/>
          </w:tcPr>
          <w:p w14:paraId="07006D4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vAlign w:val="center"/>
          </w:tcPr>
          <w:p w14:paraId="0243D69D">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vAlign w:val="center"/>
          </w:tcPr>
          <w:p w14:paraId="720BB1C1">
            <w:pPr>
              <w:wordWrap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479297D9">
            <w:pPr>
              <w:widowControl/>
              <w:wordWrap w:val="0"/>
              <w:spacing w:line="360" w:lineRule="auto"/>
              <w:jc w:val="left"/>
              <w:rPr>
                <w:rFonts w:hint="eastAsia" w:ascii="宋体" w:hAnsi="宋体" w:cs="宋体"/>
                <w:color w:val="auto"/>
                <w:szCs w:val="21"/>
                <w:highlight w:val="none"/>
              </w:rPr>
            </w:pPr>
          </w:p>
        </w:tc>
      </w:tr>
      <w:tr w14:paraId="5975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3B55ED6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39C08864">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728EC20C">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2E04817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2A13130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21609DD5">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3533B88">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12DA5A8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78788D3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1D196AB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45525E3E">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1BA987B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07696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0556DAA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18A5D06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1E27FACD">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142B4C2B">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7CF7D41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587A456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3BA60362">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64190F86">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1  ……</w:t>
            </w:r>
          </w:p>
          <w:p w14:paraId="1589CB3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2  ……</w:t>
            </w:r>
          </w:p>
          <w:p w14:paraId="0DA1B277">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3  ……</w:t>
            </w:r>
          </w:p>
          <w:p w14:paraId="19FA8920">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22C86BE9">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正偏离（负偏离或无偏离）</w:t>
            </w:r>
          </w:p>
        </w:tc>
      </w:tr>
      <w:tr w14:paraId="12F71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4FF02473">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603AA4CF">
            <w:pPr>
              <w:wordWrap w:val="0"/>
              <w:spacing w:line="360" w:lineRule="auto"/>
              <w:rPr>
                <w:rFonts w:hint="eastAsia" w:ascii="宋体" w:hAnsi="宋体" w:cs="宋体"/>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283AF0D7">
            <w:pPr>
              <w:wordWrap w:val="0"/>
              <w:spacing w:line="360" w:lineRule="auto"/>
              <w:rPr>
                <w:rFonts w:hint="eastAsia" w:ascii="宋体" w:hAnsi="宋体" w:cs="宋体"/>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157C66E">
            <w:pPr>
              <w:wordWrap w:val="0"/>
              <w:spacing w:line="360" w:lineRule="auto"/>
              <w:rPr>
                <w:rFonts w:hint="eastAsia" w:ascii="宋体" w:hAnsi="宋体" w:cs="宋体"/>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56DB3F6C">
            <w:pPr>
              <w:wordWrap w:val="0"/>
              <w:spacing w:line="360" w:lineRule="auto"/>
              <w:rPr>
                <w:rFonts w:hint="eastAsia" w:ascii="宋体" w:hAnsi="宋体" w:cs="宋体"/>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261403C2">
            <w:pPr>
              <w:wordWrap w:val="0"/>
              <w:spacing w:line="360" w:lineRule="auto"/>
              <w:rPr>
                <w:rFonts w:hint="eastAsia" w:ascii="宋体" w:hAnsi="宋体" w:cs="宋体"/>
                <w:color w:val="auto"/>
                <w:szCs w:val="21"/>
                <w:highlight w:val="none"/>
              </w:rPr>
            </w:pPr>
          </w:p>
        </w:tc>
      </w:tr>
      <w:tr w14:paraId="20E51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BA2AA8F">
            <w:pPr>
              <w:wordWrap w:val="0"/>
              <w:spacing w:line="360" w:lineRule="auto"/>
              <w:rPr>
                <w:rFonts w:hint="eastAsia" w:ascii="宋体" w:hAnsi="宋体" w:cs="宋体"/>
                <w:color w:val="auto"/>
                <w:szCs w:val="21"/>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bl>
    <w:p w14:paraId="5BC74CB9">
      <w:pPr>
        <w:pStyle w:val="14"/>
        <w:wordWrap w:val="0"/>
        <w:spacing w:line="360" w:lineRule="auto"/>
        <w:rPr>
          <w:rFonts w:hint="eastAsia" w:hAnsi="宋体" w:cs="宋体"/>
          <w:color w:val="auto"/>
          <w:szCs w:val="21"/>
          <w:highlight w:val="none"/>
        </w:rPr>
      </w:pPr>
      <w:r>
        <w:rPr>
          <w:rFonts w:hint="eastAsia" w:hAnsi="宋体" w:cs="宋体"/>
          <w:color w:val="auto"/>
          <w:szCs w:val="21"/>
          <w:highlight w:val="none"/>
        </w:rPr>
        <w:t>注：</w:t>
      </w:r>
    </w:p>
    <w:p w14:paraId="59632601">
      <w:pPr>
        <w:pStyle w:val="14"/>
        <w:wordWrap w:val="0"/>
        <w:spacing w:line="360" w:lineRule="auto"/>
        <w:rPr>
          <w:rFonts w:hint="eastAsia" w:hAnsi="宋体" w:cs="宋体"/>
          <w:color w:val="auto"/>
          <w:szCs w:val="21"/>
          <w:highlight w:val="none"/>
        </w:rPr>
      </w:pPr>
      <w:r>
        <w:rPr>
          <w:rFonts w:hint="eastAsia" w:hAnsi="宋体" w:cs="宋体"/>
          <w:color w:val="auto"/>
          <w:szCs w:val="21"/>
          <w:highlight w:val="none"/>
        </w:rPr>
        <w:t>1.表格内容均需按要求填写并盖章，不得留空，</w:t>
      </w:r>
      <w:r>
        <w:rPr>
          <w:rFonts w:hint="eastAsia" w:hAnsi="宋体" w:cs="宋体"/>
          <w:bCs/>
          <w:color w:val="auto"/>
          <w:szCs w:val="21"/>
          <w:highlight w:val="none"/>
        </w:rPr>
        <w:t>否则按投标无效处理</w:t>
      </w:r>
      <w:r>
        <w:rPr>
          <w:rFonts w:hint="eastAsia" w:hAnsi="宋体" w:cs="宋体"/>
          <w:color w:val="auto"/>
          <w:szCs w:val="21"/>
          <w:highlight w:val="none"/>
        </w:rPr>
        <w:t>。</w:t>
      </w:r>
    </w:p>
    <w:p w14:paraId="5CF8A7D4">
      <w:pPr>
        <w:pStyle w:val="14"/>
        <w:wordWrap w:val="0"/>
        <w:spacing w:line="360" w:lineRule="auto"/>
        <w:rPr>
          <w:rFonts w:hint="eastAsia" w:hAnsi="宋体" w:cs="宋体"/>
          <w:color w:val="auto"/>
          <w:szCs w:val="21"/>
          <w:highlight w:val="none"/>
        </w:rPr>
      </w:pPr>
      <w:r>
        <w:rPr>
          <w:rFonts w:hint="eastAsia" w:hAnsi="宋体" w:cs="宋体"/>
          <w:bCs/>
          <w:color w:val="auto"/>
          <w:szCs w:val="21"/>
          <w:highlight w:val="none"/>
        </w:rPr>
        <w:t>2.当投标文件的服务内容低于招标文件要求时，投标人应当如实写明“负偏离”，否则视为虚假应标。</w:t>
      </w:r>
    </w:p>
    <w:p w14:paraId="7DE5243F">
      <w:pPr>
        <w:pStyle w:val="14"/>
        <w:wordWrap w:val="0"/>
        <w:spacing w:line="360" w:lineRule="auto"/>
        <w:rPr>
          <w:rFonts w:hint="eastAsia" w:hAnsi="宋体" w:cs="宋体"/>
          <w:color w:val="auto"/>
          <w:highlight w:val="none"/>
        </w:rPr>
      </w:pPr>
      <w:r>
        <w:rPr>
          <w:rFonts w:hint="eastAsia" w:hAnsi="宋体" w:cs="宋体"/>
          <w:color w:val="auto"/>
          <w:highlight w:val="none"/>
        </w:rPr>
        <w:t>3.</w:t>
      </w:r>
      <w:r>
        <w:rPr>
          <w:rFonts w:hint="eastAsia" w:hAnsi="宋体" w:cs="宋体"/>
          <w:color w:val="auto"/>
          <w:szCs w:val="21"/>
          <w:highlight w:val="none"/>
        </w:rPr>
        <w:t>采购需求中带“▲”及“★”的条款，也要分别在本表“服务参数”、“所提供服务的内容”中标记。</w:t>
      </w:r>
    </w:p>
    <w:p w14:paraId="50616105">
      <w:pPr>
        <w:wordWrap w:val="0"/>
        <w:snapToGrid w:val="0"/>
        <w:spacing w:line="360" w:lineRule="auto"/>
        <w:ind w:firstLine="5640" w:firstLineChars="2350"/>
        <w:rPr>
          <w:rFonts w:hint="eastAsia" w:ascii="宋体" w:hAnsi="宋体" w:cs="宋体"/>
          <w:color w:val="auto"/>
          <w:kern w:val="0"/>
          <w:sz w:val="24"/>
          <w:highlight w:val="none"/>
          <w:lang w:val="zh-CN"/>
        </w:rPr>
      </w:pPr>
    </w:p>
    <w:p w14:paraId="20177A64">
      <w:pPr>
        <w:wordWrap w:val="0"/>
        <w:snapToGrid w:val="0"/>
        <w:spacing w:line="360" w:lineRule="auto"/>
        <w:ind w:firstLine="5640" w:firstLineChars="23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0A49276E">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6F09D9C7">
      <w:pPr>
        <w:widowControl/>
        <w:wordWrap w:val="0"/>
        <w:spacing w:line="360" w:lineRule="auto"/>
        <w:jc w:val="left"/>
        <w:rPr>
          <w:rFonts w:hint="eastAsia" w:ascii="宋体" w:hAnsi="宋体" w:cs="宋体"/>
          <w:color w:val="auto"/>
          <w:sz w:val="30"/>
          <w:szCs w:val="20"/>
          <w:highlight w:val="none"/>
        </w:rPr>
        <w:sectPr>
          <w:pgSz w:w="11906" w:h="16838"/>
          <w:pgMar w:top="1440" w:right="1080" w:bottom="1440" w:left="1080" w:header="720" w:footer="720" w:gutter="0"/>
          <w:cols w:space="720" w:num="1"/>
          <w:docGrid w:type="lines" w:linePitch="331" w:charSpace="0"/>
        </w:sectPr>
      </w:pPr>
    </w:p>
    <w:p w14:paraId="6B9CBD46">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二、组织服务方案（如有）</w:t>
      </w:r>
    </w:p>
    <w:p w14:paraId="4C8E514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7C480DD3">
      <w:pPr>
        <w:wordWrap w:val="0"/>
        <w:spacing w:line="360" w:lineRule="auto"/>
        <w:rPr>
          <w:rFonts w:hint="eastAsia" w:ascii="宋体" w:hAnsi="宋体" w:cs="宋体"/>
          <w:b/>
          <w:bCs/>
          <w:color w:val="auto"/>
          <w:kern w:val="0"/>
          <w:sz w:val="24"/>
          <w:highlight w:val="none"/>
          <w:lang w:val="zh-CN"/>
        </w:rPr>
      </w:pPr>
    </w:p>
    <w:p w14:paraId="0651F713">
      <w:pPr>
        <w:wordWrap w:val="0"/>
        <w:spacing w:line="360" w:lineRule="auto"/>
        <w:rPr>
          <w:rFonts w:hint="eastAsia" w:ascii="宋体" w:hAnsi="宋体" w:cs="宋体"/>
          <w:b/>
          <w:bCs/>
          <w:color w:val="auto"/>
          <w:kern w:val="0"/>
          <w:sz w:val="24"/>
          <w:highlight w:val="none"/>
          <w:lang w:val="zh-CN"/>
        </w:rPr>
      </w:pPr>
    </w:p>
    <w:p w14:paraId="61ACE233">
      <w:pPr>
        <w:wordWrap w:val="0"/>
        <w:spacing w:line="360" w:lineRule="auto"/>
        <w:rPr>
          <w:rFonts w:hint="eastAsia" w:ascii="宋体" w:hAnsi="宋体" w:cs="宋体"/>
          <w:b/>
          <w:bCs/>
          <w:color w:val="auto"/>
          <w:kern w:val="0"/>
          <w:sz w:val="24"/>
          <w:highlight w:val="none"/>
          <w:lang w:val="zh-CN"/>
        </w:rPr>
      </w:pPr>
    </w:p>
    <w:p w14:paraId="0B022C14">
      <w:pPr>
        <w:wordWrap w:val="0"/>
        <w:spacing w:line="360" w:lineRule="auto"/>
        <w:rPr>
          <w:rFonts w:hint="eastAsia" w:ascii="宋体" w:hAnsi="宋体" w:cs="宋体"/>
          <w:b/>
          <w:bCs/>
          <w:color w:val="auto"/>
          <w:kern w:val="0"/>
          <w:sz w:val="24"/>
          <w:highlight w:val="none"/>
          <w:lang w:val="zh-CN"/>
        </w:rPr>
      </w:pPr>
      <w:bookmarkStart w:id="316"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316"/>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3250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3BD120C2">
            <w:pPr>
              <w:wordWrap w:val="0"/>
              <w:spacing w:line="360" w:lineRule="auto"/>
              <w:rPr>
                <w:rFonts w:hint="eastAsia" w:ascii="宋体" w:hAnsi="宋体" w:cs="宋体"/>
                <w:color w:val="auto"/>
                <w:sz w:val="24"/>
                <w:highlight w:val="none"/>
              </w:rPr>
            </w:pPr>
            <w:r>
              <w:rPr>
                <w:rFonts w:ascii="宋体" w:hAnsi="宋体" w:cs="宋体"/>
                <w:color w:val="auto"/>
                <w:highlight w:val="none"/>
              </w:rPr>
              <mc:AlternateContent>
                <mc:Choice Requires="wpg">
                  <w:drawing>
                    <wp:anchor distT="0" distB="0" distL="114300" distR="114300" simplePos="0" relativeHeight="251662336"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1064C389">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06D7C383">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3515B146">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2336;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64C389">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6D7C383">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3515B146">
                              <w:pPr>
                                <w:snapToGrid w:val="0"/>
                              </w:pPr>
                              <w:r>
                                <w:rPr>
                                  <w:rFonts w:hint="eastAsia"/>
                                </w:rPr>
                                <w:t>日</w:t>
                              </w:r>
                            </w:p>
                          </w:txbxContent>
                        </v:textbox>
                      </v:shape>
                    </v:group>
                  </w:pict>
                </mc:Fallback>
              </mc:AlternateContent>
            </w:r>
          </w:p>
          <w:p w14:paraId="1033AA14">
            <w:pPr>
              <w:wordWrap w:val="0"/>
              <w:spacing w:line="360" w:lineRule="auto"/>
              <w:rPr>
                <w:rFonts w:hint="eastAsia" w:ascii="宋体" w:hAnsi="宋体" w:cs="宋体"/>
                <w:color w:val="auto"/>
                <w:sz w:val="24"/>
                <w:highlight w:val="none"/>
              </w:rPr>
            </w:pPr>
          </w:p>
          <w:p w14:paraId="7C8B4ABA">
            <w:pPr>
              <w:wordWrap w:val="0"/>
              <w:spacing w:line="360" w:lineRule="auto"/>
              <w:rPr>
                <w:rFonts w:hint="eastAsia" w:ascii="宋体" w:hAnsi="宋体" w:cs="宋体"/>
                <w:color w:val="auto"/>
                <w:sz w:val="24"/>
                <w:highlight w:val="none"/>
              </w:rPr>
            </w:pPr>
          </w:p>
          <w:p w14:paraId="438F8B92">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799D333C">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3F276DA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B98B9A8">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A8CEC11">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4334BDF7">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3ABB8EAA">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1B1BEE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72C09CE">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0E575A7B">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76CC0AE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3B2320C4">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66D5CE7F">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5D3C3D19">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4EFC64C">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3B26D915">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29D6A026">
            <w:pPr>
              <w:wordWrap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p>
        </w:tc>
      </w:tr>
      <w:tr w14:paraId="6E8A1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3BB781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99061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A0CAE1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6B75C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33599D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F579A6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36A88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408C5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AE2401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BEEC4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19A6F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D953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57997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13584F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2E0C4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EBB90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8B2266">
            <w:pPr>
              <w:wordWrap w:val="0"/>
              <w:spacing w:line="360" w:lineRule="auto"/>
              <w:rPr>
                <w:rFonts w:hint="eastAsia" w:ascii="宋体" w:hAnsi="宋体" w:cs="宋体"/>
                <w:color w:val="auto"/>
                <w:sz w:val="24"/>
                <w:highlight w:val="none"/>
              </w:rPr>
            </w:pPr>
          </w:p>
        </w:tc>
      </w:tr>
      <w:tr w14:paraId="23632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71CC99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C6373F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5FCE9E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554C5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8853EE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34A56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CE000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3857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E87456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49379F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CC09D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4B1B7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CAB7B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FAB7B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D39E8E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29994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CBBC68">
            <w:pPr>
              <w:wordWrap w:val="0"/>
              <w:spacing w:line="360" w:lineRule="auto"/>
              <w:rPr>
                <w:rFonts w:hint="eastAsia" w:ascii="宋体" w:hAnsi="宋体" w:cs="宋体"/>
                <w:color w:val="auto"/>
                <w:sz w:val="24"/>
                <w:highlight w:val="none"/>
              </w:rPr>
            </w:pPr>
          </w:p>
        </w:tc>
      </w:tr>
      <w:tr w14:paraId="5CCD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7B0C31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71AEF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AC96A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F339AD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BDE775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9B38C0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173B2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CE879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ADC2C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B2248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6EE834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5157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C4869A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7CB41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61DB6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AAEE74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0C2D3E2">
            <w:pPr>
              <w:wordWrap w:val="0"/>
              <w:spacing w:line="360" w:lineRule="auto"/>
              <w:rPr>
                <w:rFonts w:hint="eastAsia" w:ascii="宋体" w:hAnsi="宋体" w:cs="宋体"/>
                <w:color w:val="auto"/>
                <w:sz w:val="24"/>
                <w:highlight w:val="none"/>
              </w:rPr>
            </w:pPr>
          </w:p>
        </w:tc>
      </w:tr>
      <w:tr w14:paraId="6FB9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A8F59D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5C157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CF211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4B4F5D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6809D4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A1D5C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33CFAE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303F3B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FA15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BB0C0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9D1AD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5C8A6E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F887E3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5B45D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CA12A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D2830D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D3ADCD8">
            <w:pPr>
              <w:wordWrap w:val="0"/>
              <w:spacing w:line="360" w:lineRule="auto"/>
              <w:rPr>
                <w:rFonts w:hint="eastAsia" w:ascii="宋体" w:hAnsi="宋体" w:cs="宋体"/>
                <w:color w:val="auto"/>
                <w:sz w:val="24"/>
                <w:highlight w:val="none"/>
              </w:rPr>
            </w:pPr>
          </w:p>
        </w:tc>
      </w:tr>
      <w:tr w14:paraId="094B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35C9C9A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59AEA2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65647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629992">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F2F028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5652C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358A83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B11A35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A9D881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0AFA0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F340F9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6B1A12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7106BA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46532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A050DE">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2691F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4FEEF16">
            <w:pPr>
              <w:wordWrap w:val="0"/>
              <w:spacing w:line="360" w:lineRule="auto"/>
              <w:rPr>
                <w:rFonts w:hint="eastAsia" w:ascii="宋体" w:hAnsi="宋体" w:cs="宋体"/>
                <w:color w:val="auto"/>
                <w:sz w:val="24"/>
                <w:highlight w:val="none"/>
              </w:rPr>
            </w:pPr>
          </w:p>
        </w:tc>
      </w:tr>
      <w:tr w14:paraId="4CFC8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B9225E8">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542F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7CADC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BBA193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171C5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9998B47">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BDAF65">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3F266A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36D66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6B83D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33A68C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CB3DE1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B55B9A">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8EE043">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5D920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E6C87E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0419EB">
            <w:pPr>
              <w:wordWrap w:val="0"/>
              <w:spacing w:line="360" w:lineRule="auto"/>
              <w:rPr>
                <w:rFonts w:hint="eastAsia" w:ascii="宋体" w:hAnsi="宋体" w:cs="宋体"/>
                <w:color w:val="auto"/>
                <w:sz w:val="24"/>
                <w:highlight w:val="none"/>
              </w:rPr>
            </w:pPr>
          </w:p>
        </w:tc>
      </w:tr>
      <w:tr w14:paraId="0E63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6F4A850">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CDB75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66CE1BF">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69D73E9">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E1C4CF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73F263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7E1E00">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5E55D7">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BCDCC0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226912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92EC5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4E34F8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73E62">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F931F1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C13FB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7ED283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99CA627">
            <w:pPr>
              <w:wordWrap w:val="0"/>
              <w:spacing w:line="360" w:lineRule="auto"/>
              <w:rPr>
                <w:rFonts w:hint="eastAsia" w:ascii="宋体" w:hAnsi="宋体" w:cs="宋体"/>
                <w:color w:val="auto"/>
                <w:sz w:val="24"/>
                <w:highlight w:val="none"/>
              </w:rPr>
            </w:pPr>
          </w:p>
        </w:tc>
      </w:tr>
      <w:tr w14:paraId="6789F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770F4843">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2EF45FB">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14BB134">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F76EE6">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59BFC0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7F9B74E">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EBB7D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76DD0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A8790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E1393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C2EA6C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5564036">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203CE9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12F2A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95755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AD9DEC">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028B6A">
            <w:pPr>
              <w:wordWrap w:val="0"/>
              <w:spacing w:line="360" w:lineRule="auto"/>
              <w:rPr>
                <w:rFonts w:hint="eastAsia" w:ascii="宋体" w:hAnsi="宋体" w:cs="宋体"/>
                <w:color w:val="auto"/>
                <w:sz w:val="24"/>
                <w:highlight w:val="none"/>
              </w:rPr>
            </w:pPr>
          </w:p>
        </w:tc>
      </w:tr>
      <w:tr w14:paraId="1F65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A24F445">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C9672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635301C">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505291">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5031D">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17C2FA">
            <w:pPr>
              <w:wordWrap w:val="0"/>
              <w:spacing w:line="360" w:lineRule="auto"/>
              <w:rPr>
                <w:rFonts w:hint="eastAsia"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3A19C3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E61D0F">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578E09D">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AA182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03DAF79">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56ED274">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5D1058">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ED152DB">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A5F1C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C4B471">
            <w:pPr>
              <w:wordWrap w:val="0"/>
              <w:spacing w:line="360" w:lineRule="auto"/>
              <w:rPr>
                <w:rFonts w:hint="eastAsia"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1D33CAE">
            <w:pPr>
              <w:wordWrap w:val="0"/>
              <w:spacing w:line="360" w:lineRule="auto"/>
              <w:rPr>
                <w:rFonts w:hint="eastAsia" w:ascii="宋体" w:hAnsi="宋体" w:cs="宋体"/>
                <w:color w:val="auto"/>
                <w:sz w:val="24"/>
                <w:highlight w:val="none"/>
              </w:rPr>
            </w:pPr>
          </w:p>
        </w:tc>
      </w:tr>
    </w:tbl>
    <w:p w14:paraId="33AB9CDA">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sz w:val="24"/>
          <w:highlight w:val="none"/>
        </w:rPr>
        <w:t>注：投标人可按上述时间表的格式自行编制切合实际的具体时间表。</w:t>
      </w:r>
    </w:p>
    <w:p w14:paraId="161DF935">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投标人名称（电子签章）：</w:t>
      </w:r>
    </w:p>
    <w:p w14:paraId="20974AD5">
      <w:pPr>
        <w:wordWrap w:val="0"/>
        <w:autoSpaceDE w:val="0"/>
        <w:autoSpaceDN w:val="0"/>
        <w:spacing w:line="360" w:lineRule="auto"/>
        <w:rPr>
          <w:rFonts w:hint="eastAsia" w:ascii="宋体" w:hAnsi="宋体" w:cs="宋体"/>
          <w:b/>
          <w:bCs/>
          <w:color w:val="auto"/>
          <w:sz w:val="32"/>
          <w:szCs w:val="32"/>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450CA927">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0DF42A96">
      <w:pPr>
        <w:wordWrap w:val="0"/>
        <w:snapToGrid w:val="0"/>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三、售后服务方案</w:t>
      </w:r>
    </w:p>
    <w:p w14:paraId="59934F7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（由投标人根据采购需求及招标文件要求编制）</w:t>
      </w:r>
    </w:p>
    <w:p w14:paraId="3CB4ABF2">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1、售后服务承诺</w:t>
      </w:r>
    </w:p>
    <w:p w14:paraId="040C081D">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附表A:售后服务机构情况表</w:t>
      </w:r>
      <w:r>
        <w:rPr>
          <w:rFonts w:hint="eastAsia" w:ascii="宋体" w:hAnsi="宋体" w:cs="宋体"/>
          <w:color w:val="auto"/>
          <w:sz w:val="24"/>
          <w:highlight w:val="none"/>
        </w:rPr>
        <w:t>（按此格式自制）</w:t>
      </w:r>
    </w:p>
    <w:tbl>
      <w:tblPr>
        <w:tblStyle w:val="26"/>
        <w:tblW w:w="874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095"/>
        <w:gridCol w:w="1245"/>
        <w:gridCol w:w="1980"/>
        <w:gridCol w:w="1260"/>
      </w:tblGrid>
      <w:tr w14:paraId="194E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D6070DD">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序号</w:t>
            </w:r>
          </w:p>
        </w:tc>
        <w:tc>
          <w:tcPr>
            <w:tcW w:w="2340" w:type="dxa"/>
            <w:tcBorders>
              <w:top w:val="single" w:color="auto" w:sz="4" w:space="0"/>
              <w:left w:val="single" w:color="auto" w:sz="4" w:space="0"/>
              <w:bottom w:val="single" w:color="auto" w:sz="4" w:space="0"/>
              <w:right w:val="single" w:color="auto" w:sz="4" w:space="0"/>
            </w:tcBorders>
          </w:tcPr>
          <w:p w14:paraId="5B69C904">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机构名称</w:t>
            </w:r>
          </w:p>
        </w:tc>
        <w:tc>
          <w:tcPr>
            <w:tcW w:w="1095" w:type="dxa"/>
            <w:tcBorders>
              <w:top w:val="single" w:color="auto" w:sz="4" w:space="0"/>
              <w:left w:val="single" w:color="auto" w:sz="4" w:space="0"/>
              <w:bottom w:val="single" w:color="auto" w:sz="4" w:space="0"/>
              <w:right w:val="single" w:color="auto" w:sz="4" w:space="0"/>
            </w:tcBorders>
          </w:tcPr>
          <w:p w14:paraId="238CC2EA">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机构性质</w:t>
            </w:r>
          </w:p>
        </w:tc>
        <w:tc>
          <w:tcPr>
            <w:tcW w:w="1245" w:type="dxa"/>
            <w:tcBorders>
              <w:top w:val="single" w:color="auto" w:sz="4" w:space="0"/>
              <w:left w:val="single" w:color="auto" w:sz="4" w:space="0"/>
              <w:bottom w:val="single" w:color="auto" w:sz="4" w:space="0"/>
              <w:right w:val="single" w:color="auto" w:sz="4" w:space="0"/>
            </w:tcBorders>
          </w:tcPr>
          <w:p w14:paraId="1A4A44EE">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注册地址</w:t>
            </w:r>
          </w:p>
        </w:tc>
        <w:tc>
          <w:tcPr>
            <w:tcW w:w="1980" w:type="dxa"/>
            <w:tcBorders>
              <w:top w:val="single" w:color="auto" w:sz="4" w:space="0"/>
              <w:left w:val="single" w:color="auto" w:sz="4" w:space="0"/>
              <w:bottom w:val="single" w:color="auto" w:sz="4" w:space="0"/>
              <w:right w:val="single" w:color="auto" w:sz="4" w:space="0"/>
            </w:tcBorders>
          </w:tcPr>
          <w:p w14:paraId="15236D6A">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服务技术人员数量</w:t>
            </w:r>
          </w:p>
        </w:tc>
        <w:tc>
          <w:tcPr>
            <w:tcW w:w="1260" w:type="dxa"/>
            <w:tcBorders>
              <w:top w:val="single" w:color="auto" w:sz="4" w:space="0"/>
              <w:left w:val="single" w:color="auto" w:sz="4" w:space="0"/>
              <w:bottom w:val="single" w:color="auto" w:sz="4" w:space="0"/>
              <w:right w:val="single" w:color="auto" w:sz="4" w:space="0"/>
            </w:tcBorders>
          </w:tcPr>
          <w:p w14:paraId="2AC4FC25">
            <w:pPr>
              <w:wordWrap w:val="0"/>
              <w:autoSpaceDE w:val="0"/>
              <w:autoSpaceDN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联系电话</w:t>
            </w:r>
          </w:p>
        </w:tc>
      </w:tr>
      <w:tr w14:paraId="78C47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B653F07">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48764422">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10735378">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1BCC3B8E">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45F99AA5">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3F50CB6D">
            <w:pPr>
              <w:wordWrap w:val="0"/>
              <w:autoSpaceDE w:val="0"/>
              <w:autoSpaceDN w:val="0"/>
              <w:spacing w:line="360" w:lineRule="auto"/>
              <w:jc w:val="center"/>
              <w:rPr>
                <w:rFonts w:hint="eastAsia" w:ascii="宋体" w:hAnsi="宋体" w:cs="宋体"/>
                <w:color w:val="auto"/>
                <w:sz w:val="24"/>
                <w:highlight w:val="none"/>
              </w:rPr>
            </w:pPr>
          </w:p>
        </w:tc>
      </w:tr>
      <w:tr w14:paraId="4D55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0D6D34FC">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6B37B523">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6C7AF0FA">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724A9F88">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2CD76180">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0FE40407">
            <w:pPr>
              <w:wordWrap w:val="0"/>
              <w:autoSpaceDE w:val="0"/>
              <w:autoSpaceDN w:val="0"/>
              <w:spacing w:line="360" w:lineRule="auto"/>
              <w:jc w:val="center"/>
              <w:rPr>
                <w:rFonts w:hint="eastAsia" w:ascii="宋体" w:hAnsi="宋体" w:cs="宋体"/>
                <w:color w:val="auto"/>
                <w:sz w:val="24"/>
                <w:highlight w:val="none"/>
              </w:rPr>
            </w:pPr>
          </w:p>
        </w:tc>
      </w:tr>
      <w:tr w14:paraId="1A672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Borders>
              <w:top w:val="single" w:color="auto" w:sz="4" w:space="0"/>
              <w:left w:val="single" w:color="auto" w:sz="4" w:space="0"/>
              <w:bottom w:val="single" w:color="auto" w:sz="4" w:space="0"/>
              <w:right w:val="single" w:color="auto" w:sz="4" w:space="0"/>
            </w:tcBorders>
          </w:tcPr>
          <w:p w14:paraId="27CC011C">
            <w:pPr>
              <w:wordWrap w:val="0"/>
              <w:autoSpaceDE w:val="0"/>
              <w:autoSpaceDN w:val="0"/>
              <w:spacing w:line="360" w:lineRule="auto"/>
              <w:jc w:val="center"/>
              <w:rPr>
                <w:rFonts w:hint="eastAsia" w:ascii="宋体" w:hAnsi="宋体" w:cs="宋体"/>
                <w:color w:val="auto"/>
                <w:sz w:val="24"/>
                <w:highlight w:val="none"/>
              </w:rPr>
            </w:pPr>
          </w:p>
        </w:tc>
        <w:tc>
          <w:tcPr>
            <w:tcW w:w="2340" w:type="dxa"/>
            <w:tcBorders>
              <w:top w:val="single" w:color="auto" w:sz="4" w:space="0"/>
              <w:left w:val="single" w:color="auto" w:sz="4" w:space="0"/>
              <w:bottom w:val="single" w:color="auto" w:sz="4" w:space="0"/>
              <w:right w:val="single" w:color="auto" w:sz="4" w:space="0"/>
            </w:tcBorders>
          </w:tcPr>
          <w:p w14:paraId="1BC3111C">
            <w:pPr>
              <w:wordWrap w:val="0"/>
              <w:autoSpaceDE w:val="0"/>
              <w:autoSpaceDN w:val="0"/>
              <w:spacing w:line="360" w:lineRule="auto"/>
              <w:jc w:val="center"/>
              <w:rPr>
                <w:rFonts w:hint="eastAsia" w:ascii="宋体" w:hAnsi="宋体" w:cs="宋体"/>
                <w:color w:val="auto"/>
                <w:sz w:val="24"/>
                <w:highlight w:val="none"/>
              </w:rPr>
            </w:pPr>
          </w:p>
        </w:tc>
        <w:tc>
          <w:tcPr>
            <w:tcW w:w="1095" w:type="dxa"/>
            <w:tcBorders>
              <w:top w:val="single" w:color="auto" w:sz="4" w:space="0"/>
              <w:left w:val="single" w:color="auto" w:sz="4" w:space="0"/>
              <w:bottom w:val="single" w:color="auto" w:sz="4" w:space="0"/>
              <w:right w:val="single" w:color="auto" w:sz="4" w:space="0"/>
            </w:tcBorders>
          </w:tcPr>
          <w:p w14:paraId="06E4FD71">
            <w:pPr>
              <w:wordWrap w:val="0"/>
              <w:autoSpaceDE w:val="0"/>
              <w:autoSpaceDN w:val="0"/>
              <w:spacing w:line="360" w:lineRule="auto"/>
              <w:jc w:val="center"/>
              <w:rPr>
                <w:rFonts w:hint="eastAsia" w:ascii="宋体" w:hAnsi="宋体" w:cs="宋体"/>
                <w:color w:val="auto"/>
                <w:sz w:val="24"/>
                <w:highlight w:val="none"/>
              </w:rPr>
            </w:pPr>
          </w:p>
        </w:tc>
        <w:tc>
          <w:tcPr>
            <w:tcW w:w="1245" w:type="dxa"/>
            <w:tcBorders>
              <w:top w:val="single" w:color="auto" w:sz="4" w:space="0"/>
              <w:left w:val="single" w:color="auto" w:sz="4" w:space="0"/>
              <w:bottom w:val="single" w:color="auto" w:sz="4" w:space="0"/>
              <w:right w:val="single" w:color="auto" w:sz="4" w:space="0"/>
            </w:tcBorders>
          </w:tcPr>
          <w:p w14:paraId="0C639708">
            <w:pPr>
              <w:wordWrap w:val="0"/>
              <w:autoSpaceDE w:val="0"/>
              <w:autoSpaceDN w:val="0"/>
              <w:spacing w:line="360" w:lineRule="auto"/>
              <w:jc w:val="center"/>
              <w:rPr>
                <w:rFonts w:hint="eastAsia" w:ascii="宋体" w:hAnsi="宋体" w:cs="宋体"/>
                <w:color w:val="auto"/>
                <w:sz w:val="24"/>
                <w:highlight w:val="none"/>
              </w:rPr>
            </w:pPr>
          </w:p>
        </w:tc>
        <w:tc>
          <w:tcPr>
            <w:tcW w:w="1980" w:type="dxa"/>
            <w:tcBorders>
              <w:top w:val="single" w:color="auto" w:sz="4" w:space="0"/>
              <w:left w:val="single" w:color="auto" w:sz="4" w:space="0"/>
              <w:bottom w:val="single" w:color="auto" w:sz="4" w:space="0"/>
              <w:right w:val="single" w:color="auto" w:sz="4" w:space="0"/>
            </w:tcBorders>
          </w:tcPr>
          <w:p w14:paraId="61052A02">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tcPr>
          <w:p w14:paraId="6CE9F9B3">
            <w:pPr>
              <w:wordWrap w:val="0"/>
              <w:autoSpaceDE w:val="0"/>
              <w:autoSpaceDN w:val="0"/>
              <w:spacing w:line="360" w:lineRule="auto"/>
              <w:jc w:val="center"/>
              <w:rPr>
                <w:rFonts w:hint="eastAsia" w:ascii="宋体" w:hAnsi="宋体" w:cs="宋体"/>
                <w:color w:val="auto"/>
                <w:sz w:val="24"/>
                <w:highlight w:val="none"/>
              </w:rPr>
            </w:pPr>
          </w:p>
        </w:tc>
      </w:tr>
    </w:tbl>
    <w:p w14:paraId="4B244F49">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注：关于项目涉及的所有售后服务机构均在本表注明，包括投标人本单位和符合条件的第三方服务机构；</w:t>
      </w:r>
    </w:p>
    <w:p w14:paraId="212A4E4A">
      <w:pPr>
        <w:wordWrap w:val="0"/>
        <w:autoSpaceDE w:val="0"/>
        <w:autoSpaceDN w:val="0"/>
        <w:spacing w:line="360" w:lineRule="auto"/>
        <w:rPr>
          <w:rFonts w:hint="eastAsia" w:ascii="宋体" w:hAnsi="宋体" w:cs="宋体"/>
          <w:color w:val="auto"/>
          <w:kern w:val="0"/>
          <w:sz w:val="24"/>
          <w:highlight w:val="none"/>
        </w:rPr>
      </w:pPr>
    </w:p>
    <w:p w14:paraId="4257432C">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b/>
          <w:color w:val="auto"/>
          <w:kern w:val="0"/>
          <w:sz w:val="24"/>
          <w:highlight w:val="none"/>
        </w:rPr>
        <w:t>附表B：售后服务人员情况表</w:t>
      </w:r>
      <w:r>
        <w:rPr>
          <w:rFonts w:hint="eastAsia" w:ascii="宋体" w:hAnsi="宋体" w:cs="宋体"/>
          <w:color w:val="auto"/>
          <w:sz w:val="24"/>
          <w:highlight w:val="none"/>
        </w:rPr>
        <w:t>（按此格式自制）</w:t>
      </w:r>
    </w:p>
    <w:tbl>
      <w:tblPr>
        <w:tblStyle w:val="26"/>
        <w:tblW w:w="10002" w:type="dxa"/>
        <w:jc w:val="center"/>
        <w:tblLayout w:type="fixed"/>
        <w:tblCellMar>
          <w:top w:w="0" w:type="dxa"/>
          <w:left w:w="108" w:type="dxa"/>
          <w:bottom w:w="0" w:type="dxa"/>
          <w:right w:w="108" w:type="dxa"/>
        </w:tblCellMar>
      </w:tblPr>
      <w:tblGrid>
        <w:gridCol w:w="646"/>
        <w:gridCol w:w="746"/>
        <w:gridCol w:w="787"/>
        <w:gridCol w:w="412"/>
        <w:gridCol w:w="900"/>
        <w:gridCol w:w="1080"/>
        <w:gridCol w:w="1080"/>
        <w:gridCol w:w="1080"/>
        <w:gridCol w:w="1260"/>
        <w:gridCol w:w="900"/>
        <w:gridCol w:w="1111"/>
      </w:tblGrid>
      <w:tr w14:paraId="766008DA">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vAlign w:val="center"/>
          </w:tcPr>
          <w:p w14:paraId="169B697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p w14:paraId="0F2BF6EA">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vAlign w:val="center"/>
          </w:tcPr>
          <w:p w14:paraId="4E5359B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类别</w:t>
            </w:r>
          </w:p>
        </w:tc>
        <w:tc>
          <w:tcPr>
            <w:tcW w:w="787" w:type="dxa"/>
            <w:tcBorders>
              <w:top w:val="single" w:color="auto" w:sz="6" w:space="0"/>
              <w:left w:val="single" w:color="auto" w:sz="6" w:space="0"/>
              <w:bottom w:val="single" w:color="auto" w:sz="6" w:space="0"/>
              <w:right w:val="single" w:color="auto" w:sz="6" w:space="0"/>
            </w:tcBorders>
            <w:vAlign w:val="center"/>
          </w:tcPr>
          <w:p w14:paraId="3E9DC9A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7E12E9C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900" w:type="dxa"/>
            <w:tcBorders>
              <w:top w:val="single" w:color="auto" w:sz="6" w:space="0"/>
              <w:left w:val="single" w:color="auto" w:sz="6" w:space="0"/>
              <w:bottom w:val="single" w:color="auto" w:sz="6" w:space="0"/>
              <w:right w:val="single" w:color="auto" w:sz="6" w:space="0"/>
            </w:tcBorders>
            <w:vAlign w:val="center"/>
          </w:tcPr>
          <w:p w14:paraId="4DBB7E05">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80" w:type="dxa"/>
            <w:tcBorders>
              <w:top w:val="single" w:color="auto" w:sz="6" w:space="0"/>
              <w:left w:val="single" w:color="auto" w:sz="6" w:space="0"/>
              <w:bottom w:val="single" w:color="auto" w:sz="6" w:space="0"/>
              <w:right w:val="single" w:color="auto" w:sz="6" w:space="0"/>
            </w:tcBorders>
            <w:vAlign w:val="center"/>
          </w:tcPr>
          <w:p w14:paraId="68A1DA08">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080" w:type="dxa"/>
            <w:tcBorders>
              <w:top w:val="single" w:color="auto" w:sz="6" w:space="0"/>
              <w:left w:val="single" w:color="auto" w:sz="6" w:space="0"/>
              <w:bottom w:val="single" w:color="auto" w:sz="6" w:space="0"/>
              <w:right w:val="single" w:color="auto" w:sz="6" w:space="0"/>
            </w:tcBorders>
            <w:vAlign w:val="center"/>
          </w:tcPr>
          <w:p w14:paraId="423E666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1080" w:type="dxa"/>
            <w:tcBorders>
              <w:top w:val="single" w:color="auto" w:sz="6" w:space="0"/>
              <w:left w:val="single" w:color="auto" w:sz="6" w:space="0"/>
              <w:bottom w:val="single" w:color="auto" w:sz="6" w:space="0"/>
              <w:right w:val="single" w:color="auto" w:sz="6" w:space="0"/>
            </w:tcBorders>
            <w:vAlign w:val="center"/>
          </w:tcPr>
          <w:p w14:paraId="5808AD8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60" w:type="dxa"/>
            <w:tcBorders>
              <w:top w:val="single" w:color="auto" w:sz="6" w:space="0"/>
              <w:left w:val="single" w:color="auto" w:sz="6" w:space="0"/>
              <w:bottom w:val="single" w:color="auto" w:sz="6" w:space="0"/>
              <w:right w:val="single" w:color="auto" w:sz="6" w:space="0"/>
            </w:tcBorders>
            <w:vAlign w:val="center"/>
          </w:tcPr>
          <w:p w14:paraId="08BAD8E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2308C52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响应时间</w:t>
            </w:r>
          </w:p>
        </w:tc>
        <w:tc>
          <w:tcPr>
            <w:tcW w:w="1111" w:type="dxa"/>
            <w:tcBorders>
              <w:top w:val="single" w:color="auto" w:sz="6" w:space="0"/>
              <w:left w:val="single" w:color="auto" w:sz="6" w:space="0"/>
              <w:bottom w:val="single" w:color="auto" w:sz="6" w:space="0"/>
              <w:right w:val="single" w:color="auto" w:sz="6" w:space="0"/>
            </w:tcBorders>
            <w:vAlign w:val="center"/>
          </w:tcPr>
          <w:p w14:paraId="4C22E77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到达现场时间</w:t>
            </w:r>
          </w:p>
        </w:tc>
      </w:tr>
      <w:tr w14:paraId="149E71D3">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tcPr>
          <w:p w14:paraId="7B9BCDD1">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EA7ACE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总协调人</w:t>
            </w:r>
          </w:p>
        </w:tc>
        <w:tc>
          <w:tcPr>
            <w:tcW w:w="787" w:type="dxa"/>
            <w:tcBorders>
              <w:top w:val="single" w:color="auto" w:sz="6" w:space="0"/>
              <w:left w:val="single" w:color="auto" w:sz="6" w:space="0"/>
              <w:bottom w:val="single" w:color="auto" w:sz="6" w:space="0"/>
              <w:right w:val="single" w:color="auto" w:sz="6" w:space="0"/>
            </w:tcBorders>
          </w:tcPr>
          <w:p w14:paraId="1DD7A7F7">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0AC47D9">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82BB0D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714761">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A134E99">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58E7598">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CADBE9">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2557ADF">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3F9C4176">
            <w:pPr>
              <w:wordWrap w:val="0"/>
              <w:autoSpaceDE w:val="0"/>
              <w:autoSpaceDN w:val="0"/>
              <w:spacing w:line="360" w:lineRule="auto"/>
              <w:rPr>
                <w:rFonts w:hint="eastAsia" w:ascii="宋体" w:hAnsi="宋体" w:cs="宋体"/>
                <w:color w:val="auto"/>
                <w:sz w:val="24"/>
                <w:highlight w:val="none"/>
              </w:rPr>
            </w:pPr>
          </w:p>
        </w:tc>
      </w:tr>
      <w:tr w14:paraId="1706A606">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5BA33FDC">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5D70F02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售后人员</w:t>
            </w:r>
          </w:p>
        </w:tc>
        <w:tc>
          <w:tcPr>
            <w:tcW w:w="787" w:type="dxa"/>
            <w:tcBorders>
              <w:top w:val="single" w:color="auto" w:sz="6" w:space="0"/>
              <w:left w:val="single" w:color="auto" w:sz="6" w:space="0"/>
              <w:bottom w:val="single" w:color="auto" w:sz="6" w:space="0"/>
              <w:right w:val="single" w:color="auto" w:sz="6" w:space="0"/>
            </w:tcBorders>
          </w:tcPr>
          <w:p w14:paraId="679E92B1">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590777BD">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183451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6BAD8C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964257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481EAAC">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5963CCF2">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5974623">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1C4F66A0">
            <w:pPr>
              <w:wordWrap w:val="0"/>
              <w:autoSpaceDE w:val="0"/>
              <w:autoSpaceDN w:val="0"/>
              <w:spacing w:line="360" w:lineRule="auto"/>
              <w:rPr>
                <w:rFonts w:hint="eastAsia" w:ascii="宋体" w:hAnsi="宋体" w:cs="宋体"/>
                <w:color w:val="auto"/>
                <w:sz w:val="24"/>
                <w:highlight w:val="none"/>
              </w:rPr>
            </w:pPr>
          </w:p>
        </w:tc>
      </w:tr>
      <w:tr w14:paraId="58B52565">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0477A3DE">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34C3ADA1">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65062B9">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0840CD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4E42DF9C">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B1B6D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79F524D">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4DBFCF2">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B2F934A">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C2A65D1">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6477562">
            <w:pPr>
              <w:wordWrap w:val="0"/>
              <w:autoSpaceDE w:val="0"/>
              <w:autoSpaceDN w:val="0"/>
              <w:spacing w:line="360" w:lineRule="auto"/>
              <w:rPr>
                <w:rFonts w:hint="eastAsia" w:ascii="宋体" w:hAnsi="宋体" w:cs="宋体"/>
                <w:color w:val="auto"/>
                <w:sz w:val="24"/>
                <w:highlight w:val="none"/>
              </w:rPr>
            </w:pPr>
          </w:p>
        </w:tc>
      </w:tr>
      <w:tr w14:paraId="7BBC8C9D">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tcPr>
          <w:p w14:paraId="6F0135D5">
            <w:pPr>
              <w:wordWrap w:val="0"/>
              <w:autoSpaceDE w:val="0"/>
              <w:autoSpaceDN w:val="0"/>
              <w:spacing w:line="360" w:lineRule="auto"/>
              <w:jc w:val="center"/>
              <w:rPr>
                <w:rFonts w:hint="eastAsia" w:ascii="宋体" w:hAnsi="宋体" w:cs="宋体"/>
                <w:color w:val="auto"/>
                <w:sz w:val="24"/>
                <w:highlight w:val="none"/>
              </w:rPr>
            </w:pPr>
          </w:p>
        </w:tc>
        <w:tc>
          <w:tcPr>
            <w:tcW w:w="746" w:type="dxa"/>
            <w:tcBorders>
              <w:top w:val="single" w:color="auto" w:sz="6" w:space="0"/>
              <w:left w:val="single" w:color="auto" w:sz="4" w:space="0"/>
              <w:bottom w:val="single" w:color="auto" w:sz="6" w:space="0"/>
              <w:right w:val="single" w:color="auto" w:sz="6" w:space="0"/>
            </w:tcBorders>
          </w:tcPr>
          <w:p w14:paraId="1C6CA9E4">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6B7253A4">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4221CF0">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6DCD1D97">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442B87A2">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1E5ABA0">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A1257FC">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1BD6631">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2BF4B93A">
            <w:pPr>
              <w:wordWrap w:val="0"/>
              <w:autoSpaceDE w:val="0"/>
              <w:autoSpaceDN w:val="0"/>
              <w:spacing w:line="360" w:lineRule="auto"/>
              <w:rPr>
                <w:rFonts w:hint="eastAsia" w:ascii="宋体" w:hAnsi="宋体" w:cs="宋体"/>
                <w:color w:val="auto"/>
                <w:sz w:val="24"/>
                <w:highlight w:val="none"/>
              </w:rPr>
            </w:pPr>
          </w:p>
        </w:tc>
        <w:tc>
          <w:tcPr>
            <w:tcW w:w="1111" w:type="dxa"/>
            <w:tcBorders>
              <w:top w:val="single" w:color="auto" w:sz="6" w:space="0"/>
              <w:left w:val="single" w:color="auto" w:sz="6" w:space="0"/>
              <w:bottom w:val="single" w:color="auto" w:sz="6" w:space="0"/>
              <w:right w:val="single" w:color="auto" w:sz="6" w:space="0"/>
            </w:tcBorders>
          </w:tcPr>
          <w:p w14:paraId="40D76CF2">
            <w:pPr>
              <w:wordWrap w:val="0"/>
              <w:autoSpaceDE w:val="0"/>
              <w:autoSpaceDN w:val="0"/>
              <w:spacing w:line="360" w:lineRule="auto"/>
              <w:rPr>
                <w:rFonts w:hint="eastAsia" w:ascii="宋体" w:hAnsi="宋体" w:cs="宋体"/>
                <w:color w:val="auto"/>
                <w:sz w:val="24"/>
                <w:highlight w:val="none"/>
              </w:rPr>
            </w:pPr>
          </w:p>
        </w:tc>
      </w:tr>
    </w:tbl>
    <w:p w14:paraId="78E8FC3C">
      <w:pPr>
        <w:wordWrap w:val="0"/>
        <w:snapToGrid w:val="0"/>
        <w:spacing w:line="360" w:lineRule="auto"/>
        <w:ind w:left="142"/>
        <w:jc w:val="center"/>
        <w:rPr>
          <w:rFonts w:hint="eastAsia" w:ascii="宋体" w:hAnsi="宋体" w:cs="宋体"/>
          <w:b/>
          <w:color w:val="auto"/>
          <w:sz w:val="32"/>
          <w:szCs w:val="32"/>
          <w:highlight w:val="none"/>
        </w:rPr>
      </w:pPr>
    </w:p>
    <w:p w14:paraId="2D02D9D3">
      <w:pPr>
        <w:wordWrap w:val="0"/>
        <w:snapToGrid w:val="0"/>
        <w:spacing w:line="360" w:lineRule="auto"/>
        <w:ind w:right="480" w:firstLine="3967" w:firstLineChars="1653"/>
        <w:rPr>
          <w:rFonts w:hint="eastAsia" w:ascii="宋体" w:hAnsi="宋体" w:cs="宋体"/>
          <w:color w:val="auto"/>
          <w:sz w:val="24"/>
          <w:highlight w:val="none"/>
        </w:rPr>
      </w:pPr>
    </w:p>
    <w:p w14:paraId="7A93A8AA">
      <w:pPr>
        <w:wordWrap w:val="0"/>
        <w:snapToGrid w:val="0"/>
        <w:spacing w:line="360" w:lineRule="auto"/>
        <w:ind w:firstLine="5160" w:firstLineChars="215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49A6FA42">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1FE7F344">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30ED0925">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四、项目实施人员一览表（如有）</w:t>
      </w:r>
    </w:p>
    <w:p w14:paraId="392BAA00">
      <w:pPr>
        <w:wordWrap w:val="0"/>
        <w:spacing w:line="360" w:lineRule="auto"/>
        <w:jc w:val="center"/>
        <w:rPr>
          <w:rFonts w:hint="eastAsia" w:ascii="宋体" w:hAnsi="宋体" w:cs="宋体"/>
          <w:b/>
          <w:bCs/>
          <w:color w:val="auto"/>
          <w:sz w:val="24"/>
          <w:highlight w:val="none"/>
        </w:rPr>
      </w:pPr>
      <w:r>
        <w:rPr>
          <w:rFonts w:hint="eastAsia" w:ascii="宋体" w:hAnsi="宋体" w:cs="宋体"/>
          <w:color w:val="auto"/>
          <w:sz w:val="24"/>
          <w:highlight w:val="none"/>
        </w:rPr>
        <w:t>（由投标人根据采购需求及招标文件要求编制）</w:t>
      </w:r>
    </w:p>
    <w:p w14:paraId="4FDB130D">
      <w:pPr>
        <w:pStyle w:val="14"/>
        <w:wordWrap w:val="0"/>
        <w:spacing w:line="360" w:lineRule="auto"/>
        <w:rPr>
          <w:rFonts w:hint="eastAsia" w:hAnsi="宋体" w:cs="宋体"/>
          <w:color w:val="auto"/>
          <w:sz w:val="24"/>
          <w:szCs w:val="24"/>
          <w:highlight w:val="none"/>
        </w:rPr>
      </w:pPr>
      <w:r>
        <w:rPr>
          <w:rFonts w:hint="eastAsia" w:hAnsi="宋体" w:cs="宋体"/>
          <w:color w:val="auto"/>
          <w:sz w:val="24"/>
          <w:szCs w:val="24"/>
          <w:highlight w:val="none"/>
        </w:rPr>
        <w:t>所投分标：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658ACE60">
      <w:pPr>
        <w:keepNext/>
        <w:wordWrap w:val="0"/>
        <w:autoSpaceDE w:val="0"/>
        <w:autoSpaceDN w:val="0"/>
        <w:spacing w:line="360" w:lineRule="auto"/>
        <w:ind w:firstLine="477"/>
        <w:rPr>
          <w:rFonts w:hint="eastAsia"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6748C9EE">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vAlign w:val="center"/>
          </w:tcPr>
          <w:p w14:paraId="25A9B77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394B228F">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0742F5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3082301">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投标截止时间前三年业绩及承担的主要工作情况，曾担任项目经理的项目应列明细</w:t>
            </w:r>
          </w:p>
        </w:tc>
      </w:tr>
      <w:tr w14:paraId="131534A9">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17A5B50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vAlign w:val="center"/>
          </w:tcPr>
          <w:p w14:paraId="1C3DE15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838C259">
            <w:pPr>
              <w:wordWrap w:val="0"/>
              <w:autoSpaceDE w:val="0"/>
              <w:autoSpaceDN w:val="0"/>
              <w:spacing w:line="360" w:lineRule="auto"/>
              <w:jc w:val="center"/>
              <w:rPr>
                <w:rFonts w:hint="eastAsia"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71FD65E0">
            <w:pPr>
              <w:wordWrap w:val="0"/>
              <w:autoSpaceDE w:val="0"/>
              <w:autoSpaceDN w:val="0"/>
              <w:spacing w:line="360" w:lineRule="auto"/>
              <w:jc w:val="center"/>
              <w:rPr>
                <w:rFonts w:hint="eastAsia" w:ascii="宋体" w:hAnsi="宋体" w:cs="宋体"/>
                <w:color w:val="auto"/>
                <w:sz w:val="24"/>
                <w:highlight w:val="none"/>
              </w:rPr>
            </w:pPr>
          </w:p>
        </w:tc>
      </w:tr>
      <w:tr w14:paraId="669B5394">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vAlign w:val="center"/>
          </w:tcPr>
          <w:p w14:paraId="048A7C0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vAlign w:val="center"/>
          </w:tcPr>
          <w:p w14:paraId="7D55E440">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E8FE5F4">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D2F119C">
            <w:pPr>
              <w:widowControl/>
              <w:wordWrap w:val="0"/>
              <w:spacing w:line="360" w:lineRule="auto"/>
              <w:jc w:val="left"/>
              <w:rPr>
                <w:rFonts w:hint="eastAsia" w:ascii="宋体" w:hAnsi="宋体" w:cs="宋体"/>
                <w:color w:val="auto"/>
                <w:sz w:val="24"/>
                <w:highlight w:val="none"/>
              </w:rPr>
            </w:pPr>
          </w:p>
        </w:tc>
      </w:tr>
      <w:tr w14:paraId="588758FC">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314881FD">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340B40E2">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E2A2877">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020807E7">
            <w:pPr>
              <w:widowControl/>
              <w:wordWrap w:val="0"/>
              <w:spacing w:line="360" w:lineRule="auto"/>
              <w:jc w:val="left"/>
              <w:rPr>
                <w:rFonts w:hint="eastAsia" w:ascii="宋体" w:hAnsi="宋体" w:cs="宋体"/>
                <w:color w:val="auto"/>
                <w:sz w:val="24"/>
                <w:highlight w:val="none"/>
              </w:rPr>
            </w:pPr>
          </w:p>
        </w:tc>
      </w:tr>
      <w:tr w14:paraId="3D844C5F">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EDA861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7E8FF573">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2380C46">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816B51">
            <w:pPr>
              <w:widowControl/>
              <w:wordWrap w:val="0"/>
              <w:spacing w:line="360" w:lineRule="auto"/>
              <w:jc w:val="left"/>
              <w:rPr>
                <w:rFonts w:hint="eastAsia" w:ascii="宋体" w:hAnsi="宋体" w:cs="宋体"/>
                <w:color w:val="auto"/>
                <w:sz w:val="24"/>
                <w:highlight w:val="none"/>
              </w:rPr>
            </w:pPr>
          </w:p>
        </w:tc>
      </w:tr>
      <w:tr w14:paraId="53619713">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4EF3477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229B216C">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E7CDEFB">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3E3949A">
            <w:pPr>
              <w:widowControl/>
              <w:wordWrap w:val="0"/>
              <w:spacing w:line="360" w:lineRule="auto"/>
              <w:jc w:val="left"/>
              <w:rPr>
                <w:rFonts w:hint="eastAsia" w:ascii="宋体" w:hAnsi="宋体" w:cs="宋体"/>
                <w:color w:val="auto"/>
                <w:sz w:val="24"/>
                <w:highlight w:val="none"/>
              </w:rPr>
            </w:pPr>
          </w:p>
        </w:tc>
      </w:tr>
      <w:tr w14:paraId="179B4646">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22A9BA3A">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71781C81">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1FA1756">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2DACE4BC">
            <w:pPr>
              <w:widowControl/>
              <w:wordWrap w:val="0"/>
              <w:spacing w:line="360" w:lineRule="auto"/>
              <w:jc w:val="left"/>
              <w:rPr>
                <w:rFonts w:hint="eastAsia" w:ascii="宋体" w:hAnsi="宋体" w:cs="宋体"/>
                <w:color w:val="auto"/>
                <w:sz w:val="24"/>
                <w:highlight w:val="none"/>
              </w:rPr>
            </w:pPr>
          </w:p>
        </w:tc>
      </w:tr>
      <w:tr w14:paraId="599D2F17">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428547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3CEFBA79">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2833AE3">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C17CF4B">
            <w:pPr>
              <w:widowControl/>
              <w:wordWrap w:val="0"/>
              <w:spacing w:line="360" w:lineRule="auto"/>
              <w:jc w:val="left"/>
              <w:rPr>
                <w:rFonts w:hint="eastAsia" w:ascii="宋体" w:hAnsi="宋体" w:cs="宋体"/>
                <w:color w:val="auto"/>
                <w:sz w:val="24"/>
                <w:highlight w:val="none"/>
              </w:rPr>
            </w:pPr>
          </w:p>
        </w:tc>
      </w:tr>
      <w:tr w14:paraId="1FDDA20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27F5ACE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3880AC6A">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0DCC40">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1831429C">
            <w:pPr>
              <w:widowControl/>
              <w:wordWrap w:val="0"/>
              <w:spacing w:line="360" w:lineRule="auto"/>
              <w:jc w:val="left"/>
              <w:rPr>
                <w:rFonts w:hint="eastAsia" w:ascii="宋体" w:hAnsi="宋体" w:cs="宋体"/>
                <w:color w:val="auto"/>
                <w:sz w:val="24"/>
                <w:highlight w:val="none"/>
              </w:rPr>
            </w:pPr>
          </w:p>
        </w:tc>
      </w:tr>
      <w:tr w14:paraId="7840B1F8">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vAlign w:val="center"/>
          </w:tcPr>
          <w:p w14:paraId="3D6D431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vAlign w:val="center"/>
          </w:tcPr>
          <w:p w14:paraId="552C2FD5">
            <w:pPr>
              <w:wordWrap w:val="0"/>
              <w:autoSpaceDE w:val="0"/>
              <w:autoSpaceDN w:val="0"/>
              <w:spacing w:line="360" w:lineRule="auto"/>
              <w:jc w:val="center"/>
              <w:rPr>
                <w:rFonts w:hint="eastAsia"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11137C22">
            <w:pPr>
              <w:wordWrap w:val="0"/>
              <w:autoSpaceDE w:val="0"/>
              <w:autoSpaceDN w:val="0"/>
              <w:spacing w:line="360" w:lineRule="auto"/>
              <w:jc w:val="center"/>
              <w:rPr>
                <w:rFonts w:hint="eastAsia"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801FAB7">
            <w:pPr>
              <w:widowControl/>
              <w:wordWrap w:val="0"/>
              <w:spacing w:line="360" w:lineRule="auto"/>
              <w:jc w:val="left"/>
              <w:rPr>
                <w:rFonts w:hint="eastAsia" w:ascii="宋体" w:hAnsi="宋体" w:cs="宋体"/>
                <w:color w:val="auto"/>
                <w:sz w:val="24"/>
                <w:highlight w:val="none"/>
              </w:rPr>
            </w:pPr>
          </w:p>
        </w:tc>
      </w:tr>
    </w:tbl>
    <w:p w14:paraId="4F6E81FF">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275D6BBD">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附表B:本项目的项目小组人员情况表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2ED4C5F1">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4C6D8CA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80BDCE2">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E38B459">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55F5C95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6AFF010F">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p w14:paraId="08BCA5EC">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C41975E">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专业</w:t>
            </w:r>
          </w:p>
          <w:p w14:paraId="2114895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4018520B">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w:t>
            </w:r>
          </w:p>
          <w:p w14:paraId="37C383D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6287397">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0B3C321">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6D46220">
            <w:pPr>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参与本项目的到位情况</w:t>
            </w:r>
          </w:p>
        </w:tc>
      </w:tr>
      <w:tr w14:paraId="74AA7383">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38632CBD">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20D08BE4">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3AEDFF31">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142448C1">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747C2E4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B2C1158">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71B1A3E">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1ED6D84E">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E6BD96F">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14BBD472">
            <w:pPr>
              <w:wordWrap w:val="0"/>
              <w:autoSpaceDE w:val="0"/>
              <w:autoSpaceDN w:val="0"/>
              <w:spacing w:line="360" w:lineRule="auto"/>
              <w:rPr>
                <w:rFonts w:hint="eastAsia" w:ascii="宋体" w:hAnsi="宋体" w:cs="宋体"/>
                <w:color w:val="auto"/>
                <w:sz w:val="24"/>
                <w:highlight w:val="none"/>
              </w:rPr>
            </w:pPr>
          </w:p>
        </w:tc>
      </w:tr>
      <w:tr w14:paraId="239AA3E4">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70A117C1">
            <w:pPr>
              <w:wordWrap w:val="0"/>
              <w:autoSpaceDE w:val="0"/>
              <w:autoSpaceDN w:val="0"/>
              <w:spacing w:line="360" w:lineRule="auto"/>
              <w:jc w:val="center"/>
              <w:rPr>
                <w:rFonts w:hint="eastAsia"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105209FF">
            <w:pPr>
              <w:wordWrap w:val="0"/>
              <w:autoSpaceDE w:val="0"/>
              <w:autoSpaceDN w:val="0"/>
              <w:spacing w:line="360" w:lineRule="auto"/>
              <w:rPr>
                <w:rFonts w:hint="eastAsia"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7F9AAA7">
            <w:pPr>
              <w:wordWrap w:val="0"/>
              <w:autoSpaceDE w:val="0"/>
              <w:autoSpaceDN w:val="0"/>
              <w:spacing w:line="360" w:lineRule="auto"/>
              <w:rPr>
                <w:rFonts w:hint="eastAsia"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656C337">
            <w:pPr>
              <w:wordWrap w:val="0"/>
              <w:autoSpaceDE w:val="0"/>
              <w:autoSpaceDN w:val="0"/>
              <w:spacing w:line="360" w:lineRule="auto"/>
              <w:rPr>
                <w:rFonts w:hint="eastAsia"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2A3176B">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E32DDBF">
            <w:pPr>
              <w:wordWrap w:val="0"/>
              <w:autoSpaceDE w:val="0"/>
              <w:autoSpaceDN w:val="0"/>
              <w:spacing w:line="360" w:lineRule="auto"/>
              <w:rPr>
                <w:rFonts w:hint="eastAsia"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3960F12B">
            <w:pPr>
              <w:wordWrap w:val="0"/>
              <w:autoSpaceDE w:val="0"/>
              <w:autoSpaceDN w:val="0"/>
              <w:spacing w:line="360" w:lineRule="auto"/>
              <w:rPr>
                <w:rFonts w:hint="eastAsia"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9E5F042">
            <w:pPr>
              <w:wordWrap w:val="0"/>
              <w:autoSpaceDE w:val="0"/>
              <w:autoSpaceDN w:val="0"/>
              <w:spacing w:line="360" w:lineRule="auto"/>
              <w:rPr>
                <w:rFonts w:hint="eastAsia"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08C0448D">
            <w:pPr>
              <w:wordWrap w:val="0"/>
              <w:autoSpaceDE w:val="0"/>
              <w:autoSpaceDN w:val="0"/>
              <w:spacing w:line="360" w:lineRule="auto"/>
              <w:rPr>
                <w:rFonts w:hint="eastAsia"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59029B9C">
            <w:pPr>
              <w:wordWrap w:val="0"/>
              <w:autoSpaceDE w:val="0"/>
              <w:autoSpaceDN w:val="0"/>
              <w:spacing w:line="360" w:lineRule="auto"/>
              <w:rPr>
                <w:rFonts w:hint="eastAsia" w:ascii="宋体" w:hAnsi="宋体" w:cs="宋体"/>
                <w:color w:val="auto"/>
                <w:sz w:val="24"/>
                <w:highlight w:val="none"/>
              </w:rPr>
            </w:pPr>
          </w:p>
        </w:tc>
      </w:tr>
    </w:tbl>
    <w:p w14:paraId="3A386E4C">
      <w:pPr>
        <w:wordWrap w:val="0"/>
        <w:spacing w:line="360" w:lineRule="auto"/>
        <w:rPr>
          <w:rFonts w:hint="eastAsia" w:ascii="宋体" w:hAnsi="宋体" w:cs="宋体"/>
          <w:b/>
          <w:bCs/>
          <w:color w:val="auto"/>
          <w:sz w:val="24"/>
          <w:highlight w:val="none"/>
        </w:rPr>
      </w:pPr>
      <w:r>
        <w:rPr>
          <w:rFonts w:hint="eastAsia" w:ascii="宋体" w:hAnsi="宋体" w:cs="宋体"/>
          <w:b/>
          <w:color w:val="auto"/>
          <w:sz w:val="24"/>
          <w:highlight w:val="none"/>
        </w:rPr>
        <w:t>注：投标人可按上述的格式自行编制，须随表提交相应的证书复印件并注明所在投标技术文件页码。</w:t>
      </w:r>
    </w:p>
    <w:p w14:paraId="25B7D0F7">
      <w:pPr>
        <w:wordWrap w:val="0"/>
        <w:snapToGrid w:val="0"/>
        <w:spacing w:line="360" w:lineRule="auto"/>
        <w:ind w:firstLine="4320" w:firstLineChars="18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3C551258">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513B110">
      <w:pPr>
        <w:wordWrap w:val="0"/>
        <w:snapToGrid w:val="0"/>
        <w:spacing w:line="360" w:lineRule="auto"/>
        <w:rPr>
          <w:rFonts w:hint="eastAsia" w:ascii="宋体" w:hAnsi="宋体" w:cs="宋体"/>
          <w:color w:val="auto"/>
          <w:sz w:val="24"/>
          <w:highlight w:val="none"/>
        </w:rPr>
      </w:pPr>
    </w:p>
    <w:p w14:paraId="3244B98C">
      <w:pPr>
        <w:wordWrap w:val="0"/>
        <w:snapToGrid w:val="0"/>
        <w:spacing w:line="360" w:lineRule="auto"/>
        <w:jc w:val="left"/>
        <w:rPr>
          <w:rFonts w:hint="eastAsia" w:ascii="宋体" w:hAnsi="宋体" w:cs="宋体"/>
          <w:color w:val="auto"/>
          <w:sz w:val="24"/>
          <w:highlight w:val="none"/>
        </w:rPr>
      </w:pPr>
      <w:r>
        <w:rPr>
          <w:rFonts w:hint="eastAsia" w:ascii="宋体" w:hAnsi="宋体" w:cs="宋体"/>
          <w:b/>
          <w:color w:val="auto"/>
          <w:sz w:val="24"/>
          <w:highlight w:val="none"/>
        </w:rPr>
        <w:br w:type="page"/>
      </w:r>
      <w:r>
        <w:rPr>
          <w:rFonts w:hint="eastAsia" w:ascii="宋体" w:hAnsi="宋体" w:cs="宋体"/>
          <w:color w:val="auto"/>
          <w:sz w:val="24"/>
          <w:highlight w:val="none"/>
        </w:rPr>
        <w:t xml:space="preserve"> </w:t>
      </w:r>
    </w:p>
    <w:p w14:paraId="4095CBCD">
      <w:pPr>
        <w:wordWrap w:val="0"/>
        <w:snapToGrid w:val="0"/>
        <w:spacing w:line="360" w:lineRule="auto"/>
        <w:ind w:left="142"/>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五、投标人对项目的合理化建议和改进措施（如有）</w:t>
      </w:r>
    </w:p>
    <w:p w14:paraId="1A3CD7BD">
      <w:pPr>
        <w:wordWrap w:val="0"/>
        <w:spacing w:line="360" w:lineRule="auto"/>
        <w:ind w:firstLine="4048" w:firstLineChars="1687"/>
        <w:rPr>
          <w:rFonts w:hint="eastAsia" w:ascii="宋体" w:hAnsi="宋体" w:cs="宋体"/>
          <w:color w:val="auto"/>
          <w:sz w:val="24"/>
          <w:highlight w:val="none"/>
        </w:rPr>
      </w:pPr>
      <w:r>
        <w:rPr>
          <w:rFonts w:hint="eastAsia" w:ascii="宋体" w:hAnsi="宋体" w:cs="宋体"/>
          <w:color w:val="auto"/>
          <w:sz w:val="24"/>
          <w:highlight w:val="none"/>
        </w:rPr>
        <w:t>（格式自拟）</w:t>
      </w:r>
    </w:p>
    <w:p w14:paraId="54EADAE9">
      <w:pPr>
        <w:wordWrap w:val="0"/>
        <w:snapToGrid w:val="0"/>
        <w:spacing w:line="360" w:lineRule="auto"/>
        <w:ind w:firstLine="4935" w:firstLineChars="2350"/>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52F0179E">
      <w:pPr>
        <w:wordWrap w:val="0"/>
        <w:snapToGrid w:val="0"/>
        <w:spacing w:line="360" w:lineRule="auto"/>
        <w:ind w:firstLine="4935" w:firstLineChars="2350"/>
        <w:rPr>
          <w:rFonts w:hint="eastAsia" w:ascii="宋体" w:hAnsi="宋体" w:cs="宋体"/>
          <w:color w:val="auto"/>
          <w:szCs w:val="21"/>
          <w:highlight w:val="none"/>
        </w:rPr>
      </w:pPr>
    </w:p>
    <w:p w14:paraId="5410DC7C">
      <w:pPr>
        <w:wordWrap w:val="0"/>
        <w:snapToGrid w:val="0"/>
        <w:spacing w:line="360" w:lineRule="auto"/>
        <w:ind w:firstLine="4935" w:firstLineChars="2350"/>
        <w:rPr>
          <w:rFonts w:hint="eastAsia" w:ascii="宋体" w:hAnsi="宋体" w:cs="宋体"/>
          <w:color w:val="auto"/>
          <w:szCs w:val="21"/>
          <w:highlight w:val="none"/>
        </w:rPr>
      </w:pPr>
    </w:p>
    <w:p w14:paraId="6935373C">
      <w:pPr>
        <w:wordWrap w:val="0"/>
        <w:snapToGrid w:val="0"/>
        <w:spacing w:line="360" w:lineRule="auto"/>
        <w:ind w:firstLine="4935" w:firstLineChars="2350"/>
        <w:rPr>
          <w:rFonts w:hint="eastAsia" w:ascii="宋体" w:hAnsi="宋体" w:cs="宋体"/>
          <w:color w:val="auto"/>
          <w:szCs w:val="21"/>
          <w:highlight w:val="none"/>
        </w:rPr>
      </w:pPr>
    </w:p>
    <w:p w14:paraId="62181C1F">
      <w:pPr>
        <w:wordWrap w:val="0"/>
        <w:snapToGrid w:val="0"/>
        <w:spacing w:line="360" w:lineRule="auto"/>
        <w:ind w:firstLine="4935" w:firstLineChars="2350"/>
        <w:rPr>
          <w:rFonts w:hint="eastAsia"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投标人名称(电子签章)：</w:t>
      </w:r>
    </w:p>
    <w:p w14:paraId="2CA2734A">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F0484E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六、优惠条件及特殊承诺（如有）</w:t>
      </w:r>
    </w:p>
    <w:p w14:paraId="39493063">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1CE80B1">
      <w:pPr>
        <w:wordWrap w:val="0"/>
        <w:spacing w:line="360" w:lineRule="auto"/>
        <w:jc w:val="center"/>
        <w:rPr>
          <w:rFonts w:hint="eastAsia" w:ascii="宋体" w:hAnsi="宋体" w:cs="宋体"/>
          <w:color w:val="auto"/>
          <w:sz w:val="18"/>
          <w:szCs w:val="18"/>
          <w:highlight w:val="none"/>
        </w:rPr>
      </w:pPr>
    </w:p>
    <w:p w14:paraId="7FD7D1A7">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C2357C7">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4C7C4FE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七、备品备件及供选择的配套零部件清单（如有）</w:t>
      </w:r>
    </w:p>
    <w:p w14:paraId="01DEB7F4">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31E037F">
      <w:pPr>
        <w:wordWrap w:val="0"/>
        <w:autoSpaceDE w:val="0"/>
        <w:autoSpaceDN w:val="0"/>
        <w:spacing w:line="360" w:lineRule="auto"/>
        <w:ind w:firstLine="4440" w:firstLineChars="1850"/>
        <w:rPr>
          <w:rFonts w:hint="eastAsia" w:ascii="宋体" w:hAnsi="宋体" w:cs="宋体"/>
          <w:color w:val="auto"/>
          <w:kern w:val="0"/>
          <w:sz w:val="24"/>
          <w:highlight w:val="none"/>
        </w:rPr>
      </w:pPr>
    </w:p>
    <w:p w14:paraId="2B43C3AD">
      <w:pPr>
        <w:wordWrap w:val="0"/>
        <w:autoSpaceDE w:val="0"/>
        <w:autoSpaceDN w:val="0"/>
        <w:spacing w:line="360" w:lineRule="auto"/>
        <w:ind w:firstLine="4440" w:firstLineChars="1850"/>
        <w:rPr>
          <w:rFonts w:hint="eastAsia"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w:t>
      </w:r>
    </w:p>
    <w:p w14:paraId="45F92336">
      <w:pPr>
        <w:wordWrap w:val="0"/>
        <w:autoSpaceDE w:val="0"/>
        <w:autoSpaceDN w:val="0"/>
        <w:spacing w:line="360" w:lineRule="auto"/>
        <w:rPr>
          <w:rFonts w:hint="eastAsia" w:ascii="宋体" w:hAnsi="宋体" w:cs="宋体"/>
          <w:b/>
          <w:bCs/>
          <w:color w:val="auto"/>
          <w:sz w:val="18"/>
          <w:szCs w:val="18"/>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6144C72D">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八、培训计划（如有）</w:t>
      </w:r>
    </w:p>
    <w:p w14:paraId="472AB390">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40A7B6B7">
      <w:pPr>
        <w:keepNext/>
        <w:wordWrap w:val="0"/>
        <w:autoSpaceDE w:val="0"/>
        <w:autoSpaceDN w:val="0"/>
        <w:spacing w:line="360" w:lineRule="auto"/>
        <w:ind w:firstLine="477"/>
        <w:jc w:val="left"/>
        <w:rPr>
          <w:rFonts w:hint="eastAsia" w:ascii="宋体" w:hAnsi="宋体" w:cs="宋体"/>
          <w:b/>
          <w:color w:val="auto"/>
          <w:sz w:val="24"/>
          <w:highlight w:val="none"/>
        </w:rPr>
      </w:pPr>
      <w:r>
        <w:rPr>
          <w:rFonts w:hint="eastAsia" w:ascii="宋体" w:hAnsi="宋体" w:cs="宋体"/>
          <w:b/>
          <w:color w:val="auto"/>
          <w:sz w:val="24"/>
          <w:highlight w:val="none"/>
        </w:rPr>
        <w:t>附表: 培训日程及费用</w:t>
      </w:r>
    </w:p>
    <w:tbl>
      <w:tblPr>
        <w:tblStyle w:val="26"/>
        <w:tblW w:w="9000" w:type="dxa"/>
        <w:tblInd w:w="120" w:type="dxa"/>
        <w:tblLayout w:type="fixed"/>
        <w:tblCellMar>
          <w:top w:w="0" w:type="dxa"/>
          <w:left w:w="120" w:type="dxa"/>
          <w:bottom w:w="0" w:type="dxa"/>
          <w:right w:w="120" w:type="dxa"/>
        </w:tblCellMar>
      </w:tblPr>
      <w:tblGrid>
        <w:gridCol w:w="1806"/>
        <w:gridCol w:w="1254"/>
        <w:gridCol w:w="930"/>
        <w:gridCol w:w="953"/>
        <w:gridCol w:w="997"/>
        <w:gridCol w:w="1440"/>
        <w:gridCol w:w="1620"/>
      </w:tblGrid>
      <w:tr w14:paraId="2867C580">
        <w:tblPrEx>
          <w:tblCellMar>
            <w:top w:w="0" w:type="dxa"/>
            <w:left w:w="120" w:type="dxa"/>
            <w:bottom w:w="0" w:type="dxa"/>
            <w:right w:w="120" w:type="dxa"/>
          </w:tblCellMar>
        </w:tblPrEx>
        <w:trPr>
          <w:trHeight w:val="764" w:hRule="atLeast"/>
        </w:trPr>
        <w:tc>
          <w:tcPr>
            <w:tcW w:w="1806" w:type="dxa"/>
            <w:tcBorders>
              <w:top w:val="single" w:color="auto" w:sz="6" w:space="0"/>
              <w:left w:val="single" w:color="auto" w:sz="6" w:space="0"/>
              <w:bottom w:val="nil"/>
              <w:right w:val="nil"/>
            </w:tcBorders>
            <w:shd w:val="pct10" w:color="auto" w:fill="auto"/>
            <w:vAlign w:val="center"/>
          </w:tcPr>
          <w:p w14:paraId="52D5BD97">
            <w:pPr>
              <w:tabs>
                <w:tab w:val="center" w:pos="1690"/>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课程名称</w:t>
            </w:r>
          </w:p>
        </w:tc>
        <w:tc>
          <w:tcPr>
            <w:tcW w:w="1254" w:type="dxa"/>
            <w:tcBorders>
              <w:top w:val="single" w:color="auto" w:sz="6" w:space="0"/>
              <w:left w:val="single" w:color="auto" w:sz="6" w:space="0"/>
              <w:bottom w:val="nil"/>
              <w:right w:val="single" w:color="auto" w:sz="6" w:space="0"/>
            </w:tcBorders>
            <w:shd w:val="pct10" w:color="auto" w:fill="auto"/>
          </w:tcPr>
          <w:p w14:paraId="6F216F85">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提供的资料</w:t>
            </w:r>
          </w:p>
        </w:tc>
        <w:tc>
          <w:tcPr>
            <w:tcW w:w="930" w:type="dxa"/>
            <w:tcBorders>
              <w:top w:val="single" w:color="auto" w:sz="6" w:space="0"/>
              <w:left w:val="single" w:color="auto" w:sz="6" w:space="0"/>
              <w:bottom w:val="nil"/>
              <w:right w:val="nil"/>
            </w:tcBorders>
            <w:shd w:val="pct10" w:color="auto" w:fill="auto"/>
            <w:vAlign w:val="center"/>
          </w:tcPr>
          <w:p w14:paraId="7F879920">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持续时间</w:t>
            </w:r>
          </w:p>
        </w:tc>
        <w:tc>
          <w:tcPr>
            <w:tcW w:w="953" w:type="dxa"/>
            <w:tcBorders>
              <w:top w:val="single" w:color="auto" w:sz="6" w:space="0"/>
              <w:left w:val="single" w:color="auto" w:sz="6" w:space="0"/>
              <w:bottom w:val="nil"/>
              <w:right w:val="nil"/>
            </w:tcBorders>
            <w:shd w:val="pct10" w:color="auto" w:fill="auto"/>
            <w:vAlign w:val="center"/>
          </w:tcPr>
          <w:p w14:paraId="572D61DB">
            <w:pPr>
              <w:tabs>
                <w:tab w:val="center" w:pos="1028"/>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授课教师</w:t>
            </w:r>
          </w:p>
        </w:tc>
        <w:tc>
          <w:tcPr>
            <w:tcW w:w="997" w:type="dxa"/>
            <w:tcBorders>
              <w:top w:val="single" w:color="auto" w:sz="6" w:space="0"/>
              <w:left w:val="single" w:color="auto" w:sz="6" w:space="0"/>
              <w:bottom w:val="nil"/>
              <w:right w:val="nil"/>
            </w:tcBorders>
            <w:shd w:val="pct10" w:color="auto" w:fill="auto"/>
            <w:vAlign w:val="center"/>
          </w:tcPr>
          <w:p w14:paraId="521CFC70">
            <w:pPr>
              <w:tabs>
                <w:tab w:val="center" w:pos="595"/>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培训对象</w:t>
            </w:r>
          </w:p>
        </w:tc>
        <w:tc>
          <w:tcPr>
            <w:tcW w:w="1440" w:type="dxa"/>
            <w:tcBorders>
              <w:top w:val="single" w:color="auto" w:sz="6" w:space="0"/>
              <w:left w:val="single" w:color="auto" w:sz="6" w:space="0"/>
              <w:bottom w:val="nil"/>
              <w:right w:val="nil"/>
            </w:tcBorders>
            <w:shd w:val="pct10" w:color="auto" w:fill="auto"/>
            <w:vAlign w:val="center"/>
          </w:tcPr>
          <w:p w14:paraId="2203D93A">
            <w:pPr>
              <w:tabs>
                <w:tab w:val="center" w:pos="520"/>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培训地点</w:t>
            </w:r>
          </w:p>
        </w:tc>
        <w:tc>
          <w:tcPr>
            <w:tcW w:w="1620" w:type="dxa"/>
            <w:tcBorders>
              <w:top w:val="single" w:color="auto" w:sz="6" w:space="0"/>
              <w:left w:val="single" w:color="auto" w:sz="6" w:space="0"/>
              <w:bottom w:val="nil"/>
              <w:right w:val="single" w:color="auto" w:sz="6" w:space="0"/>
            </w:tcBorders>
            <w:shd w:val="pct10" w:color="auto" w:fill="auto"/>
            <w:vAlign w:val="center"/>
          </w:tcPr>
          <w:p w14:paraId="7159118D">
            <w:pPr>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课程费用</w:t>
            </w:r>
          </w:p>
        </w:tc>
      </w:tr>
      <w:tr w14:paraId="37323B87">
        <w:tblPrEx>
          <w:tblCellMar>
            <w:top w:w="0" w:type="dxa"/>
            <w:left w:w="120" w:type="dxa"/>
            <w:bottom w:w="0" w:type="dxa"/>
            <w:right w:w="120" w:type="dxa"/>
          </w:tblCellMar>
        </w:tblPrEx>
        <w:trPr>
          <w:trHeight w:val="281" w:hRule="atLeast"/>
        </w:trPr>
        <w:tc>
          <w:tcPr>
            <w:tcW w:w="1806" w:type="dxa"/>
            <w:tcBorders>
              <w:top w:val="single" w:color="auto" w:sz="6" w:space="0"/>
              <w:left w:val="single" w:color="auto" w:sz="6" w:space="0"/>
              <w:bottom w:val="nil"/>
              <w:right w:val="nil"/>
            </w:tcBorders>
          </w:tcPr>
          <w:p w14:paraId="3DBF7659">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0BB79228">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1B758181">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69AFD2E3">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25330B1B">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12616CAF">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284CFD1A">
            <w:pPr>
              <w:suppressAutoHyphens/>
              <w:wordWrap w:val="0"/>
              <w:autoSpaceDE w:val="0"/>
              <w:autoSpaceDN w:val="0"/>
              <w:spacing w:line="360" w:lineRule="auto"/>
              <w:rPr>
                <w:rFonts w:hint="eastAsia" w:ascii="宋体" w:hAnsi="宋体" w:cs="宋体"/>
                <w:color w:val="auto"/>
                <w:sz w:val="24"/>
                <w:highlight w:val="none"/>
              </w:rPr>
            </w:pPr>
          </w:p>
        </w:tc>
      </w:tr>
      <w:tr w14:paraId="146B31A1">
        <w:tblPrEx>
          <w:tblCellMar>
            <w:top w:w="0" w:type="dxa"/>
            <w:left w:w="120" w:type="dxa"/>
            <w:bottom w:w="0" w:type="dxa"/>
            <w:right w:w="120" w:type="dxa"/>
          </w:tblCellMar>
        </w:tblPrEx>
        <w:trPr>
          <w:trHeight w:val="273" w:hRule="atLeast"/>
        </w:trPr>
        <w:tc>
          <w:tcPr>
            <w:tcW w:w="1806" w:type="dxa"/>
            <w:tcBorders>
              <w:top w:val="single" w:color="auto" w:sz="6" w:space="0"/>
              <w:left w:val="single" w:color="auto" w:sz="6" w:space="0"/>
              <w:bottom w:val="nil"/>
              <w:right w:val="nil"/>
            </w:tcBorders>
          </w:tcPr>
          <w:p w14:paraId="476085A2">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rPr>
                <w:rFonts w:hint="eastAsia" w:ascii="宋体" w:hAnsi="宋体" w:cs="宋体"/>
                <w:color w:val="auto"/>
                <w:sz w:val="24"/>
                <w:highlight w:val="none"/>
              </w:rPr>
            </w:pPr>
          </w:p>
        </w:tc>
        <w:tc>
          <w:tcPr>
            <w:tcW w:w="1254" w:type="dxa"/>
            <w:tcBorders>
              <w:top w:val="single" w:color="auto" w:sz="6" w:space="0"/>
              <w:left w:val="single" w:color="auto" w:sz="6" w:space="0"/>
              <w:bottom w:val="nil"/>
              <w:right w:val="single" w:color="auto" w:sz="6" w:space="0"/>
            </w:tcBorders>
          </w:tcPr>
          <w:p w14:paraId="4097CCFF">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nil"/>
              <w:right w:val="nil"/>
            </w:tcBorders>
          </w:tcPr>
          <w:p w14:paraId="70DB5042">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nil"/>
              <w:right w:val="nil"/>
            </w:tcBorders>
          </w:tcPr>
          <w:p w14:paraId="41103D72">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nil"/>
              <w:right w:val="nil"/>
            </w:tcBorders>
          </w:tcPr>
          <w:p w14:paraId="29717CA3">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nil"/>
              <w:right w:val="nil"/>
            </w:tcBorders>
          </w:tcPr>
          <w:p w14:paraId="74E1C458">
            <w:pPr>
              <w:tabs>
                <w:tab w:val="left" w:pos="7"/>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nil"/>
              <w:right w:val="single" w:color="auto" w:sz="6" w:space="0"/>
            </w:tcBorders>
          </w:tcPr>
          <w:p w14:paraId="60C11356">
            <w:pPr>
              <w:suppressAutoHyphens/>
              <w:wordWrap w:val="0"/>
              <w:autoSpaceDE w:val="0"/>
              <w:autoSpaceDN w:val="0"/>
              <w:spacing w:line="360" w:lineRule="auto"/>
              <w:rPr>
                <w:rFonts w:hint="eastAsia" w:ascii="宋体" w:hAnsi="宋体" w:cs="宋体"/>
                <w:color w:val="auto"/>
                <w:sz w:val="24"/>
                <w:highlight w:val="none"/>
              </w:rPr>
            </w:pPr>
          </w:p>
        </w:tc>
      </w:tr>
      <w:tr w14:paraId="58F5466C">
        <w:tblPrEx>
          <w:tblCellMar>
            <w:top w:w="0" w:type="dxa"/>
            <w:left w:w="120" w:type="dxa"/>
            <w:bottom w:w="0" w:type="dxa"/>
            <w:right w:w="120" w:type="dxa"/>
          </w:tblCellMar>
        </w:tblPrEx>
        <w:trPr>
          <w:trHeight w:val="110" w:hRule="atLeast"/>
        </w:trPr>
        <w:tc>
          <w:tcPr>
            <w:tcW w:w="1806" w:type="dxa"/>
            <w:tcBorders>
              <w:top w:val="single" w:color="auto" w:sz="6" w:space="0"/>
              <w:left w:val="single" w:color="auto" w:sz="6" w:space="0"/>
              <w:bottom w:val="single" w:color="auto" w:sz="6" w:space="0"/>
              <w:right w:val="single" w:color="auto" w:sz="6" w:space="0"/>
            </w:tcBorders>
            <w:vAlign w:val="center"/>
          </w:tcPr>
          <w:p w14:paraId="20A78ED4">
            <w:pPr>
              <w:tabs>
                <w:tab w:val="left" w:pos="589"/>
                <w:tab w:val="left" w:pos="1303"/>
                <w:tab w:val="left" w:pos="2017"/>
                <w:tab w:val="left" w:pos="2731"/>
                <w:tab w:val="left" w:pos="3445"/>
                <w:tab w:val="left" w:pos="4159"/>
                <w:tab w:val="left" w:pos="4873"/>
              </w:tabs>
              <w:suppressAutoHyphens/>
              <w:wordWrap w:val="0"/>
              <w:autoSpaceDE w:val="0"/>
              <w:autoSpaceDN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费用总计</w:t>
            </w:r>
          </w:p>
        </w:tc>
        <w:tc>
          <w:tcPr>
            <w:tcW w:w="1254" w:type="dxa"/>
            <w:tcBorders>
              <w:top w:val="single" w:color="auto" w:sz="6" w:space="0"/>
              <w:left w:val="single" w:color="auto" w:sz="6" w:space="0"/>
              <w:bottom w:val="single" w:color="auto" w:sz="6" w:space="0"/>
              <w:right w:val="single" w:color="auto" w:sz="6" w:space="0"/>
            </w:tcBorders>
          </w:tcPr>
          <w:p w14:paraId="331FB2FD">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30" w:type="dxa"/>
            <w:tcBorders>
              <w:top w:val="single" w:color="auto" w:sz="6" w:space="0"/>
              <w:left w:val="single" w:color="auto" w:sz="6" w:space="0"/>
              <w:bottom w:val="single" w:color="auto" w:sz="6" w:space="0"/>
              <w:right w:val="single" w:color="auto" w:sz="6" w:space="0"/>
            </w:tcBorders>
          </w:tcPr>
          <w:p w14:paraId="67A94D50">
            <w:pPr>
              <w:tabs>
                <w:tab w:val="left" w:pos="556"/>
                <w:tab w:val="left" w:pos="1270"/>
                <w:tab w:val="left" w:pos="1984"/>
                <w:tab w:val="left" w:pos="2698"/>
                <w:tab w:val="left" w:pos="3412"/>
                <w:tab w:val="left" w:pos="4126"/>
                <w:tab w:val="left" w:pos="4840"/>
                <w:tab w:val="left" w:pos="5622"/>
                <w:tab w:val="left" w:pos="6054"/>
              </w:tabs>
              <w:suppressAutoHyphens/>
              <w:wordWrap w:val="0"/>
              <w:autoSpaceDE w:val="0"/>
              <w:autoSpaceDN w:val="0"/>
              <w:spacing w:line="360" w:lineRule="auto"/>
              <w:rPr>
                <w:rFonts w:hint="eastAsia" w:ascii="宋体" w:hAnsi="宋体" w:cs="宋体"/>
                <w:color w:val="auto"/>
                <w:sz w:val="24"/>
                <w:highlight w:val="none"/>
              </w:rPr>
            </w:pPr>
          </w:p>
        </w:tc>
        <w:tc>
          <w:tcPr>
            <w:tcW w:w="953" w:type="dxa"/>
            <w:tcBorders>
              <w:top w:val="single" w:color="auto" w:sz="6" w:space="0"/>
              <w:left w:val="single" w:color="auto" w:sz="6" w:space="0"/>
              <w:bottom w:val="single" w:color="auto" w:sz="6" w:space="0"/>
              <w:right w:val="single" w:color="auto" w:sz="6" w:space="0"/>
            </w:tcBorders>
          </w:tcPr>
          <w:p w14:paraId="322AE925">
            <w:pPr>
              <w:tabs>
                <w:tab w:val="left" w:pos="573"/>
                <w:tab w:val="left" w:pos="1287"/>
                <w:tab w:val="left" w:pos="2001"/>
                <w:tab w:val="left" w:pos="2715"/>
                <w:tab w:val="left" w:pos="3429"/>
                <w:tab w:val="left" w:pos="4211"/>
                <w:tab w:val="left" w:pos="4643"/>
              </w:tabs>
              <w:suppressAutoHyphens/>
              <w:wordWrap w:val="0"/>
              <w:autoSpaceDE w:val="0"/>
              <w:autoSpaceDN w:val="0"/>
              <w:spacing w:line="360" w:lineRule="auto"/>
              <w:rPr>
                <w:rFonts w:hint="eastAsia" w:ascii="宋体" w:hAnsi="宋体" w:cs="宋体"/>
                <w:color w:val="auto"/>
                <w:sz w:val="24"/>
                <w:highlight w:val="none"/>
              </w:rPr>
            </w:pPr>
          </w:p>
        </w:tc>
        <w:tc>
          <w:tcPr>
            <w:tcW w:w="997" w:type="dxa"/>
            <w:tcBorders>
              <w:top w:val="single" w:color="auto" w:sz="6" w:space="0"/>
              <w:left w:val="single" w:color="auto" w:sz="6" w:space="0"/>
              <w:bottom w:val="single" w:color="auto" w:sz="6" w:space="0"/>
              <w:right w:val="single" w:color="auto" w:sz="6" w:space="0"/>
            </w:tcBorders>
          </w:tcPr>
          <w:p w14:paraId="5A279A2B">
            <w:pPr>
              <w:tabs>
                <w:tab w:val="left" w:pos="440"/>
                <w:tab w:val="left" w:pos="1154"/>
                <w:tab w:val="left" w:pos="1936"/>
                <w:tab w:val="left" w:pos="2368"/>
              </w:tabs>
              <w:suppressAutoHyphens/>
              <w:wordWrap w:val="0"/>
              <w:autoSpaceDE w:val="0"/>
              <w:autoSpaceDN w:val="0"/>
              <w:spacing w:line="360" w:lineRule="auto"/>
              <w:rPr>
                <w:rFonts w:hint="eastAsia" w:ascii="宋体" w:hAnsi="宋体" w:cs="宋体"/>
                <w:color w:val="auto"/>
                <w:sz w:val="24"/>
                <w:highlight w:val="none"/>
              </w:rPr>
            </w:pPr>
          </w:p>
        </w:tc>
        <w:tc>
          <w:tcPr>
            <w:tcW w:w="1440" w:type="dxa"/>
            <w:tcBorders>
              <w:top w:val="single" w:color="auto" w:sz="6" w:space="0"/>
              <w:left w:val="single" w:color="auto" w:sz="6" w:space="0"/>
              <w:bottom w:val="single" w:color="auto" w:sz="6" w:space="0"/>
              <w:right w:val="single" w:color="auto" w:sz="6" w:space="0"/>
            </w:tcBorders>
          </w:tcPr>
          <w:p w14:paraId="7D879538">
            <w:pPr>
              <w:tabs>
                <w:tab w:val="left" w:pos="7"/>
              </w:tabs>
              <w:suppressAutoHyphens/>
              <w:wordWrap w:val="0"/>
              <w:autoSpaceDE w:val="0"/>
              <w:autoSpaceDN w:val="0"/>
              <w:spacing w:line="360" w:lineRule="auto"/>
              <w:rPr>
                <w:rFonts w:hint="eastAsia" w:ascii="宋体" w:hAnsi="宋体" w:cs="宋体"/>
                <w:color w:val="auto"/>
                <w:sz w:val="24"/>
                <w:highlight w:val="none"/>
              </w:rPr>
            </w:pPr>
          </w:p>
        </w:tc>
        <w:tc>
          <w:tcPr>
            <w:tcW w:w="1620" w:type="dxa"/>
            <w:tcBorders>
              <w:top w:val="single" w:color="auto" w:sz="6" w:space="0"/>
              <w:left w:val="single" w:color="auto" w:sz="6" w:space="0"/>
              <w:bottom w:val="single" w:color="auto" w:sz="6" w:space="0"/>
              <w:right w:val="single" w:color="auto" w:sz="6" w:space="0"/>
            </w:tcBorders>
          </w:tcPr>
          <w:p w14:paraId="2BE62D57">
            <w:pPr>
              <w:suppressAutoHyphens/>
              <w:wordWrap w:val="0"/>
              <w:autoSpaceDE w:val="0"/>
              <w:autoSpaceDN w:val="0"/>
              <w:spacing w:line="360" w:lineRule="auto"/>
              <w:rPr>
                <w:rFonts w:hint="eastAsia" w:ascii="宋体" w:hAnsi="宋体" w:cs="宋体"/>
                <w:color w:val="auto"/>
                <w:sz w:val="24"/>
                <w:highlight w:val="none"/>
              </w:rPr>
            </w:pPr>
          </w:p>
        </w:tc>
      </w:tr>
    </w:tbl>
    <w:p w14:paraId="706D5857">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注解:A</w:t>
      </w:r>
      <w:r>
        <w:rPr>
          <w:rFonts w:hint="eastAsia" w:ascii="宋体" w:hAnsi="宋体" w:cs="宋体"/>
          <w:color w:val="auto"/>
          <w:sz w:val="24"/>
          <w:highlight w:val="none"/>
        </w:rPr>
        <w:tab/>
      </w:r>
      <w:r>
        <w:rPr>
          <w:rFonts w:hint="eastAsia" w:ascii="宋体" w:hAnsi="宋体" w:cs="宋体"/>
          <w:color w:val="auto"/>
          <w:sz w:val="24"/>
          <w:highlight w:val="none"/>
        </w:rPr>
        <w:t>课程清单按时间顺序排列，并提供以下详细资料：</w:t>
      </w:r>
    </w:p>
    <w:p w14:paraId="31460341">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课程概要</w:t>
      </w:r>
    </w:p>
    <w:p w14:paraId="4F764044">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课程目的</w:t>
      </w:r>
    </w:p>
    <w:p w14:paraId="3B39B126">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教学方式</w:t>
      </w:r>
    </w:p>
    <w:p w14:paraId="4BDA239C">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先决条件</w:t>
      </w:r>
    </w:p>
    <w:p w14:paraId="624D5642">
      <w:pPr>
        <w:numPr>
          <w:ilvl w:val="0"/>
          <w:numId w:val="8"/>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wordWrap w:val="0"/>
        <w:autoSpaceDE w:val="0"/>
        <w:autoSpaceDN w:val="0"/>
        <w:adjustRightInd w:val="0"/>
        <w:spacing w:line="360" w:lineRule="auto"/>
        <w:ind w:left="1069" w:hanging="420"/>
        <w:rPr>
          <w:rFonts w:hint="eastAsia" w:ascii="宋体" w:hAnsi="宋体" w:cs="宋体"/>
          <w:color w:val="auto"/>
          <w:sz w:val="24"/>
          <w:highlight w:val="none"/>
        </w:rPr>
      </w:pPr>
      <w:r>
        <w:rPr>
          <w:rFonts w:hint="eastAsia" w:ascii="宋体" w:hAnsi="宋体" w:cs="宋体"/>
          <w:color w:val="auto"/>
          <w:sz w:val="24"/>
          <w:highlight w:val="none"/>
        </w:rPr>
        <w:t>教材目录</w:t>
      </w:r>
    </w:p>
    <w:p w14:paraId="77226BFF">
      <w:pPr>
        <w:wordWrap w:val="0"/>
        <w:autoSpaceDE w:val="0"/>
        <w:autoSpaceDN w:val="0"/>
        <w:spacing w:line="360" w:lineRule="auto"/>
        <w:rPr>
          <w:rFonts w:hint="eastAsia" w:ascii="宋体" w:hAnsi="宋体" w:cs="宋体"/>
          <w:color w:val="auto"/>
          <w:sz w:val="24"/>
          <w:highlight w:val="none"/>
        </w:rPr>
      </w:pPr>
      <w:r>
        <w:rPr>
          <w:rFonts w:hint="eastAsia" w:ascii="宋体" w:hAnsi="宋体" w:cs="宋体"/>
          <w:color w:val="auto"/>
          <w:sz w:val="24"/>
          <w:highlight w:val="none"/>
        </w:rPr>
        <w:t>B  按照附表A提供授课教师的简历</w:t>
      </w:r>
    </w:p>
    <w:p w14:paraId="4F02FE68">
      <w:pPr>
        <w:wordWrap w:val="0"/>
        <w:autoSpaceDE w:val="0"/>
        <w:autoSpaceDN w:val="0"/>
        <w:spacing w:line="360" w:lineRule="auto"/>
        <w:rPr>
          <w:rFonts w:hint="eastAsia" w:ascii="宋体" w:hAnsi="宋体" w:cs="宋体"/>
          <w:b/>
          <w:color w:val="auto"/>
          <w:sz w:val="24"/>
          <w:highlight w:val="none"/>
        </w:rPr>
      </w:pPr>
      <w:r>
        <w:rPr>
          <w:rFonts w:hint="eastAsia" w:ascii="宋体" w:hAnsi="宋体" w:cs="宋体"/>
          <w:b/>
          <w:color w:val="auto"/>
          <w:sz w:val="24"/>
          <w:highlight w:val="none"/>
        </w:rPr>
        <w:t>注：须随表提交相应的证书复印件并注明所在投标技术文件页码。</w:t>
      </w:r>
    </w:p>
    <w:p w14:paraId="089E6919">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 w:val="24"/>
          <w:highlight w:val="none"/>
          <w:lang w:val="zh-CN"/>
        </w:rPr>
        <w:t>电子签章</w:t>
      </w:r>
      <w:r>
        <w:rPr>
          <w:rFonts w:hint="eastAsia" w:ascii="宋体" w:hAnsi="宋体" w:cs="宋体"/>
          <w:color w:val="auto"/>
          <w:kern w:val="0"/>
          <w:sz w:val="24"/>
          <w:highlight w:val="none"/>
        </w:rPr>
        <w:t xml:space="preserve">）：                       </w:t>
      </w:r>
    </w:p>
    <w:p w14:paraId="65BFE4C1">
      <w:pPr>
        <w:wordWrap w:val="0"/>
        <w:autoSpaceDE w:val="0"/>
        <w:autoSpaceDN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0F8BFBB3">
      <w:pPr>
        <w:wordWrap w:val="0"/>
        <w:autoSpaceDE w:val="0"/>
        <w:autoSpaceDN w:val="0"/>
        <w:spacing w:line="360" w:lineRule="auto"/>
        <w:ind w:firstLine="120"/>
        <w:rPr>
          <w:rFonts w:hint="eastAsia" w:ascii="宋体" w:hAnsi="宋体" w:cs="宋体"/>
          <w:color w:val="auto"/>
          <w:sz w:val="24"/>
          <w:highlight w:val="none"/>
        </w:rPr>
      </w:pPr>
    </w:p>
    <w:p w14:paraId="5C936395">
      <w:pPr>
        <w:wordWrap w:val="0"/>
        <w:spacing w:line="360" w:lineRule="auto"/>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九、认为需要的其他技术文件或说明（如有）</w:t>
      </w:r>
    </w:p>
    <w:p w14:paraId="4AE603C1">
      <w:pPr>
        <w:wordWrap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（由投标人根据采购需求自行编制）</w:t>
      </w:r>
    </w:p>
    <w:p w14:paraId="775E1D01">
      <w:pPr>
        <w:wordWrap w:val="0"/>
        <w:spacing w:line="360" w:lineRule="auto"/>
        <w:jc w:val="center"/>
        <w:rPr>
          <w:rFonts w:hint="eastAsia" w:ascii="宋体" w:hAnsi="宋体" w:cs="宋体"/>
          <w:color w:val="auto"/>
          <w:sz w:val="24"/>
          <w:highlight w:val="none"/>
        </w:rPr>
      </w:pPr>
    </w:p>
    <w:p w14:paraId="539F4719">
      <w:pPr>
        <w:wordWrap w:val="0"/>
        <w:autoSpaceDE w:val="0"/>
        <w:autoSpaceDN w:val="0"/>
        <w:spacing w:line="360" w:lineRule="auto"/>
        <w:ind w:firstLine="4800" w:firstLineChars="2000"/>
        <w:rPr>
          <w:rFonts w:hint="eastAsia" w:ascii="宋体" w:hAnsi="宋体" w:cs="宋体"/>
          <w:color w:val="auto"/>
          <w:sz w:val="24"/>
          <w:highlight w:val="none"/>
        </w:rPr>
      </w:pPr>
      <w:r>
        <w:rPr>
          <w:rFonts w:hint="eastAsia" w:ascii="宋体" w:hAnsi="宋体" w:cs="宋体"/>
          <w:color w:val="auto"/>
          <w:kern w:val="0"/>
          <w:sz w:val="24"/>
          <w:highlight w:val="none"/>
        </w:rPr>
        <w:t>投标人名称（电子</w:t>
      </w:r>
      <w:r>
        <w:rPr>
          <w:rFonts w:hint="eastAsia" w:ascii="宋体" w:hAnsi="宋体" w:cs="宋体"/>
          <w:color w:val="auto"/>
          <w:kern w:val="0"/>
          <w:sz w:val="24"/>
          <w:highlight w:val="none"/>
          <w:lang w:val="zh-CN"/>
        </w:rPr>
        <w:t>签章</w:t>
      </w:r>
      <w:r>
        <w:rPr>
          <w:rFonts w:hint="eastAsia" w:ascii="宋体" w:hAnsi="宋体" w:cs="宋体"/>
          <w:color w:val="auto"/>
          <w:kern w:val="0"/>
          <w:sz w:val="24"/>
          <w:highlight w:val="none"/>
        </w:rPr>
        <w:t xml:space="preserve">）：                       </w:t>
      </w:r>
    </w:p>
    <w:p w14:paraId="7B73B145">
      <w:pPr>
        <w:wordWrap w:val="0"/>
        <w:autoSpaceDE w:val="0"/>
        <w:autoSpaceDN w:val="0"/>
        <w:spacing w:line="360" w:lineRule="auto"/>
        <w:rPr>
          <w:rFonts w:hint="eastAsia" w:ascii="宋体" w:hAnsi="宋体" w:cs="宋体"/>
          <w:b/>
          <w:bCs/>
          <w:color w:val="auto"/>
          <w:sz w:val="30"/>
          <w:szCs w:val="30"/>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  年  月   日</w:t>
      </w:r>
    </w:p>
    <w:p w14:paraId="2E496405">
      <w:pPr>
        <w:widowControl/>
        <w:wordWrap w:val="0"/>
        <w:spacing w:line="360" w:lineRule="auto"/>
        <w:ind w:firstLine="482"/>
        <w:jc w:val="left"/>
        <w:rPr>
          <w:rFonts w:hint="eastAsia" w:ascii="宋体" w:hAnsi="宋体" w:cs="宋体"/>
          <w:b/>
          <w:bCs/>
          <w:color w:val="auto"/>
          <w:sz w:val="24"/>
          <w:highlight w:val="none"/>
        </w:rPr>
        <w:sectPr>
          <w:pgSz w:w="11906" w:h="16838"/>
          <w:pgMar w:top="1440" w:right="1080" w:bottom="1440" w:left="1080" w:header="720" w:footer="720" w:gutter="0"/>
          <w:cols w:space="720" w:num="1"/>
          <w:docGrid w:type="lines" w:linePitch="331" w:charSpace="0"/>
        </w:sectPr>
      </w:pPr>
    </w:p>
    <w:p w14:paraId="1F43E126">
      <w:pPr>
        <w:pStyle w:val="14"/>
        <w:wordWrap w:val="0"/>
        <w:spacing w:line="360" w:lineRule="auto"/>
        <w:ind w:firstLine="562"/>
        <w:jc w:val="center"/>
        <w:outlineLvl w:val="1"/>
        <w:rPr>
          <w:rFonts w:hint="eastAsia" w:hAnsi="宋体" w:cs="宋体"/>
          <w:b/>
          <w:bCs/>
          <w:color w:val="auto"/>
          <w:sz w:val="28"/>
          <w:szCs w:val="28"/>
          <w:highlight w:val="none"/>
        </w:rPr>
      </w:pPr>
      <w:bookmarkStart w:id="317" w:name="_Toc5466"/>
      <w:r>
        <w:rPr>
          <w:rFonts w:hint="eastAsia" w:hAnsi="宋体" w:cs="宋体"/>
          <w:b/>
          <w:bCs/>
          <w:color w:val="auto"/>
          <w:sz w:val="28"/>
          <w:szCs w:val="28"/>
          <w:highlight w:val="none"/>
        </w:rPr>
        <w:t>第五节 报价文件格式</w:t>
      </w:r>
      <w:bookmarkEnd w:id="317"/>
    </w:p>
    <w:p w14:paraId="1D50F0F6">
      <w:pPr>
        <w:wordWrap w:val="0"/>
        <w:snapToGrid w:val="0"/>
        <w:spacing w:line="360" w:lineRule="auto"/>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电子投标文件</w:t>
      </w:r>
    </w:p>
    <w:p w14:paraId="6C3F93CA">
      <w:pPr>
        <w:wordWrap w:val="0"/>
        <w:snapToGrid w:val="0"/>
        <w:spacing w:line="360" w:lineRule="auto"/>
        <w:jc w:val="center"/>
        <w:rPr>
          <w:rFonts w:hint="eastAsia" w:ascii="宋体" w:hAnsi="宋体" w:cs="宋体"/>
          <w:bCs/>
          <w:color w:val="auto"/>
          <w:sz w:val="24"/>
          <w:szCs w:val="20"/>
          <w:highlight w:val="none"/>
        </w:rPr>
      </w:pPr>
    </w:p>
    <w:p w14:paraId="1EDE5E03">
      <w:pPr>
        <w:wordWrap w:val="0"/>
        <w:snapToGrid w:val="0"/>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报价文件（封面）</w:t>
      </w:r>
    </w:p>
    <w:p w14:paraId="25AF5BD2">
      <w:pPr>
        <w:wordWrap w:val="0"/>
        <w:snapToGrid w:val="0"/>
        <w:spacing w:line="360" w:lineRule="auto"/>
        <w:rPr>
          <w:rFonts w:hint="eastAsia" w:ascii="宋体" w:hAnsi="宋体" w:cs="宋体"/>
          <w:bCs/>
          <w:color w:val="auto"/>
          <w:sz w:val="24"/>
          <w:szCs w:val="20"/>
          <w:highlight w:val="none"/>
        </w:rPr>
      </w:pPr>
    </w:p>
    <w:p w14:paraId="0996E110">
      <w:pPr>
        <w:wordWrap w:val="0"/>
        <w:snapToGrid w:val="0"/>
        <w:spacing w:line="360" w:lineRule="auto"/>
        <w:rPr>
          <w:rFonts w:hint="eastAsia" w:ascii="宋体" w:hAnsi="宋体" w:cs="宋体"/>
          <w:bCs/>
          <w:color w:val="auto"/>
          <w:sz w:val="24"/>
          <w:szCs w:val="20"/>
          <w:highlight w:val="none"/>
        </w:rPr>
      </w:pPr>
    </w:p>
    <w:p w14:paraId="19625E36">
      <w:pPr>
        <w:wordWrap w:val="0"/>
        <w:snapToGrid w:val="0"/>
        <w:spacing w:line="360" w:lineRule="auto"/>
        <w:rPr>
          <w:rFonts w:hint="eastAsia" w:ascii="宋体" w:hAnsi="宋体" w:cs="宋体"/>
          <w:bCs/>
          <w:color w:val="auto"/>
          <w:sz w:val="24"/>
          <w:szCs w:val="20"/>
          <w:highlight w:val="none"/>
        </w:rPr>
      </w:pPr>
    </w:p>
    <w:p w14:paraId="0EFF2927">
      <w:pPr>
        <w:wordWrap w:val="0"/>
        <w:snapToGrid w:val="0"/>
        <w:spacing w:line="360" w:lineRule="auto"/>
        <w:rPr>
          <w:rFonts w:hint="eastAsia" w:ascii="宋体" w:hAnsi="宋体" w:cs="宋体"/>
          <w:bCs/>
          <w:color w:val="auto"/>
          <w:sz w:val="24"/>
          <w:szCs w:val="20"/>
          <w:highlight w:val="none"/>
        </w:rPr>
      </w:pPr>
    </w:p>
    <w:p w14:paraId="45530717">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A5695BE">
      <w:pPr>
        <w:wordWrap w:val="0"/>
        <w:snapToGrid w:val="0"/>
        <w:spacing w:line="360" w:lineRule="auto"/>
        <w:ind w:firstLine="360" w:firstLineChars="150"/>
        <w:rPr>
          <w:rFonts w:hint="eastAsia" w:ascii="宋体" w:hAnsi="宋体" w:cs="宋体"/>
          <w:bCs/>
          <w:color w:val="auto"/>
          <w:sz w:val="24"/>
          <w:highlight w:val="none"/>
        </w:rPr>
      </w:pPr>
    </w:p>
    <w:p w14:paraId="7FC04EC2">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r>
        <w:rPr>
          <w:rFonts w:hint="eastAsia" w:ascii="宋体" w:hAnsi="宋体" w:cs="宋体"/>
          <w:color w:val="auto"/>
          <w:sz w:val="24"/>
          <w:highlight w:val="none"/>
        </w:rPr>
        <w:t xml:space="preserve"> </w:t>
      </w:r>
    </w:p>
    <w:p w14:paraId="434FB56C">
      <w:pPr>
        <w:wordWrap w:val="0"/>
        <w:snapToGrid w:val="0"/>
        <w:spacing w:line="360" w:lineRule="auto"/>
        <w:ind w:firstLine="360" w:firstLineChars="150"/>
        <w:rPr>
          <w:rFonts w:hint="eastAsia" w:ascii="宋体" w:hAnsi="宋体" w:cs="宋体"/>
          <w:bCs/>
          <w:color w:val="auto"/>
          <w:sz w:val="24"/>
          <w:highlight w:val="none"/>
        </w:rPr>
      </w:pPr>
    </w:p>
    <w:p w14:paraId="716106AC">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4766EF4A">
      <w:pPr>
        <w:wordWrap w:val="0"/>
        <w:snapToGrid w:val="0"/>
        <w:spacing w:line="360" w:lineRule="auto"/>
        <w:ind w:firstLine="360" w:firstLineChars="150"/>
        <w:rPr>
          <w:rFonts w:hint="eastAsia" w:ascii="宋体" w:hAnsi="宋体" w:cs="宋体"/>
          <w:bCs/>
          <w:color w:val="auto"/>
          <w:sz w:val="24"/>
          <w:highlight w:val="none"/>
        </w:rPr>
      </w:pPr>
    </w:p>
    <w:p w14:paraId="52D2CCB3">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12721FF8">
      <w:pPr>
        <w:wordWrap w:val="0"/>
        <w:snapToGrid w:val="0"/>
        <w:spacing w:line="360" w:lineRule="auto"/>
        <w:ind w:firstLine="360" w:firstLineChars="150"/>
        <w:rPr>
          <w:rFonts w:hint="eastAsia" w:ascii="宋体" w:hAnsi="宋体" w:cs="宋体"/>
          <w:bCs/>
          <w:color w:val="auto"/>
          <w:sz w:val="24"/>
          <w:highlight w:val="none"/>
        </w:rPr>
      </w:pPr>
    </w:p>
    <w:p w14:paraId="3F1B273E">
      <w:pPr>
        <w:wordWrap w:val="0"/>
        <w:snapToGrid w:val="0"/>
        <w:spacing w:line="360" w:lineRule="auto"/>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6D5B3FB9">
      <w:pPr>
        <w:pStyle w:val="10"/>
        <w:wordWrap w:val="0"/>
        <w:snapToGrid w:val="0"/>
        <w:spacing w:line="360" w:lineRule="auto"/>
        <w:ind w:firstLine="960" w:firstLineChars="400"/>
        <w:rPr>
          <w:rFonts w:hint="eastAsia" w:ascii="宋体" w:hAnsi="宋体" w:cs="宋体"/>
          <w:bCs/>
          <w:color w:val="auto"/>
          <w:sz w:val="24"/>
          <w:szCs w:val="24"/>
          <w:highlight w:val="none"/>
        </w:rPr>
      </w:pPr>
    </w:p>
    <w:p w14:paraId="0B6DB84C">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1DF481A1">
      <w:pPr>
        <w:widowControl/>
        <w:wordWrap w:val="0"/>
        <w:spacing w:line="360" w:lineRule="auto"/>
        <w:jc w:val="left"/>
        <w:rPr>
          <w:rFonts w:hint="eastAsia" w:ascii="宋体" w:hAnsi="宋体" w:cs="宋体"/>
          <w:color w:val="auto"/>
          <w:sz w:val="24"/>
          <w:highlight w:val="none"/>
        </w:rPr>
        <w:sectPr>
          <w:pgSz w:w="11906" w:h="16838"/>
          <w:pgMar w:top="1440" w:right="1080" w:bottom="1440" w:left="1080" w:header="720" w:footer="720" w:gutter="0"/>
          <w:cols w:space="720" w:num="1"/>
          <w:docGrid w:type="lines" w:linePitch="331" w:charSpace="0"/>
        </w:sectPr>
      </w:pPr>
    </w:p>
    <w:p w14:paraId="7823E660">
      <w:pPr>
        <w:wordWrap w:val="0"/>
        <w:spacing w:line="360" w:lineRule="auto"/>
        <w:rPr>
          <w:rFonts w:hint="eastAsia" w:ascii="宋体" w:hAnsi="宋体" w:cs="宋体"/>
          <w:color w:val="auto"/>
          <w:highlight w:val="none"/>
        </w:rPr>
      </w:pPr>
    </w:p>
    <w:p w14:paraId="0F4A4439">
      <w:pPr>
        <w:wordWrap w:val="0"/>
        <w:snapToGrid w:val="0"/>
        <w:spacing w:line="360" w:lineRule="auto"/>
        <w:ind w:firstLine="643"/>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报价文件目录</w:t>
      </w:r>
    </w:p>
    <w:p w14:paraId="5F9420A8">
      <w:pPr>
        <w:wordWrap w:val="0"/>
        <w:spacing w:line="360" w:lineRule="auto"/>
        <w:rPr>
          <w:rFonts w:hint="eastAsia" w:ascii="宋体" w:hAnsi="宋体" w:cs="宋体"/>
          <w:color w:val="auto"/>
          <w:highlight w:val="none"/>
        </w:rPr>
      </w:pPr>
    </w:p>
    <w:p w14:paraId="6756E95C">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一、投标函………………………………………………………（页码）</w:t>
      </w:r>
    </w:p>
    <w:p w14:paraId="10CB75E5">
      <w:pPr>
        <w:wordWrap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二、开标一览表…………………………………………………（页码）</w:t>
      </w:r>
    </w:p>
    <w:p w14:paraId="0ECFED22">
      <w:pPr>
        <w:pStyle w:val="12"/>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p>
    <w:p w14:paraId="63767377">
      <w:pPr>
        <w:pStyle w:val="14"/>
        <w:wordWrap w:val="0"/>
        <w:spacing w:line="360" w:lineRule="auto"/>
        <w:ind w:firstLine="602"/>
        <w:jc w:val="center"/>
        <w:rPr>
          <w:rFonts w:hint="eastAsia" w:hAnsi="宋体" w:cs="宋体"/>
          <w:b/>
          <w:bCs/>
          <w:color w:val="auto"/>
          <w:sz w:val="30"/>
          <w:szCs w:val="30"/>
          <w:highlight w:val="none"/>
        </w:rPr>
      </w:pPr>
      <w:r>
        <w:rPr>
          <w:rFonts w:hint="eastAsia" w:hAnsi="宋体" w:cs="宋体"/>
          <w:b/>
          <w:bCs/>
          <w:color w:val="auto"/>
          <w:sz w:val="30"/>
          <w:szCs w:val="30"/>
          <w:highlight w:val="none"/>
        </w:rPr>
        <w:t>一、投标函</w:t>
      </w:r>
    </w:p>
    <w:p w14:paraId="4A43DE3A">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致：</w:t>
      </w:r>
      <w:bookmarkStart w:id="318" w:name="PO_3000001866_PM031_4"/>
      <w:r>
        <w:rPr>
          <w:rFonts w:hint="eastAsia" w:hAnsi="宋体" w:cs="宋体"/>
          <w:color w:val="auto"/>
          <w:highlight w:val="none"/>
          <w:u w:val="single"/>
        </w:rPr>
        <w:t>广西邕政采购代理有限公司</w:t>
      </w:r>
      <w:bookmarkEnd w:id="318"/>
    </w:p>
    <w:p w14:paraId="6EBA9441">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我方已仔细阅读了贵方组织的</w:t>
      </w:r>
      <w:r>
        <w:rPr>
          <w:rFonts w:hint="eastAsia" w:hAnsi="宋体" w:cs="宋体"/>
          <w:color w:val="auto"/>
          <w:szCs w:val="21"/>
          <w:highlight w:val="none"/>
          <w:u w:val="single"/>
        </w:rPr>
        <w:t xml:space="preserve">（项目名称） </w:t>
      </w:r>
      <w:r>
        <w:rPr>
          <w:rFonts w:hint="eastAsia" w:hAnsi="宋体" w:cs="宋体"/>
          <w:color w:val="auto"/>
          <w:highlight w:val="none"/>
          <w:u w:val="single"/>
        </w:rPr>
        <w:t xml:space="preserve"> </w:t>
      </w:r>
      <w:r>
        <w:rPr>
          <w:rFonts w:hint="eastAsia" w:hAnsi="宋体" w:cs="宋体"/>
          <w:color w:val="auto"/>
          <w:highlight w:val="none"/>
        </w:rPr>
        <w:t>项目（项目编号：         ）的招标文件的全部内容，授权</w:t>
      </w:r>
      <w:r>
        <w:rPr>
          <w:rFonts w:hint="eastAsia" w:hAnsi="宋体" w:cs="宋体"/>
          <w:color w:val="auto"/>
          <w:highlight w:val="none"/>
          <w:u w:val="single"/>
        </w:rPr>
        <w:t xml:space="preserve">                      </w:t>
      </w:r>
      <w:r>
        <w:rPr>
          <w:rFonts w:hint="eastAsia" w:hAnsi="宋体" w:cs="宋体"/>
          <w:color w:val="auto"/>
          <w:highlight w:val="none"/>
        </w:rPr>
        <w:t>(全权代表姓名)</w:t>
      </w:r>
      <w:r>
        <w:rPr>
          <w:rFonts w:hint="eastAsia" w:hAnsi="宋体" w:cs="宋体"/>
          <w:color w:val="auto"/>
          <w:highlight w:val="none"/>
          <w:u w:val="single"/>
        </w:rPr>
        <w:t xml:space="preserve">          </w:t>
      </w:r>
      <w:r>
        <w:rPr>
          <w:rFonts w:hint="eastAsia" w:hAnsi="宋体" w:cs="宋体"/>
          <w:color w:val="auto"/>
          <w:highlight w:val="none"/>
        </w:rPr>
        <w:t xml:space="preserve"> (职务、职称)为全权代表，现正式递交下述文件参加贵方组织的本次政府采购活动： </w:t>
      </w:r>
    </w:p>
    <w:p w14:paraId="0BAC9BAE">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一、报价文件电子版一份（包含按投标人须知前附表要求提交的全部文件）；</w:t>
      </w:r>
    </w:p>
    <w:p w14:paraId="79705F56">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二、资格文件电子版一份（包含按投标人须知前附表要求提交的全部文件）；</w:t>
      </w:r>
    </w:p>
    <w:p w14:paraId="5DFC23A3">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三、技术文件电子版一份（包含按投标人须知前附表要求提交的全部文件）；</w:t>
      </w:r>
    </w:p>
    <w:p w14:paraId="5550AACD">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四、商务文件电子版一份（包含按投标人须知前附表要求提交的全部文件）；</w:t>
      </w:r>
    </w:p>
    <w:p w14:paraId="250F7CF4">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据此函，签字人兹宣布：</w:t>
      </w:r>
    </w:p>
    <w:p w14:paraId="78CDA4EB">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1、我方愿意以（大写）人民币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元)的投标总报价，服务运维期：（无分标时填写）</w:t>
      </w:r>
      <w:r>
        <w:rPr>
          <w:rFonts w:hint="eastAsia" w:hAnsi="宋体" w:cs="宋体"/>
          <w:color w:val="auto"/>
          <w:highlight w:val="none"/>
          <w:u w:val="single"/>
        </w:rPr>
        <w:t xml:space="preserve">              </w:t>
      </w:r>
      <w:r>
        <w:rPr>
          <w:rFonts w:hint="eastAsia" w:hAnsi="宋体" w:cs="宋体"/>
          <w:color w:val="auto"/>
          <w:highlight w:val="none"/>
        </w:rPr>
        <w:t>，提供本项目招标文件第二章“服务需求”中的相应的采购内容。</w:t>
      </w:r>
    </w:p>
    <w:p w14:paraId="14FF679F">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其中（有分标时填写）：</w:t>
      </w:r>
    </w:p>
    <w:p w14:paraId="2A13403D">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元)，服务运维期：</w:t>
      </w:r>
      <w:r>
        <w:rPr>
          <w:rFonts w:hint="eastAsia" w:hAnsi="宋体" w:cs="宋体"/>
          <w:color w:val="auto"/>
          <w:highlight w:val="none"/>
          <w:u w:val="single"/>
        </w:rPr>
        <w:t xml:space="preserve">          </w:t>
      </w:r>
      <w:r>
        <w:rPr>
          <w:rFonts w:hint="eastAsia" w:hAnsi="宋体" w:cs="宋体"/>
          <w:color w:val="auto"/>
          <w:highlight w:val="none"/>
        </w:rPr>
        <w:t>；</w:t>
      </w:r>
    </w:p>
    <w:p w14:paraId="1730945C">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u w:val="single"/>
        </w:rPr>
        <w:t xml:space="preserve">  </w:t>
      </w:r>
      <w:r>
        <w:rPr>
          <w:rFonts w:hint="eastAsia" w:hAnsi="宋体" w:cs="宋体"/>
          <w:color w:val="auto"/>
          <w:highlight w:val="none"/>
        </w:rPr>
        <w:t>分标报价为（大写）人民币</w:t>
      </w:r>
      <w:r>
        <w:rPr>
          <w:rFonts w:hint="eastAsia" w:hAnsi="宋体" w:cs="宋体"/>
          <w:color w:val="auto"/>
          <w:highlight w:val="none"/>
          <w:u w:val="single"/>
        </w:rPr>
        <w:t xml:space="preserve">              </w:t>
      </w:r>
      <w:r>
        <w:rPr>
          <w:rFonts w:hint="eastAsia" w:hAnsi="宋体" w:cs="宋体"/>
          <w:color w:val="auto"/>
          <w:highlight w:val="none"/>
        </w:rPr>
        <w:t>元 (¥</w:t>
      </w:r>
      <w:r>
        <w:rPr>
          <w:rFonts w:hint="eastAsia" w:hAnsi="宋体" w:cs="宋体"/>
          <w:color w:val="auto"/>
          <w:highlight w:val="none"/>
          <w:u w:val="single"/>
        </w:rPr>
        <w:t xml:space="preserve">          </w:t>
      </w:r>
      <w:r>
        <w:rPr>
          <w:rFonts w:hint="eastAsia" w:hAnsi="宋体" w:cs="宋体"/>
          <w:color w:val="auto"/>
          <w:highlight w:val="none"/>
        </w:rPr>
        <w:t>元)，服务运维期：</w:t>
      </w:r>
      <w:r>
        <w:rPr>
          <w:rFonts w:hint="eastAsia" w:hAnsi="宋体" w:cs="宋体"/>
          <w:color w:val="auto"/>
          <w:highlight w:val="none"/>
          <w:u w:val="single"/>
        </w:rPr>
        <w:t xml:space="preserve">          </w:t>
      </w:r>
      <w:r>
        <w:rPr>
          <w:rFonts w:hint="eastAsia" w:hAnsi="宋体" w:cs="宋体"/>
          <w:color w:val="auto"/>
          <w:highlight w:val="none"/>
        </w:rPr>
        <w:t>；</w:t>
      </w:r>
    </w:p>
    <w:p w14:paraId="2632FB03">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rPr>
        <w:t>......</w:t>
      </w:r>
    </w:p>
    <w:p w14:paraId="461331D0">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2ABC31B0">
      <w:pPr>
        <w:pStyle w:val="14"/>
        <w:wordWrap w:val="0"/>
        <w:spacing w:line="360" w:lineRule="auto"/>
        <w:ind w:firstLine="420" w:firstLineChars="200"/>
        <w:rPr>
          <w:rFonts w:hint="eastAsia" w:hAnsi="宋体" w:cs="宋体"/>
          <w:color w:val="auto"/>
          <w:highlight w:val="none"/>
          <w:u w:val="single"/>
        </w:rPr>
      </w:pPr>
      <w:r>
        <w:rPr>
          <w:rFonts w:hint="eastAsia" w:hAnsi="宋体" w:cs="宋体"/>
          <w:color w:val="auto"/>
          <w:highlight w:val="none"/>
        </w:rPr>
        <w:t>3、我方所递交的投标文件及有关资料都是内容完整、真实和准确的。</w:t>
      </w:r>
    </w:p>
    <w:p w14:paraId="771AE63D">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4、</w:t>
      </w:r>
      <w:r>
        <w:rPr>
          <w:rFonts w:hint="eastAsia" w:hAnsi="宋体" w:cs="宋体"/>
          <w:color w:val="auto"/>
          <w:szCs w:val="21"/>
          <w:highlight w:val="none"/>
        </w:rPr>
        <w:t>如本项目采购内容涉及须符合国家强制规定的，我方承诺我方本次投标（包括资格条件和所投产品）均符合国家有关强制规定。</w:t>
      </w:r>
    </w:p>
    <w:p w14:paraId="47EDE19B">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19BF69">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6、我方已详细审核招标文件，我方知道必须放弃提出含糊不清或误解问题的权利。</w:t>
      </w:r>
    </w:p>
    <w:p w14:paraId="0E0E4039">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7、我方同意应贵方要求提供与本投标有关的任何数据或资料。若贵方需要，我方愿意提供我方作出的一切承诺的证明材料。</w:t>
      </w:r>
    </w:p>
    <w:p w14:paraId="63A66841">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8、我方完全理解贵方不一定接受投标报价最低的投标人为中标供应商的行为。</w:t>
      </w:r>
    </w:p>
    <w:p w14:paraId="1906A13A">
      <w:pPr>
        <w:pStyle w:val="14"/>
        <w:wordWrap w:val="0"/>
        <w:spacing w:line="360" w:lineRule="auto"/>
        <w:ind w:firstLine="420" w:firstLineChars="200"/>
        <w:rPr>
          <w:rFonts w:hint="eastAsia" w:hAnsi="宋体" w:cs="宋体"/>
          <w:color w:val="auto"/>
          <w:highlight w:val="none"/>
        </w:rPr>
      </w:pPr>
      <w:r>
        <w:rPr>
          <w:rFonts w:hint="eastAsia" w:hAnsi="宋体" w:cs="宋体"/>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004519E">
      <w:pPr>
        <w:pStyle w:val="14"/>
        <w:numPr>
          <w:ilvl w:val="0"/>
          <w:numId w:val="9"/>
        </w:numPr>
        <w:tabs>
          <w:tab w:val="left" w:pos="1140"/>
        </w:tabs>
        <w:wordWrap w:val="0"/>
        <w:spacing w:line="360" w:lineRule="auto"/>
        <w:ind w:firstLine="480"/>
        <w:rPr>
          <w:rFonts w:hint="eastAsia" w:hAnsi="宋体" w:cs="宋体"/>
          <w:color w:val="auto"/>
          <w:highlight w:val="none"/>
        </w:rPr>
      </w:pPr>
      <w:r>
        <w:rPr>
          <w:rFonts w:hint="eastAsia" w:hAnsi="宋体" w:cs="宋体"/>
          <w:color w:val="auto"/>
          <w:highlight w:val="none"/>
        </w:rPr>
        <w:t>提供虚假材料谋取中标、成交的；</w:t>
      </w:r>
    </w:p>
    <w:p w14:paraId="5F628CBD">
      <w:pPr>
        <w:pStyle w:val="14"/>
        <w:numPr>
          <w:ilvl w:val="0"/>
          <w:numId w:val="9"/>
        </w:numPr>
        <w:tabs>
          <w:tab w:val="left" w:pos="1140"/>
        </w:tabs>
        <w:wordWrap w:val="0"/>
        <w:spacing w:line="360" w:lineRule="auto"/>
        <w:ind w:firstLine="480"/>
        <w:rPr>
          <w:rFonts w:hint="eastAsia" w:hAnsi="宋体" w:cs="宋体"/>
          <w:color w:val="auto"/>
          <w:highlight w:val="none"/>
        </w:rPr>
      </w:pPr>
      <w:r>
        <w:rPr>
          <w:rFonts w:hint="eastAsia" w:hAnsi="宋体" w:cs="宋体"/>
          <w:color w:val="auto"/>
          <w:highlight w:val="none"/>
        </w:rPr>
        <w:t>采取不正当手段诋毁、排挤其他供应商的；</w:t>
      </w:r>
    </w:p>
    <w:p w14:paraId="43A0D77A">
      <w:pPr>
        <w:pStyle w:val="14"/>
        <w:numPr>
          <w:ilvl w:val="0"/>
          <w:numId w:val="9"/>
        </w:numPr>
        <w:tabs>
          <w:tab w:val="left" w:pos="1140"/>
        </w:tabs>
        <w:wordWrap w:val="0"/>
        <w:spacing w:line="360" w:lineRule="auto"/>
        <w:ind w:firstLine="480"/>
        <w:rPr>
          <w:rFonts w:hint="eastAsia" w:hAnsi="宋体" w:cs="宋体"/>
          <w:color w:val="auto"/>
          <w:highlight w:val="none"/>
        </w:rPr>
      </w:pPr>
      <w:r>
        <w:rPr>
          <w:rFonts w:hint="eastAsia" w:hAnsi="宋体" w:cs="宋体"/>
          <w:color w:val="auto"/>
          <w:highlight w:val="none"/>
        </w:rPr>
        <w:t>与采购人、其他供应商或者采购代理机构恶意串通的；</w:t>
      </w:r>
    </w:p>
    <w:p w14:paraId="494708E2">
      <w:pPr>
        <w:pStyle w:val="14"/>
        <w:numPr>
          <w:ilvl w:val="0"/>
          <w:numId w:val="9"/>
        </w:numPr>
        <w:tabs>
          <w:tab w:val="left" w:pos="1140"/>
        </w:tabs>
        <w:wordWrap w:val="0"/>
        <w:spacing w:line="360" w:lineRule="auto"/>
        <w:ind w:firstLine="480"/>
        <w:rPr>
          <w:rFonts w:hint="eastAsia" w:hAnsi="宋体" w:cs="宋体"/>
          <w:color w:val="auto"/>
          <w:highlight w:val="none"/>
        </w:rPr>
      </w:pPr>
      <w:r>
        <w:rPr>
          <w:rFonts w:hint="eastAsia" w:hAnsi="宋体" w:cs="宋体"/>
          <w:color w:val="auto"/>
          <w:highlight w:val="none"/>
        </w:rPr>
        <w:t>向采购人、采购代理机构行贿或者提供其他不正当利益的；</w:t>
      </w:r>
    </w:p>
    <w:p w14:paraId="7696BFC9">
      <w:pPr>
        <w:pStyle w:val="14"/>
        <w:numPr>
          <w:ilvl w:val="0"/>
          <w:numId w:val="9"/>
        </w:numPr>
        <w:tabs>
          <w:tab w:val="left" w:pos="1140"/>
        </w:tabs>
        <w:wordWrap w:val="0"/>
        <w:spacing w:line="360" w:lineRule="auto"/>
        <w:ind w:firstLine="480"/>
        <w:rPr>
          <w:rFonts w:hint="eastAsia" w:hAnsi="宋体" w:cs="宋体"/>
          <w:color w:val="auto"/>
          <w:highlight w:val="none"/>
        </w:rPr>
      </w:pPr>
      <w:r>
        <w:rPr>
          <w:rFonts w:hint="eastAsia" w:hAnsi="宋体" w:cs="宋体"/>
          <w:color w:val="auto"/>
          <w:highlight w:val="none"/>
        </w:rPr>
        <w:t>在招标采购过程中与采购人进行协商谈判的；</w:t>
      </w:r>
    </w:p>
    <w:p w14:paraId="06164965">
      <w:pPr>
        <w:pStyle w:val="14"/>
        <w:numPr>
          <w:ilvl w:val="0"/>
          <w:numId w:val="9"/>
        </w:numPr>
        <w:tabs>
          <w:tab w:val="left" w:pos="1140"/>
        </w:tabs>
        <w:wordWrap w:val="0"/>
        <w:spacing w:line="360" w:lineRule="auto"/>
        <w:ind w:firstLine="480"/>
        <w:rPr>
          <w:rFonts w:hint="eastAsia" w:hAnsi="宋体" w:cs="宋体"/>
          <w:color w:val="auto"/>
          <w:highlight w:val="none"/>
        </w:rPr>
      </w:pPr>
      <w:r>
        <w:rPr>
          <w:rFonts w:hint="eastAsia" w:hAnsi="宋体" w:cs="宋体"/>
          <w:color w:val="auto"/>
          <w:highlight w:val="none"/>
        </w:rPr>
        <w:t>拒绝有关部门监督检查或提供虚假情况的。</w:t>
      </w:r>
    </w:p>
    <w:p w14:paraId="06524A52">
      <w:pPr>
        <w:pStyle w:val="14"/>
        <w:wordWrap w:val="0"/>
        <w:spacing w:line="360" w:lineRule="auto"/>
        <w:ind w:left="420"/>
        <w:rPr>
          <w:rFonts w:hint="eastAsia" w:hAnsi="宋体" w:cs="宋体"/>
          <w:color w:val="auto"/>
          <w:highlight w:val="none"/>
        </w:rPr>
      </w:pPr>
      <w:r>
        <w:rPr>
          <w:rFonts w:hint="eastAsia" w:hAnsi="宋体" w:cs="宋体"/>
          <w:color w:val="auto"/>
          <w:highlight w:val="none"/>
        </w:rPr>
        <w:t>10、我方及由本人担任法定代表人的其他机构最近三年内被处罚的违法行为有：</w:t>
      </w:r>
      <w:r>
        <w:rPr>
          <w:rFonts w:hint="eastAsia" w:hAnsi="宋体" w:cs="宋体"/>
          <w:color w:val="auto"/>
          <w:highlight w:val="none"/>
          <w:u w:val="single"/>
        </w:rPr>
        <w:t xml:space="preserve">                   </w:t>
      </w:r>
    </w:p>
    <w:p w14:paraId="28DE61D7">
      <w:pPr>
        <w:pStyle w:val="14"/>
        <w:wordWrap w:val="0"/>
        <w:spacing w:line="360" w:lineRule="auto"/>
        <w:ind w:left="420"/>
        <w:rPr>
          <w:rFonts w:hint="eastAsia" w:hAnsi="宋体" w:cs="宋体"/>
          <w:color w:val="auto"/>
          <w:highlight w:val="none"/>
        </w:rPr>
      </w:pPr>
      <w:r>
        <w:rPr>
          <w:rFonts w:hint="eastAsia" w:hAnsi="宋体" w:cs="宋体"/>
          <w:color w:val="auto"/>
          <w:highlight w:val="none"/>
          <w:u w:val="single"/>
        </w:rPr>
        <w:t xml:space="preserve">                                                                                        </w:t>
      </w:r>
    </w:p>
    <w:p w14:paraId="2745DC66">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11、以上事项如有虚假或隐瞒，我方愿意承担一切后果，并不再寻求任何旨在减轻或免除法律责任的辩解。</w:t>
      </w:r>
    </w:p>
    <w:p w14:paraId="72C3A1C6">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12、与本投标有关的一切正式往来信函请寄：</w:t>
      </w:r>
      <w:r>
        <w:rPr>
          <w:rFonts w:hint="eastAsia" w:hAnsi="宋体" w:cs="宋体"/>
          <w:color w:val="auto"/>
          <w:highlight w:val="none"/>
          <w:u w:val="single"/>
        </w:rPr>
        <w:t xml:space="preserve"> </w:t>
      </w:r>
    </w:p>
    <w:p w14:paraId="1CDE3CC1">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14:paraId="5E747F1E">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电话：</w:t>
      </w:r>
      <w:r>
        <w:rPr>
          <w:rFonts w:hint="eastAsia" w:hAnsi="宋体" w:cs="宋体"/>
          <w:color w:val="auto"/>
          <w:highlight w:val="none"/>
          <w:u w:val="single"/>
        </w:rPr>
        <w:t xml:space="preserve">                                      　　　　　　　　　</w:t>
      </w:r>
    </w:p>
    <w:p w14:paraId="54DBE983">
      <w:pPr>
        <w:pStyle w:val="14"/>
        <w:wordWrap w:val="0"/>
        <w:spacing w:line="360" w:lineRule="auto"/>
        <w:ind w:firstLine="48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w:t>
      </w:r>
    </w:p>
    <w:p w14:paraId="5C1EDC03">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邮政编码：</w:t>
      </w:r>
      <w:r>
        <w:rPr>
          <w:rFonts w:hint="eastAsia" w:hAnsi="宋体" w:cs="宋体"/>
          <w:color w:val="auto"/>
          <w:highlight w:val="none"/>
          <w:u w:val="single"/>
        </w:rPr>
        <w:t xml:space="preserve">                                                    </w:t>
      </w:r>
    </w:p>
    <w:p w14:paraId="2D4B9FB6">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开户名称：</w:t>
      </w:r>
      <w:r>
        <w:rPr>
          <w:rFonts w:hint="eastAsia" w:hAnsi="宋体" w:cs="宋体"/>
          <w:color w:val="auto"/>
          <w:highlight w:val="none"/>
          <w:u w:val="single"/>
        </w:rPr>
        <w:t xml:space="preserve">                                                    </w:t>
      </w:r>
    </w:p>
    <w:p w14:paraId="10A73BE0">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开户银行：</w:t>
      </w:r>
      <w:r>
        <w:rPr>
          <w:rFonts w:hint="eastAsia" w:hAnsi="宋体" w:cs="宋体"/>
          <w:color w:val="auto"/>
          <w:highlight w:val="none"/>
          <w:u w:val="single"/>
        </w:rPr>
        <w:t xml:space="preserve">                                                    </w:t>
      </w:r>
    </w:p>
    <w:p w14:paraId="03D4AE0E">
      <w:pPr>
        <w:pStyle w:val="14"/>
        <w:wordWrap w:val="0"/>
        <w:spacing w:line="360" w:lineRule="auto"/>
        <w:ind w:firstLine="480"/>
        <w:rPr>
          <w:rFonts w:hint="eastAsia" w:hAnsi="宋体" w:cs="宋体"/>
          <w:color w:val="auto"/>
          <w:highlight w:val="none"/>
          <w:u w:val="single"/>
        </w:rPr>
      </w:pPr>
      <w:r>
        <w:rPr>
          <w:rFonts w:hint="eastAsia" w:hAnsi="宋体" w:cs="宋体"/>
          <w:color w:val="auto"/>
          <w:highlight w:val="none"/>
        </w:rPr>
        <w:t>银行账号：</w:t>
      </w:r>
      <w:r>
        <w:rPr>
          <w:rFonts w:hint="eastAsia" w:hAnsi="宋体" w:cs="宋体"/>
          <w:color w:val="auto"/>
          <w:highlight w:val="none"/>
          <w:u w:val="single"/>
        </w:rPr>
        <w:t xml:space="preserve">                                                    </w:t>
      </w:r>
    </w:p>
    <w:p w14:paraId="7D0746DA">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24EDA98B">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3131934D">
      <w:pPr>
        <w:widowControl/>
        <w:wordWrap w:val="0"/>
        <w:spacing w:line="360" w:lineRule="auto"/>
        <w:jc w:val="left"/>
        <w:rPr>
          <w:rFonts w:hint="eastAsia" w:ascii="宋体" w:hAnsi="宋体" w:cs="宋体"/>
          <w:color w:val="auto"/>
          <w:kern w:val="0"/>
          <w:sz w:val="24"/>
          <w:highlight w:val="none"/>
          <w:lang w:val="zh-CN"/>
        </w:rPr>
        <w:sectPr>
          <w:pgSz w:w="11906" w:h="16838"/>
          <w:pgMar w:top="1440" w:right="1080" w:bottom="1440" w:left="1080" w:header="720" w:footer="720" w:gutter="0"/>
          <w:cols w:space="720" w:num="1"/>
          <w:docGrid w:type="lines" w:linePitch="331" w:charSpace="0"/>
        </w:sectPr>
      </w:pPr>
    </w:p>
    <w:p w14:paraId="62D9A3A3">
      <w:pPr>
        <w:pStyle w:val="14"/>
        <w:wordWrap w:val="0"/>
        <w:spacing w:line="360" w:lineRule="auto"/>
        <w:ind w:firstLine="600"/>
        <w:jc w:val="center"/>
        <w:rPr>
          <w:rFonts w:hint="eastAsia" w:hAnsi="宋体" w:cs="宋体"/>
          <w:b/>
          <w:color w:val="auto"/>
          <w:sz w:val="30"/>
          <w:szCs w:val="30"/>
          <w:highlight w:val="none"/>
        </w:rPr>
      </w:pPr>
      <w:r>
        <w:rPr>
          <w:rFonts w:hint="eastAsia" w:hAnsi="宋体" w:cs="宋体"/>
          <w:color w:val="auto"/>
          <w:sz w:val="30"/>
          <w:highlight w:val="none"/>
        </w:rPr>
        <w:t>二、</w:t>
      </w:r>
      <w:r>
        <w:rPr>
          <w:rFonts w:hint="eastAsia" w:hAnsi="宋体" w:cs="宋体"/>
          <w:b/>
          <w:color w:val="auto"/>
          <w:sz w:val="30"/>
          <w:szCs w:val="30"/>
          <w:highlight w:val="none"/>
        </w:rPr>
        <w:t>开标一览表</w:t>
      </w:r>
      <w:r>
        <w:rPr>
          <w:rFonts w:hint="eastAsia" w:hAnsi="宋体" w:cs="宋体"/>
          <w:b/>
          <w:color w:val="auto"/>
          <w:kern w:val="0"/>
          <w:sz w:val="24"/>
          <w:highlight w:val="none"/>
          <w:lang w:val="zh-CN"/>
        </w:rPr>
        <w:t>(单位均为人民币元)</w:t>
      </w:r>
    </w:p>
    <w:p w14:paraId="08F09A46">
      <w:pPr>
        <w:wordWrap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57BC2466">
      <w:pPr>
        <w:wordWrap w:val="0"/>
        <w:snapToGrid w:val="0"/>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分标：</w:t>
      </w:r>
      <w:r>
        <w:rPr>
          <w:rFonts w:hint="eastAsia" w:ascii="宋体" w:hAnsi="宋体" w:cs="宋体"/>
          <w:color w:val="auto"/>
          <w:sz w:val="24"/>
          <w:highlight w:val="none"/>
          <w:u w:val="single"/>
        </w:rPr>
        <w:t xml:space="preserve">           </w:t>
      </w:r>
    </w:p>
    <w:p w14:paraId="6A83F6EF">
      <w:pPr>
        <w:pStyle w:val="14"/>
        <w:wordWrap w:val="0"/>
        <w:spacing w:line="360" w:lineRule="auto"/>
        <w:rPr>
          <w:rFonts w:hint="eastAsia" w:hAnsi="宋体" w:cs="宋体"/>
          <w:b/>
          <w:color w:val="auto"/>
          <w:sz w:val="32"/>
          <w:highlight w:val="none"/>
        </w:rPr>
      </w:pPr>
      <w:r>
        <w:rPr>
          <w:rFonts w:hint="eastAsia" w:hAnsi="宋体" w:cs="宋体"/>
          <w:color w:val="auto"/>
          <w:sz w:val="24"/>
          <w:highlight w:val="none"/>
        </w:rPr>
        <w:t>投标人名称：</w:t>
      </w:r>
      <w:r>
        <w:rPr>
          <w:rFonts w:hint="eastAsia" w:hAnsi="宋体" w:cs="宋体"/>
          <w:color w:val="auto"/>
          <w:sz w:val="24"/>
          <w:highlight w:val="none"/>
          <w:u w:val="single"/>
        </w:rPr>
        <w:t xml:space="preserve">                     </w:t>
      </w:r>
      <w:r>
        <w:rPr>
          <w:rFonts w:hint="eastAsia" w:hAnsi="宋体" w:cs="宋体"/>
          <w:color w:val="auto"/>
          <w:sz w:val="24"/>
          <w:highlight w:val="none"/>
        </w:rPr>
        <w:t xml:space="preserve">   </w:t>
      </w:r>
    </w:p>
    <w:tbl>
      <w:tblPr>
        <w:tblStyle w:val="26"/>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516"/>
        <w:gridCol w:w="1109"/>
        <w:gridCol w:w="805"/>
      </w:tblGrid>
      <w:tr w14:paraId="197BD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14:paraId="798E8554">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14:paraId="5DEFCA40">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vAlign w:val="center"/>
          </w:tcPr>
          <w:p w14:paraId="6855E017">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具体服务内容（含具体服务范围、服务时间、服务标准等内容）</w:t>
            </w:r>
          </w:p>
        </w:tc>
        <w:tc>
          <w:tcPr>
            <w:tcW w:w="1080" w:type="dxa"/>
            <w:tcBorders>
              <w:top w:val="single" w:color="auto" w:sz="4" w:space="0"/>
              <w:left w:val="single" w:color="auto" w:sz="4" w:space="0"/>
              <w:bottom w:val="single" w:color="auto" w:sz="4" w:space="0"/>
              <w:right w:val="single" w:color="auto" w:sz="4" w:space="0"/>
            </w:tcBorders>
            <w:vAlign w:val="center"/>
          </w:tcPr>
          <w:p w14:paraId="4BA540F6">
            <w:pPr>
              <w:wordWrap w:val="0"/>
              <w:spacing w:line="360" w:lineRule="auto"/>
              <w:jc w:val="center"/>
              <w:rPr>
                <w:rFonts w:hint="eastAsia" w:ascii="宋体" w:hAnsi="宋体" w:cs="宋体"/>
                <w:color w:val="auto"/>
                <w:szCs w:val="22"/>
                <w:highlight w:val="none"/>
              </w:rPr>
            </w:pPr>
            <w:r>
              <w:rPr>
                <w:rFonts w:hint="eastAsia" w:ascii="宋体" w:hAnsi="宋体" w:cs="宋体"/>
                <w:color w:val="auto"/>
                <w:szCs w:val="22"/>
                <w:highlight w:val="none"/>
              </w:rPr>
              <w:t>数量①</w:t>
            </w:r>
          </w:p>
        </w:tc>
        <w:tc>
          <w:tcPr>
            <w:tcW w:w="1260" w:type="dxa"/>
            <w:tcBorders>
              <w:top w:val="single" w:color="auto" w:sz="4" w:space="0"/>
              <w:left w:val="single" w:color="auto" w:sz="4" w:space="0"/>
              <w:bottom w:val="single" w:color="auto" w:sz="4" w:space="0"/>
              <w:right w:val="single" w:color="auto" w:sz="4" w:space="0"/>
            </w:tcBorders>
            <w:vAlign w:val="center"/>
          </w:tcPr>
          <w:p w14:paraId="10B044F5">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单价(元)②</w:t>
            </w:r>
          </w:p>
        </w:tc>
        <w:tc>
          <w:tcPr>
            <w:tcW w:w="1516" w:type="dxa"/>
            <w:tcBorders>
              <w:top w:val="single" w:color="auto" w:sz="4" w:space="0"/>
              <w:left w:val="single" w:color="auto" w:sz="4" w:space="0"/>
              <w:bottom w:val="single" w:color="auto" w:sz="4" w:space="0"/>
              <w:right w:val="single" w:color="auto" w:sz="4" w:space="0"/>
            </w:tcBorders>
            <w:vAlign w:val="center"/>
          </w:tcPr>
          <w:p w14:paraId="5E43B0FA">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单项合价（元）</w:t>
            </w:r>
          </w:p>
          <w:p w14:paraId="36C15493">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③＝①×②</w:t>
            </w:r>
          </w:p>
        </w:tc>
        <w:tc>
          <w:tcPr>
            <w:tcW w:w="1109" w:type="dxa"/>
            <w:tcBorders>
              <w:top w:val="single" w:color="auto" w:sz="4" w:space="0"/>
              <w:left w:val="single" w:color="auto" w:sz="4" w:space="0"/>
              <w:bottom w:val="single" w:color="auto" w:sz="4" w:space="0"/>
              <w:right w:val="single" w:color="auto" w:sz="4" w:space="0"/>
            </w:tcBorders>
            <w:vAlign w:val="center"/>
          </w:tcPr>
          <w:p w14:paraId="482F2699">
            <w:pPr>
              <w:wordWrap w:val="0"/>
              <w:spacing w:line="360" w:lineRule="auto"/>
              <w:jc w:val="center"/>
              <w:rPr>
                <w:rFonts w:hint="eastAsia" w:ascii="宋体" w:hAnsi="宋体" w:cs="宋体"/>
                <w:color w:val="auto"/>
                <w:szCs w:val="22"/>
                <w:highlight w:val="none"/>
              </w:rPr>
            </w:pPr>
            <w:r>
              <w:rPr>
                <w:rFonts w:hint="eastAsia" w:hAnsi="宋体" w:cs="宋体"/>
                <w:color w:val="auto"/>
                <w:highlight w:val="none"/>
              </w:rPr>
              <w:t>服务运维期</w:t>
            </w:r>
          </w:p>
        </w:tc>
        <w:tc>
          <w:tcPr>
            <w:tcW w:w="805" w:type="dxa"/>
            <w:tcBorders>
              <w:top w:val="single" w:color="auto" w:sz="4" w:space="0"/>
              <w:left w:val="single" w:color="auto" w:sz="4" w:space="0"/>
              <w:bottom w:val="single" w:color="auto" w:sz="4" w:space="0"/>
              <w:right w:val="single" w:color="auto" w:sz="4" w:space="0"/>
            </w:tcBorders>
            <w:vAlign w:val="center"/>
          </w:tcPr>
          <w:p w14:paraId="3C1C99CD">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备注</w:t>
            </w:r>
          </w:p>
        </w:tc>
      </w:tr>
      <w:tr w14:paraId="715A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14:paraId="7EFFCC78">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5F522B28">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EA3948A">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3CC770B">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3CBBF4E">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762C0A56">
            <w:pPr>
              <w:wordWrap w:val="0"/>
              <w:spacing w:line="360" w:lineRule="auto"/>
              <w:rPr>
                <w:rFonts w:hint="eastAsia" w:ascii="宋体" w:hAnsi="宋体" w:cs="宋体"/>
                <w:color w:val="auto"/>
                <w:szCs w:val="22"/>
                <w:highlight w:val="none"/>
              </w:rPr>
            </w:pPr>
          </w:p>
        </w:tc>
        <w:tc>
          <w:tcPr>
            <w:tcW w:w="1109" w:type="dxa"/>
            <w:tcBorders>
              <w:top w:val="single" w:color="auto" w:sz="4" w:space="0"/>
              <w:left w:val="single" w:color="auto" w:sz="4" w:space="0"/>
              <w:bottom w:val="single" w:color="auto" w:sz="4" w:space="0"/>
              <w:right w:val="single" w:color="auto" w:sz="4" w:space="0"/>
            </w:tcBorders>
          </w:tcPr>
          <w:p w14:paraId="4893E03B">
            <w:pPr>
              <w:wordWrap w:val="0"/>
              <w:spacing w:line="360" w:lineRule="auto"/>
              <w:rPr>
                <w:rFonts w:hint="eastAsia" w:ascii="宋体" w:hAnsi="宋体" w:cs="宋体"/>
                <w:color w:val="auto"/>
                <w:szCs w:val="22"/>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7252EA02">
            <w:pPr>
              <w:wordWrap w:val="0"/>
              <w:spacing w:line="360" w:lineRule="auto"/>
              <w:rPr>
                <w:rFonts w:hint="eastAsia" w:ascii="宋体" w:hAnsi="宋体" w:cs="宋体"/>
                <w:color w:val="auto"/>
                <w:szCs w:val="22"/>
                <w:highlight w:val="none"/>
              </w:rPr>
            </w:pPr>
          </w:p>
        </w:tc>
      </w:tr>
      <w:tr w14:paraId="11D3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14:paraId="24761C35">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6A164617">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7BC0A688">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2E8FAF07">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2274765">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53AF6A84">
            <w:pPr>
              <w:wordWrap w:val="0"/>
              <w:spacing w:line="360" w:lineRule="auto"/>
              <w:rPr>
                <w:rFonts w:hint="eastAsia" w:ascii="宋体" w:hAnsi="宋体" w:cs="宋体"/>
                <w:color w:val="auto"/>
                <w:szCs w:val="22"/>
                <w:highlight w:val="none"/>
              </w:rPr>
            </w:pPr>
          </w:p>
        </w:tc>
        <w:tc>
          <w:tcPr>
            <w:tcW w:w="1109" w:type="dxa"/>
            <w:tcBorders>
              <w:top w:val="single" w:color="auto" w:sz="4" w:space="0"/>
              <w:left w:val="single" w:color="auto" w:sz="4" w:space="0"/>
              <w:bottom w:val="single" w:color="auto" w:sz="4" w:space="0"/>
              <w:right w:val="single" w:color="auto" w:sz="4" w:space="0"/>
            </w:tcBorders>
          </w:tcPr>
          <w:p w14:paraId="11EAA74C">
            <w:pPr>
              <w:wordWrap w:val="0"/>
              <w:spacing w:line="360" w:lineRule="auto"/>
              <w:rPr>
                <w:rFonts w:hint="eastAsia" w:ascii="宋体" w:hAnsi="宋体" w:cs="宋体"/>
                <w:color w:val="auto"/>
                <w:szCs w:val="22"/>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19582AEB">
            <w:pPr>
              <w:wordWrap w:val="0"/>
              <w:spacing w:line="360" w:lineRule="auto"/>
              <w:rPr>
                <w:rFonts w:hint="eastAsia" w:ascii="宋体" w:hAnsi="宋体" w:cs="宋体"/>
                <w:color w:val="auto"/>
                <w:szCs w:val="22"/>
                <w:highlight w:val="none"/>
              </w:rPr>
            </w:pPr>
          </w:p>
        </w:tc>
      </w:tr>
      <w:tr w14:paraId="6002E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trPr>
        <w:tc>
          <w:tcPr>
            <w:tcW w:w="719" w:type="dxa"/>
            <w:tcBorders>
              <w:top w:val="single" w:color="auto" w:sz="4" w:space="0"/>
              <w:left w:val="single" w:color="auto" w:sz="4" w:space="0"/>
              <w:bottom w:val="single" w:color="auto" w:sz="4" w:space="0"/>
              <w:right w:val="single" w:color="auto" w:sz="4" w:space="0"/>
            </w:tcBorders>
            <w:vAlign w:val="center"/>
          </w:tcPr>
          <w:p w14:paraId="1390650E">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51E7A3F2">
            <w:pPr>
              <w:wordWrap w:val="0"/>
              <w:spacing w:line="360" w:lineRule="auto"/>
              <w:rPr>
                <w:rFonts w:hint="eastAsia" w:ascii="宋体" w:hAnsi="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vAlign w:val="center"/>
          </w:tcPr>
          <w:p w14:paraId="55A64292">
            <w:pPr>
              <w:wordWrap w:val="0"/>
              <w:spacing w:line="360" w:lineRule="auto"/>
              <w:rPr>
                <w:rFonts w:hint="eastAsia"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56CC3DED">
            <w:pPr>
              <w:wordWrap w:val="0"/>
              <w:spacing w:line="360" w:lineRule="auto"/>
              <w:rPr>
                <w:rFonts w:hint="eastAsia" w:ascii="宋体" w:hAnsi="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C561D5D">
            <w:pPr>
              <w:wordWrap w:val="0"/>
              <w:spacing w:line="360" w:lineRule="auto"/>
              <w:rPr>
                <w:rFonts w:hint="eastAsia" w:ascii="宋体" w:hAnsi="宋体" w:cs="宋体"/>
                <w:color w:val="auto"/>
                <w:szCs w:val="22"/>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3C2BFC26">
            <w:pPr>
              <w:wordWrap w:val="0"/>
              <w:spacing w:line="360" w:lineRule="auto"/>
              <w:rPr>
                <w:rFonts w:hint="eastAsia" w:ascii="宋体" w:hAnsi="宋体" w:cs="宋体"/>
                <w:color w:val="auto"/>
                <w:szCs w:val="22"/>
                <w:highlight w:val="none"/>
              </w:rPr>
            </w:pPr>
          </w:p>
        </w:tc>
        <w:tc>
          <w:tcPr>
            <w:tcW w:w="1109" w:type="dxa"/>
            <w:tcBorders>
              <w:top w:val="single" w:color="auto" w:sz="4" w:space="0"/>
              <w:left w:val="single" w:color="auto" w:sz="4" w:space="0"/>
              <w:bottom w:val="single" w:color="auto" w:sz="4" w:space="0"/>
              <w:right w:val="single" w:color="auto" w:sz="4" w:space="0"/>
            </w:tcBorders>
          </w:tcPr>
          <w:p w14:paraId="46D265A8">
            <w:pPr>
              <w:wordWrap w:val="0"/>
              <w:spacing w:line="360" w:lineRule="auto"/>
              <w:rPr>
                <w:rFonts w:hint="eastAsia" w:ascii="宋体" w:hAnsi="宋体" w:cs="宋体"/>
                <w:color w:val="auto"/>
                <w:szCs w:val="22"/>
                <w:highlight w:val="none"/>
              </w:rPr>
            </w:pPr>
          </w:p>
        </w:tc>
        <w:tc>
          <w:tcPr>
            <w:tcW w:w="805" w:type="dxa"/>
            <w:tcBorders>
              <w:top w:val="single" w:color="auto" w:sz="4" w:space="0"/>
              <w:left w:val="single" w:color="auto" w:sz="4" w:space="0"/>
              <w:bottom w:val="single" w:color="auto" w:sz="4" w:space="0"/>
              <w:right w:val="single" w:color="auto" w:sz="4" w:space="0"/>
            </w:tcBorders>
            <w:vAlign w:val="center"/>
          </w:tcPr>
          <w:p w14:paraId="20FF86E8">
            <w:pPr>
              <w:wordWrap w:val="0"/>
              <w:spacing w:line="360" w:lineRule="auto"/>
              <w:rPr>
                <w:rFonts w:hint="eastAsia" w:ascii="宋体" w:hAnsi="宋体" w:cs="宋体"/>
                <w:color w:val="auto"/>
                <w:szCs w:val="22"/>
                <w:highlight w:val="none"/>
              </w:rPr>
            </w:pPr>
          </w:p>
        </w:tc>
      </w:tr>
      <w:tr w14:paraId="6EB3E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3F3C51D6">
            <w:pPr>
              <w:wordWrap w:val="0"/>
              <w:spacing w:line="360" w:lineRule="auto"/>
              <w:jc w:val="left"/>
              <w:rPr>
                <w:rFonts w:hint="eastAsia" w:ascii="宋体" w:hAnsi="宋体" w:cs="宋体"/>
                <w:color w:val="auto"/>
                <w:szCs w:val="22"/>
                <w:highlight w:val="none"/>
              </w:rPr>
            </w:pPr>
            <w:r>
              <w:rPr>
                <w:rFonts w:hint="eastAsia" w:ascii="宋体" w:hAnsi="宋体" w:cs="宋体"/>
                <w:color w:val="auto"/>
                <w:szCs w:val="21"/>
                <w:highlight w:val="none"/>
              </w:rPr>
              <w:t>报价合计（包含税费等所有费用）：（大写）人民币             （</w:t>
            </w:r>
            <w:r>
              <w:rPr>
                <w:rFonts w:hint="eastAsia" w:hAnsi="宋体" w:cs="宋体"/>
                <w:color w:val="auto"/>
                <w:highlight w:val="none"/>
              </w:rPr>
              <w:t>¥</w:t>
            </w:r>
            <w:r>
              <w:rPr>
                <w:rFonts w:hint="eastAsia" w:ascii="宋体" w:hAnsi="宋体" w:cs="宋体"/>
                <w:color w:val="auto"/>
                <w:szCs w:val="21"/>
                <w:highlight w:val="none"/>
              </w:rPr>
              <w:t xml:space="preserve">                  元）</w:t>
            </w:r>
          </w:p>
        </w:tc>
      </w:tr>
      <w:tr w14:paraId="1B1B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BC6520F">
            <w:pPr>
              <w:wordWrap w:val="0"/>
              <w:spacing w:line="360" w:lineRule="auto"/>
              <w:rPr>
                <w:rFonts w:hint="eastAsia"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2A4C2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1FB018F0">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验收标准：</w:t>
            </w:r>
          </w:p>
        </w:tc>
      </w:tr>
      <w:tr w14:paraId="7F3C3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tcPr>
          <w:p w14:paraId="62D2101D">
            <w:pPr>
              <w:wordWrap w:val="0"/>
              <w:spacing w:line="360" w:lineRule="auto"/>
              <w:rPr>
                <w:rFonts w:hint="eastAsia" w:ascii="宋体" w:hAnsi="宋体" w:cs="宋体"/>
                <w:color w:val="auto"/>
                <w:szCs w:val="22"/>
                <w:highlight w:val="none"/>
              </w:rPr>
            </w:pPr>
            <w:r>
              <w:rPr>
                <w:rFonts w:hint="eastAsia" w:ascii="宋体" w:hAnsi="宋体" w:cs="宋体"/>
                <w:color w:val="auto"/>
                <w:szCs w:val="22"/>
                <w:highlight w:val="none"/>
              </w:rPr>
              <w:t>优惠及其它：</w:t>
            </w:r>
          </w:p>
        </w:tc>
      </w:tr>
    </w:tbl>
    <w:p w14:paraId="04A60B25">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3D940AE">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宋体" w:hAnsi="宋体" w:cs="宋体"/>
          <w:b/>
          <w:color w:val="auto"/>
          <w:kern w:val="0"/>
          <w:sz w:val="24"/>
          <w:highlight w:val="none"/>
          <w:lang w:val="zh-CN"/>
        </w:rPr>
        <w:t>否则其投标作无效处理。</w:t>
      </w:r>
    </w:p>
    <w:p w14:paraId="6A8ED2A8">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2、本表内容均不能涂改，</w:t>
      </w:r>
      <w:r>
        <w:rPr>
          <w:rFonts w:hint="eastAsia" w:ascii="宋体" w:hAnsi="宋体" w:cs="宋体"/>
          <w:b/>
          <w:color w:val="auto"/>
          <w:kern w:val="0"/>
          <w:sz w:val="24"/>
          <w:highlight w:val="none"/>
          <w:lang w:val="zh-CN"/>
        </w:rPr>
        <w:t>否则其投标作无效处理。</w:t>
      </w:r>
    </w:p>
    <w:p w14:paraId="330217E8">
      <w:pPr>
        <w:wordWrap w:val="0"/>
        <w:snapToGrid w:val="0"/>
        <w:spacing w:line="360" w:lineRule="auto"/>
        <w:ind w:firstLine="480" w:firstLineChars="200"/>
        <w:jc w:val="left"/>
        <w:rPr>
          <w:rFonts w:hint="eastAsia" w:ascii="宋体" w:hAnsi="宋体" w:cs="宋体"/>
          <w:b/>
          <w:color w:val="auto"/>
          <w:kern w:val="0"/>
          <w:sz w:val="24"/>
          <w:highlight w:val="none"/>
          <w:lang w:val="zh-CN"/>
        </w:rPr>
      </w:pPr>
      <w:r>
        <w:rPr>
          <w:rFonts w:hint="eastAsia" w:ascii="宋体" w:hAnsi="宋体" w:cs="宋体"/>
          <w:color w:val="auto"/>
          <w:kern w:val="0"/>
          <w:sz w:val="24"/>
          <w:highlight w:val="none"/>
          <w:lang w:val="zh-CN"/>
        </w:rPr>
        <w:t>3、如为联合体投标，“投标人名称”处必须列明联合体各方名称，并标注联合体牵头人名称，且盖章处须加盖联合体各方公章，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否则其投标作无效处理。</w:t>
      </w:r>
    </w:p>
    <w:p w14:paraId="5C22F063">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4、以上表格要求细分项目及报价，在“具体服务内容”一栏中，填写具体服务范围、服务时间、服务标准，</w:t>
      </w:r>
      <w:r>
        <w:rPr>
          <w:rFonts w:hint="eastAsia" w:ascii="宋体" w:hAnsi="宋体" w:cs="宋体"/>
          <w:b/>
          <w:color w:val="auto"/>
          <w:kern w:val="0"/>
          <w:sz w:val="24"/>
          <w:highlight w:val="none"/>
          <w:lang w:val="zh-CN"/>
        </w:rPr>
        <w:t>否则其投标作无效处理。</w:t>
      </w:r>
    </w:p>
    <w:p w14:paraId="44F64696">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5、特别提示：采购机构将对项目名称和项目编号，中标供应商名称、地址和中标金额，主要中标标的的名称、服务范围、服务要求、服务时间、服务标准等予以公示。</w:t>
      </w:r>
    </w:p>
    <w:p w14:paraId="7C7C8499">
      <w:pPr>
        <w:wordWrap w:val="0"/>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6、</w:t>
      </w:r>
      <w:r>
        <w:rPr>
          <w:rFonts w:hint="eastAsia" w:ascii="宋体" w:hAnsi="宋体" w:cs="宋体"/>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6F20A234">
      <w:pPr>
        <w:wordWrap w:val="0"/>
        <w:snapToGrid w:val="0"/>
        <w:spacing w:line="360" w:lineRule="auto"/>
        <w:ind w:firstLine="5040" w:firstLineChars="2100"/>
        <w:rPr>
          <w:rFonts w:hint="eastAsia" w:ascii="宋体" w:hAnsi="宋体" w:cs="宋体"/>
          <w:color w:val="auto"/>
          <w:kern w:val="0"/>
          <w:sz w:val="24"/>
          <w:highlight w:val="none"/>
        </w:rPr>
      </w:pPr>
      <w:r>
        <w:rPr>
          <w:rFonts w:hint="eastAsia" w:ascii="宋体" w:hAnsi="宋体" w:cs="宋体"/>
          <w:color w:val="auto"/>
          <w:kern w:val="0"/>
          <w:sz w:val="24"/>
          <w:highlight w:val="none"/>
          <w:lang w:val="zh-CN"/>
        </w:rPr>
        <w:t>投标人名称(电子签章)：</w:t>
      </w:r>
    </w:p>
    <w:p w14:paraId="1C179EB1">
      <w:pPr>
        <w:pStyle w:val="12"/>
        <w:wordWrap w:val="0"/>
        <w:spacing w:after="0" w:line="360" w:lineRule="auto"/>
        <w:rPr>
          <w:color w:val="auto"/>
          <w:highlight w:val="none"/>
        </w:rPr>
        <w:sectPr>
          <w:pgSz w:w="11906" w:h="16838"/>
          <w:pgMar w:top="1440" w:right="1080" w:bottom="1440" w:left="1080" w:header="720" w:footer="720" w:gutter="0"/>
          <w:cols w:space="720" w:num="1"/>
          <w:docGrid w:type="lines" w:linePitch="331" w:charSpace="0"/>
        </w:sectPr>
      </w:pPr>
    </w:p>
    <w:p w14:paraId="15295AC3">
      <w:pPr>
        <w:pStyle w:val="25"/>
        <w:ind w:firstLine="320"/>
        <w:rPr>
          <w:color w:val="auto"/>
          <w:highlight w:val="none"/>
        </w:rPr>
      </w:pPr>
    </w:p>
    <w:p w14:paraId="404079E0">
      <w:pPr>
        <w:wordWrap w:val="0"/>
        <w:snapToGrid w:val="0"/>
        <w:spacing w:line="360" w:lineRule="auto"/>
        <w:ind w:firstLine="562"/>
        <w:jc w:val="center"/>
        <w:outlineLvl w:val="1"/>
        <w:rPr>
          <w:rFonts w:hint="eastAsia" w:ascii="宋体" w:hAnsi="宋体" w:cs="宋体"/>
          <w:b/>
          <w:bCs/>
          <w:color w:val="auto"/>
          <w:sz w:val="28"/>
          <w:szCs w:val="28"/>
          <w:highlight w:val="none"/>
        </w:rPr>
      </w:pPr>
      <w:bookmarkStart w:id="319" w:name="_Toc12438"/>
      <w:bookmarkStart w:id="320" w:name="_Toc19686840"/>
      <w:r>
        <w:rPr>
          <w:rFonts w:hint="eastAsia" w:ascii="宋体" w:hAnsi="宋体" w:cs="宋体"/>
          <w:b/>
          <w:bCs/>
          <w:color w:val="auto"/>
          <w:sz w:val="28"/>
          <w:szCs w:val="28"/>
          <w:highlight w:val="none"/>
        </w:rPr>
        <w:t>第六节 其他文书、文件格式</w:t>
      </w:r>
      <w:bookmarkEnd w:id="319"/>
      <w:bookmarkEnd w:id="320"/>
    </w:p>
    <w:p w14:paraId="46E0C91F">
      <w:pPr>
        <w:wordWrap w:val="0"/>
        <w:spacing w:line="360" w:lineRule="auto"/>
        <w:ind w:firstLine="643"/>
        <w:jc w:val="center"/>
        <w:rPr>
          <w:rFonts w:hint="eastAsia" w:ascii="宋体" w:hAnsi="宋体" w:cs="宋体"/>
          <w:b/>
          <w:bCs/>
          <w:color w:val="auto"/>
          <w:sz w:val="32"/>
          <w:szCs w:val="32"/>
          <w:highlight w:val="none"/>
          <w:lang w:val="en"/>
        </w:rPr>
      </w:pPr>
    </w:p>
    <w:p w14:paraId="3820EBE4">
      <w:pPr>
        <w:wordWrap w:val="0"/>
        <w:spacing w:line="360" w:lineRule="auto"/>
        <w:ind w:firstLine="643"/>
        <w:jc w:val="center"/>
        <w:rPr>
          <w:rFonts w:hint="eastAsia" w:ascii="宋体" w:hAnsi="宋体" w:cs="宋体"/>
          <w:b/>
          <w:bCs/>
          <w:color w:val="auto"/>
          <w:sz w:val="32"/>
          <w:szCs w:val="32"/>
          <w:highlight w:val="none"/>
          <w:lang w:val="en"/>
        </w:rPr>
      </w:pPr>
      <w:r>
        <w:rPr>
          <w:rFonts w:hint="eastAsia" w:ascii="宋体" w:hAnsi="宋体" w:cs="宋体"/>
          <w:b/>
          <w:bCs/>
          <w:color w:val="auto"/>
          <w:sz w:val="32"/>
          <w:szCs w:val="32"/>
          <w:highlight w:val="none"/>
          <w:lang w:val="en"/>
        </w:rPr>
        <w:t>知识产权合规性声明</w:t>
      </w:r>
    </w:p>
    <w:p w14:paraId="3CF10638">
      <w:pPr>
        <w:wordWrap w:val="0"/>
        <w:spacing w:line="360" w:lineRule="auto"/>
        <w:ind w:firstLine="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    </w:t>
      </w:r>
    </w:p>
    <w:p w14:paraId="07E92EE6">
      <w:pPr>
        <w:wordWrap w:val="0"/>
        <w:spacing w:line="360" w:lineRule="auto"/>
        <w:ind w:firstLine="600"/>
        <w:rPr>
          <w:rFonts w:hint="eastAsia" w:ascii="宋体" w:hAnsi="宋体" w:cs="宋体"/>
          <w:color w:val="auto"/>
          <w:sz w:val="30"/>
          <w:szCs w:val="30"/>
          <w:highlight w:val="none"/>
          <w:lang w:val="en"/>
        </w:rPr>
      </w:pPr>
      <w:r>
        <w:rPr>
          <w:rFonts w:hint="eastAsia" w:ascii="宋体" w:hAnsi="宋体" w:cs="宋体"/>
          <w:color w:val="auto"/>
          <w:sz w:val="30"/>
          <w:szCs w:val="30"/>
          <w:highlight w:val="none"/>
        </w:rPr>
        <w:t xml:space="preserve">    本</w:t>
      </w:r>
      <w:r>
        <w:rPr>
          <w:rFonts w:hint="eastAsia" w:ascii="宋体" w:hAnsi="宋体" w:cs="宋体"/>
          <w:color w:val="auto"/>
          <w:sz w:val="30"/>
          <w:szCs w:val="30"/>
          <w:highlight w:val="none"/>
          <w:lang w:val="en"/>
        </w:rPr>
        <w:t>企业自愿参与政府投资政府采购的</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u w:val="single"/>
        </w:rPr>
        <w:t>项目名称</w:t>
      </w:r>
      <w:r>
        <w:rPr>
          <w:rFonts w:hint="eastAsia" w:ascii="宋体" w:hAnsi="宋体" w:cs="宋体"/>
          <w:color w:val="auto"/>
          <w:sz w:val="30"/>
          <w:szCs w:val="30"/>
          <w:highlight w:val="none"/>
          <w:u w:val="single"/>
          <w:lang w:val="en"/>
        </w:rPr>
        <w:t>）</w:t>
      </w:r>
      <w:r>
        <w:rPr>
          <w:rFonts w:hint="eastAsia" w:ascii="宋体" w:hAnsi="宋体" w:cs="宋体"/>
          <w:color w:val="auto"/>
          <w:sz w:val="30"/>
          <w:szCs w:val="30"/>
          <w:highlight w:val="none"/>
          <w:lang w:val="en"/>
        </w:rPr>
        <w:t>项目，</w:t>
      </w:r>
      <w:r>
        <w:rPr>
          <w:rFonts w:hint="eastAsia" w:ascii="宋体" w:hAnsi="宋体" w:cs="宋体"/>
          <w:b/>
          <w:bCs/>
          <w:color w:val="auto"/>
          <w:sz w:val="30"/>
          <w:szCs w:val="30"/>
          <w:highlight w:val="none"/>
          <w:lang w:val="en"/>
        </w:rPr>
        <w:t>在此郑重承诺：</w:t>
      </w:r>
      <w:r>
        <w:rPr>
          <w:rFonts w:hint="eastAsia" w:ascii="宋体" w:hAnsi="宋体" w:cs="宋体"/>
          <w:color w:val="auto"/>
          <w:sz w:val="30"/>
          <w:szCs w:val="30"/>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26007EA">
      <w:pPr>
        <w:wordWrap w:val="0"/>
        <w:snapToGrid w:val="0"/>
        <w:spacing w:line="360" w:lineRule="auto"/>
        <w:ind w:left="5137" w:leftChars="1736" w:hanging="1491" w:hangingChars="825"/>
        <w:rPr>
          <w:rFonts w:hint="eastAsia" w:ascii="宋体" w:hAnsi="宋体" w:cs="宋体"/>
          <w:b/>
          <w:color w:val="auto"/>
          <w:sz w:val="18"/>
          <w:szCs w:val="18"/>
          <w:highlight w:val="none"/>
        </w:rPr>
      </w:pPr>
      <w:r>
        <w:rPr>
          <w:rFonts w:hint="eastAsia" w:ascii="宋体" w:hAnsi="宋体" w:cs="宋体"/>
          <w:b/>
          <w:color w:val="auto"/>
          <w:sz w:val="18"/>
          <w:szCs w:val="18"/>
          <w:highlight w:val="none"/>
        </w:rPr>
        <w:t xml:space="preserve">           </w:t>
      </w:r>
    </w:p>
    <w:p w14:paraId="62ADF224">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7E66227F">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6847286C">
      <w:pPr>
        <w:wordWrap w:val="0"/>
        <w:snapToGrid w:val="0"/>
        <w:spacing w:line="360" w:lineRule="auto"/>
        <w:ind w:left="5137" w:leftChars="1736" w:hanging="1491" w:hangingChars="825"/>
        <w:rPr>
          <w:rFonts w:hint="eastAsia" w:ascii="宋体" w:hAnsi="宋体" w:cs="宋体"/>
          <w:b/>
          <w:color w:val="auto"/>
          <w:sz w:val="18"/>
          <w:szCs w:val="18"/>
          <w:highlight w:val="none"/>
        </w:rPr>
      </w:pPr>
    </w:p>
    <w:p w14:paraId="44CBDE98">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3B3BE297">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E4B903C">
      <w:pPr>
        <w:pStyle w:val="14"/>
        <w:wordWrap w:val="0"/>
        <w:spacing w:line="360" w:lineRule="auto"/>
        <w:ind w:firstLine="602"/>
        <w:jc w:val="center"/>
        <w:rPr>
          <w:rFonts w:hint="eastAsia" w:hAnsi="宋体" w:cs="宋体"/>
          <w:b/>
          <w:color w:val="auto"/>
          <w:sz w:val="30"/>
          <w:szCs w:val="30"/>
          <w:highlight w:val="none"/>
        </w:rPr>
      </w:pPr>
      <w:r>
        <w:rPr>
          <w:rFonts w:hint="eastAsia" w:hAnsi="宋体" w:cs="宋体"/>
          <w:b/>
          <w:color w:val="auto"/>
          <w:sz w:val="30"/>
          <w:szCs w:val="30"/>
          <w:highlight w:val="none"/>
        </w:rPr>
        <w:br w:type="page"/>
      </w:r>
      <w:r>
        <w:rPr>
          <w:rFonts w:hint="eastAsia" w:hAnsi="宋体" w:cs="宋体"/>
          <w:b/>
          <w:color w:val="auto"/>
          <w:sz w:val="30"/>
          <w:szCs w:val="30"/>
          <w:highlight w:val="none"/>
        </w:rPr>
        <w:t>残疾人福利性单位声明函（如有）</w:t>
      </w:r>
    </w:p>
    <w:p w14:paraId="5FE70B67">
      <w:pPr>
        <w:pStyle w:val="14"/>
        <w:wordWrap w:val="0"/>
        <w:spacing w:line="360" w:lineRule="auto"/>
        <w:ind w:firstLine="602"/>
        <w:jc w:val="center"/>
        <w:rPr>
          <w:rFonts w:hint="eastAsia" w:hAnsi="宋体" w:cs="宋体"/>
          <w:b/>
          <w:color w:val="auto"/>
          <w:sz w:val="30"/>
          <w:szCs w:val="30"/>
          <w:highlight w:val="none"/>
        </w:rPr>
      </w:pPr>
    </w:p>
    <w:p w14:paraId="58AD142E">
      <w:pPr>
        <w:pStyle w:val="14"/>
        <w:wordWrap w:val="0"/>
        <w:spacing w:line="360" w:lineRule="auto"/>
        <w:ind w:firstLine="600"/>
        <w:jc w:val="left"/>
        <w:rPr>
          <w:rFonts w:hint="eastAsia" w:hAnsi="宋体" w:cs="宋体"/>
          <w:color w:val="auto"/>
          <w:sz w:val="24"/>
          <w:szCs w:val="24"/>
          <w:highlight w:val="none"/>
        </w:rPr>
      </w:pPr>
      <w:r>
        <w:rPr>
          <w:rFonts w:hint="eastAsia" w:hAnsi="宋体" w:cs="宋体"/>
          <w:color w:val="auto"/>
          <w:sz w:val="30"/>
          <w:szCs w:val="30"/>
          <w:highlight w:val="none"/>
        </w:rPr>
        <w:t xml:space="preserve">   </w:t>
      </w:r>
      <w:r>
        <w:rPr>
          <w:rFonts w:hint="eastAsia" w:hAnsi="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hAnsi="宋体" w:cs="宋体"/>
          <w:color w:val="auto"/>
          <w:sz w:val="24"/>
          <w:szCs w:val="24"/>
          <w:highlight w:val="none"/>
          <w:u w:val="single"/>
        </w:rPr>
        <w:t xml:space="preserve"> （采购人名称） </w:t>
      </w:r>
      <w:r>
        <w:rPr>
          <w:rFonts w:hint="eastAsia" w:hAnsi="宋体" w:cs="宋体"/>
          <w:color w:val="auto"/>
          <w:sz w:val="24"/>
          <w:szCs w:val="24"/>
          <w:highlight w:val="none"/>
        </w:rPr>
        <w:t>单位的（项目名称）项目采购活动提供本单位制造的货物（由本单位承担工程/提供服务），或者提供其他残疾人福利性单位制造的货物（不包括使用非残疾人福利性单位注册商标的货物）。</w:t>
      </w:r>
    </w:p>
    <w:p w14:paraId="7C2DF321">
      <w:pPr>
        <w:pStyle w:val="14"/>
        <w:wordWrap w:val="0"/>
        <w:spacing w:line="360" w:lineRule="auto"/>
        <w:ind w:firstLine="480" w:firstLineChars="200"/>
        <w:jc w:val="left"/>
        <w:rPr>
          <w:rFonts w:hint="eastAsia" w:hAnsi="宋体" w:cs="宋体"/>
          <w:color w:val="auto"/>
          <w:sz w:val="24"/>
          <w:szCs w:val="24"/>
          <w:highlight w:val="none"/>
        </w:rPr>
      </w:pPr>
      <w:r>
        <w:rPr>
          <w:rFonts w:hint="eastAsia" w:hAnsi="宋体" w:cs="宋体"/>
          <w:color w:val="auto"/>
          <w:sz w:val="24"/>
          <w:szCs w:val="24"/>
          <w:highlight w:val="none"/>
        </w:rPr>
        <w:t>本公司对上述声明的真实性负责。如有虚假，将依法承担相应责任。</w:t>
      </w:r>
    </w:p>
    <w:p w14:paraId="69579881">
      <w:pPr>
        <w:pStyle w:val="14"/>
        <w:wordWrap w:val="0"/>
        <w:spacing w:line="360" w:lineRule="auto"/>
        <w:ind w:firstLine="482"/>
        <w:jc w:val="left"/>
        <w:rPr>
          <w:rFonts w:hint="eastAsia" w:hAnsi="宋体" w:cs="宋体"/>
          <w:b/>
          <w:color w:val="auto"/>
          <w:szCs w:val="21"/>
          <w:highlight w:val="none"/>
        </w:rPr>
      </w:pPr>
    </w:p>
    <w:p w14:paraId="08566BB1">
      <w:pPr>
        <w:pStyle w:val="14"/>
        <w:wordWrap w:val="0"/>
        <w:spacing w:line="360" w:lineRule="auto"/>
        <w:ind w:firstLine="482"/>
        <w:jc w:val="left"/>
        <w:rPr>
          <w:rFonts w:hint="eastAsia" w:hAnsi="宋体" w:cs="宋体"/>
          <w:b/>
          <w:color w:val="auto"/>
          <w:szCs w:val="21"/>
          <w:highlight w:val="none"/>
        </w:rPr>
      </w:pPr>
    </w:p>
    <w:p w14:paraId="10C11F7F">
      <w:pPr>
        <w:wordWrap w:val="0"/>
        <w:snapToGrid w:val="0"/>
        <w:spacing w:line="360" w:lineRule="auto"/>
        <w:ind w:left="5137" w:leftChars="1736" w:hanging="1491" w:hangingChars="825"/>
        <w:rPr>
          <w:rFonts w:hint="eastAsia" w:ascii="宋体" w:hAnsi="宋体" w:cs="宋体"/>
          <w:color w:val="auto"/>
          <w:kern w:val="0"/>
          <w:sz w:val="24"/>
          <w:highlight w:val="none"/>
        </w:rPr>
      </w:pPr>
      <w:r>
        <w:rPr>
          <w:rFonts w:hint="eastAsia" w:ascii="宋体" w:hAnsi="宋体" w:cs="宋体"/>
          <w:b/>
          <w:color w:val="auto"/>
          <w:sz w:val="18"/>
          <w:szCs w:val="18"/>
          <w:highlight w:val="none"/>
        </w:rPr>
        <w:t xml:space="preserve">                                                                    </w:t>
      </w:r>
      <w:r>
        <w:rPr>
          <w:rFonts w:hint="eastAsia" w:ascii="宋体" w:hAnsi="宋体" w:cs="宋体"/>
          <w:color w:val="auto"/>
          <w:kern w:val="0"/>
          <w:sz w:val="24"/>
          <w:highlight w:val="none"/>
          <w:lang w:val="zh-CN"/>
        </w:rPr>
        <w:t>投标人名称(电子签章)：</w:t>
      </w:r>
    </w:p>
    <w:p w14:paraId="0A8CA7AD">
      <w:pPr>
        <w:wordWrap w:val="0"/>
        <w:snapToGrid w:val="0"/>
        <w:spacing w:line="360" w:lineRule="auto"/>
        <w:ind w:firstLine="5160" w:firstLineChars="21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E57E1E4">
      <w:pPr>
        <w:pStyle w:val="14"/>
        <w:wordWrap w:val="0"/>
        <w:spacing w:line="360" w:lineRule="auto"/>
        <w:ind w:left="5132" w:leftChars="1979" w:hanging="976" w:hangingChars="488"/>
        <w:rPr>
          <w:rFonts w:hint="eastAsia" w:hAnsi="宋体" w:cs="宋体"/>
          <w:color w:val="auto"/>
          <w:sz w:val="20"/>
          <w:highlight w:val="none"/>
        </w:rPr>
      </w:pPr>
    </w:p>
    <w:p w14:paraId="42C50EE4">
      <w:pPr>
        <w:wordWrap w:val="0"/>
        <w:spacing w:line="360" w:lineRule="auto"/>
        <w:ind w:right="420" w:firstLine="480" w:firstLineChars="200"/>
        <w:rPr>
          <w:rFonts w:hint="eastAsia"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14:paraId="5C9537ED">
      <w:pPr>
        <w:widowControl/>
        <w:wordWrap w:val="0"/>
        <w:spacing w:line="360" w:lineRule="auto"/>
        <w:ind w:firstLine="400"/>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1733E628">
      <w:pPr>
        <w:wordWrap w:val="0"/>
        <w:snapToGrid w:val="0"/>
        <w:spacing w:line="360" w:lineRule="auto"/>
        <w:ind w:firstLine="400"/>
        <w:jc w:val="left"/>
        <w:rPr>
          <w:rFonts w:hint="eastAsia" w:ascii="宋体" w:hAnsi="宋体" w:cs="宋体"/>
          <w:color w:val="auto"/>
          <w:sz w:val="20"/>
          <w:highlight w:val="none"/>
        </w:rPr>
      </w:pPr>
    </w:p>
    <w:p w14:paraId="32D8B6E8">
      <w:pPr>
        <w:pStyle w:val="14"/>
        <w:tabs>
          <w:tab w:val="left" w:pos="2472"/>
        </w:tabs>
        <w:wordWrap w:val="0"/>
        <w:spacing w:line="360" w:lineRule="auto"/>
        <w:ind w:firstLine="723"/>
        <w:jc w:val="center"/>
        <w:rPr>
          <w:rFonts w:hint="eastAsia" w:hAnsi="宋体" w:cs="宋体"/>
          <w:b/>
          <w:color w:val="auto"/>
          <w:sz w:val="36"/>
          <w:highlight w:val="none"/>
        </w:rPr>
      </w:pPr>
    </w:p>
    <w:p w14:paraId="1A0E91D5">
      <w:pPr>
        <w:pStyle w:val="14"/>
        <w:tabs>
          <w:tab w:val="left" w:pos="2472"/>
        </w:tabs>
        <w:wordWrap w:val="0"/>
        <w:spacing w:line="360" w:lineRule="auto"/>
        <w:ind w:firstLine="723"/>
        <w:jc w:val="center"/>
        <w:rPr>
          <w:rFonts w:hint="eastAsia" w:hAnsi="宋体" w:cs="宋体"/>
          <w:b/>
          <w:color w:val="auto"/>
          <w:sz w:val="36"/>
          <w:highlight w:val="none"/>
        </w:rPr>
      </w:pPr>
    </w:p>
    <w:p w14:paraId="41C35AB3">
      <w:pPr>
        <w:pStyle w:val="14"/>
        <w:tabs>
          <w:tab w:val="left" w:pos="2472"/>
        </w:tabs>
        <w:wordWrap w:val="0"/>
        <w:spacing w:line="360" w:lineRule="auto"/>
        <w:ind w:firstLine="723"/>
        <w:jc w:val="center"/>
        <w:rPr>
          <w:rFonts w:hint="eastAsia" w:hAnsi="宋体" w:cs="宋体"/>
          <w:b/>
          <w:color w:val="auto"/>
          <w:sz w:val="36"/>
          <w:highlight w:val="none"/>
        </w:rPr>
      </w:pPr>
    </w:p>
    <w:p w14:paraId="23E20F87">
      <w:pPr>
        <w:pStyle w:val="14"/>
        <w:tabs>
          <w:tab w:val="left" w:pos="2472"/>
        </w:tabs>
        <w:wordWrap w:val="0"/>
        <w:spacing w:line="360" w:lineRule="auto"/>
        <w:ind w:firstLine="723"/>
        <w:jc w:val="center"/>
        <w:rPr>
          <w:rFonts w:hint="eastAsia" w:hAnsi="宋体" w:cs="宋体"/>
          <w:b/>
          <w:color w:val="auto"/>
          <w:sz w:val="36"/>
          <w:highlight w:val="none"/>
        </w:rPr>
      </w:pPr>
    </w:p>
    <w:p w14:paraId="7A94A5C4">
      <w:pPr>
        <w:pStyle w:val="14"/>
        <w:tabs>
          <w:tab w:val="left" w:pos="2472"/>
        </w:tabs>
        <w:wordWrap w:val="0"/>
        <w:spacing w:line="360" w:lineRule="auto"/>
        <w:ind w:firstLine="723"/>
        <w:jc w:val="center"/>
        <w:rPr>
          <w:rFonts w:hint="eastAsia" w:hAnsi="宋体" w:cs="宋体"/>
          <w:b/>
          <w:color w:val="auto"/>
          <w:sz w:val="36"/>
          <w:highlight w:val="none"/>
        </w:rPr>
      </w:pPr>
    </w:p>
    <w:p w14:paraId="65F29A57">
      <w:pPr>
        <w:pStyle w:val="14"/>
        <w:tabs>
          <w:tab w:val="left" w:pos="2472"/>
        </w:tabs>
        <w:wordWrap w:val="0"/>
        <w:spacing w:line="360" w:lineRule="auto"/>
        <w:ind w:firstLine="723"/>
        <w:jc w:val="center"/>
        <w:rPr>
          <w:rFonts w:hint="eastAsia" w:hAnsi="宋体" w:cs="宋体"/>
          <w:b/>
          <w:color w:val="auto"/>
          <w:sz w:val="36"/>
          <w:highlight w:val="none"/>
        </w:rPr>
      </w:pPr>
    </w:p>
    <w:p w14:paraId="41A0E38B">
      <w:pPr>
        <w:pStyle w:val="14"/>
        <w:tabs>
          <w:tab w:val="left" w:pos="2472"/>
        </w:tabs>
        <w:wordWrap w:val="0"/>
        <w:spacing w:line="360" w:lineRule="auto"/>
        <w:ind w:firstLine="723"/>
        <w:jc w:val="center"/>
        <w:rPr>
          <w:rFonts w:hint="eastAsia" w:hAnsi="宋体" w:cs="宋体"/>
          <w:b/>
          <w:color w:val="auto"/>
          <w:sz w:val="36"/>
          <w:highlight w:val="none"/>
        </w:rPr>
      </w:pPr>
    </w:p>
    <w:p w14:paraId="3EE96C93">
      <w:pPr>
        <w:pStyle w:val="14"/>
        <w:tabs>
          <w:tab w:val="left" w:pos="2472"/>
        </w:tabs>
        <w:wordWrap w:val="0"/>
        <w:spacing w:line="360" w:lineRule="auto"/>
        <w:ind w:firstLine="723"/>
        <w:jc w:val="center"/>
        <w:rPr>
          <w:rFonts w:hint="eastAsia" w:hAnsi="宋体" w:cs="宋体"/>
          <w:b/>
          <w:color w:val="auto"/>
          <w:sz w:val="36"/>
          <w:highlight w:val="none"/>
        </w:rPr>
      </w:pPr>
    </w:p>
    <w:p w14:paraId="3F683A54">
      <w:pPr>
        <w:pStyle w:val="14"/>
        <w:tabs>
          <w:tab w:val="left" w:pos="2472"/>
        </w:tabs>
        <w:wordWrap w:val="0"/>
        <w:spacing w:line="360" w:lineRule="auto"/>
        <w:ind w:firstLine="723"/>
        <w:jc w:val="center"/>
        <w:rPr>
          <w:rFonts w:hint="eastAsia" w:hAnsi="宋体" w:cs="宋体"/>
          <w:b/>
          <w:color w:val="auto"/>
          <w:sz w:val="36"/>
          <w:highlight w:val="none"/>
        </w:rPr>
      </w:pPr>
    </w:p>
    <w:p w14:paraId="296E03E8">
      <w:pPr>
        <w:pStyle w:val="14"/>
        <w:tabs>
          <w:tab w:val="left" w:pos="2472"/>
        </w:tabs>
        <w:wordWrap w:val="0"/>
        <w:spacing w:line="360" w:lineRule="auto"/>
        <w:ind w:firstLine="723"/>
        <w:jc w:val="center"/>
        <w:rPr>
          <w:rFonts w:hint="eastAsia" w:hAnsi="宋体" w:cs="宋体"/>
          <w:b/>
          <w:color w:val="auto"/>
          <w:sz w:val="36"/>
          <w:highlight w:val="none"/>
        </w:rPr>
      </w:pPr>
    </w:p>
    <w:p w14:paraId="1C04B3FA">
      <w:pPr>
        <w:pStyle w:val="14"/>
        <w:tabs>
          <w:tab w:val="left" w:pos="2472"/>
        </w:tabs>
        <w:wordWrap w:val="0"/>
        <w:spacing w:line="360" w:lineRule="auto"/>
        <w:ind w:firstLine="723"/>
        <w:jc w:val="center"/>
        <w:rPr>
          <w:rFonts w:hint="eastAsia" w:hAnsi="宋体" w:cs="宋体"/>
          <w:b/>
          <w:color w:val="auto"/>
          <w:sz w:val="36"/>
          <w:highlight w:val="none"/>
        </w:rPr>
      </w:pPr>
    </w:p>
    <w:p w14:paraId="66887A35">
      <w:pPr>
        <w:pStyle w:val="14"/>
        <w:tabs>
          <w:tab w:val="left" w:pos="2472"/>
        </w:tabs>
        <w:wordWrap w:val="0"/>
        <w:spacing w:line="360" w:lineRule="auto"/>
        <w:ind w:firstLine="723"/>
        <w:jc w:val="center"/>
        <w:outlineLvl w:val="0"/>
        <w:rPr>
          <w:rFonts w:hint="eastAsia" w:hAnsi="宋体" w:cs="宋体"/>
          <w:b/>
          <w:color w:val="auto"/>
          <w:sz w:val="36"/>
          <w:highlight w:val="none"/>
        </w:rPr>
      </w:pPr>
      <w:bookmarkStart w:id="321" w:name="_Toc26579"/>
      <w:r>
        <w:rPr>
          <w:rFonts w:hint="eastAsia" w:hAnsi="宋体" w:cs="宋体"/>
          <w:b/>
          <w:color w:val="auto"/>
          <w:sz w:val="36"/>
          <w:highlight w:val="none"/>
        </w:rPr>
        <w:t>第七章 质疑、投诉证明材料格式</w:t>
      </w:r>
      <w:bookmarkEnd w:id="321"/>
    </w:p>
    <w:p w14:paraId="6BF79400">
      <w:pPr>
        <w:widowControl/>
        <w:wordWrap w:val="0"/>
        <w:spacing w:line="360" w:lineRule="auto"/>
        <w:ind w:firstLine="400"/>
        <w:jc w:val="left"/>
        <w:rPr>
          <w:rFonts w:hint="eastAsia" w:ascii="宋体" w:hAnsi="宋体" w:cs="宋体"/>
          <w:color w:val="auto"/>
          <w:sz w:val="20"/>
          <w:highlight w:val="none"/>
        </w:rPr>
        <w:sectPr>
          <w:pgSz w:w="11906" w:h="16838"/>
          <w:pgMar w:top="1440" w:right="1080" w:bottom="1440" w:left="1080" w:header="720" w:footer="720" w:gutter="0"/>
          <w:cols w:space="720" w:num="1"/>
          <w:docGrid w:type="lines" w:linePitch="331" w:charSpace="0"/>
        </w:sectPr>
      </w:pPr>
    </w:p>
    <w:p w14:paraId="79B43356">
      <w:pPr>
        <w:widowControl/>
        <w:shd w:val="clear" w:color="auto" w:fill="FFFFFF"/>
        <w:wordWrap w:val="0"/>
        <w:spacing w:line="360" w:lineRule="auto"/>
        <w:ind w:firstLine="562"/>
        <w:jc w:val="left"/>
        <w:rPr>
          <w:rFonts w:hint="eastAsia" w:ascii="宋体" w:hAnsi="宋体" w:cs="宋体"/>
          <w:b/>
          <w:bCs/>
          <w:color w:val="auto"/>
          <w:sz w:val="28"/>
          <w:szCs w:val="28"/>
          <w:highlight w:val="none"/>
        </w:rPr>
      </w:pPr>
    </w:p>
    <w:p w14:paraId="5622FD69">
      <w:pPr>
        <w:pStyle w:val="4"/>
        <w:wordWrap w:val="0"/>
        <w:spacing w:before="0" w:after="0" w:line="360" w:lineRule="auto"/>
        <w:ind w:firstLine="640"/>
        <w:jc w:val="center"/>
        <w:rPr>
          <w:rFonts w:hint="eastAsia" w:ascii="宋体" w:hAnsi="宋体" w:eastAsia="宋体" w:cs="宋体"/>
          <w:b w:val="0"/>
          <w:bCs w:val="0"/>
          <w:color w:val="auto"/>
          <w:highlight w:val="none"/>
        </w:rPr>
      </w:pPr>
      <w:bookmarkStart w:id="322" w:name="_Toc24445"/>
      <w:r>
        <w:rPr>
          <w:rFonts w:hint="eastAsia" w:ascii="宋体" w:hAnsi="宋体" w:eastAsia="宋体" w:cs="宋体"/>
          <w:b w:val="0"/>
          <w:bCs w:val="0"/>
          <w:color w:val="auto"/>
          <w:highlight w:val="none"/>
        </w:rPr>
        <w:t>第一节 质疑函（格式）</w:t>
      </w:r>
      <w:bookmarkEnd w:id="322"/>
    </w:p>
    <w:p w14:paraId="01A61AC8">
      <w:pPr>
        <w:wordWrap w:val="0"/>
        <w:spacing w:line="360" w:lineRule="auto"/>
        <w:ind w:firstLine="883"/>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质疑函范本</w:t>
      </w:r>
    </w:p>
    <w:p w14:paraId="76C26E9F">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一、质疑供应商基本信息</w:t>
      </w:r>
    </w:p>
    <w:p w14:paraId="18C7F965">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质疑供应商：</w:t>
      </w:r>
      <w:r>
        <w:rPr>
          <w:rFonts w:hint="eastAsia" w:ascii="宋体" w:hAnsi="宋体" w:cs="宋体"/>
          <w:color w:val="auto"/>
          <w:sz w:val="32"/>
          <w:szCs w:val="32"/>
          <w:highlight w:val="none"/>
          <w:u w:val="dotted"/>
        </w:rPr>
        <w:t xml:space="preserve">                                        </w:t>
      </w:r>
    </w:p>
    <w:p w14:paraId="08A38EF0">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地址：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574BF919">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3C4C7465">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p>
    <w:p w14:paraId="24699EFB">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4D35A235">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地址： </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p>
    <w:p w14:paraId="6427901A">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二、质疑项目基本情况</w:t>
      </w:r>
    </w:p>
    <w:p w14:paraId="1770C340">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质疑项目的名称：</w:t>
      </w:r>
      <w:r>
        <w:rPr>
          <w:rFonts w:hint="eastAsia" w:ascii="宋体" w:hAnsi="宋体" w:cs="宋体"/>
          <w:color w:val="auto"/>
          <w:sz w:val="32"/>
          <w:szCs w:val="32"/>
          <w:highlight w:val="none"/>
          <w:u w:val="dotted"/>
        </w:rPr>
        <w:t xml:space="preserve">   </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32"/>
          <w:szCs w:val="32"/>
          <w:highlight w:val="none"/>
          <w:u w:val="dotted"/>
          <w:lang w:eastAsia="zh-CN"/>
        </w:rPr>
        <w:t>南宁市经济信息中心2025年第二批信息化系统运维项目（重）</w:t>
      </w:r>
      <w:r>
        <w:rPr>
          <w:rFonts w:hint="eastAsia" w:ascii="宋体" w:hAnsi="宋体" w:cs="宋体"/>
          <w:color w:val="auto"/>
          <w:sz w:val="32"/>
          <w:szCs w:val="32"/>
          <w:highlight w:val="none"/>
          <w:u w:val="dotted"/>
        </w:rPr>
        <w:fldChar w:fldCharType="end"/>
      </w:r>
      <w:r>
        <w:rPr>
          <w:rFonts w:hint="eastAsia" w:ascii="宋体" w:hAnsi="宋体" w:cs="宋体"/>
          <w:color w:val="auto"/>
          <w:sz w:val="32"/>
          <w:szCs w:val="32"/>
          <w:highlight w:val="none"/>
          <w:u w:val="dotted"/>
        </w:rPr>
        <w:t xml:space="preserve">     </w:t>
      </w:r>
    </w:p>
    <w:p w14:paraId="0FCB968D">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质疑项目的编号：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49282821">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南宁市经济信息中心  </w:t>
      </w:r>
    </w:p>
    <w:p w14:paraId="114AE1F4">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采购文件获取日期：</w:t>
      </w:r>
      <w:r>
        <w:rPr>
          <w:rFonts w:hint="eastAsia" w:ascii="宋体" w:hAnsi="宋体" w:cs="宋体"/>
          <w:color w:val="auto"/>
          <w:sz w:val="32"/>
          <w:szCs w:val="32"/>
          <w:highlight w:val="none"/>
          <w:u w:val="dotted"/>
        </w:rPr>
        <w:t xml:space="preserve">                                           </w:t>
      </w:r>
    </w:p>
    <w:p w14:paraId="26D9459F">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三、质疑事项具体内容</w:t>
      </w:r>
    </w:p>
    <w:p w14:paraId="6D09645E">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质疑事项1：</w:t>
      </w:r>
      <w:r>
        <w:rPr>
          <w:rFonts w:hint="eastAsia" w:ascii="宋体" w:hAnsi="宋体" w:cs="宋体"/>
          <w:color w:val="auto"/>
          <w:sz w:val="32"/>
          <w:szCs w:val="32"/>
          <w:highlight w:val="none"/>
          <w:u w:val="dotted"/>
        </w:rPr>
        <w:t xml:space="preserve">                                         </w:t>
      </w:r>
    </w:p>
    <w:p w14:paraId="20DA8463">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7241BCAD">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 xml:space="preserve">                                                       </w:t>
      </w:r>
    </w:p>
    <w:p w14:paraId="0484A09F">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28399DFB">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1C7ED5A3">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质疑事项2</w:t>
      </w:r>
    </w:p>
    <w:p w14:paraId="1203D9B2">
      <w:pPr>
        <w:wordWrap w:val="0"/>
        <w:adjustRightInd w:val="0"/>
        <w:snapToGrid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w:t>
      </w:r>
    </w:p>
    <w:p w14:paraId="74B9B5B3">
      <w:pPr>
        <w:wordWrap w:val="0"/>
        <w:adjustRightInd w:val="0"/>
        <w:snapToGrid w:val="0"/>
        <w:spacing w:line="360" w:lineRule="auto"/>
        <w:ind w:firstLine="640"/>
        <w:rPr>
          <w:rFonts w:hint="eastAsia" w:ascii="宋体" w:hAnsi="宋体" w:cs="宋体"/>
          <w:bCs/>
          <w:color w:val="auto"/>
          <w:sz w:val="32"/>
          <w:szCs w:val="32"/>
          <w:highlight w:val="none"/>
        </w:rPr>
      </w:pPr>
      <w:r>
        <w:rPr>
          <w:rFonts w:hint="eastAsia" w:ascii="宋体" w:hAnsi="宋体" w:cs="宋体"/>
          <w:bCs/>
          <w:color w:val="auto"/>
          <w:sz w:val="32"/>
          <w:szCs w:val="32"/>
          <w:highlight w:val="none"/>
        </w:rPr>
        <w:t>四、与质疑事项相关的质疑请求</w:t>
      </w:r>
    </w:p>
    <w:p w14:paraId="66A1F8E9">
      <w:pPr>
        <w:wordWrap w:val="0"/>
        <w:adjustRightInd w:val="0"/>
        <w:snapToGrid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p>
    <w:p w14:paraId="1E6A458C">
      <w:pPr>
        <w:wordWrap w:val="0"/>
        <w:spacing w:line="360" w:lineRule="auto"/>
        <w:ind w:firstLine="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签字(签章)：                   公章：                      </w:t>
      </w:r>
    </w:p>
    <w:p w14:paraId="3131E3F6">
      <w:pPr>
        <w:wordWrap w:val="0"/>
        <w:spacing w:line="360" w:lineRule="auto"/>
        <w:ind w:firstLine="600"/>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日期：    </w:t>
      </w:r>
    </w:p>
    <w:p w14:paraId="3E9B696A">
      <w:pPr>
        <w:wordWrap w:val="0"/>
        <w:spacing w:line="360" w:lineRule="auto"/>
        <w:ind w:firstLine="643"/>
        <w:rPr>
          <w:rFonts w:hint="eastAsia" w:ascii="宋体" w:hAnsi="宋体" w:cs="宋体"/>
          <w:b/>
          <w:color w:val="auto"/>
          <w:sz w:val="32"/>
          <w:szCs w:val="32"/>
          <w:highlight w:val="none"/>
        </w:rPr>
      </w:pPr>
      <w:r>
        <w:rPr>
          <w:rFonts w:hint="eastAsia" w:ascii="宋体" w:hAnsi="宋体" w:cs="宋体"/>
          <w:b/>
          <w:color w:val="auto"/>
          <w:sz w:val="32"/>
          <w:szCs w:val="32"/>
          <w:highlight w:val="none"/>
        </w:rPr>
        <w:t>质疑函制作说明：</w:t>
      </w:r>
    </w:p>
    <w:p w14:paraId="67F255B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1.供应商提出质疑时，应提交质疑函和必要的证明材料。</w:t>
      </w:r>
    </w:p>
    <w:p w14:paraId="2D0010C0">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2.质疑供应商若委托代理人进行质疑的，质疑函应按要求列明“授权代表”的有关内容，并在附件中提交由质疑</w:t>
      </w:r>
      <w:r>
        <w:rPr>
          <w:rFonts w:hint="eastAsia" w:ascii="宋体" w:hAnsi="宋体" w:cs="宋体"/>
          <w:color w:val="auto"/>
          <w:kern w:val="0"/>
          <w:sz w:val="32"/>
          <w:szCs w:val="32"/>
          <w:highlight w:val="none"/>
        </w:rPr>
        <w:t>供应商签署的授权委托书。授权委托书应载明代理人的姓名或者名称、代理事项、具体权限、期限和相关事项。</w:t>
      </w:r>
    </w:p>
    <w:p w14:paraId="3E745955">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3.质疑供应商若对项目的某一分包进行质疑，质疑函中应列明具体分包号。</w:t>
      </w:r>
    </w:p>
    <w:p w14:paraId="56133DC8">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4.质疑函的质疑事项应具体、明确，并有必要的事实依据和法律依据。</w:t>
      </w:r>
    </w:p>
    <w:p w14:paraId="114896A6">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5.质疑函的质疑请求应与质疑事项相关。</w:t>
      </w:r>
    </w:p>
    <w:p w14:paraId="36F3CA6D">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14:paraId="75985E00">
      <w:pPr>
        <w:widowControl/>
        <w:wordWrap w:val="0"/>
        <w:spacing w:line="360" w:lineRule="auto"/>
        <w:ind w:firstLine="600" w:firstLineChars="200"/>
        <w:jc w:val="left"/>
        <w:rPr>
          <w:rFonts w:hint="eastAsia" w:ascii="宋体" w:hAnsi="宋体" w:cs="宋体"/>
          <w:color w:val="auto"/>
          <w:sz w:val="30"/>
          <w:szCs w:val="30"/>
          <w:highlight w:val="none"/>
        </w:rPr>
      </w:pPr>
    </w:p>
    <w:p w14:paraId="7F7CAD3C">
      <w:pPr>
        <w:widowControl/>
        <w:wordWrap w:val="0"/>
        <w:spacing w:line="360" w:lineRule="auto"/>
        <w:jc w:val="left"/>
        <w:rPr>
          <w:rFonts w:hint="eastAsia" w:ascii="宋体" w:hAnsi="宋体" w:cs="宋体"/>
          <w:color w:val="auto"/>
          <w:kern w:val="0"/>
          <w:sz w:val="24"/>
          <w:highlight w:val="none"/>
        </w:rPr>
        <w:sectPr>
          <w:pgSz w:w="11906" w:h="16838"/>
          <w:pgMar w:top="1440" w:right="1080" w:bottom="1440" w:left="1080" w:header="720" w:footer="720" w:gutter="0"/>
          <w:cols w:space="720" w:num="1"/>
          <w:docGrid w:type="lines" w:linePitch="331" w:charSpace="0"/>
        </w:sectPr>
      </w:pPr>
    </w:p>
    <w:p w14:paraId="377C1259">
      <w:pPr>
        <w:pStyle w:val="4"/>
        <w:wordWrap w:val="0"/>
        <w:spacing w:before="0" w:after="0" w:line="360" w:lineRule="auto"/>
        <w:ind w:firstLine="640"/>
        <w:jc w:val="center"/>
        <w:rPr>
          <w:rFonts w:hint="eastAsia" w:ascii="宋体" w:hAnsi="宋体" w:eastAsia="宋体" w:cs="宋体"/>
          <w:b w:val="0"/>
          <w:bCs w:val="0"/>
          <w:color w:val="auto"/>
          <w:highlight w:val="none"/>
        </w:rPr>
      </w:pPr>
      <w:bookmarkStart w:id="323" w:name="_Toc14288"/>
      <w:r>
        <w:rPr>
          <w:rFonts w:hint="eastAsia" w:ascii="宋体" w:hAnsi="宋体" w:eastAsia="宋体" w:cs="宋体"/>
          <w:b w:val="0"/>
          <w:bCs w:val="0"/>
          <w:color w:val="auto"/>
          <w:highlight w:val="none"/>
        </w:rPr>
        <w:t>第二节 投诉书（格式）</w:t>
      </w:r>
      <w:bookmarkEnd w:id="323"/>
    </w:p>
    <w:p w14:paraId="2642378D">
      <w:pPr>
        <w:wordWrap w:val="0"/>
        <w:spacing w:line="360" w:lineRule="auto"/>
        <w:ind w:firstLine="883"/>
        <w:jc w:val="center"/>
        <w:rPr>
          <w:rFonts w:hint="eastAsia" w:ascii="宋体" w:hAnsi="宋体" w:cs="宋体"/>
          <w:b/>
          <w:color w:val="auto"/>
          <w:sz w:val="44"/>
          <w:szCs w:val="44"/>
          <w:highlight w:val="none"/>
        </w:rPr>
      </w:pPr>
      <w:r>
        <w:rPr>
          <w:rFonts w:hint="eastAsia" w:ascii="宋体" w:hAnsi="宋体" w:cs="宋体"/>
          <w:b/>
          <w:color w:val="auto"/>
          <w:sz w:val="44"/>
          <w:szCs w:val="44"/>
          <w:highlight w:val="none"/>
        </w:rPr>
        <w:t>投诉书范本</w:t>
      </w:r>
    </w:p>
    <w:p w14:paraId="1CFB1440">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一、投诉相关主体基本情况</w:t>
      </w:r>
    </w:p>
    <w:p w14:paraId="34124EBE">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w:t>
      </w:r>
      <w:r>
        <w:rPr>
          <w:rFonts w:hint="eastAsia" w:ascii="宋体" w:hAnsi="宋体" w:cs="宋体"/>
          <w:color w:val="auto"/>
          <w:sz w:val="32"/>
          <w:szCs w:val="32"/>
          <w:highlight w:val="none"/>
          <w:u w:val="dotted"/>
        </w:rPr>
        <w:t xml:space="preserve">                                               </w:t>
      </w:r>
    </w:p>
    <w:p w14:paraId="0428E054">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0FDDF62">
      <w:pPr>
        <w:tabs>
          <w:tab w:val="left" w:pos="6510"/>
        </w:tabs>
        <w:wordWrap w:val="0"/>
        <w:spacing w:line="360" w:lineRule="auto"/>
        <w:ind w:firstLine="64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法定代表人/主要负责人：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5475D676">
      <w:pPr>
        <w:tabs>
          <w:tab w:val="left" w:pos="6510"/>
        </w:tabs>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591F1771">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授权代表：</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p>
    <w:p w14:paraId="4F29B728">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u w:val="dotted"/>
        </w:rPr>
        <w:t xml:space="preserve">                   </w:t>
      </w:r>
    </w:p>
    <w:p w14:paraId="39205EA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被投诉人1：</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768B8C05">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038BD331">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1990536">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被投诉人2</w:t>
      </w:r>
    </w:p>
    <w:p w14:paraId="71E239A7">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383D9223">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相关供应商：</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78AC6FF">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地     址：</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邮编：</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38510559">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联系人：</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联系电话：</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u w:val="single"/>
        </w:rPr>
        <w:t xml:space="preserve">      </w:t>
      </w:r>
    </w:p>
    <w:p w14:paraId="133ABD33">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二、投诉项目基本情况</w:t>
      </w:r>
    </w:p>
    <w:p w14:paraId="68B4B9D5">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采购项目名称：</w:t>
      </w:r>
      <w:r>
        <w:rPr>
          <w:rFonts w:hint="eastAsia" w:ascii="宋体" w:hAnsi="宋体" w:cs="宋体"/>
          <w:color w:val="auto"/>
          <w:sz w:val="32"/>
          <w:szCs w:val="32"/>
          <w:highlight w:val="none"/>
          <w:u w:val="dotted"/>
        </w:rPr>
        <w:t xml:space="preserve"> </w:t>
      </w:r>
      <w:r>
        <w:rPr>
          <w:color w:val="auto"/>
          <w:highlight w:val="none"/>
        </w:rPr>
        <w:fldChar w:fldCharType="begin"/>
      </w:r>
      <w:r>
        <w:rPr>
          <w:color w:val="auto"/>
          <w:highlight w:val="none"/>
        </w:rPr>
        <w:instrText xml:space="preserve"> HYPERLINK "https://pay.gcy.zfcg.gxzf.gov.cn/purchaseplan_front/" \l "/plan/list/_blank" \t "https://pay.gcy.zfcg.gxzf.gov.cn/purchaseplan_front/" </w:instrText>
      </w:r>
      <w:r>
        <w:rPr>
          <w:color w:val="auto"/>
          <w:highlight w:val="none"/>
        </w:rPr>
        <w:fldChar w:fldCharType="separate"/>
      </w:r>
      <w:r>
        <w:rPr>
          <w:rFonts w:hint="eastAsia" w:ascii="宋体" w:hAnsi="宋体" w:cs="宋体"/>
          <w:color w:val="auto"/>
          <w:sz w:val="32"/>
          <w:szCs w:val="32"/>
          <w:highlight w:val="none"/>
          <w:u w:val="dotted"/>
          <w:lang w:eastAsia="zh-CN"/>
        </w:rPr>
        <w:t>南宁市经济信息中心2025年第二批信息化系统运维项目（重）</w:t>
      </w:r>
      <w:r>
        <w:rPr>
          <w:rFonts w:hint="eastAsia" w:ascii="宋体" w:hAnsi="宋体" w:cs="宋体"/>
          <w:color w:val="auto"/>
          <w:sz w:val="32"/>
          <w:szCs w:val="32"/>
          <w:highlight w:val="none"/>
          <w:u w:val="dotted"/>
        </w:rPr>
        <w:fldChar w:fldCharType="end"/>
      </w:r>
    </w:p>
    <w:p w14:paraId="36DBFA68">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采购项目编号：</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包号：</w:t>
      </w:r>
      <w:r>
        <w:rPr>
          <w:rFonts w:hint="eastAsia" w:ascii="宋体" w:hAnsi="宋体" w:cs="宋体"/>
          <w:color w:val="auto"/>
          <w:sz w:val="32"/>
          <w:szCs w:val="32"/>
          <w:highlight w:val="none"/>
          <w:u w:val="dotted"/>
        </w:rPr>
        <w:t xml:space="preserve">              </w:t>
      </w:r>
    </w:p>
    <w:p w14:paraId="3DE6BE7D">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采购人名称：</w:t>
      </w:r>
      <w:r>
        <w:rPr>
          <w:rFonts w:hint="eastAsia" w:ascii="宋体" w:hAnsi="宋体" w:cs="宋体"/>
          <w:color w:val="auto"/>
          <w:sz w:val="32"/>
          <w:szCs w:val="32"/>
          <w:highlight w:val="none"/>
          <w:u w:val="dotted"/>
        </w:rPr>
        <w:t xml:space="preserve">  南宁市经济信息中心</w:t>
      </w:r>
      <w:r>
        <w:rPr>
          <w:rFonts w:hint="eastAsia" w:ascii="宋体" w:hAnsi="宋体" w:cs="宋体"/>
          <w:color w:val="auto"/>
          <w:sz w:val="32"/>
          <w:szCs w:val="32"/>
          <w:highlight w:val="none"/>
          <w:u w:val="single"/>
        </w:rPr>
        <w:t xml:space="preserve">  </w:t>
      </w:r>
    </w:p>
    <w:p w14:paraId="439864FD">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代理机构名称：</w:t>
      </w:r>
      <w:r>
        <w:rPr>
          <w:rFonts w:hint="eastAsia" w:ascii="宋体" w:hAnsi="宋体" w:cs="宋体"/>
          <w:color w:val="auto"/>
          <w:sz w:val="32"/>
          <w:szCs w:val="32"/>
          <w:highlight w:val="none"/>
          <w:u w:val="dotted"/>
        </w:rPr>
        <w:t xml:space="preserve">                                         </w:t>
      </w:r>
    </w:p>
    <w:p w14:paraId="329324E4">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采购文件公告: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3CA79BF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采购结果公告:</w:t>
      </w:r>
      <w:r>
        <w:rPr>
          <w:rFonts w:hint="eastAsia" w:ascii="宋体" w:hAnsi="宋体" w:cs="宋体"/>
          <w:color w:val="auto"/>
          <w:sz w:val="32"/>
          <w:szCs w:val="32"/>
          <w:highlight w:val="none"/>
          <w:u w:val="dotted"/>
        </w:rPr>
        <w:t xml:space="preserve">是/否 </w:t>
      </w:r>
      <w:r>
        <w:rPr>
          <w:rFonts w:hint="eastAsia" w:ascii="宋体" w:hAnsi="宋体" w:cs="宋体"/>
          <w:color w:val="auto"/>
          <w:sz w:val="32"/>
          <w:szCs w:val="32"/>
          <w:highlight w:val="none"/>
        </w:rPr>
        <w:t>公告期限：</w:t>
      </w:r>
      <w:r>
        <w:rPr>
          <w:rFonts w:hint="eastAsia" w:ascii="宋体" w:hAnsi="宋体" w:cs="宋体"/>
          <w:color w:val="auto"/>
          <w:sz w:val="32"/>
          <w:szCs w:val="32"/>
          <w:highlight w:val="none"/>
          <w:u w:val="dotted"/>
        </w:rPr>
        <w:t xml:space="preserve">                        </w:t>
      </w:r>
    </w:p>
    <w:p w14:paraId="23D2DD90">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三、质疑基本情况</w:t>
      </w:r>
    </w:p>
    <w:p w14:paraId="458D6FA9">
      <w:pPr>
        <w:wordWrap w:val="0"/>
        <w:spacing w:line="360" w:lineRule="auto"/>
        <w:ind w:firstLine="640" w:firstLineChars="20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投诉人于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日,向</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提出质疑，质疑事项为：</w:t>
      </w:r>
      <w:r>
        <w:rPr>
          <w:rFonts w:hint="eastAsia" w:ascii="宋体" w:hAnsi="宋体" w:cs="宋体"/>
          <w:color w:val="auto"/>
          <w:sz w:val="32"/>
          <w:szCs w:val="32"/>
          <w:highlight w:val="none"/>
          <w:u w:val="dotted"/>
        </w:rPr>
        <w:t xml:space="preserve">                                </w:t>
      </w:r>
    </w:p>
    <w:p w14:paraId="7F4C6581">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19AB2EBC">
      <w:pPr>
        <w:wordWrap w:val="0"/>
        <w:spacing w:line="360" w:lineRule="auto"/>
        <w:ind w:firstLine="480" w:firstLineChars="150"/>
        <w:rPr>
          <w:rFonts w:hint="eastAsia" w:ascii="宋体" w:hAnsi="宋体" w:cs="宋体"/>
          <w:color w:val="auto"/>
          <w:sz w:val="32"/>
          <w:szCs w:val="32"/>
          <w:highlight w:val="none"/>
        </w:rPr>
      </w:pPr>
      <w:r>
        <w:rPr>
          <w:rFonts w:hint="eastAsia" w:ascii="宋体" w:hAnsi="宋体" w:cs="宋体"/>
          <w:color w:val="auto"/>
          <w:sz w:val="32"/>
          <w:szCs w:val="32"/>
          <w:highlight w:val="none"/>
          <w:u w:val="dotted"/>
        </w:rPr>
        <w:t>采购人/代理机构</w:t>
      </w:r>
      <w:r>
        <w:rPr>
          <w:rFonts w:hint="eastAsia" w:ascii="宋体" w:hAnsi="宋体" w:cs="宋体"/>
          <w:color w:val="auto"/>
          <w:sz w:val="32"/>
          <w:szCs w:val="32"/>
          <w:highlight w:val="none"/>
        </w:rPr>
        <w:t>于</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年</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日,就质疑事项作出了答复/没有在法定期限内作出答复。</w:t>
      </w:r>
    </w:p>
    <w:p w14:paraId="3E43A735">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四、投诉事项具体内容</w:t>
      </w:r>
    </w:p>
    <w:p w14:paraId="7B01FEB0">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投诉事项 1：</w:t>
      </w:r>
      <w:r>
        <w:rPr>
          <w:rFonts w:hint="eastAsia" w:ascii="宋体" w:hAnsi="宋体" w:cs="宋体"/>
          <w:color w:val="auto"/>
          <w:sz w:val="32"/>
          <w:szCs w:val="32"/>
          <w:highlight w:val="none"/>
          <w:u w:val="dotted"/>
        </w:rPr>
        <w:t xml:space="preserve">                                       </w:t>
      </w:r>
    </w:p>
    <w:p w14:paraId="45510CDA">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事实依据：</w:t>
      </w:r>
      <w:r>
        <w:rPr>
          <w:rFonts w:hint="eastAsia" w:ascii="宋体" w:hAnsi="宋体" w:cs="宋体"/>
          <w:color w:val="auto"/>
          <w:sz w:val="32"/>
          <w:szCs w:val="32"/>
          <w:highlight w:val="none"/>
          <w:u w:val="dotted"/>
        </w:rPr>
        <w:t xml:space="preserve">                                         </w:t>
      </w:r>
    </w:p>
    <w:p w14:paraId="0B6053F3">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C03D55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法律依据：</w:t>
      </w:r>
      <w:r>
        <w:rPr>
          <w:rFonts w:hint="eastAsia" w:ascii="宋体" w:hAnsi="宋体" w:cs="宋体"/>
          <w:color w:val="auto"/>
          <w:sz w:val="32"/>
          <w:szCs w:val="32"/>
          <w:highlight w:val="none"/>
          <w:u w:val="dotted"/>
        </w:rPr>
        <w:t xml:space="preserve">                                          </w:t>
      </w:r>
    </w:p>
    <w:p w14:paraId="326852AA">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u w:val="dotted"/>
        </w:rPr>
        <w:t xml:space="preserve">                                                      </w:t>
      </w:r>
    </w:p>
    <w:p w14:paraId="31FFFCE6">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投诉事项2</w:t>
      </w:r>
    </w:p>
    <w:p w14:paraId="48BD8A45">
      <w:pPr>
        <w:wordWrap w:val="0"/>
        <w:spacing w:line="360" w:lineRule="auto"/>
        <w:ind w:firstLine="640"/>
        <w:rPr>
          <w:rFonts w:hint="eastAsia" w:ascii="宋体" w:hAnsi="宋体" w:cs="宋体"/>
          <w:color w:val="auto"/>
          <w:sz w:val="32"/>
          <w:szCs w:val="32"/>
          <w:highlight w:val="none"/>
          <w:u w:val="dotted"/>
        </w:rPr>
      </w:pPr>
      <w:r>
        <w:rPr>
          <w:rFonts w:hint="eastAsia" w:ascii="宋体" w:hAnsi="宋体" w:cs="宋体"/>
          <w:color w:val="auto"/>
          <w:sz w:val="32"/>
          <w:szCs w:val="32"/>
          <w:highlight w:val="none"/>
        </w:rPr>
        <w:t>……</w:t>
      </w:r>
    </w:p>
    <w:p w14:paraId="4D7FE007">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五、与投诉事项相关的投诉请求</w:t>
      </w:r>
    </w:p>
    <w:p w14:paraId="4A3E1B6F">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请求：</w:t>
      </w:r>
      <w:r>
        <w:rPr>
          <w:rFonts w:hint="eastAsia" w:ascii="宋体" w:hAnsi="宋体" w:cs="宋体"/>
          <w:color w:val="auto"/>
          <w:sz w:val="32"/>
          <w:szCs w:val="32"/>
          <w:highlight w:val="none"/>
          <w:u w:val="dotted"/>
        </w:rPr>
        <w:t xml:space="preserve">                                              </w:t>
      </w:r>
      <w:r>
        <w:rPr>
          <w:rFonts w:hint="eastAsia" w:ascii="宋体" w:hAnsi="宋体" w:cs="宋体"/>
          <w:color w:val="auto"/>
          <w:sz w:val="32"/>
          <w:szCs w:val="32"/>
          <w:highlight w:val="none"/>
        </w:rPr>
        <w:t xml:space="preserve"> </w:t>
      </w:r>
    </w:p>
    <w:p w14:paraId="7EE6D23A">
      <w:pPr>
        <w:wordWrap w:val="0"/>
        <w:spacing w:line="360" w:lineRule="auto"/>
        <w:ind w:firstLine="640"/>
        <w:rPr>
          <w:rFonts w:hint="eastAsia" w:ascii="宋体" w:hAnsi="宋体" w:cs="宋体"/>
          <w:color w:val="auto"/>
          <w:sz w:val="32"/>
          <w:szCs w:val="32"/>
          <w:highlight w:val="none"/>
          <w:u w:val="single"/>
        </w:rPr>
      </w:pPr>
      <w:r>
        <w:rPr>
          <w:rFonts w:hint="eastAsia" w:ascii="宋体" w:hAnsi="宋体" w:cs="宋体"/>
          <w:color w:val="auto"/>
          <w:sz w:val="32"/>
          <w:szCs w:val="32"/>
          <w:highlight w:val="none"/>
        </w:rPr>
        <w:t xml:space="preserve">                                                                                                    </w:t>
      </w:r>
    </w:p>
    <w:p w14:paraId="55C0767C">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签字(签章)：                   公章：                      </w:t>
      </w:r>
    </w:p>
    <w:p w14:paraId="170BB848">
      <w:pPr>
        <w:wordWrap w:val="0"/>
        <w:spacing w:line="360" w:lineRule="auto"/>
        <w:ind w:firstLine="640"/>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日期：    </w:t>
      </w:r>
    </w:p>
    <w:p w14:paraId="272D551A">
      <w:pPr>
        <w:wordWrap w:val="0"/>
        <w:spacing w:line="360" w:lineRule="auto"/>
        <w:ind w:firstLine="643"/>
        <w:rPr>
          <w:rFonts w:hint="eastAsia" w:ascii="宋体" w:hAnsi="宋体" w:cs="宋体"/>
          <w:b/>
          <w:color w:val="auto"/>
          <w:sz w:val="32"/>
          <w:szCs w:val="32"/>
          <w:highlight w:val="none"/>
        </w:rPr>
      </w:pPr>
    </w:p>
    <w:p w14:paraId="19FFB2C5">
      <w:pPr>
        <w:wordWrap w:val="0"/>
        <w:spacing w:line="360" w:lineRule="auto"/>
        <w:ind w:firstLine="643"/>
        <w:rPr>
          <w:rFonts w:hint="eastAsia" w:ascii="宋体" w:hAnsi="宋体" w:cs="宋体"/>
          <w:b/>
          <w:color w:val="auto"/>
          <w:sz w:val="32"/>
          <w:szCs w:val="32"/>
          <w:highlight w:val="none"/>
        </w:rPr>
      </w:pPr>
      <w:r>
        <w:rPr>
          <w:rFonts w:hint="eastAsia" w:ascii="宋体" w:hAnsi="宋体" w:cs="宋体"/>
          <w:b/>
          <w:color w:val="auto"/>
          <w:sz w:val="32"/>
          <w:szCs w:val="32"/>
          <w:highlight w:val="none"/>
        </w:rPr>
        <w:t>投诉书制作说明：</w:t>
      </w:r>
    </w:p>
    <w:p w14:paraId="6F5ADD8A">
      <w:pPr>
        <w:widowControl/>
        <w:wordWrap w:val="0"/>
        <w:spacing w:line="360" w:lineRule="auto"/>
        <w:ind w:firstLine="640" w:firstLineChars="200"/>
        <w:rPr>
          <w:rFonts w:hint="eastAsia" w:ascii="宋体" w:hAnsi="宋体" w:cs="宋体"/>
          <w:color w:val="auto"/>
          <w:kern w:val="0"/>
          <w:sz w:val="32"/>
          <w:szCs w:val="32"/>
          <w:highlight w:val="none"/>
        </w:rPr>
      </w:pPr>
      <w:r>
        <w:rPr>
          <w:rFonts w:hint="eastAsia" w:ascii="宋体" w:hAnsi="宋体" w:cs="宋体"/>
          <w:color w:val="auto"/>
          <w:sz w:val="32"/>
          <w:szCs w:val="32"/>
          <w:highlight w:val="none"/>
        </w:rPr>
        <w:t>1.投诉人提起投诉时，应当提交投诉书和必要的证明材料，并按照被投诉人和与投诉事项有关的供应商数量提供投诉书副本。</w:t>
      </w:r>
    </w:p>
    <w:p w14:paraId="2EEFB88F">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2.投诉人若委托代理人进行投诉的，投诉书应按照要求列明“授权代表”的有关内容，并在附件中提交由</w:t>
      </w:r>
      <w:r>
        <w:rPr>
          <w:rFonts w:hint="eastAsia" w:ascii="宋体" w:hAnsi="宋体" w:cs="宋体"/>
          <w:color w:val="auto"/>
          <w:kern w:val="0"/>
          <w:sz w:val="32"/>
          <w:szCs w:val="32"/>
          <w:highlight w:val="none"/>
        </w:rPr>
        <w:t>投诉人签署的授权委托书。授权委托书应当载明代理人的姓名或者名称、代理事项、具体权限、期限和相关事项。</w:t>
      </w:r>
    </w:p>
    <w:p w14:paraId="1AB8A4F2">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3.投诉人若对项目的某一分包进行投诉，投诉书应列明具体分包号。</w:t>
      </w:r>
    </w:p>
    <w:p w14:paraId="7780D79E">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4.投诉书应简要列明质疑事项，质疑函、质疑答复等作为附件材料提供。</w:t>
      </w:r>
    </w:p>
    <w:p w14:paraId="7B83807F">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5.投诉书的投诉事项应具体、明确，并有必要的事实依据和法律依据。</w:t>
      </w:r>
    </w:p>
    <w:p w14:paraId="71B3D878">
      <w:pPr>
        <w:widowControl/>
        <w:wordWrap w:val="0"/>
        <w:spacing w:line="360" w:lineRule="auto"/>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6.投诉书的投诉请求应与投诉事项相关。</w:t>
      </w:r>
    </w:p>
    <w:p w14:paraId="5964E813">
      <w:pPr>
        <w:widowControl/>
        <w:wordWrap w:val="0"/>
        <w:spacing w:line="360" w:lineRule="auto"/>
        <w:ind w:firstLine="640" w:firstLineChars="200"/>
        <w:jc w:val="left"/>
        <w:rPr>
          <w:rFonts w:hint="eastAsia" w:ascii="宋体" w:hAnsi="宋体" w:cs="宋体"/>
          <w:color w:val="auto"/>
          <w:kern w:val="0"/>
          <w:sz w:val="32"/>
          <w:szCs w:val="32"/>
          <w:highlight w:val="none"/>
        </w:rPr>
      </w:pPr>
      <w:r>
        <w:rPr>
          <w:rFonts w:hint="eastAsia" w:ascii="宋体" w:hAnsi="宋体" w:cs="宋体"/>
          <w:color w:val="auto"/>
          <w:sz w:val="32"/>
          <w:szCs w:val="32"/>
          <w:highlight w:val="none"/>
        </w:rPr>
        <w:t>7.投诉人为自然人的，投诉书应当由本人签字；投诉人为法人或者其他组织的，投诉书应当由法定代表人、主要负责人，或者其授权代表签字或者盖章，并加盖公章。</w:t>
      </w:r>
    </w:p>
    <w:p w14:paraId="1D0E1632">
      <w:pPr>
        <w:wordWrap w:val="0"/>
        <w:spacing w:line="360" w:lineRule="auto"/>
        <w:rPr>
          <w:rFonts w:hint="eastAsia" w:ascii="宋体" w:hAnsi="宋体" w:cs="宋体"/>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9" w:usb3="00000000" w:csb0="400001FF" w:csb1="FFFF0000"/>
  </w:font>
  <w:font w:name="新宋体">
    <w:panose1 w:val="02010609030101010101"/>
    <w:charset w:val="86"/>
    <w:family w:val="modern"/>
    <w:pitch w:val="default"/>
    <w:sig w:usb0="00000203" w:usb1="288F0000" w:usb2="00000006" w:usb3="00000000" w:csb0="00040001" w:csb1="00000000"/>
  </w:font>
  <w:font w:name="Segoe UI Symbol">
    <w:panose1 w:val="020B0502040204020203"/>
    <w:charset w:val="00"/>
    <w:family w:val="swiss"/>
    <w:pitch w:val="default"/>
    <w:sig w:usb0="800001E3" w:usb1="1200FFEF" w:usb2="00040000" w:usb3="04000000" w:csb0="00000001" w:csb1="4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8AAC2">
    <w:pPr>
      <w:pStyle w:val="16"/>
      <w:tabs>
        <w:tab w:val="center" w:pos="4873"/>
        <w:tab w:val="clear" w:pos="4153"/>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C28A2">
                          <w:pPr>
                            <w:pStyle w:val="16"/>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7AC28A2">
                    <w:pPr>
                      <w:pStyle w:val="16"/>
                    </w:pPr>
                    <w:r>
                      <w:fldChar w:fldCharType="begin"/>
                    </w:r>
                    <w:r>
                      <w:instrText xml:space="preserve"> PAGE  \* MERGEFORMAT </w:instrText>
                    </w:r>
                    <w:r>
                      <w:fldChar w:fldCharType="separate"/>
                    </w:r>
                    <w:r>
                      <w:t>21</w:t>
                    </w:r>
                    <w:r>
                      <w:fldChar w:fldCharType="end"/>
                    </w:r>
                  </w:p>
                </w:txbxContent>
              </v:textbox>
            </v:shape>
          </w:pict>
        </mc:Fallback>
      </mc:AlternateContent>
    </w: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AAF2B4">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9989BC">
                          <w:pPr>
                            <w:pStyle w:val="16"/>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1E9989BC">
                    <w:pPr>
                      <w:pStyle w:val="16"/>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02AC1">
    <w:pPr>
      <w:pStyle w:val="16"/>
      <w:ind w:firstLine="36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FC29C">
                          <w:pPr>
                            <w:pStyle w:val="16"/>
                          </w:pPr>
                          <w:r>
                            <w:fldChar w:fldCharType="begin"/>
                          </w:r>
                          <w:r>
                            <w:instrText xml:space="preserve"> PAGE  \* MERGEFORMAT </w:instrText>
                          </w:r>
                          <w:r>
                            <w:fldChar w:fldCharType="separate"/>
                          </w:r>
                          <w:r>
                            <w:t>120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A5FC29C">
                    <w:pPr>
                      <w:pStyle w:val="16"/>
                    </w:pPr>
                    <w:r>
                      <w:fldChar w:fldCharType="begin"/>
                    </w:r>
                    <w:r>
                      <w:instrText xml:space="preserve"> PAGE  \* MERGEFORMAT </w:instrText>
                    </w:r>
                    <w:r>
                      <w:fldChar w:fldCharType="separate"/>
                    </w:r>
                    <w:r>
                      <w:t>120</w:t>
                    </w:r>
                    <w:r>
                      <w:fldChar w:fldCharType="end"/>
                    </w:r>
                  </w:p>
                </w:txbxContent>
              </v:textbox>
            </v:shape>
          </w:pict>
        </mc:Fallback>
      </mc:AlternateContent>
    </w:r>
  </w:p>
  <w:p w14:paraId="2BC04FF1">
    <w:pPr>
      <w:pStyle w:val="16"/>
      <w:ind w:firstLine="360"/>
    </w:pPr>
  </w:p>
  <w:p w14:paraId="29D58EC9"/>
  <w:p w14:paraId="08956169"/>
  <w:p w14:paraId="65B582A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263AD">
    <w:pPr>
      <w:pStyle w:val="16"/>
      <w:framePr w:wrap="around" w:vAnchor="text" w:hAnchor="margin" w:xAlign="center" w:y="1"/>
      <w:ind w:firstLine="360"/>
      <w:rPr>
        <w:rStyle w:val="29"/>
      </w:rPr>
    </w:pPr>
    <w:r>
      <w:fldChar w:fldCharType="begin"/>
    </w:r>
    <w:r>
      <w:rPr>
        <w:rStyle w:val="29"/>
      </w:rPr>
      <w:instrText xml:space="preserve">PAGE  </w:instrText>
    </w:r>
    <w:r>
      <w:fldChar w:fldCharType="end"/>
    </w:r>
  </w:p>
  <w:p w14:paraId="58E3726F">
    <w:pPr>
      <w:pStyle w:val="16"/>
      <w:ind w:firstLine="360"/>
    </w:pPr>
  </w:p>
  <w:p w14:paraId="21CFCBEA"/>
  <w:p w14:paraId="4C350FAF"/>
  <w:p w14:paraId="2051235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E062F">
    <w:pPr>
      <w:pStyle w:val="16"/>
      <w:framePr w:wrap="around" w:vAnchor="text" w:hAnchor="margin" w:xAlign="right" w:y="1"/>
      <w:ind w:firstLine="360"/>
      <w:rPr>
        <w:rStyle w:val="29"/>
      </w:rPr>
    </w:pPr>
    <w:r>
      <w:fldChar w:fldCharType="begin"/>
    </w:r>
    <w:r>
      <w:rPr>
        <w:rStyle w:val="29"/>
      </w:rPr>
      <w:instrText xml:space="preserve">PAGE  </w:instrText>
    </w:r>
    <w:r>
      <w:fldChar w:fldCharType="separate"/>
    </w:r>
    <w:r>
      <w:rPr>
        <w:rStyle w:val="29"/>
      </w:rPr>
      <w:t>122</w:t>
    </w:r>
    <w:r>
      <w:fldChar w:fldCharType="end"/>
    </w:r>
  </w:p>
  <w:p w14:paraId="1D523F8B">
    <w:pPr>
      <w:pStyle w:val="16"/>
      <w:ind w:right="360" w:firstLine="360"/>
      <w:jc w:val="both"/>
    </w:pPr>
    <w:r>
      <w:rPr>
        <w:rFonts w:hint="eastAsia"/>
      </w:rPr>
      <w:t>121</w:t>
    </w:r>
  </w:p>
  <w:p w14:paraId="5DBF03B7"/>
  <w:p w14:paraId="410FC139"/>
  <w:p w14:paraId="4AE6AE8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9779D8">
    <w:pPr>
      <w:widowControl/>
      <w:ind w:left="-360" w:right="360"/>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2D49C">
    <w:pPr>
      <w:pStyle w:val="18"/>
      <w:ind w:firstLine="360"/>
      <w:jc w:val="right"/>
    </w:pPr>
    <w:r>
      <w:rPr>
        <w:rFonts w:hint="eastAsia"/>
      </w:rPr>
      <w:t>项目名称：南宁市不动产登记信息平台及互联网+南宁不动产便民服务平台项目（项目编号： ）</w:t>
    </w:r>
  </w:p>
  <w:p w14:paraId="1B69E6DE"/>
  <w:p w14:paraId="2F786B9F"/>
  <w:p w14:paraId="70CD59D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F68B048C"/>
    <w:multiLevelType w:val="multilevel"/>
    <w:tmpl w:val="F68B048C"/>
    <w:lvl w:ilvl="0" w:tentative="0">
      <w:start w:val="1"/>
      <w:numFmt w:val="chineseCounting"/>
      <w:suff w:val="nothing"/>
      <w:lvlText w:val="（%1）"/>
      <w:lvlJc w:val="left"/>
      <w:pPr>
        <w:ind w:left="0" w:firstLine="420"/>
      </w:pPr>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00000019"/>
    <w:multiLevelType w:val="multilevel"/>
    <w:tmpl w:val="00000019"/>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3450D7B"/>
    <w:multiLevelType w:val="multilevel"/>
    <w:tmpl w:val="03450D7B"/>
    <w:lvl w:ilvl="0" w:tentative="0">
      <w:start w:val="3"/>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6">
    <w:nsid w:val="704FD9C0"/>
    <w:multiLevelType w:val="singleLevel"/>
    <w:tmpl w:val="704FD9C0"/>
    <w:lvl w:ilvl="0" w:tentative="0">
      <w:start w:val="2"/>
      <w:numFmt w:val="decimal"/>
      <w:lvlText w:val="%1."/>
      <w:lvlJc w:val="left"/>
      <w:pPr>
        <w:tabs>
          <w:tab w:val="left" w:pos="312"/>
        </w:tabs>
      </w:pPr>
    </w:lvl>
  </w:abstractNum>
  <w:abstractNum w:abstractNumId="7">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3"/>
  </w:num>
  <w:num w:numId="2">
    <w:abstractNumId w:val="6"/>
  </w:num>
  <w:num w:numId="3">
    <w:abstractNumId w:val="4"/>
  </w:num>
  <w:num w:numId="4">
    <w:abstractNumId w:val="1"/>
  </w:num>
  <w:num w:numId="5">
    <w:abstractNumId w:val="0"/>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hideSpellingErrors/>
  <w:documentProtection w:edit="readOnly" w:enforcement="1" w:cryptProviderType="rsaFull" w:cryptAlgorithmClass="hash" w:cryptAlgorithmType="typeAny" w:cryptAlgorithmSid="4" w:cryptSpinCount="0" w:hash="p/9DW2HwLNcifyQa9qLerpNkIdw=" w:salt="XWs1Ar3GvJq7Rt+SxbL5Ew=="/>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BiOTFhODhhODQ5MGE1NjQ3NjcyY2IzYTY3ZGMxNDUifQ=="/>
  </w:docVars>
  <w:rsids>
    <w:rsidRoot w:val="00AA1F45"/>
    <w:rsid w:val="0000079B"/>
    <w:rsid w:val="00006AB7"/>
    <w:rsid w:val="000126F7"/>
    <w:rsid w:val="00023C74"/>
    <w:rsid w:val="00037005"/>
    <w:rsid w:val="00037E39"/>
    <w:rsid w:val="000732BC"/>
    <w:rsid w:val="000B44D5"/>
    <w:rsid w:val="000C62A5"/>
    <w:rsid w:val="000D3765"/>
    <w:rsid w:val="000E1F11"/>
    <w:rsid w:val="000E201F"/>
    <w:rsid w:val="000E3FB5"/>
    <w:rsid w:val="000E553A"/>
    <w:rsid w:val="000F0023"/>
    <w:rsid w:val="000F16E9"/>
    <w:rsid w:val="001136B2"/>
    <w:rsid w:val="001219EC"/>
    <w:rsid w:val="001273DC"/>
    <w:rsid w:val="001559A8"/>
    <w:rsid w:val="001709F2"/>
    <w:rsid w:val="00173644"/>
    <w:rsid w:val="00175D2B"/>
    <w:rsid w:val="00176A8B"/>
    <w:rsid w:val="00197FC6"/>
    <w:rsid w:val="001B68B1"/>
    <w:rsid w:val="001B694F"/>
    <w:rsid w:val="001E1A1B"/>
    <w:rsid w:val="001E3E99"/>
    <w:rsid w:val="00207108"/>
    <w:rsid w:val="00222A91"/>
    <w:rsid w:val="00227EAC"/>
    <w:rsid w:val="00246093"/>
    <w:rsid w:val="00247B5B"/>
    <w:rsid w:val="00267DB0"/>
    <w:rsid w:val="00277A48"/>
    <w:rsid w:val="00292EFC"/>
    <w:rsid w:val="002C58D9"/>
    <w:rsid w:val="002D1006"/>
    <w:rsid w:val="00312BB2"/>
    <w:rsid w:val="003278B2"/>
    <w:rsid w:val="00336499"/>
    <w:rsid w:val="0035189D"/>
    <w:rsid w:val="003574CE"/>
    <w:rsid w:val="00357DC1"/>
    <w:rsid w:val="0037268C"/>
    <w:rsid w:val="003B5C00"/>
    <w:rsid w:val="003C272D"/>
    <w:rsid w:val="003D0F05"/>
    <w:rsid w:val="003D3214"/>
    <w:rsid w:val="003F1F08"/>
    <w:rsid w:val="003F4D89"/>
    <w:rsid w:val="00405526"/>
    <w:rsid w:val="00407726"/>
    <w:rsid w:val="004266BA"/>
    <w:rsid w:val="00442A81"/>
    <w:rsid w:val="00450223"/>
    <w:rsid w:val="0045198D"/>
    <w:rsid w:val="00461E2C"/>
    <w:rsid w:val="004668E0"/>
    <w:rsid w:val="004767DB"/>
    <w:rsid w:val="004771C4"/>
    <w:rsid w:val="004778B1"/>
    <w:rsid w:val="004A7172"/>
    <w:rsid w:val="004B245A"/>
    <w:rsid w:val="004B6F5F"/>
    <w:rsid w:val="004B7361"/>
    <w:rsid w:val="004C6359"/>
    <w:rsid w:val="004F072A"/>
    <w:rsid w:val="00536AFA"/>
    <w:rsid w:val="00564B1D"/>
    <w:rsid w:val="005857A0"/>
    <w:rsid w:val="00590F15"/>
    <w:rsid w:val="005B575F"/>
    <w:rsid w:val="005F6C45"/>
    <w:rsid w:val="0061219B"/>
    <w:rsid w:val="006125F9"/>
    <w:rsid w:val="006140F2"/>
    <w:rsid w:val="00653166"/>
    <w:rsid w:val="006542E5"/>
    <w:rsid w:val="006612AC"/>
    <w:rsid w:val="006862D6"/>
    <w:rsid w:val="00694A90"/>
    <w:rsid w:val="006B7DB2"/>
    <w:rsid w:val="006B7FE1"/>
    <w:rsid w:val="006C3B52"/>
    <w:rsid w:val="006E73E5"/>
    <w:rsid w:val="006F7070"/>
    <w:rsid w:val="00712A28"/>
    <w:rsid w:val="0071396D"/>
    <w:rsid w:val="007265D0"/>
    <w:rsid w:val="00735F6D"/>
    <w:rsid w:val="0074676E"/>
    <w:rsid w:val="00755DF0"/>
    <w:rsid w:val="007720D7"/>
    <w:rsid w:val="007730D6"/>
    <w:rsid w:val="00786A85"/>
    <w:rsid w:val="00793EAD"/>
    <w:rsid w:val="00824069"/>
    <w:rsid w:val="00834535"/>
    <w:rsid w:val="00837330"/>
    <w:rsid w:val="0085408D"/>
    <w:rsid w:val="0085788E"/>
    <w:rsid w:val="00873BD2"/>
    <w:rsid w:val="00877EF4"/>
    <w:rsid w:val="008927F4"/>
    <w:rsid w:val="008A198B"/>
    <w:rsid w:val="008A6334"/>
    <w:rsid w:val="008A64A7"/>
    <w:rsid w:val="008C353D"/>
    <w:rsid w:val="008E371C"/>
    <w:rsid w:val="008E59B6"/>
    <w:rsid w:val="008F1B08"/>
    <w:rsid w:val="00913A8D"/>
    <w:rsid w:val="00913FC0"/>
    <w:rsid w:val="00924F02"/>
    <w:rsid w:val="00933C8E"/>
    <w:rsid w:val="00957E7F"/>
    <w:rsid w:val="009606D8"/>
    <w:rsid w:val="009940E3"/>
    <w:rsid w:val="009B3AFE"/>
    <w:rsid w:val="009D03D1"/>
    <w:rsid w:val="009E5F65"/>
    <w:rsid w:val="009F04A7"/>
    <w:rsid w:val="009F7515"/>
    <w:rsid w:val="00A0733D"/>
    <w:rsid w:val="00A23097"/>
    <w:rsid w:val="00A3129F"/>
    <w:rsid w:val="00A3435A"/>
    <w:rsid w:val="00A4776A"/>
    <w:rsid w:val="00A52803"/>
    <w:rsid w:val="00A534CA"/>
    <w:rsid w:val="00A70E49"/>
    <w:rsid w:val="00A85A50"/>
    <w:rsid w:val="00A9522F"/>
    <w:rsid w:val="00AA1F45"/>
    <w:rsid w:val="00AA2559"/>
    <w:rsid w:val="00AD1F20"/>
    <w:rsid w:val="00AF0E97"/>
    <w:rsid w:val="00B038E1"/>
    <w:rsid w:val="00B15B35"/>
    <w:rsid w:val="00B51F7D"/>
    <w:rsid w:val="00B55E7C"/>
    <w:rsid w:val="00B570AA"/>
    <w:rsid w:val="00B81737"/>
    <w:rsid w:val="00B93F0A"/>
    <w:rsid w:val="00BA1A55"/>
    <w:rsid w:val="00BD0EF4"/>
    <w:rsid w:val="00BD4991"/>
    <w:rsid w:val="00BF0367"/>
    <w:rsid w:val="00C109DB"/>
    <w:rsid w:val="00C17E17"/>
    <w:rsid w:val="00C2567D"/>
    <w:rsid w:val="00C32A46"/>
    <w:rsid w:val="00C35082"/>
    <w:rsid w:val="00C65D3A"/>
    <w:rsid w:val="00C70800"/>
    <w:rsid w:val="00CA615F"/>
    <w:rsid w:val="00CD12CF"/>
    <w:rsid w:val="00CE4173"/>
    <w:rsid w:val="00D039DD"/>
    <w:rsid w:val="00D053C3"/>
    <w:rsid w:val="00D47930"/>
    <w:rsid w:val="00D55DAF"/>
    <w:rsid w:val="00D879EF"/>
    <w:rsid w:val="00DC4A88"/>
    <w:rsid w:val="00DC7908"/>
    <w:rsid w:val="00DD27EB"/>
    <w:rsid w:val="00DF0E7E"/>
    <w:rsid w:val="00DF3328"/>
    <w:rsid w:val="00E006C2"/>
    <w:rsid w:val="00E23E81"/>
    <w:rsid w:val="00E330DE"/>
    <w:rsid w:val="00E359D9"/>
    <w:rsid w:val="00E41A75"/>
    <w:rsid w:val="00E4774B"/>
    <w:rsid w:val="00E61DEC"/>
    <w:rsid w:val="00EB4589"/>
    <w:rsid w:val="00EC1D57"/>
    <w:rsid w:val="00EC47C4"/>
    <w:rsid w:val="00EC588D"/>
    <w:rsid w:val="00F00D81"/>
    <w:rsid w:val="00F02023"/>
    <w:rsid w:val="00F02E5B"/>
    <w:rsid w:val="00F13B20"/>
    <w:rsid w:val="00F156F9"/>
    <w:rsid w:val="00F2169E"/>
    <w:rsid w:val="00F276BF"/>
    <w:rsid w:val="00F316D8"/>
    <w:rsid w:val="00F34602"/>
    <w:rsid w:val="00F431B2"/>
    <w:rsid w:val="00F50A64"/>
    <w:rsid w:val="00F8381F"/>
    <w:rsid w:val="00F840EF"/>
    <w:rsid w:val="00F92C92"/>
    <w:rsid w:val="00FD09CD"/>
    <w:rsid w:val="00FD1602"/>
    <w:rsid w:val="011B6997"/>
    <w:rsid w:val="015D6BAC"/>
    <w:rsid w:val="015F6189"/>
    <w:rsid w:val="016A347B"/>
    <w:rsid w:val="01BB5A85"/>
    <w:rsid w:val="01E33FBB"/>
    <w:rsid w:val="01F66079"/>
    <w:rsid w:val="02274EC8"/>
    <w:rsid w:val="022977CF"/>
    <w:rsid w:val="023A109F"/>
    <w:rsid w:val="024617F2"/>
    <w:rsid w:val="02DB38C9"/>
    <w:rsid w:val="03652C04"/>
    <w:rsid w:val="03A10CAA"/>
    <w:rsid w:val="03B53475"/>
    <w:rsid w:val="03D80B70"/>
    <w:rsid w:val="03FA5888"/>
    <w:rsid w:val="04510922"/>
    <w:rsid w:val="047A1C27"/>
    <w:rsid w:val="04A4590A"/>
    <w:rsid w:val="04A46CA4"/>
    <w:rsid w:val="04EB48D3"/>
    <w:rsid w:val="04FE4606"/>
    <w:rsid w:val="054D2E98"/>
    <w:rsid w:val="05AA3EC8"/>
    <w:rsid w:val="05AB19D6"/>
    <w:rsid w:val="05B44CC5"/>
    <w:rsid w:val="05C06DB8"/>
    <w:rsid w:val="05D610DF"/>
    <w:rsid w:val="05DC421B"/>
    <w:rsid w:val="063D0AD7"/>
    <w:rsid w:val="0645485E"/>
    <w:rsid w:val="06530982"/>
    <w:rsid w:val="065F1B66"/>
    <w:rsid w:val="06607614"/>
    <w:rsid w:val="06641322"/>
    <w:rsid w:val="06801F2A"/>
    <w:rsid w:val="06836650"/>
    <w:rsid w:val="068C566F"/>
    <w:rsid w:val="06AB0916"/>
    <w:rsid w:val="06C158EB"/>
    <w:rsid w:val="06E33B5C"/>
    <w:rsid w:val="06F35CC1"/>
    <w:rsid w:val="071F0864"/>
    <w:rsid w:val="074873AE"/>
    <w:rsid w:val="074C30BC"/>
    <w:rsid w:val="077614EF"/>
    <w:rsid w:val="077F6CDA"/>
    <w:rsid w:val="07A52484"/>
    <w:rsid w:val="07BC7004"/>
    <w:rsid w:val="07DB29DD"/>
    <w:rsid w:val="07F4584C"/>
    <w:rsid w:val="086957C6"/>
    <w:rsid w:val="0878022B"/>
    <w:rsid w:val="08AE6343"/>
    <w:rsid w:val="08B4465F"/>
    <w:rsid w:val="08DD351E"/>
    <w:rsid w:val="08F12ABB"/>
    <w:rsid w:val="090043DE"/>
    <w:rsid w:val="09347209"/>
    <w:rsid w:val="0970184A"/>
    <w:rsid w:val="097053A7"/>
    <w:rsid w:val="09905A49"/>
    <w:rsid w:val="09CD4B57"/>
    <w:rsid w:val="0A1400BB"/>
    <w:rsid w:val="0A2F5262"/>
    <w:rsid w:val="0A3824FF"/>
    <w:rsid w:val="0A4C6688"/>
    <w:rsid w:val="0AAD4083"/>
    <w:rsid w:val="0ACE430C"/>
    <w:rsid w:val="0ADE4E46"/>
    <w:rsid w:val="0B017679"/>
    <w:rsid w:val="0B1B1342"/>
    <w:rsid w:val="0B2E3813"/>
    <w:rsid w:val="0B3235F1"/>
    <w:rsid w:val="0B4C599F"/>
    <w:rsid w:val="0B512FB6"/>
    <w:rsid w:val="0B5E0C4F"/>
    <w:rsid w:val="0B6B051B"/>
    <w:rsid w:val="0B7E5AE4"/>
    <w:rsid w:val="0B81389B"/>
    <w:rsid w:val="0BD7795F"/>
    <w:rsid w:val="0BDC31C7"/>
    <w:rsid w:val="0BE91440"/>
    <w:rsid w:val="0C01195F"/>
    <w:rsid w:val="0C3709B1"/>
    <w:rsid w:val="0C4539BF"/>
    <w:rsid w:val="0C5E046C"/>
    <w:rsid w:val="0C852478"/>
    <w:rsid w:val="0CA710DF"/>
    <w:rsid w:val="0CC06F69"/>
    <w:rsid w:val="0CC71781"/>
    <w:rsid w:val="0CD538FE"/>
    <w:rsid w:val="0CFF0F1B"/>
    <w:rsid w:val="0D0974B4"/>
    <w:rsid w:val="0D182EFA"/>
    <w:rsid w:val="0D4F1247"/>
    <w:rsid w:val="0D75742F"/>
    <w:rsid w:val="0D787385"/>
    <w:rsid w:val="0D821B4C"/>
    <w:rsid w:val="0DA63A8D"/>
    <w:rsid w:val="0DA96C84"/>
    <w:rsid w:val="0DD272B7"/>
    <w:rsid w:val="0E15476E"/>
    <w:rsid w:val="0E29293C"/>
    <w:rsid w:val="0E3504C5"/>
    <w:rsid w:val="0E5E4367"/>
    <w:rsid w:val="0E72498F"/>
    <w:rsid w:val="0E7C659C"/>
    <w:rsid w:val="0ECE113B"/>
    <w:rsid w:val="0ED168E7"/>
    <w:rsid w:val="0ED70216"/>
    <w:rsid w:val="0ED71A24"/>
    <w:rsid w:val="0EE7610B"/>
    <w:rsid w:val="0F114F36"/>
    <w:rsid w:val="0F400ABA"/>
    <w:rsid w:val="0F4B69C3"/>
    <w:rsid w:val="0F77400C"/>
    <w:rsid w:val="0F855B6A"/>
    <w:rsid w:val="0F9C1270"/>
    <w:rsid w:val="0FAC66F6"/>
    <w:rsid w:val="0FAD16FA"/>
    <w:rsid w:val="0FCE16D6"/>
    <w:rsid w:val="0FD1141E"/>
    <w:rsid w:val="0FE34B24"/>
    <w:rsid w:val="0FE4264A"/>
    <w:rsid w:val="0FF454C3"/>
    <w:rsid w:val="1023450D"/>
    <w:rsid w:val="10321C6D"/>
    <w:rsid w:val="1032785A"/>
    <w:rsid w:val="104A5B12"/>
    <w:rsid w:val="10705A5D"/>
    <w:rsid w:val="107B2362"/>
    <w:rsid w:val="10B85090"/>
    <w:rsid w:val="10D51B29"/>
    <w:rsid w:val="10D97CD5"/>
    <w:rsid w:val="1108539C"/>
    <w:rsid w:val="111B209C"/>
    <w:rsid w:val="112F648F"/>
    <w:rsid w:val="11485961"/>
    <w:rsid w:val="114F6EFA"/>
    <w:rsid w:val="11765524"/>
    <w:rsid w:val="11836197"/>
    <w:rsid w:val="11A11E84"/>
    <w:rsid w:val="11C604BE"/>
    <w:rsid w:val="11DD37F5"/>
    <w:rsid w:val="11F33019"/>
    <w:rsid w:val="12005178"/>
    <w:rsid w:val="12376EA7"/>
    <w:rsid w:val="12771554"/>
    <w:rsid w:val="129E02B8"/>
    <w:rsid w:val="12BE59DD"/>
    <w:rsid w:val="12C01BDA"/>
    <w:rsid w:val="12F72695"/>
    <w:rsid w:val="133D1AA0"/>
    <w:rsid w:val="134E1CE9"/>
    <w:rsid w:val="13530882"/>
    <w:rsid w:val="135A5C6F"/>
    <w:rsid w:val="13687B29"/>
    <w:rsid w:val="136B45C6"/>
    <w:rsid w:val="137D703E"/>
    <w:rsid w:val="138A52B7"/>
    <w:rsid w:val="138E124B"/>
    <w:rsid w:val="13914897"/>
    <w:rsid w:val="13A4281C"/>
    <w:rsid w:val="13BC5DB8"/>
    <w:rsid w:val="13C46A1B"/>
    <w:rsid w:val="13DC085B"/>
    <w:rsid w:val="13EB21F9"/>
    <w:rsid w:val="1424395D"/>
    <w:rsid w:val="142474B9"/>
    <w:rsid w:val="14635758"/>
    <w:rsid w:val="146E3A58"/>
    <w:rsid w:val="148F49B0"/>
    <w:rsid w:val="14A22470"/>
    <w:rsid w:val="14A970E4"/>
    <w:rsid w:val="14B06F9F"/>
    <w:rsid w:val="14BB28D1"/>
    <w:rsid w:val="14D7452C"/>
    <w:rsid w:val="15512530"/>
    <w:rsid w:val="155A22C4"/>
    <w:rsid w:val="158C2634"/>
    <w:rsid w:val="159D39C7"/>
    <w:rsid w:val="15B336A0"/>
    <w:rsid w:val="15BF393E"/>
    <w:rsid w:val="15C54CCC"/>
    <w:rsid w:val="15CD2232"/>
    <w:rsid w:val="15D36C12"/>
    <w:rsid w:val="15DF44AA"/>
    <w:rsid w:val="15F62086"/>
    <w:rsid w:val="160752E5"/>
    <w:rsid w:val="160E21CF"/>
    <w:rsid w:val="161D68B6"/>
    <w:rsid w:val="16383B80"/>
    <w:rsid w:val="163F682C"/>
    <w:rsid w:val="1651030E"/>
    <w:rsid w:val="165D3859"/>
    <w:rsid w:val="16642CCC"/>
    <w:rsid w:val="16753FFC"/>
    <w:rsid w:val="16E53F04"/>
    <w:rsid w:val="16F91544"/>
    <w:rsid w:val="16F92E7F"/>
    <w:rsid w:val="170A23BA"/>
    <w:rsid w:val="176B7085"/>
    <w:rsid w:val="17822E75"/>
    <w:rsid w:val="17893ED5"/>
    <w:rsid w:val="178B1380"/>
    <w:rsid w:val="17F17FFA"/>
    <w:rsid w:val="182C4B8E"/>
    <w:rsid w:val="183879D7"/>
    <w:rsid w:val="18470AF1"/>
    <w:rsid w:val="18470E5D"/>
    <w:rsid w:val="185C1918"/>
    <w:rsid w:val="188A1F58"/>
    <w:rsid w:val="18A64941"/>
    <w:rsid w:val="18A7632B"/>
    <w:rsid w:val="18AA5110"/>
    <w:rsid w:val="18BA03EC"/>
    <w:rsid w:val="18EB0FE3"/>
    <w:rsid w:val="18FA409F"/>
    <w:rsid w:val="18FD7A14"/>
    <w:rsid w:val="191E097B"/>
    <w:rsid w:val="19254181"/>
    <w:rsid w:val="19383771"/>
    <w:rsid w:val="193957B5"/>
    <w:rsid w:val="198B7A86"/>
    <w:rsid w:val="19940109"/>
    <w:rsid w:val="19A90B8D"/>
    <w:rsid w:val="19AC242B"/>
    <w:rsid w:val="19C16AFA"/>
    <w:rsid w:val="19C16FB0"/>
    <w:rsid w:val="19E03E83"/>
    <w:rsid w:val="19FA13E8"/>
    <w:rsid w:val="1A281D25"/>
    <w:rsid w:val="1A2B77F4"/>
    <w:rsid w:val="1A716259"/>
    <w:rsid w:val="1A725422"/>
    <w:rsid w:val="1A8B2040"/>
    <w:rsid w:val="1A9010F2"/>
    <w:rsid w:val="1AC15A62"/>
    <w:rsid w:val="1ADD03C2"/>
    <w:rsid w:val="1AEE25CF"/>
    <w:rsid w:val="1B300E3A"/>
    <w:rsid w:val="1BAC10EE"/>
    <w:rsid w:val="1BC82E20"/>
    <w:rsid w:val="1C057BD0"/>
    <w:rsid w:val="1C1E234D"/>
    <w:rsid w:val="1C215462"/>
    <w:rsid w:val="1C50173C"/>
    <w:rsid w:val="1C5742E9"/>
    <w:rsid w:val="1C821930"/>
    <w:rsid w:val="1CEA00E9"/>
    <w:rsid w:val="1D0936F0"/>
    <w:rsid w:val="1D0D0ABA"/>
    <w:rsid w:val="1DFB74DD"/>
    <w:rsid w:val="1E0E6404"/>
    <w:rsid w:val="1E102504"/>
    <w:rsid w:val="1E126573"/>
    <w:rsid w:val="1E285DF8"/>
    <w:rsid w:val="1E2F6111"/>
    <w:rsid w:val="1E4C7D38"/>
    <w:rsid w:val="1E684E22"/>
    <w:rsid w:val="1E6A6411"/>
    <w:rsid w:val="1E6C77F2"/>
    <w:rsid w:val="1ECB3353"/>
    <w:rsid w:val="1ECE0411"/>
    <w:rsid w:val="1EE066D3"/>
    <w:rsid w:val="1EE62434"/>
    <w:rsid w:val="1EF04B68"/>
    <w:rsid w:val="1EF34658"/>
    <w:rsid w:val="1EF7740A"/>
    <w:rsid w:val="1F0C1AC3"/>
    <w:rsid w:val="1F0D31E5"/>
    <w:rsid w:val="1F12421B"/>
    <w:rsid w:val="1F2760B0"/>
    <w:rsid w:val="1F300485"/>
    <w:rsid w:val="1F7E0368"/>
    <w:rsid w:val="1F85094C"/>
    <w:rsid w:val="1F8A2263"/>
    <w:rsid w:val="1F8A4FBC"/>
    <w:rsid w:val="1FC41B50"/>
    <w:rsid w:val="1FD2426D"/>
    <w:rsid w:val="1FF14E69"/>
    <w:rsid w:val="1FF42535"/>
    <w:rsid w:val="1FF61060"/>
    <w:rsid w:val="202C7E22"/>
    <w:rsid w:val="206711FA"/>
    <w:rsid w:val="208947D9"/>
    <w:rsid w:val="20944195"/>
    <w:rsid w:val="209E23A2"/>
    <w:rsid w:val="20A35320"/>
    <w:rsid w:val="20AE01DC"/>
    <w:rsid w:val="20C01A19"/>
    <w:rsid w:val="20CE712B"/>
    <w:rsid w:val="20D455FD"/>
    <w:rsid w:val="20FE449A"/>
    <w:rsid w:val="2110329F"/>
    <w:rsid w:val="217F608F"/>
    <w:rsid w:val="21833E00"/>
    <w:rsid w:val="21D70B8A"/>
    <w:rsid w:val="21E8624E"/>
    <w:rsid w:val="21EA6168"/>
    <w:rsid w:val="21ED35E0"/>
    <w:rsid w:val="21F7683F"/>
    <w:rsid w:val="21FA7AAB"/>
    <w:rsid w:val="21FB0519"/>
    <w:rsid w:val="22126097"/>
    <w:rsid w:val="22193859"/>
    <w:rsid w:val="222455A2"/>
    <w:rsid w:val="22326703"/>
    <w:rsid w:val="22741CF2"/>
    <w:rsid w:val="22A56EE8"/>
    <w:rsid w:val="22B45EAC"/>
    <w:rsid w:val="22B71196"/>
    <w:rsid w:val="22CC769A"/>
    <w:rsid w:val="22D116D9"/>
    <w:rsid w:val="22E5075C"/>
    <w:rsid w:val="22FA2721"/>
    <w:rsid w:val="23037099"/>
    <w:rsid w:val="230B6675"/>
    <w:rsid w:val="23100925"/>
    <w:rsid w:val="231177A3"/>
    <w:rsid w:val="232D78D7"/>
    <w:rsid w:val="23582CDC"/>
    <w:rsid w:val="23DF164F"/>
    <w:rsid w:val="23FA0237"/>
    <w:rsid w:val="242341FB"/>
    <w:rsid w:val="24681644"/>
    <w:rsid w:val="248F097F"/>
    <w:rsid w:val="24BD3058"/>
    <w:rsid w:val="24E22466"/>
    <w:rsid w:val="24E66C82"/>
    <w:rsid w:val="24ED2761"/>
    <w:rsid w:val="25070E5D"/>
    <w:rsid w:val="251925EC"/>
    <w:rsid w:val="251C2DA4"/>
    <w:rsid w:val="25237319"/>
    <w:rsid w:val="253432D4"/>
    <w:rsid w:val="253F23A5"/>
    <w:rsid w:val="25495178"/>
    <w:rsid w:val="257938CF"/>
    <w:rsid w:val="25B1688C"/>
    <w:rsid w:val="25C12DBA"/>
    <w:rsid w:val="263F6603"/>
    <w:rsid w:val="26551DA8"/>
    <w:rsid w:val="267155B1"/>
    <w:rsid w:val="267D177D"/>
    <w:rsid w:val="268D2FF6"/>
    <w:rsid w:val="268D3CB1"/>
    <w:rsid w:val="269504D1"/>
    <w:rsid w:val="26977FBF"/>
    <w:rsid w:val="26D62895"/>
    <w:rsid w:val="26E92EA0"/>
    <w:rsid w:val="26F43946"/>
    <w:rsid w:val="277A3B68"/>
    <w:rsid w:val="278612F3"/>
    <w:rsid w:val="27A91D58"/>
    <w:rsid w:val="27BA3C0F"/>
    <w:rsid w:val="27CB6172"/>
    <w:rsid w:val="27DF2945"/>
    <w:rsid w:val="281E05DA"/>
    <w:rsid w:val="282B25D6"/>
    <w:rsid w:val="285919D0"/>
    <w:rsid w:val="285B3772"/>
    <w:rsid w:val="286F7D43"/>
    <w:rsid w:val="287344C1"/>
    <w:rsid w:val="28957B57"/>
    <w:rsid w:val="28A271D5"/>
    <w:rsid w:val="28D925B5"/>
    <w:rsid w:val="28FB65E3"/>
    <w:rsid w:val="28FC235B"/>
    <w:rsid w:val="29061B05"/>
    <w:rsid w:val="293A2021"/>
    <w:rsid w:val="294F69A2"/>
    <w:rsid w:val="296B27A1"/>
    <w:rsid w:val="299E36C0"/>
    <w:rsid w:val="29DC183A"/>
    <w:rsid w:val="29E400FF"/>
    <w:rsid w:val="2A2B429D"/>
    <w:rsid w:val="2A401E24"/>
    <w:rsid w:val="2A693A20"/>
    <w:rsid w:val="2A834AE2"/>
    <w:rsid w:val="2A8F4B37"/>
    <w:rsid w:val="2AAE58D7"/>
    <w:rsid w:val="2B2A1401"/>
    <w:rsid w:val="2B3F6C0B"/>
    <w:rsid w:val="2B525B82"/>
    <w:rsid w:val="2B6F6900"/>
    <w:rsid w:val="2B9D7E17"/>
    <w:rsid w:val="2BA67A11"/>
    <w:rsid w:val="2BAD5B8F"/>
    <w:rsid w:val="2BCE7FDF"/>
    <w:rsid w:val="2BFE3CB2"/>
    <w:rsid w:val="2BFE6C98"/>
    <w:rsid w:val="2C057779"/>
    <w:rsid w:val="2C167BD8"/>
    <w:rsid w:val="2C3342E6"/>
    <w:rsid w:val="2C3F0EDD"/>
    <w:rsid w:val="2C4266A8"/>
    <w:rsid w:val="2C477E74"/>
    <w:rsid w:val="2C792640"/>
    <w:rsid w:val="2C905F9C"/>
    <w:rsid w:val="2C9A25B7"/>
    <w:rsid w:val="2CD56E5B"/>
    <w:rsid w:val="2CF75313"/>
    <w:rsid w:val="2D016192"/>
    <w:rsid w:val="2D26209C"/>
    <w:rsid w:val="2D371CF2"/>
    <w:rsid w:val="2D3D29BB"/>
    <w:rsid w:val="2D426ED6"/>
    <w:rsid w:val="2D860BA7"/>
    <w:rsid w:val="2D882A47"/>
    <w:rsid w:val="2D964B2C"/>
    <w:rsid w:val="2DB5581A"/>
    <w:rsid w:val="2DD65871"/>
    <w:rsid w:val="2E3A7BAD"/>
    <w:rsid w:val="2E3D144C"/>
    <w:rsid w:val="2E584983"/>
    <w:rsid w:val="2E750BE6"/>
    <w:rsid w:val="2E7A62E9"/>
    <w:rsid w:val="2F307202"/>
    <w:rsid w:val="2F850B45"/>
    <w:rsid w:val="2F9C5AEE"/>
    <w:rsid w:val="2FA86D99"/>
    <w:rsid w:val="2FEA71F6"/>
    <w:rsid w:val="30182170"/>
    <w:rsid w:val="302A1EA4"/>
    <w:rsid w:val="311A1F18"/>
    <w:rsid w:val="311C359A"/>
    <w:rsid w:val="31296BD8"/>
    <w:rsid w:val="31320090"/>
    <w:rsid w:val="313844C5"/>
    <w:rsid w:val="315D6D36"/>
    <w:rsid w:val="316311C9"/>
    <w:rsid w:val="31791D7E"/>
    <w:rsid w:val="31927F6E"/>
    <w:rsid w:val="31D125D7"/>
    <w:rsid w:val="32290207"/>
    <w:rsid w:val="32451FDE"/>
    <w:rsid w:val="32494957"/>
    <w:rsid w:val="32747406"/>
    <w:rsid w:val="32B53CA7"/>
    <w:rsid w:val="32B927B3"/>
    <w:rsid w:val="32C20171"/>
    <w:rsid w:val="33333CAF"/>
    <w:rsid w:val="334E4FA5"/>
    <w:rsid w:val="33532B9A"/>
    <w:rsid w:val="33552D94"/>
    <w:rsid w:val="33553C32"/>
    <w:rsid w:val="336743E3"/>
    <w:rsid w:val="336C0273"/>
    <w:rsid w:val="337D69FA"/>
    <w:rsid w:val="33922C06"/>
    <w:rsid w:val="33953053"/>
    <w:rsid w:val="33C543BD"/>
    <w:rsid w:val="33C817B8"/>
    <w:rsid w:val="33D9016D"/>
    <w:rsid w:val="341E29A6"/>
    <w:rsid w:val="342455D9"/>
    <w:rsid w:val="343E7FC6"/>
    <w:rsid w:val="34657B39"/>
    <w:rsid w:val="34781430"/>
    <w:rsid w:val="34AF2977"/>
    <w:rsid w:val="34C41689"/>
    <w:rsid w:val="34D771EE"/>
    <w:rsid w:val="34EB4B5A"/>
    <w:rsid w:val="34F12B49"/>
    <w:rsid w:val="3542559A"/>
    <w:rsid w:val="355F29AC"/>
    <w:rsid w:val="3576225A"/>
    <w:rsid w:val="359211D1"/>
    <w:rsid w:val="3592288C"/>
    <w:rsid w:val="35BE7316"/>
    <w:rsid w:val="35D87A6B"/>
    <w:rsid w:val="35E55651"/>
    <w:rsid w:val="35F05BDE"/>
    <w:rsid w:val="35F712D4"/>
    <w:rsid w:val="36323860"/>
    <w:rsid w:val="363771A3"/>
    <w:rsid w:val="364479F5"/>
    <w:rsid w:val="364A2958"/>
    <w:rsid w:val="365D3F21"/>
    <w:rsid w:val="366F6862"/>
    <w:rsid w:val="368D0EDC"/>
    <w:rsid w:val="36900369"/>
    <w:rsid w:val="36CC15BF"/>
    <w:rsid w:val="36DB3EF8"/>
    <w:rsid w:val="36E47242"/>
    <w:rsid w:val="36EB56E8"/>
    <w:rsid w:val="36EB7207"/>
    <w:rsid w:val="36F51EFD"/>
    <w:rsid w:val="37114931"/>
    <w:rsid w:val="372A4692"/>
    <w:rsid w:val="37386C54"/>
    <w:rsid w:val="37421881"/>
    <w:rsid w:val="37647A49"/>
    <w:rsid w:val="37653AA5"/>
    <w:rsid w:val="37802DC5"/>
    <w:rsid w:val="3781684D"/>
    <w:rsid w:val="37A40BF2"/>
    <w:rsid w:val="37BF055E"/>
    <w:rsid w:val="37D01DC0"/>
    <w:rsid w:val="380A05F1"/>
    <w:rsid w:val="38393EC7"/>
    <w:rsid w:val="38531C3E"/>
    <w:rsid w:val="385500EE"/>
    <w:rsid w:val="38571C26"/>
    <w:rsid w:val="38623174"/>
    <w:rsid w:val="387C0DC3"/>
    <w:rsid w:val="38810921"/>
    <w:rsid w:val="38C021BE"/>
    <w:rsid w:val="38C40B82"/>
    <w:rsid w:val="392B0B3F"/>
    <w:rsid w:val="392F71AA"/>
    <w:rsid w:val="3946502A"/>
    <w:rsid w:val="394F767F"/>
    <w:rsid w:val="398F4E24"/>
    <w:rsid w:val="39981C2C"/>
    <w:rsid w:val="39B1568D"/>
    <w:rsid w:val="39C95C05"/>
    <w:rsid w:val="39E46F19"/>
    <w:rsid w:val="39E74FFE"/>
    <w:rsid w:val="3A0A0D7C"/>
    <w:rsid w:val="3A3556CD"/>
    <w:rsid w:val="3A4A051C"/>
    <w:rsid w:val="3A4F3611"/>
    <w:rsid w:val="3A5169AB"/>
    <w:rsid w:val="3AAD7959"/>
    <w:rsid w:val="3ABE3914"/>
    <w:rsid w:val="3AD153F6"/>
    <w:rsid w:val="3AD84A09"/>
    <w:rsid w:val="3AEC68DA"/>
    <w:rsid w:val="3B0E03F8"/>
    <w:rsid w:val="3B2B257B"/>
    <w:rsid w:val="3B3F3852"/>
    <w:rsid w:val="3B443026"/>
    <w:rsid w:val="3B547DD5"/>
    <w:rsid w:val="3B5D137F"/>
    <w:rsid w:val="3B7A36EA"/>
    <w:rsid w:val="3B83077B"/>
    <w:rsid w:val="3B8A7538"/>
    <w:rsid w:val="3BBA2993"/>
    <w:rsid w:val="3C37572C"/>
    <w:rsid w:val="3C3E2A63"/>
    <w:rsid w:val="3C6E37A5"/>
    <w:rsid w:val="3C7C1C1C"/>
    <w:rsid w:val="3C7D2868"/>
    <w:rsid w:val="3C916B22"/>
    <w:rsid w:val="3CA04029"/>
    <w:rsid w:val="3CAB1C76"/>
    <w:rsid w:val="3CD72A6B"/>
    <w:rsid w:val="3CFD3345"/>
    <w:rsid w:val="3D064F27"/>
    <w:rsid w:val="3D4B5E44"/>
    <w:rsid w:val="3D7309E6"/>
    <w:rsid w:val="3D933DD4"/>
    <w:rsid w:val="3D9372DA"/>
    <w:rsid w:val="3D9646D4"/>
    <w:rsid w:val="3D9D3CB5"/>
    <w:rsid w:val="3DDC2A2F"/>
    <w:rsid w:val="3E01231E"/>
    <w:rsid w:val="3E0F1E88"/>
    <w:rsid w:val="3E104487"/>
    <w:rsid w:val="3E4D1237"/>
    <w:rsid w:val="3E6B4118"/>
    <w:rsid w:val="3E7273E2"/>
    <w:rsid w:val="3E9E206D"/>
    <w:rsid w:val="3ED80B38"/>
    <w:rsid w:val="3F105F7E"/>
    <w:rsid w:val="3F2521B4"/>
    <w:rsid w:val="3F2F15A4"/>
    <w:rsid w:val="3F5720A2"/>
    <w:rsid w:val="3F7B4075"/>
    <w:rsid w:val="3F886975"/>
    <w:rsid w:val="3F89659D"/>
    <w:rsid w:val="3F9B4375"/>
    <w:rsid w:val="3FB6149C"/>
    <w:rsid w:val="3FC62CF6"/>
    <w:rsid w:val="3FCF2120"/>
    <w:rsid w:val="3FFB2F15"/>
    <w:rsid w:val="400349DC"/>
    <w:rsid w:val="40041DC9"/>
    <w:rsid w:val="40154189"/>
    <w:rsid w:val="401A5A97"/>
    <w:rsid w:val="4036334F"/>
    <w:rsid w:val="40371D58"/>
    <w:rsid w:val="406E1939"/>
    <w:rsid w:val="40A4492C"/>
    <w:rsid w:val="40AA2CE2"/>
    <w:rsid w:val="40AD77F6"/>
    <w:rsid w:val="40B27A77"/>
    <w:rsid w:val="40ED0AAF"/>
    <w:rsid w:val="411E6EBB"/>
    <w:rsid w:val="41283EAE"/>
    <w:rsid w:val="412E476F"/>
    <w:rsid w:val="41561856"/>
    <w:rsid w:val="416B05BC"/>
    <w:rsid w:val="417A7AC5"/>
    <w:rsid w:val="41857CF6"/>
    <w:rsid w:val="419474EA"/>
    <w:rsid w:val="41C007F5"/>
    <w:rsid w:val="41CC6E1B"/>
    <w:rsid w:val="41FF5DFA"/>
    <w:rsid w:val="42350860"/>
    <w:rsid w:val="423D53C5"/>
    <w:rsid w:val="424211B6"/>
    <w:rsid w:val="424C5CAA"/>
    <w:rsid w:val="42664FBD"/>
    <w:rsid w:val="426D01E4"/>
    <w:rsid w:val="42884C41"/>
    <w:rsid w:val="42A6667D"/>
    <w:rsid w:val="42A927C0"/>
    <w:rsid w:val="42AB259C"/>
    <w:rsid w:val="42BF131E"/>
    <w:rsid w:val="42F63821"/>
    <w:rsid w:val="43265AAE"/>
    <w:rsid w:val="433724B6"/>
    <w:rsid w:val="43602B4F"/>
    <w:rsid w:val="43671945"/>
    <w:rsid w:val="436821E9"/>
    <w:rsid w:val="43761230"/>
    <w:rsid w:val="444035EC"/>
    <w:rsid w:val="44B527CD"/>
    <w:rsid w:val="45091C30"/>
    <w:rsid w:val="45445596"/>
    <w:rsid w:val="45B25FCA"/>
    <w:rsid w:val="45C673B4"/>
    <w:rsid w:val="45E20849"/>
    <w:rsid w:val="45E46629"/>
    <w:rsid w:val="45F24677"/>
    <w:rsid w:val="45F60406"/>
    <w:rsid w:val="460D1DBD"/>
    <w:rsid w:val="46151CC1"/>
    <w:rsid w:val="46180C50"/>
    <w:rsid w:val="462556CE"/>
    <w:rsid w:val="463E71B3"/>
    <w:rsid w:val="467F1EF6"/>
    <w:rsid w:val="468B4FF2"/>
    <w:rsid w:val="46AB7443"/>
    <w:rsid w:val="46BA58D8"/>
    <w:rsid w:val="46CB0F33"/>
    <w:rsid w:val="46D97337"/>
    <w:rsid w:val="46E93AC7"/>
    <w:rsid w:val="46F26E20"/>
    <w:rsid w:val="46FA2178"/>
    <w:rsid w:val="4704496B"/>
    <w:rsid w:val="474D702E"/>
    <w:rsid w:val="4789433A"/>
    <w:rsid w:val="479003E6"/>
    <w:rsid w:val="47A12F75"/>
    <w:rsid w:val="47A522A0"/>
    <w:rsid w:val="47E744AA"/>
    <w:rsid w:val="480321E6"/>
    <w:rsid w:val="48174664"/>
    <w:rsid w:val="484D3E77"/>
    <w:rsid w:val="48B16B56"/>
    <w:rsid w:val="49090450"/>
    <w:rsid w:val="49241B32"/>
    <w:rsid w:val="492D2689"/>
    <w:rsid w:val="49311153"/>
    <w:rsid w:val="49BC1D4D"/>
    <w:rsid w:val="49C12AD9"/>
    <w:rsid w:val="4A4554B8"/>
    <w:rsid w:val="4A547DF1"/>
    <w:rsid w:val="4A5778B2"/>
    <w:rsid w:val="4A770FB0"/>
    <w:rsid w:val="4AA13284"/>
    <w:rsid w:val="4AB16FF2"/>
    <w:rsid w:val="4AC94CD8"/>
    <w:rsid w:val="4AD027BF"/>
    <w:rsid w:val="4AE12C37"/>
    <w:rsid w:val="4AED03E5"/>
    <w:rsid w:val="4AFE5320"/>
    <w:rsid w:val="4B042305"/>
    <w:rsid w:val="4B814C16"/>
    <w:rsid w:val="4B8360DE"/>
    <w:rsid w:val="4B882A28"/>
    <w:rsid w:val="4B8F03F7"/>
    <w:rsid w:val="4BAE52DF"/>
    <w:rsid w:val="4BE870A5"/>
    <w:rsid w:val="4C101AF6"/>
    <w:rsid w:val="4C3517C6"/>
    <w:rsid w:val="4C5805FE"/>
    <w:rsid w:val="4C601C96"/>
    <w:rsid w:val="4C8147A2"/>
    <w:rsid w:val="4C91481E"/>
    <w:rsid w:val="4C96024D"/>
    <w:rsid w:val="4CA35125"/>
    <w:rsid w:val="4CDF14D0"/>
    <w:rsid w:val="4CF5161D"/>
    <w:rsid w:val="4CFE5DF2"/>
    <w:rsid w:val="4D297313"/>
    <w:rsid w:val="4D2B6780"/>
    <w:rsid w:val="4D330192"/>
    <w:rsid w:val="4D525C70"/>
    <w:rsid w:val="4D52686A"/>
    <w:rsid w:val="4D5F4AE3"/>
    <w:rsid w:val="4D64659D"/>
    <w:rsid w:val="4D700A9E"/>
    <w:rsid w:val="4D720CBA"/>
    <w:rsid w:val="4D8078CE"/>
    <w:rsid w:val="4D875DE8"/>
    <w:rsid w:val="4D883063"/>
    <w:rsid w:val="4DA1334D"/>
    <w:rsid w:val="4DA92202"/>
    <w:rsid w:val="4DD61404"/>
    <w:rsid w:val="4DFA480C"/>
    <w:rsid w:val="4E2528C4"/>
    <w:rsid w:val="4E2D2A51"/>
    <w:rsid w:val="4E4F3462"/>
    <w:rsid w:val="4E61736A"/>
    <w:rsid w:val="4E6F6678"/>
    <w:rsid w:val="4E7C16C5"/>
    <w:rsid w:val="4E896B59"/>
    <w:rsid w:val="4E900E25"/>
    <w:rsid w:val="4EB726FD"/>
    <w:rsid w:val="4EC70B92"/>
    <w:rsid w:val="4EDD3498"/>
    <w:rsid w:val="4EEE36A2"/>
    <w:rsid w:val="4F255F02"/>
    <w:rsid w:val="4F3C0A07"/>
    <w:rsid w:val="4F460D73"/>
    <w:rsid w:val="4F472151"/>
    <w:rsid w:val="4F4977F9"/>
    <w:rsid w:val="4F6665D9"/>
    <w:rsid w:val="4F6952B7"/>
    <w:rsid w:val="4F6F4954"/>
    <w:rsid w:val="4F7725B8"/>
    <w:rsid w:val="4F806F93"/>
    <w:rsid w:val="4FD04F96"/>
    <w:rsid w:val="501E782F"/>
    <w:rsid w:val="50267B3A"/>
    <w:rsid w:val="504B099F"/>
    <w:rsid w:val="505C40E4"/>
    <w:rsid w:val="507408A5"/>
    <w:rsid w:val="5077108F"/>
    <w:rsid w:val="509F0570"/>
    <w:rsid w:val="50CC52CC"/>
    <w:rsid w:val="50DC644B"/>
    <w:rsid w:val="5100038B"/>
    <w:rsid w:val="514A5AAA"/>
    <w:rsid w:val="516052CE"/>
    <w:rsid w:val="51622D02"/>
    <w:rsid w:val="516C329E"/>
    <w:rsid w:val="517259F5"/>
    <w:rsid w:val="517D1054"/>
    <w:rsid w:val="51C07B1A"/>
    <w:rsid w:val="51DD4496"/>
    <w:rsid w:val="52021EE1"/>
    <w:rsid w:val="52412A09"/>
    <w:rsid w:val="52482164"/>
    <w:rsid w:val="52B50A93"/>
    <w:rsid w:val="52BD5F36"/>
    <w:rsid w:val="52C378C2"/>
    <w:rsid w:val="52EC70CC"/>
    <w:rsid w:val="52ED2B91"/>
    <w:rsid w:val="52EF4B5B"/>
    <w:rsid w:val="52FD636E"/>
    <w:rsid w:val="5311062D"/>
    <w:rsid w:val="5340253A"/>
    <w:rsid w:val="535B2548"/>
    <w:rsid w:val="53682217"/>
    <w:rsid w:val="538E6122"/>
    <w:rsid w:val="539845AA"/>
    <w:rsid w:val="53C12435"/>
    <w:rsid w:val="53EF5DA2"/>
    <w:rsid w:val="54083AFC"/>
    <w:rsid w:val="540957A8"/>
    <w:rsid w:val="541F4FCC"/>
    <w:rsid w:val="54261A12"/>
    <w:rsid w:val="54267F9B"/>
    <w:rsid w:val="54286227"/>
    <w:rsid w:val="54435EC0"/>
    <w:rsid w:val="54515FCC"/>
    <w:rsid w:val="54520EFE"/>
    <w:rsid w:val="54603722"/>
    <w:rsid w:val="547E5F48"/>
    <w:rsid w:val="548E0DEC"/>
    <w:rsid w:val="548E263D"/>
    <w:rsid w:val="54C374D3"/>
    <w:rsid w:val="54C55B73"/>
    <w:rsid w:val="54D1276A"/>
    <w:rsid w:val="54D47B64"/>
    <w:rsid w:val="54DF1C67"/>
    <w:rsid w:val="55182083"/>
    <w:rsid w:val="5524349F"/>
    <w:rsid w:val="55676C2B"/>
    <w:rsid w:val="55727216"/>
    <w:rsid w:val="559B68D4"/>
    <w:rsid w:val="55A03FDE"/>
    <w:rsid w:val="55B00B6F"/>
    <w:rsid w:val="55BD5390"/>
    <w:rsid w:val="55CD6266"/>
    <w:rsid w:val="55F93D86"/>
    <w:rsid w:val="55F97DD2"/>
    <w:rsid w:val="5609445F"/>
    <w:rsid w:val="562F17F5"/>
    <w:rsid w:val="5633461F"/>
    <w:rsid w:val="5638751E"/>
    <w:rsid w:val="56643EEF"/>
    <w:rsid w:val="566E2B23"/>
    <w:rsid w:val="56761EB9"/>
    <w:rsid w:val="569B2FA0"/>
    <w:rsid w:val="56D07C8F"/>
    <w:rsid w:val="56DE116E"/>
    <w:rsid w:val="573F13B7"/>
    <w:rsid w:val="575136EE"/>
    <w:rsid w:val="5755438D"/>
    <w:rsid w:val="57572CCF"/>
    <w:rsid w:val="57677586"/>
    <w:rsid w:val="5790738F"/>
    <w:rsid w:val="57AF2B0B"/>
    <w:rsid w:val="57B81206"/>
    <w:rsid w:val="57C745B1"/>
    <w:rsid w:val="57C956CF"/>
    <w:rsid w:val="57E45887"/>
    <w:rsid w:val="57EB499D"/>
    <w:rsid w:val="57EB73A1"/>
    <w:rsid w:val="57ED161B"/>
    <w:rsid w:val="57F4051E"/>
    <w:rsid w:val="58070251"/>
    <w:rsid w:val="585D2BA2"/>
    <w:rsid w:val="586F7C75"/>
    <w:rsid w:val="589A2E73"/>
    <w:rsid w:val="589C5706"/>
    <w:rsid w:val="58B303D9"/>
    <w:rsid w:val="58EB68DA"/>
    <w:rsid w:val="58EF561D"/>
    <w:rsid w:val="590F5E01"/>
    <w:rsid w:val="597321ED"/>
    <w:rsid w:val="599570DE"/>
    <w:rsid w:val="59F21DCF"/>
    <w:rsid w:val="5A201A9E"/>
    <w:rsid w:val="5A276988"/>
    <w:rsid w:val="5A2C3F9F"/>
    <w:rsid w:val="5A355778"/>
    <w:rsid w:val="5A48317F"/>
    <w:rsid w:val="5A647BDD"/>
    <w:rsid w:val="5AA1534E"/>
    <w:rsid w:val="5AC86513"/>
    <w:rsid w:val="5AE90D94"/>
    <w:rsid w:val="5B1A7417"/>
    <w:rsid w:val="5B6D2D12"/>
    <w:rsid w:val="5B817A37"/>
    <w:rsid w:val="5B9B13DC"/>
    <w:rsid w:val="5BD60666"/>
    <w:rsid w:val="5BDA44F9"/>
    <w:rsid w:val="5C076A71"/>
    <w:rsid w:val="5C2C297C"/>
    <w:rsid w:val="5C5F2305"/>
    <w:rsid w:val="5C7638CA"/>
    <w:rsid w:val="5C981DBF"/>
    <w:rsid w:val="5C9C340F"/>
    <w:rsid w:val="5C9E6468"/>
    <w:rsid w:val="5CC71F9C"/>
    <w:rsid w:val="5CE62B2B"/>
    <w:rsid w:val="5D044145"/>
    <w:rsid w:val="5D11255E"/>
    <w:rsid w:val="5D114572"/>
    <w:rsid w:val="5D1A0A26"/>
    <w:rsid w:val="5D2911D2"/>
    <w:rsid w:val="5D325D70"/>
    <w:rsid w:val="5D616655"/>
    <w:rsid w:val="5D701A3C"/>
    <w:rsid w:val="5D714EE9"/>
    <w:rsid w:val="5D7A0BA9"/>
    <w:rsid w:val="5D7E5BC5"/>
    <w:rsid w:val="5D9C7014"/>
    <w:rsid w:val="5DA56542"/>
    <w:rsid w:val="5DAF0F95"/>
    <w:rsid w:val="5DB73626"/>
    <w:rsid w:val="5DB91E0B"/>
    <w:rsid w:val="5DC25A50"/>
    <w:rsid w:val="5E24654F"/>
    <w:rsid w:val="5E5166CA"/>
    <w:rsid w:val="5E7303EE"/>
    <w:rsid w:val="5E757991"/>
    <w:rsid w:val="5E895E64"/>
    <w:rsid w:val="5EA54320"/>
    <w:rsid w:val="5EA66A16"/>
    <w:rsid w:val="5EAF427E"/>
    <w:rsid w:val="5EC24ED2"/>
    <w:rsid w:val="5EC549C2"/>
    <w:rsid w:val="5EC64E8F"/>
    <w:rsid w:val="5ECD281A"/>
    <w:rsid w:val="5EDF66D8"/>
    <w:rsid w:val="5EE7342D"/>
    <w:rsid w:val="5EE95F27"/>
    <w:rsid w:val="5EF809FA"/>
    <w:rsid w:val="5F200B07"/>
    <w:rsid w:val="5F3951C3"/>
    <w:rsid w:val="5F8B1768"/>
    <w:rsid w:val="5FAF0DB4"/>
    <w:rsid w:val="5FD73244"/>
    <w:rsid w:val="5FF732A1"/>
    <w:rsid w:val="600B024A"/>
    <w:rsid w:val="6011550A"/>
    <w:rsid w:val="60381A6D"/>
    <w:rsid w:val="606E758E"/>
    <w:rsid w:val="6074044E"/>
    <w:rsid w:val="607641C6"/>
    <w:rsid w:val="608E35F6"/>
    <w:rsid w:val="60C05441"/>
    <w:rsid w:val="60E255BF"/>
    <w:rsid w:val="60E25980"/>
    <w:rsid w:val="611A0CDF"/>
    <w:rsid w:val="612919CA"/>
    <w:rsid w:val="614442C4"/>
    <w:rsid w:val="614869E2"/>
    <w:rsid w:val="61534507"/>
    <w:rsid w:val="615D7134"/>
    <w:rsid w:val="61774374"/>
    <w:rsid w:val="61B33653"/>
    <w:rsid w:val="61F53810"/>
    <w:rsid w:val="6220263B"/>
    <w:rsid w:val="62283153"/>
    <w:rsid w:val="624A5CB4"/>
    <w:rsid w:val="62556334"/>
    <w:rsid w:val="62853336"/>
    <w:rsid w:val="6289067C"/>
    <w:rsid w:val="62A07F3E"/>
    <w:rsid w:val="62BA18BD"/>
    <w:rsid w:val="62CC27C3"/>
    <w:rsid w:val="62CE02E9"/>
    <w:rsid w:val="62D241A4"/>
    <w:rsid w:val="62DD677E"/>
    <w:rsid w:val="62E3618C"/>
    <w:rsid w:val="63076D84"/>
    <w:rsid w:val="6308647F"/>
    <w:rsid w:val="632C34D6"/>
    <w:rsid w:val="634E27DD"/>
    <w:rsid w:val="63585E05"/>
    <w:rsid w:val="637871C9"/>
    <w:rsid w:val="6382333D"/>
    <w:rsid w:val="63DC71B3"/>
    <w:rsid w:val="6417181C"/>
    <w:rsid w:val="642A73AB"/>
    <w:rsid w:val="646D108D"/>
    <w:rsid w:val="646E7A48"/>
    <w:rsid w:val="648275DD"/>
    <w:rsid w:val="648556EE"/>
    <w:rsid w:val="64872839"/>
    <w:rsid w:val="64970BAF"/>
    <w:rsid w:val="64B7054F"/>
    <w:rsid w:val="64C44C16"/>
    <w:rsid w:val="64CD45D0"/>
    <w:rsid w:val="64CE2822"/>
    <w:rsid w:val="64D65603"/>
    <w:rsid w:val="64EC50EB"/>
    <w:rsid w:val="64F6539B"/>
    <w:rsid w:val="6510137B"/>
    <w:rsid w:val="651E4D23"/>
    <w:rsid w:val="65405808"/>
    <w:rsid w:val="656C5B97"/>
    <w:rsid w:val="65764C0B"/>
    <w:rsid w:val="657C227E"/>
    <w:rsid w:val="65801B6E"/>
    <w:rsid w:val="65826BA0"/>
    <w:rsid w:val="65A05841"/>
    <w:rsid w:val="65A215B9"/>
    <w:rsid w:val="65A60F32"/>
    <w:rsid w:val="65AF0FC6"/>
    <w:rsid w:val="662E109F"/>
    <w:rsid w:val="666D7E19"/>
    <w:rsid w:val="66742F55"/>
    <w:rsid w:val="66855B23"/>
    <w:rsid w:val="66AC49D3"/>
    <w:rsid w:val="66AC7209"/>
    <w:rsid w:val="66BA3EC8"/>
    <w:rsid w:val="66C97D93"/>
    <w:rsid w:val="66D734E4"/>
    <w:rsid w:val="66DD26E1"/>
    <w:rsid w:val="67256389"/>
    <w:rsid w:val="67387CA1"/>
    <w:rsid w:val="674C3ED2"/>
    <w:rsid w:val="677D3ED9"/>
    <w:rsid w:val="67A07D7A"/>
    <w:rsid w:val="67E24D9E"/>
    <w:rsid w:val="67F60A15"/>
    <w:rsid w:val="6814255B"/>
    <w:rsid w:val="68181876"/>
    <w:rsid w:val="682D3D04"/>
    <w:rsid w:val="68403334"/>
    <w:rsid w:val="684E502F"/>
    <w:rsid w:val="6850354E"/>
    <w:rsid w:val="6888357C"/>
    <w:rsid w:val="688E42B7"/>
    <w:rsid w:val="689E250C"/>
    <w:rsid w:val="68A44644"/>
    <w:rsid w:val="68D45F2D"/>
    <w:rsid w:val="68D639CB"/>
    <w:rsid w:val="68D67101"/>
    <w:rsid w:val="69151D65"/>
    <w:rsid w:val="694D1BCB"/>
    <w:rsid w:val="699B2B41"/>
    <w:rsid w:val="69A006B2"/>
    <w:rsid w:val="69A753F0"/>
    <w:rsid w:val="69B36AB8"/>
    <w:rsid w:val="69CA259F"/>
    <w:rsid w:val="69CB7E9A"/>
    <w:rsid w:val="69E55F18"/>
    <w:rsid w:val="6A423632"/>
    <w:rsid w:val="6A436227"/>
    <w:rsid w:val="6A487105"/>
    <w:rsid w:val="6A6D4031"/>
    <w:rsid w:val="6A7C6BA9"/>
    <w:rsid w:val="6A8E167F"/>
    <w:rsid w:val="6AA45DD3"/>
    <w:rsid w:val="6AAB0F10"/>
    <w:rsid w:val="6AB06526"/>
    <w:rsid w:val="6B183069"/>
    <w:rsid w:val="6B490D42"/>
    <w:rsid w:val="6B6537B4"/>
    <w:rsid w:val="6B7E0A10"/>
    <w:rsid w:val="6B8A272C"/>
    <w:rsid w:val="6B9A2731"/>
    <w:rsid w:val="6BCF19EF"/>
    <w:rsid w:val="6BDB3A77"/>
    <w:rsid w:val="6BFA653F"/>
    <w:rsid w:val="6BFF57BE"/>
    <w:rsid w:val="6C09562D"/>
    <w:rsid w:val="6C0A1872"/>
    <w:rsid w:val="6C1911A0"/>
    <w:rsid w:val="6C1A292A"/>
    <w:rsid w:val="6C3A2E1E"/>
    <w:rsid w:val="6C3A781B"/>
    <w:rsid w:val="6C5C4262"/>
    <w:rsid w:val="6C647774"/>
    <w:rsid w:val="6C8163CC"/>
    <w:rsid w:val="6C9C1458"/>
    <w:rsid w:val="6CD3123F"/>
    <w:rsid w:val="6CD536A0"/>
    <w:rsid w:val="6CE2712E"/>
    <w:rsid w:val="6CF7003C"/>
    <w:rsid w:val="6D3E2DD9"/>
    <w:rsid w:val="6D4F2026"/>
    <w:rsid w:val="6D526FBD"/>
    <w:rsid w:val="6D5C0A56"/>
    <w:rsid w:val="6D6A6E60"/>
    <w:rsid w:val="6D700CD0"/>
    <w:rsid w:val="6D9B526C"/>
    <w:rsid w:val="6DB620A5"/>
    <w:rsid w:val="6DBA2E59"/>
    <w:rsid w:val="6DBE7ED9"/>
    <w:rsid w:val="6DC64092"/>
    <w:rsid w:val="6DD738CA"/>
    <w:rsid w:val="6DE10BC4"/>
    <w:rsid w:val="6DF826BE"/>
    <w:rsid w:val="6E82493A"/>
    <w:rsid w:val="6E8E67EB"/>
    <w:rsid w:val="6EAE733F"/>
    <w:rsid w:val="6EB20ABF"/>
    <w:rsid w:val="6ECC0EC6"/>
    <w:rsid w:val="6ECC7EA1"/>
    <w:rsid w:val="6EF72B2E"/>
    <w:rsid w:val="6F4F73D2"/>
    <w:rsid w:val="6F5C0A2B"/>
    <w:rsid w:val="6F5C4ECE"/>
    <w:rsid w:val="6F636988"/>
    <w:rsid w:val="6F7F0550"/>
    <w:rsid w:val="6F9C7749"/>
    <w:rsid w:val="6FBD596D"/>
    <w:rsid w:val="6FCC5BB0"/>
    <w:rsid w:val="6FD256EB"/>
    <w:rsid w:val="6FEB4F40"/>
    <w:rsid w:val="70416FE8"/>
    <w:rsid w:val="706F25AF"/>
    <w:rsid w:val="70A51265"/>
    <w:rsid w:val="70B145DB"/>
    <w:rsid w:val="70D32F6E"/>
    <w:rsid w:val="70E70925"/>
    <w:rsid w:val="70EC3408"/>
    <w:rsid w:val="70FA674D"/>
    <w:rsid w:val="713A6130"/>
    <w:rsid w:val="7157594D"/>
    <w:rsid w:val="71997D14"/>
    <w:rsid w:val="71C7682A"/>
    <w:rsid w:val="71D33CBA"/>
    <w:rsid w:val="71DE05CD"/>
    <w:rsid w:val="71F06452"/>
    <w:rsid w:val="71F65B0E"/>
    <w:rsid w:val="71F8229B"/>
    <w:rsid w:val="722E2B52"/>
    <w:rsid w:val="723637B5"/>
    <w:rsid w:val="725F69B9"/>
    <w:rsid w:val="72621A0B"/>
    <w:rsid w:val="729A39F6"/>
    <w:rsid w:val="729E1C83"/>
    <w:rsid w:val="72A92E30"/>
    <w:rsid w:val="72B42AB4"/>
    <w:rsid w:val="72B5390F"/>
    <w:rsid w:val="72F86CBC"/>
    <w:rsid w:val="733122B3"/>
    <w:rsid w:val="734F1602"/>
    <w:rsid w:val="737F2F3A"/>
    <w:rsid w:val="739509AF"/>
    <w:rsid w:val="73993FFB"/>
    <w:rsid w:val="73A40BF2"/>
    <w:rsid w:val="73C56DEA"/>
    <w:rsid w:val="73D41773"/>
    <w:rsid w:val="73F41B79"/>
    <w:rsid w:val="74035260"/>
    <w:rsid w:val="742C30C1"/>
    <w:rsid w:val="743E609F"/>
    <w:rsid w:val="74942A15"/>
    <w:rsid w:val="749B0D60"/>
    <w:rsid w:val="74F87447"/>
    <w:rsid w:val="751753A4"/>
    <w:rsid w:val="7544443B"/>
    <w:rsid w:val="75497626"/>
    <w:rsid w:val="756173FB"/>
    <w:rsid w:val="75630D65"/>
    <w:rsid w:val="75736944"/>
    <w:rsid w:val="75B73C8E"/>
    <w:rsid w:val="75BA3E76"/>
    <w:rsid w:val="75C37A55"/>
    <w:rsid w:val="75FB71EF"/>
    <w:rsid w:val="7610431D"/>
    <w:rsid w:val="765D6E96"/>
    <w:rsid w:val="767174B1"/>
    <w:rsid w:val="767C16A8"/>
    <w:rsid w:val="767F55F4"/>
    <w:rsid w:val="76850283"/>
    <w:rsid w:val="769413F2"/>
    <w:rsid w:val="76C021E7"/>
    <w:rsid w:val="771F0CBB"/>
    <w:rsid w:val="77242776"/>
    <w:rsid w:val="77302EC9"/>
    <w:rsid w:val="777F79AC"/>
    <w:rsid w:val="77935205"/>
    <w:rsid w:val="77A76FA0"/>
    <w:rsid w:val="77B04009"/>
    <w:rsid w:val="77C605E3"/>
    <w:rsid w:val="77DC750A"/>
    <w:rsid w:val="77EB6887"/>
    <w:rsid w:val="78531C85"/>
    <w:rsid w:val="78632E2A"/>
    <w:rsid w:val="78794949"/>
    <w:rsid w:val="78807F3E"/>
    <w:rsid w:val="78941235"/>
    <w:rsid w:val="78AB7594"/>
    <w:rsid w:val="792C76C0"/>
    <w:rsid w:val="79441835"/>
    <w:rsid w:val="7968180E"/>
    <w:rsid w:val="79711576"/>
    <w:rsid w:val="79731804"/>
    <w:rsid w:val="79A75F84"/>
    <w:rsid w:val="79BE0C60"/>
    <w:rsid w:val="79E16191"/>
    <w:rsid w:val="7A1B0A08"/>
    <w:rsid w:val="7A2E1857"/>
    <w:rsid w:val="7A355D6E"/>
    <w:rsid w:val="7A747570"/>
    <w:rsid w:val="7A7B450F"/>
    <w:rsid w:val="7AD149C3"/>
    <w:rsid w:val="7AE06184"/>
    <w:rsid w:val="7AE62E88"/>
    <w:rsid w:val="7AE91D0C"/>
    <w:rsid w:val="7AEB40F4"/>
    <w:rsid w:val="7AEC35AA"/>
    <w:rsid w:val="7B0C3933"/>
    <w:rsid w:val="7B3B1286"/>
    <w:rsid w:val="7B4C77FE"/>
    <w:rsid w:val="7B5A4A08"/>
    <w:rsid w:val="7B664809"/>
    <w:rsid w:val="7BC368A3"/>
    <w:rsid w:val="7BD007D6"/>
    <w:rsid w:val="7BF302A3"/>
    <w:rsid w:val="7C2B4EF7"/>
    <w:rsid w:val="7C4F1F05"/>
    <w:rsid w:val="7CBB50AF"/>
    <w:rsid w:val="7CC2390B"/>
    <w:rsid w:val="7CD658F3"/>
    <w:rsid w:val="7CEA5707"/>
    <w:rsid w:val="7D163065"/>
    <w:rsid w:val="7D40373A"/>
    <w:rsid w:val="7D747F91"/>
    <w:rsid w:val="7D9B71F6"/>
    <w:rsid w:val="7DC4098D"/>
    <w:rsid w:val="7DDF7361"/>
    <w:rsid w:val="7DEA0131"/>
    <w:rsid w:val="7DEA7445"/>
    <w:rsid w:val="7DF94E6A"/>
    <w:rsid w:val="7E85269E"/>
    <w:rsid w:val="7EB02B41"/>
    <w:rsid w:val="7EB9221A"/>
    <w:rsid w:val="7ED405DD"/>
    <w:rsid w:val="7EF053B6"/>
    <w:rsid w:val="7F02709E"/>
    <w:rsid w:val="7F144E7E"/>
    <w:rsid w:val="7F326530"/>
    <w:rsid w:val="7F8E2E82"/>
    <w:rsid w:val="7F965FE8"/>
    <w:rsid w:val="7FAE0E2E"/>
    <w:rsid w:val="7FB14DC3"/>
    <w:rsid w:val="7FB36445"/>
    <w:rsid w:val="7FB51AC7"/>
    <w:rsid w:val="7FC836E2"/>
    <w:rsid w:val="7FD14B1D"/>
    <w:rsid w:val="7FF50432"/>
    <w:rsid w:val="DAFA1F4B"/>
    <w:rsid w:val="FF9F2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semiHidden="0" w:name="heading 4"/>
    <w:lsdException w:qFormat="1" w:uiPriority="9"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iPriority="99"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iPriority="99"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iPriority="99"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spacing w:before="100" w:beforeAutospacing="1" w:after="100" w:afterAutospacing="1"/>
      <w:jc w:val="left"/>
      <w:outlineLvl w:val="0"/>
    </w:pPr>
    <w:rPr>
      <w:rFonts w:hint="eastAsia" w:ascii="宋体" w:hAnsi="宋体"/>
      <w:b/>
      <w:bCs/>
      <w:kern w:val="44"/>
      <w:sz w:val="48"/>
      <w:szCs w:val="48"/>
    </w:rPr>
  </w:style>
  <w:style w:type="paragraph" w:styleId="4">
    <w:name w:val="heading 2"/>
    <w:basedOn w:val="1"/>
    <w:next w:val="1"/>
    <w:autoRedefine/>
    <w:semiHidden/>
    <w:unhideWhenUsed/>
    <w:qFormat/>
    <w:uiPriority w:val="9"/>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autoRedefine/>
    <w:semiHidden/>
    <w:unhideWhenUsed/>
    <w:qFormat/>
    <w:uiPriority w:val="9"/>
    <w:pPr>
      <w:keepNext/>
      <w:keepLines/>
      <w:spacing w:line="600" w:lineRule="exact"/>
      <w:ind w:firstLine="643" w:firstLineChars="200"/>
      <w:outlineLvl w:val="2"/>
    </w:pPr>
    <w:rPr>
      <w:b/>
      <w:bCs/>
      <w:sz w:val="32"/>
      <w:szCs w:val="32"/>
    </w:rPr>
  </w:style>
  <w:style w:type="paragraph" w:styleId="6">
    <w:name w:val="heading 4"/>
    <w:basedOn w:val="1"/>
    <w:next w:val="1"/>
    <w:autoRedefine/>
    <w:unhideWhenUsed/>
    <w:qFormat/>
    <w:uiPriority w:val="0"/>
    <w:pPr>
      <w:keepNext/>
      <w:spacing w:before="240" w:after="60"/>
      <w:outlineLvl w:val="3"/>
    </w:pPr>
    <w:rPr>
      <w:b/>
      <w:bCs/>
      <w:sz w:val="28"/>
      <w:szCs w:val="28"/>
    </w:rPr>
  </w:style>
  <w:style w:type="paragraph" w:styleId="7">
    <w:name w:val="heading 5"/>
    <w:basedOn w:val="1"/>
    <w:next w:val="1"/>
    <w:autoRedefine/>
    <w:semiHidden/>
    <w:unhideWhenUsed/>
    <w:qFormat/>
    <w:uiPriority w:val="9"/>
    <w:pPr>
      <w:keepNext/>
      <w:keepLines/>
      <w:spacing w:before="280" w:after="290" w:line="376" w:lineRule="auto"/>
      <w:outlineLvl w:val="4"/>
    </w:pPr>
    <w:rPr>
      <w:b/>
      <w:bCs/>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sz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1"/>
    <w:autoRedefine/>
    <w:semiHidden/>
    <w:unhideWhenUsed/>
    <w:qFormat/>
    <w:uiPriority w:val="99"/>
    <w:pPr>
      <w:spacing w:line="200" w:lineRule="exact"/>
      <w:ind w:firstLine="301"/>
    </w:pPr>
    <w:rPr>
      <w:rFonts w:ascii="宋体" w:hAnsi="Courier New"/>
      <w:spacing w:val="-4"/>
      <w:sz w:val="18"/>
      <w:szCs w:val="20"/>
    </w:rPr>
  </w:style>
  <w:style w:type="paragraph" w:styleId="9">
    <w:name w:val="index 8"/>
    <w:basedOn w:val="1"/>
    <w:next w:val="1"/>
    <w:qFormat/>
    <w:uiPriority w:val="0"/>
    <w:pPr>
      <w:ind w:left="2940"/>
    </w:pPr>
  </w:style>
  <w:style w:type="paragraph" w:styleId="10">
    <w:name w:val="Normal Indent"/>
    <w:basedOn w:val="1"/>
    <w:autoRedefine/>
    <w:semiHidden/>
    <w:unhideWhenUsed/>
    <w:qFormat/>
    <w:uiPriority w:val="99"/>
    <w:pPr>
      <w:ind w:firstLine="420"/>
    </w:pPr>
    <w:rPr>
      <w:szCs w:val="20"/>
    </w:rPr>
  </w:style>
  <w:style w:type="paragraph" w:styleId="11">
    <w:name w:val="annotation text"/>
    <w:basedOn w:val="1"/>
    <w:link w:val="43"/>
    <w:autoRedefine/>
    <w:unhideWhenUsed/>
    <w:qFormat/>
    <w:uiPriority w:val="99"/>
    <w:pPr>
      <w:jc w:val="left"/>
    </w:pPr>
  </w:style>
  <w:style w:type="paragraph" w:styleId="12">
    <w:name w:val="Body Text"/>
    <w:basedOn w:val="1"/>
    <w:next w:val="1"/>
    <w:autoRedefine/>
    <w:qFormat/>
    <w:uiPriority w:val="0"/>
    <w:pPr>
      <w:spacing w:after="120"/>
    </w:pPr>
  </w:style>
  <w:style w:type="paragraph" w:styleId="13">
    <w:name w:val="toc 3"/>
    <w:basedOn w:val="1"/>
    <w:next w:val="1"/>
    <w:autoRedefine/>
    <w:semiHidden/>
    <w:unhideWhenUsed/>
    <w:qFormat/>
    <w:uiPriority w:val="39"/>
    <w:pPr>
      <w:jc w:val="left"/>
    </w:pPr>
    <w:rPr>
      <w:rFonts w:ascii="Calibri" w:hAnsi="Calibri"/>
      <w:smallCaps/>
      <w:sz w:val="22"/>
      <w:szCs w:val="22"/>
    </w:rPr>
  </w:style>
  <w:style w:type="paragraph" w:styleId="14">
    <w:name w:val="Plain Text"/>
    <w:basedOn w:val="1"/>
    <w:next w:val="6"/>
    <w:autoRedefine/>
    <w:qFormat/>
    <w:uiPriority w:val="0"/>
    <w:rPr>
      <w:rFonts w:ascii="宋体" w:hAnsi="Courier New"/>
      <w:szCs w:val="20"/>
    </w:rPr>
  </w:style>
  <w:style w:type="paragraph" w:styleId="15">
    <w:name w:val="Balloon Text"/>
    <w:basedOn w:val="1"/>
    <w:link w:val="42"/>
    <w:autoRedefine/>
    <w:qFormat/>
    <w:uiPriority w:val="0"/>
    <w:rPr>
      <w:sz w:val="18"/>
      <w:szCs w:val="18"/>
    </w:rPr>
  </w:style>
  <w:style w:type="paragraph" w:styleId="16">
    <w:name w:val="footer"/>
    <w:basedOn w:val="1"/>
    <w:next w:val="17"/>
    <w:autoRedefine/>
    <w:unhideWhenUsed/>
    <w:qFormat/>
    <w:uiPriority w:val="99"/>
    <w:pPr>
      <w:tabs>
        <w:tab w:val="center" w:pos="4153"/>
        <w:tab w:val="right" w:pos="8306"/>
      </w:tabs>
      <w:snapToGrid w:val="0"/>
      <w:jc w:val="left"/>
    </w:pPr>
    <w:rPr>
      <w:sz w:val="18"/>
      <w:szCs w:val="18"/>
    </w:rPr>
  </w:style>
  <w:style w:type="paragraph" w:styleId="17">
    <w:name w:val="Intense Quote"/>
    <w:basedOn w:val="1"/>
    <w:next w:val="1"/>
    <w:qFormat/>
    <w:uiPriority w:val="0"/>
    <w:pPr>
      <w:wordWrap w:val="0"/>
      <w:spacing w:before="360" w:after="360"/>
      <w:ind w:left="950" w:right="950"/>
      <w:jc w:val="center"/>
    </w:pPr>
    <w:rPr>
      <w:rFonts w:ascii="Calibri" w:hAnsi="Calibri"/>
      <w:i/>
    </w:rPr>
  </w:style>
  <w:style w:type="paragraph" w:styleId="18">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semiHidden/>
    <w:unhideWhenUsed/>
    <w:qFormat/>
    <w:uiPriority w:val="39"/>
    <w:pPr>
      <w:spacing w:before="360" w:after="360"/>
      <w:jc w:val="left"/>
    </w:pPr>
    <w:rPr>
      <w:rFonts w:ascii="Calibri" w:hAnsi="Calibri"/>
      <w:b/>
      <w:bCs/>
      <w:caps/>
      <w:sz w:val="22"/>
      <w:szCs w:val="22"/>
      <w:u w:val="single"/>
    </w:rPr>
  </w:style>
  <w:style w:type="paragraph" w:styleId="20">
    <w:name w:val="List"/>
    <w:basedOn w:val="1"/>
    <w:autoRedefine/>
    <w:semiHidden/>
    <w:unhideWhenUsed/>
    <w:qFormat/>
    <w:uiPriority w:val="99"/>
    <w:pPr>
      <w:ind w:left="200" w:hanging="200" w:hangingChars="200"/>
    </w:pPr>
    <w:rPr>
      <w:sz w:val="28"/>
    </w:rPr>
  </w:style>
  <w:style w:type="paragraph" w:styleId="21">
    <w:name w:val="toc 2"/>
    <w:basedOn w:val="1"/>
    <w:next w:val="1"/>
    <w:autoRedefine/>
    <w:semiHidden/>
    <w:unhideWhenUsed/>
    <w:qFormat/>
    <w:uiPriority w:val="39"/>
    <w:pPr>
      <w:jc w:val="left"/>
    </w:pPr>
    <w:rPr>
      <w:rFonts w:ascii="Calibri" w:hAnsi="Calibri"/>
      <w:b/>
      <w:bCs/>
      <w:smallCaps/>
      <w:sz w:val="22"/>
      <w:szCs w:val="22"/>
    </w:rPr>
  </w:style>
  <w:style w:type="paragraph" w:styleId="22">
    <w:name w:val="Normal (Web)"/>
    <w:basedOn w:val="1"/>
    <w:autoRedefine/>
    <w:qFormat/>
    <w:uiPriority w:val="0"/>
    <w:pPr>
      <w:spacing w:beforeAutospacing="1" w:afterAutospacing="1"/>
      <w:jc w:val="left"/>
    </w:pPr>
    <w:rPr>
      <w:kern w:val="0"/>
      <w:sz w:val="24"/>
    </w:rPr>
  </w:style>
  <w:style w:type="paragraph" w:styleId="23">
    <w:name w:val="Title"/>
    <w:basedOn w:val="1"/>
    <w:next w:val="1"/>
    <w:autoRedefine/>
    <w:qFormat/>
    <w:uiPriority w:val="10"/>
    <w:pPr>
      <w:spacing w:before="240" w:after="60"/>
      <w:jc w:val="center"/>
      <w:outlineLvl w:val="0"/>
    </w:pPr>
    <w:rPr>
      <w:rFonts w:ascii="Cambria" w:hAnsi="Cambria"/>
      <w:b/>
      <w:bCs/>
      <w:sz w:val="32"/>
      <w:szCs w:val="32"/>
    </w:rPr>
  </w:style>
  <w:style w:type="paragraph" w:styleId="24">
    <w:name w:val="annotation subject"/>
    <w:basedOn w:val="11"/>
    <w:next w:val="11"/>
    <w:link w:val="44"/>
    <w:autoRedefine/>
    <w:qFormat/>
    <w:uiPriority w:val="0"/>
    <w:rPr>
      <w:b/>
      <w:bCs/>
    </w:rPr>
  </w:style>
  <w:style w:type="paragraph" w:styleId="25">
    <w:name w:val="Body Text First Indent"/>
    <w:basedOn w:val="12"/>
    <w:qFormat/>
    <w:uiPriority w:val="99"/>
    <w:pPr>
      <w:ind w:firstLine="100" w:firstLineChars="100"/>
    </w:pPr>
    <w:rPr>
      <w:rFonts w:eastAsia="仿宋_GB2312"/>
      <w:sz w:val="32"/>
    </w:rPr>
  </w:style>
  <w:style w:type="table" w:styleId="27">
    <w:name w:val="Table Grid"/>
    <w:basedOn w:val="26"/>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autoRedefine/>
    <w:semiHidden/>
    <w:unhideWhenUsed/>
    <w:qFormat/>
    <w:uiPriority w:val="99"/>
  </w:style>
  <w:style w:type="character" w:styleId="30">
    <w:name w:val="Hyperlink"/>
    <w:autoRedefine/>
    <w:semiHidden/>
    <w:unhideWhenUsed/>
    <w:qFormat/>
    <w:uiPriority w:val="99"/>
    <w:rPr>
      <w:color w:val="0000FF"/>
      <w:u w:val="single"/>
    </w:rPr>
  </w:style>
  <w:style w:type="character" w:styleId="31">
    <w:name w:val="annotation reference"/>
    <w:basedOn w:val="28"/>
    <w:autoRedefine/>
    <w:qFormat/>
    <w:uiPriority w:val="0"/>
    <w:rPr>
      <w:sz w:val="21"/>
      <w:szCs w:val="21"/>
    </w:rPr>
  </w:style>
  <w:style w:type="paragraph" w:customStyle="1" w:styleId="32">
    <w:name w:val="表格文字"/>
    <w:basedOn w:val="2"/>
    <w:autoRedefine/>
    <w:qFormat/>
    <w:uiPriority w:val="99"/>
    <w:pPr>
      <w:spacing w:before="25" w:after="25"/>
    </w:pPr>
    <w:rPr>
      <w:bCs/>
      <w:spacing w:val="10"/>
      <w:sz w:val="24"/>
    </w:rPr>
  </w:style>
  <w:style w:type="paragraph" w:customStyle="1" w:styleId="33">
    <w:name w:val="首行缩进"/>
    <w:basedOn w:val="1"/>
    <w:autoRedefine/>
    <w:qFormat/>
    <w:uiPriority w:val="0"/>
    <w:pPr>
      <w:ind w:firstLine="480" w:firstLineChars="200"/>
    </w:pPr>
  </w:style>
  <w:style w:type="character" w:customStyle="1" w:styleId="34">
    <w:name w:val="fontstyle21"/>
    <w:basedOn w:val="28"/>
    <w:autoRedefine/>
    <w:qFormat/>
    <w:uiPriority w:val="0"/>
    <w:rPr>
      <w:rFonts w:hint="default" w:ascii="TimesNewRomanPSMT" w:hAnsi="TimesNewRomanPSMT" w:eastAsia="宋体" w:cs="Times New Roman"/>
      <w:color w:val="222222"/>
      <w:sz w:val="22"/>
      <w:szCs w:val="22"/>
    </w:rPr>
  </w:style>
  <w:style w:type="paragraph" w:styleId="35">
    <w:name w:val="List Paragraph"/>
    <w:basedOn w:val="1"/>
    <w:autoRedefine/>
    <w:qFormat/>
    <w:uiPriority w:val="34"/>
    <w:pPr>
      <w:ind w:firstLine="420" w:firstLineChars="200"/>
    </w:pPr>
  </w:style>
  <w:style w:type="character" w:customStyle="1" w:styleId="36">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7">
    <w:name w:val="正文2"/>
    <w:basedOn w:val="1"/>
    <w:autoRedefine/>
    <w:qFormat/>
    <w:uiPriority w:val="0"/>
    <w:pPr>
      <w:adjustRightInd w:val="0"/>
      <w:spacing w:before="156" w:line="360" w:lineRule="auto"/>
      <w:ind w:firstLine="510" w:firstLineChars="200"/>
    </w:pPr>
    <w:rPr>
      <w:sz w:val="24"/>
      <w:szCs w:val="20"/>
    </w:rPr>
  </w:style>
  <w:style w:type="paragraph" w:customStyle="1" w:styleId="38">
    <w:name w:val="正文缩进1"/>
    <w:basedOn w:val="1"/>
    <w:next w:val="2"/>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9">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40">
    <w:name w:val="_Style 3"/>
    <w:basedOn w:val="1"/>
    <w:autoRedefine/>
    <w:qFormat/>
    <w:uiPriority w:val="34"/>
    <w:pPr>
      <w:ind w:left="720"/>
      <w:contextualSpacing/>
    </w:pPr>
  </w:style>
  <w:style w:type="paragraph" w:customStyle="1" w:styleId="41">
    <w:name w:val="Default"/>
    <w:autoRedefine/>
    <w:qFormat/>
    <w:uiPriority w:val="99"/>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42">
    <w:name w:val="批注框文本 字符"/>
    <w:basedOn w:val="28"/>
    <w:link w:val="15"/>
    <w:autoRedefine/>
    <w:qFormat/>
    <w:uiPriority w:val="0"/>
    <w:rPr>
      <w:kern w:val="2"/>
      <w:sz w:val="18"/>
      <w:szCs w:val="18"/>
    </w:rPr>
  </w:style>
  <w:style w:type="character" w:customStyle="1" w:styleId="43">
    <w:name w:val="批注文字 字符"/>
    <w:basedOn w:val="28"/>
    <w:link w:val="11"/>
    <w:autoRedefine/>
    <w:qFormat/>
    <w:uiPriority w:val="99"/>
    <w:rPr>
      <w:kern w:val="2"/>
      <w:sz w:val="21"/>
      <w:szCs w:val="24"/>
    </w:rPr>
  </w:style>
  <w:style w:type="character" w:customStyle="1" w:styleId="44">
    <w:name w:val="批注主题 字符"/>
    <w:basedOn w:val="43"/>
    <w:link w:val="24"/>
    <w:autoRedefine/>
    <w:qFormat/>
    <w:uiPriority w:val="0"/>
    <w:rPr>
      <w:b/>
      <w:bCs/>
      <w:kern w:val="2"/>
      <w:sz w:val="21"/>
      <w:szCs w:val="24"/>
    </w:rPr>
  </w:style>
  <w:style w:type="paragraph" w:customStyle="1" w:styleId="45">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46">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47">
    <w:name w:val="Char Char Char Char Char Char Char"/>
    <w:basedOn w:val="1"/>
    <w:autoRedefine/>
    <w:qFormat/>
    <w:uiPriority w:val="0"/>
    <w:rPr>
      <w:szCs w:val="21"/>
    </w:rPr>
  </w:style>
  <w:style w:type="character" w:customStyle="1" w:styleId="48">
    <w:name w:val="font21"/>
    <w:basedOn w:val="28"/>
    <w:qFormat/>
    <w:uiPriority w:val="0"/>
    <w:rPr>
      <w:rFonts w:hint="eastAsia" w:ascii="宋体" w:hAnsi="宋体" w:eastAsia="宋体" w:cs="宋体"/>
      <w:color w:val="000000"/>
      <w:sz w:val="22"/>
      <w:szCs w:val="22"/>
      <w:u w:val="none"/>
    </w:rPr>
  </w:style>
  <w:style w:type="paragraph" w:customStyle="1" w:styleId="49">
    <w:name w:val="dazhou"/>
    <w:basedOn w:val="1"/>
    <w:qFormat/>
    <w:uiPriority w:val="0"/>
    <w:pPr>
      <w:tabs>
        <w:tab w:val="left" w:pos="567"/>
      </w:tabs>
      <w:ind w:firstLine="200" w:firstLineChars="200"/>
    </w:pPr>
    <w:rPr>
      <w:rFonts w:ascii="宋体" w:hAnsi="宋体"/>
      <w:sz w:val="28"/>
    </w:rPr>
  </w:style>
  <w:style w:type="paragraph" w:customStyle="1" w:styleId="5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152</Pages>
  <Words>19434</Words>
  <Characters>20846</Characters>
  <Lines>571</Lines>
  <Paragraphs>160</Paragraphs>
  <TotalTime>2</TotalTime>
  <ScaleCrop>false</ScaleCrop>
  <LinksUpToDate>false</LinksUpToDate>
  <CharactersWithSpaces>20975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2024-05-21T02:46:00Z</dcterms:created>
  <dc:creator>Administrator</dc:creator>
  <cp:lastModifiedBy>.</cp:lastModifiedBy>
  <cp:lastPrinted>2025-09-17T08:56:00Z</cp:lastPrinted>
  <dcterms:modified xsi:type="dcterms:W3CDTF">2025-10-11T02:07:03Z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5AE1881742E0448F9A498F4A21DD7020_13</vt:lpwstr>
  </property>
  <property fmtid="{D5CDD505-2E9C-101B-9397-08002B2CF9AE}" pid="4" name="KSOTemplateDocerSaveRecord">
    <vt:lpwstr>eyJoZGlkIjoiNWU4NWY5YmNlZmRiYmYzMDU0NzZlZDY1NzMzM2Q0NmIiLCJ1c2VySWQiOiI2MjczNDMyNTkifQ==</vt:lpwstr>
  </property>
</Properties>
</file>