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1F8E06">
      <w:pPr>
        <w:spacing w:line="360" w:lineRule="auto"/>
        <w:jc w:val="center"/>
        <w:rPr>
          <w:rFonts w:ascii="宋体" w:hAnsi="宋体" w:cs="宋体"/>
          <w:color w:val="auto"/>
          <w:sz w:val="52"/>
          <w:szCs w:val="52"/>
          <w:highlight w:val="none"/>
        </w:rPr>
      </w:pPr>
    </w:p>
    <w:p w14:paraId="5C3F5945">
      <w:pPr>
        <w:pStyle w:val="13"/>
        <w:jc w:val="center"/>
        <w:rPr>
          <w:rFonts w:hAnsi="宋体" w:cs="宋体"/>
          <w:color w:val="auto"/>
          <w:spacing w:val="30"/>
          <w:kern w:val="52"/>
          <w:sz w:val="64"/>
          <w:szCs w:val="64"/>
          <w:highlight w:val="none"/>
        </w:rPr>
      </w:pPr>
      <w:r>
        <w:rPr>
          <w:rFonts w:hint="eastAsia" w:hAnsi="宋体" w:cs="宋体"/>
          <w:color w:val="auto"/>
          <w:spacing w:val="30"/>
          <w:kern w:val="52"/>
          <w:sz w:val="64"/>
          <w:szCs w:val="64"/>
          <w:highlight w:val="none"/>
        </w:rPr>
        <w:t>广西国泰招标咨询有限公司</w:t>
      </w:r>
    </w:p>
    <w:p w14:paraId="49D88288">
      <w:pPr>
        <w:pStyle w:val="13"/>
        <w:jc w:val="center"/>
        <w:rPr>
          <w:rFonts w:hAnsi="宋体" w:cs="宋体"/>
          <w:color w:val="auto"/>
          <w:spacing w:val="28"/>
          <w:sz w:val="64"/>
          <w:szCs w:val="64"/>
          <w:highlight w:val="none"/>
        </w:rPr>
      </w:pPr>
      <w:r>
        <w:rPr>
          <w:rFonts w:hint="eastAsia" w:hAnsi="宋体" w:cs="宋体"/>
          <w:b/>
          <w:color w:val="auto"/>
          <w:spacing w:val="-18"/>
          <w:sz w:val="64"/>
          <w:szCs w:val="64"/>
          <w:highlight w:val="none"/>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5486400" cy="0"/>
                <wp:effectExtent l="0" t="6350" r="0" b="6350"/>
                <wp:wrapNone/>
                <wp:docPr id="1" name="直接连接符 1"/>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7pt;margin-top:7.8pt;height:0pt;width:432pt;z-index:251659264;mso-width-relative:page;mso-height-relative:page;" filled="f" stroked="t" coordsize="21600,21600" o:gfxdata="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qFAAo1gAAAAgBAAAPAAAAAAAAAAEAIAAAACIAAABkcnMvZG93bnJldi54bWxQSwECFAAUAAAA&#10;CACHTuJAN7EvLPABAADnAwAADgAAAAAAAAABACAAAAAlAQAAZHJzL2Uyb0RvYy54bWxQSwUGAAAA&#10;AAYABgBZAQAAhwUAAAAA&#10;">
                <v:fill on="f" focussize="0,0"/>
                <v:stroke weight="1pt" color="#000000" joinstyle="round"/>
                <v:imagedata o:title=""/>
                <o:lock v:ext="edit" aspectratio="f"/>
              </v:line>
            </w:pict>
          </mc:Fallback>
        </mc:AlternateContent>
      </w:r>
    </w:p>
    <w:p w14:paraId="5573AEC6">
      <w:pPr>
        <w:snapToGrid w:val="0"/>
        <w:spacing w:before="120" w:beforeLines="50" w:line="360" w:lineRule="auto"/>
        <w:jc w:val="center"/>
        <w:rPr>
          <w:rFonts w:ascii="宋体" w:hAnsi="宋体" w:cs="宋体"/>
          <w:color w:val="auto"/>
          <w:sz w:val="120"/>
          <w:szCs w:val="120"/>
          <w:highlight w:val="none"/>
        </w:rPr>
      </w:pPr>
      <w:r>
        <w:rPr>
          <w:rFonts w:hint="eastAsia" w:ascii="宋体" w:hAnsi="宋体" w:cs="宋体"/>
          <w:color w:val="auto"/>
          <w:sz w:val="120"/>
          <w:szCs w:val="120"/>
          <w:highlight w:val="none"/>
        </w:rPr>
        <w:t>招 标 文 件</w:t>
      </w:r>
    </w:p>
    <w:p w14:paraId="66011F33">
      <w:pPr>
        <w:pStyle w:val="13"/>
        <w:snapToGrid w:val="0"/>
        <w:spacing w:line="360" w:lineRule="auto"/>
        <w:ind w:firstLine="1977" w:firstLineChars="691"/>
        <w:rPr>
          <w:rFonts w:hAnsi="宋体" w:cs="宋体"/>
          <w:b/>
          <w:bCs/>
          <w:color w:val="auto"/>
          <w:w w:val="95"/>
          <w:sz w:val="30"/>
          <w:szCs w:val="30"/>
          <w:highlight w:val="none"/>
        </w:rPr>
      </w:pPr>
    </w:p>
    <w:p w14:paraId="6D89EBB2">
      <w:pPr>
        <w:pStyle w:val="13"/>
        <w:snapToGrid w:val="0"/>
        <w:spacing w:line="360" w:lineRule="auto"/>
        <w:ind w:firstLine="1977" w:firstLineChars="691"/>
        <w:rPr>
          <w:rFonts w:hAnsi="宋体" w:cs="宋体"/>
          <w:b/>
          <w:bCs/>
          <w:color w:val="auto"/>
          <w:w w:val="95"/>
          <w:sz w:val="30"/>
          <w:szCs w:val="30"/>
          <w:highlight w:val="none"/>
        </w:rPr>
      </w:pPr>
    </w:p>
    <w:p w14:paraId="4793B36F">
      <w:pPr>
        <w:pStyle w:val="13"/>
        <w:snapToGrid w:val="0"/>
        <w:spacing w:line="360" w:lineRule="auto"/>
        <w:ind w:firstLine="1145" w:firstLineChars="400"/>
        <w:rPr>
          <w:rFonts w:hint="eastAsia" w:hAnsi="宋体" w:eastAsia="宋体" w:cs="宋体"/>
          <w:b/>
          <w:bCs/>
          <w:color w:val="auto"/>
          <w:w w:val="95"/>
          <w:sz w:val="30"/>
          <w:szCs w:val="30"/>
          <w:highlight w:val="none"/>
          <w:lang w:eastAsia="zh-CN"/>
        </w:rPr>
      </w:pPr>
      <w:r>
        <w:rPr>
          <w:rFonts w:hint="eastAsia" w:hAnsi="宋体" w:cs="宋体"/>
          <w:b/>
          <w:bCs/>
          <w:color w:val="auto"/>
          <w:w w:val="95"/>
          <w:sz w:val="30"/>
          <w:szCs w:val="30"/>
          <w:highlight w:val="none"/>
        </w:rPr>
        <w:t>项目名称：</w:t>
      </w:r>
      <w:r>
        <w:rPr>
          <w:rFonts w:hint="eastAsia" w:hAnsi="宋体" w:cs="宋体"/>
          <w:b/>
          <w:bCs/>
          <w:color w:val="auto"/>
          <w:w w:val="95"/>
          <w:sz w:val="30"/>
          <w:szCs w:val="30"/>
          <w:highlight w:val="none"/>
          <w:lang w:eastAsia="zh-CN"/>
        </w:rPr>
        <w:t>广西中医药研究院2025年中药饮片配送服务采购</w:t>
      </w:r>
    </w:p>
    <w:p w14:paraId="5A9A05F5">
      <w:pPr>
        <w:pStyle w:val="13"/>
        <w:snapToGrid w:val="0"/>
        <w:spacing w:line="360" w:lineRule="auto"/>
        <w:ind w:firstLine="1145" w:firstLineChars="400"/>
        <w:rPr>
          <w:rFonts w:hint="eastAsia" w:hAnsi="宋体" w:eastAsia="宋体" w:cs="宋体"/>
          <w:b/>
          <w:bCs/>
          <w:color w:val="auto"/>
          <w:w w:val="95"/>
          <w:sz w:val="30"/>
          <w:szCs w:val="30"/>
          <w:highlight w:val="none"/>
          <w:lang w:eastAsia="zh-CN"/>
        </w:rPr>
      </w:pPr>
      <w:r>
        <w:rPr>
          <w:rFonts w:hint="eastAsia" w:hAnsi="宋体" w:cs="宋体"/>
          <w:b/>
          <w:bCs/>
          <w:color w:val="auto"/>
          <w:w w:val="95"/>
          <w:sz w:val="30"/>
          <w:szCs w:val="30"/>
          <w:highlight w:val="none"/>
        </w:rPr>
        <w:t>项目编号：</w:t>
      </w:r>
      <w:r>
        <w:rPr>
          <w:rFonts w:hint="eastAsia" w:hAnsi="宋体" w:cs="宋体"/>
          <w:b/>
          <w:bCs/>
          <w:color w:val="auto"/>
          <w:w w:val="95"/>
          <w:sz w:val="30"/>
          <w:szCs w:val="30"/>
          <w:highlight w:val="none"/>
          <w:lang w:eastAsia="zh-CN"/>
        </w:rPr>
        <w:t>GXZC2025-G3-003287-GTZB</w:t>
      </w:r>
    </w:p>
    <w:p w14:paraId="47B4E3D8">
      <w:pPr>
        <w:pStyle w:val="13"/>
        <w:snapToGrid w:val="0"/>
        <w:spacing w:line="360" w:lineRule="auto"/>
        <w:ind w:firstLine="1977" w:firstLineChars="691"/>
        <w:rPr>
          <w:rFonts w:hAnsi="宋体" w:cs="宋体"/>
          <w:b/>
          <w:bCs/>
          <w:color w:val="auto"/>
          <w:w w:val="95"/>
          <w:sz w:val="30"/>
          <w:szCs w:val="30"/>
          <w:highlight w:val="none"/>
        </w:rPr>
      </w:pPr>
    </w:p>
    <w:p w14:paraId="7B444AA3">
      <w:pPr>
        <w:pStyle w:val="13"/>
        <w:snapToGrid w:val="0"/>
        <w:spacing w:line="360" w:lineRule="auto"/>
        <w:ind w:firstLine="1977" w:firstLineChars="691"/>
        <w:rPr>
          <w:rFonts w:hAnsi="宋体" w:cs="宋体"/>
          <w:b/>
          <w:bCs/>
          <w:color w:val="auto"/>
          <w:w w:val="95"/>
          <w:sz w:val="30"/>
          <w:szCs w:val="30"/>
          <w:highlight w:val="none"/>
        </w:rPr>
      </w:pPr>
    </w:p>
    <w:p w14:paraId="010EE404">
      <w:pPr>
        <w:pStyle w:val="13"/>
        <w:snapToGrid w:val="0"/>
        <w:spacing w:line="360" w:lineRule="auto"/>
        <w:ind w:firstLine="1977" w:firstLineChars="691"/>
        <w:rPr>
          <w:rFonts w:hAnsi="宋体" w:cs="宋体"/>
          <w:b/>
          <w:bCs/>
          <w:color w:val="auto"/>
          <w:w w:val="95"/>
          <w:sz w:val="30"/>
          <w:szCs w:val="30"/>
          <w:highlight w:val="none"/>
        </w:rPr>
      </w:pPr>
    </w:p>
    <w:p w14:paraId="4A339E4E">
      <w:pPr>
        <w:pStyle w:val="13"/>
        <w:snapToGrid w:val="0"/>
        <w:spacing w:line="360" w:lineRule="auto"/>
        <w:ind w:firstLine="1977" w:firstLineChars="691"/>
        <w:rPr>
          <w:rFonts w:hAnsi="宋体" w:cs="宋体"/>
          <w:b/>
          <w:bCs/>
          <w:color w:val="auto"/>
          <w:w w:val="95"/>
          <w:sz w:val="30"/>
          <w:szCs w:val="30"/>
          <w:highlight w:val="none"/>
        </w:rPr>
      </w:pPr>
    </w:p>
    <w:p w14:paraId="08F8D85F">
      <w:pPr>
        <w:pStyle w:val="13"/>
        <w:snapToGrid w:val="0"/>
        <w:spacing w:line="360" w:lineRule="auto"/>
        <w:ind w:firstLine="1977" w:firstLineChars="691"/>
        <w:rPr>
          <w:rFonts w:hAnsi="宋体" w:cs="宋体"/>
          <w:b/>
          <w:bCs/>
          <w:color w:val="auto"/>
          <w:w w:val="95"/>
          <w:sz w:val="30"/>
          <w:szCs w:val="30"/>
          <w:highlight w:val="none"/>
        </w:rPr>
      </w:pPr>
    </w:p>
    <w:p w14:paraId="6C5D72EC">
      <w:pPr>
        <w:pStyle w:val="13"/>
        <w:snapToGrid w:val="0"/>
        <w:spacing w:line="360" w:lineRule="auto"/>
        <w:ind w:firstLine="1977" w:firstLineChars="691"/>
        <w:rPr>
          <w:rFonts w:hint="eastAsia" w:hAnsi="宋体" w:eastAsia="宋体" w:cs="宋体"/>
          <w:b/>
          <w:bCs/>
          <w:color w:val="auto"/>
          <w:w w:val="95"/>
          <w:sz w:val="30"/>
          <w:szCs w:val="30"/>
          <w:highlight w:val="none"/>
          <w:lang w:eastAsia="zh-CN"/>
        </w:rPr>
      </w:pPr>
      <w:r>
        <w:rPr>
          <w:rFonts w:hint="eastAsia" w:hAnsi="宋体" w:cs="宋体"/>
          <w:b/>
          <w:bCs/>
          <w:color w:val="auto"/>
          <w:w w:val="95"/>
          <w:sz w:val="30"/>
          <w:szCs w:val="30"/>
          <w:highlight w:val="none"/>
        </w:rPr>
        <w:t>采购人：</w:t>
      </w:r>
      <w:r>
        <w:rPr>
          <w:rFonts w:hint="eastAsia" w:hAnsi="宋体" w:cs="宋体"/>
          <w:b/>
          <w:bCs/>
          <w:color w:val="auto"/>
          <w:w w:val="95"/>
          <w:sz w:val="30"/>
          <w:szCs w:val="30"/>
          <w:highlight w:val="none"/>
          <w:lang w:eastAsia="zh-CN"/>
        </w:rPr>
        <w:t>广西壮族自治区中医药研究院</w:t>
      </w:r>
    </w:p>
    <w:p w14:paraId="369222AE">
      <w:pPr>
        <w:pStyle w:val="13"/>
        <w:snapToGrid w:val="0"/>
        <w:spacing w:line="360" w:lineRule="auto"/>
        <w:ind w:firstLine="1977" w:firstLineChars="691"/>
        <w:rPr>
          <w:rFonts w:hAnsi="宋体" w:cs="宋体"/>
          <w:b/>
          <w:bCs/>
          <w:color w:val="auto"/>
          <w:w w:val="95"/>
          <w:sz w:val="30"/>
          <w:szCs w:val="30"/>
          <w:highlight w:val="none"/>
        </w:rPr>
      </w:pPr>
      <w:r>
        <w:rPr>
          <w:rFonts w:hint="eastAsia" w:hAnsi="宋体" w:cs="宋体"/>
          <w:b/>
          <w:bCs/>
          <w:color w:val="auto"/>
          <w:w w:val="95"/>
          <w:sz w:val="30"/>
          <w:szCs w:val="30"/>
          <w:highlight w:val="none"/>
        </w:rPr>
        <w:t>采购代理机构：广西国泰招标咨询有限公司</w:t>
      </w:r>
    </w:p>
    <w:p w14:paraId="2B0F3C86">
      <w:pPr>
        <w:pStyle w:val="13"/>
        <w:snapToGrid w:val="0"/>
        <w:spacing w:line="360" w:lineRule="auto"/>
        <w:ind w:firstLine="1125" w:firstLineChars="393"/>
        <w:rPr>
          <w:rFonts w:hAnsi="宋体" w:cs="宋体"/>
          <w:b/>
          <w:bCs/>
          <w:color w:val="auto"/>
          <w:w w:val="95"/>
          <w:sz w:val="30"/>
          <w:szCs w:val="30"/>
          <w:highlight w:val="none"/>
        </w:rPr>
      </w:pPr>
    </w:p>
    <w:p w14:paraId="4A03B4FA">
      <w:pPr>
        <w:pStyle w:val="13"/>
        <w:snapToGrid w:val="0"/>
        <w:spacing w:line="360" w:lineRule="auto"/>
        <w:jc w:val="center"/>
        <w:rPr>
          <w:rFonts w:hint="eastAsia" w:hAnsi="宋体" w:eastAsia="宋体" w:cs="宋体"/>
          <w:color w:val="auto"/>
          <w:szCs w:val="20"/>
          <w:highlight w:val="none"/>
          <w:lang w:eastAsia="zh-CN"/>
        </w:rPr>
      </w:pPr>
      <w:r>
        <w:rPr>
          <w:rFonts w:hint="eastAsia" w:hAnsi="宋体" w:cs="宋体"/>
          <w:b/>
          <w:bCs/>
          <w:color w:val="auto"/>
          <w:w w:val="95"/>
          <w:sz w:val="30"/>
          <w:szCs w:val="30"/>
          <w:highlight w:val="none"/>
          <w:lang w:eastAsia="zh-CN"/>
        </w:rPr>
        <w:t>2025年11月7日</w:t>
      </w:r>
    </w:p>
    <w:p w14:paraId="543D246D">
      <w:pPr>
        <w:pStyle w:val="9"/>
        <w:kinsoku w:val="0"/>
        <w:overflowPunct w:val="0"/>
        <w:rPr>
          <w:rFonts w:ascii="宋体" w:hAnsi="宋体" w:cs="宋体"/>
          <w:color w:val="auto"/>
          <w:sz w:val="40"/>
          <w:highlight w:val="none"/>
        </w:rPr>
      </w:pPr>
    </w:p>
    <w:p w14:paraId="54F327E8">
      <w:pPr>
        <w:pStyle w:val="13"/>
        <w:spacing w:before="120" w:after="120" w:line="360" w:lineRule="auto"/>
        <w:jc w:val="center"/>
        <w:rPr>
          <w:rFonts w:hAnsi="宋体" w:cs="宋体"/>
          <w:color w:val="auto"/>
          <w:highlight w:val="none"/>
        </w:rPr>
      </w:pPr>
      <w:r>
        <w:rPr>
          <w:rFonts w:hint="eastAsia" w:hAnsi="宋体" w:cs="宋体"/>
          <w:bCs/>
          <w:color w:val="auto"/>
          <w:sz w:val="32"/>
          <w:szCs w:val="32"/>
          <w:highlight w:val="none"/>
        </w:rPr>
        <w:br w:type="page"/>
      </w:r>
    </w:p>
    <w:p w14:paraId="0F870455">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目  录</w:t>
      </w:r>
    </w:p>
    <w:p w14:paraId="35FA4BA3">
      <w:pPr>
        <w:pStyle w:val="17"/>
        <w:tabs>
          <w:tab w:val="right" w:leader="dot" w:pos="9638"/>
          <w:tab w:val="clear" w:pos="8398"/>
        </w:tabs>
        <w:rPr>
          <w:color w:val="auto"/>
          <w:highlight w:val="none"/>
        </w:rPr>
      </w:pPr>
      <w:r>
        <w:rPr>
          <w:rFonts w:hint="eastAsia" w:cs="宋体"/>
          <w:b w:val="0"/>
          <w:color w:val="auto"/>
          <w:highlight w:val="none"/>
        </w:rPr>
        <w:fldChar w:fldCharType="begin"/>
      </w:r>
      <w:r>
        <w:rPr>
          <w:rFonts w:hint="eastAsia" w:cs="宋体"/>
          <w:b w:val="0"/>
          <w:color w:val="auto"/>
          <w:highlight w:val="none"/>
        </w:rPr>
        <w:instrText xml:space="preserve"> TOC \o "1-2" \h \z \u </w:instrText>
      </w:r>
      <w:r>
        <w:rPr>
          <w:rFonts w:hint="eastAsia" w:cs="宋体"/>
          <w:b w:val="0"/>
          <w:color w:val="auto"/>
          <w:highlight w:val="none"/>
        </w:rPr>
        <w:fldChar w:fldCharType="separate"/>
      </w:r>
      <w:r>
        <w:rPr>
          <w:color w:val="auto"/>
          <w:highlight w:val="none"/>
        </w:rPr>
        <w:fldChar w:fldCharType="begin"/>
      </w:r>
      <w:r>
        <w:rPr>
          <w:color w:val="auto"/>
          <w:highlight w:val="none"/>
        </w:rPr>
        <w:instrText xml:space="preserve"> HYPERLINK \l "_Toc28550" </w:instrText>
      </w:r>
      <w:r>
        <w:rPr>
          <w:color w:val="auto"/>
          <w:highlight w:val="none"/>
        </w:rPr>
        <w:fldChar w:fldCharType="separate"/>
      </w:r>
      <w:r>
        <w:rPr>
          <w:rFonts w:hint="eastAsia" w:cs="宋体"/>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_Toc28550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4F163F6C">
      <w:pPr>
        <w:pStyle w:val="17"/>
        <w:tabs>
          <w:tab w:val="right" w:leader="dot" w:pos="9638"/>
          <w:tab w:val="clear" w:pos="8398"/>
        </w:tabs>
        <w:ind w:firstLine="241"/>
        <w:rPr>
          <w:color w:val="auto"/>
          <w:highlight w:val="none"/>
        </w:rPr>
      </w:pPr>
      <w:r>
        <w:rPr>
          <w:color w:val="auto"/>
          <w:highlight w:val="none"/>
        </w:rPr>
        <w:fldChar w:fldCharType="begin"/>
      </w:r>
      <w:r>
        <w:rPr>
          <w:color w:val="auto"/>
          <w:highlight w:val="none"/>
        </w:rPr>
        <w:instrText xml:space="preserve"> HYPERLINK \l "_Toc7662" </w:instrText>
      </w:r>
      <w:r>
        <w:rPr>
          <w:color w:val="auto"/>
          <w:highlight w:val="none"/>
        </w:rPr>
        <w:fldChar w:fldCharType="separate"/>
      </w:r>
      <w:r>
        <w:rPr>
          <w:rFonts w:hint="eastAsia" w:cs="宋体"/>
          <w:color w:val="auto"/>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_Toc7662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39EC9130">
      <w:pPr>
        <w:pStyle w:val="17"/>
        <w:tabs>
          <w:tab w:val="right" w:leader="dot" w:pos="9638"/>
          <w:tab w:val="clear" w:pos="8398"/>
        </w:tabs>
        <w:ind w:firstLine="241"/>
        <w:rPr>
          <w:color w:val="auto"/>
          <w:highlight w:val="none"/>
        </w:rPr>
      </w:pPr>
      <w:r>
        <w:rPr>
          <w:color w:val="auto"/>
          <w:highlight w:val="none"/>
        </w:rPr>
        <w:fldChar w:fldCharType="begin"/>
      </w:r>
      <w:r>
        <w:rPr>
          <w:color w:val="auto"/>
          <w:highlight w:val="none"/>
        </w:rPr>
        <w:instrText xml:space="preserve"> HYPERLINK \l "_Toc13870" </w:instrText>
      </w:r>
      <w:r>
        <w:rPr>
          <w:color w:val="auto"/>
          <w:highlight w:val="none"/>
        </w:rPr>
        <w:fldChar w:fldCharType="separate"/>
      </w:r>
      <w:r>
        <w:rPr>
          <w:rFonts w:hint="eastAsia" w:cs="宋体"/>
          <w:color w:val="auto"/>
          <w:highlight w:val="none"/>
        </w:rPr>
        <w:t>第三章  投标人须知</w:t>
      </w:r>
      <w:r>
        <w:rPr>
          <w:color w:val="auto"/>
          <w:highlight w:val="none"/>
        </w:rPr>
        <w:tab/>
      </w:r>
      <w:r>
        <w:rPr>
          <w:color w:val="auto"/>
          <w:highlight w:val="none"/>
        </w:rPr>
        <w:fldChar w:fldCharType="begin"/>
      </w:r>
      <w:r>
        <w:rPr>
          <w:color w:val="auto"/>
          <w:highlight w:val="none"/>
        </w:rPr>
        <w:instrText xml:space="preserve"> PAGEREF _Toc13870 \h </w:instrText>
      </w:r>
      <w:r>
        <w:rPr>
          <w:color w:val="auto"/>
          <w:highlight w:val="none"/>
        </w:rPr>
        <w:fldChar w:fldCharType="separate"/>
      </w:r>
      <w:r>
        <w:rPr>
          <w:color w:val="auto"/>
          <w:highlight w:val="none"/>
        </w:rPr>
        <w:t>66</w:t>
      </w:r>
      <w:r>
        <w:rPr>
          <w:color w:val="auto"/>
          <w:highlight w:val="none"/>
        </w:rPr>
        <w:fldChar w:fldCharType="end"/>
      </w:r>
      <w:r>
        <w:rPr>
          <w:color w:val="auto"/>
          <w:highlight w:val="none"/>
        </w:rPr>
        <w:fldChar w:fldCharType="end"/>
      </w:r>
    </w:p>
    <w:p w14:paraId="5419DD68">
      <w:pPr>
        <w:pStyle w:val="17"/>
        <w:tabs>
          <w:tab w:val="right" w:leader="dot" w:pos="9638"/>
          <w:tab w:val="clear" w:pos="8398"/>
        </w:tabs>
        <w:ind w:firstLine="241"/>
        <w:rPr>
          <w:color w:val="auto"/>
          <w:highlight w:val="none"/>
        </w:rPr>
      </w:pPr>
      <w:r>
        <w:rPr>
          <w:color w:val="auto"/>
          <w:highlight w:val="none"/>
        </w:rPr>
        <w:fldChar w:fldCharType="begin"/>
      </w:r>
      <w:r>
        <w:rPr>
          <w:color w:val="auto"/>
          <w:highlight w:val="none"/>
        </w:rPr>
        <w:instrText xml:space="preserve"> HYPERLINK \l "_Toc21362" </w:instrText>
      </w:r>
      <w:r>
        <w:rPr>
          <w:color w:val="auto"/>
          <w:highlight w:val="none"/>
        </w:rPr>
        <w:fldChar w:fldCharType="separate"/>
      </w:r>
      <w:r>
        <w:rPr>
          <w:rFonts w:hint="eastAsia" w:cs="宋体"/>
          <w:color w:val="auto"/>
          <w:highlight w:val="none"/>
        </w:rPr>
        <w:t>第四章  评标方法及评标标准</w:t>
      </w:r>
      <w:r>
        <w:rPr>
          <w:color w:val="auto"/>
          <w:highlight w:val="none"/>
        </w:rPr>
        <w:tab/>
      </w:r>
      <w:r>
        <w:rPr>
          <w:color w:val="auto"/>
          <w:highlight w:val="none"/>
        </w:rPr>
        <w:fldChar w:fldCharType="begin"/>
      </w:r>
      <w:r>
        <w:rPr>
          <w:color w:val="auto"/>
          <w:highlight w:val="none"/>
        </w:rPr>
        <w:instrText xml:space="preserve"> PAGEREF _Toc21362 \h </w:instrText>
      </w:r>
      <w:r>
        <w:rPr>
          <w:color w:val="auto"/>
          <w:highlight w:val="none"/>
        </w:rPr>
        <w:fldChar w:fldCharType="separate"/>
      </w:r>
      <w:r>
        <w:rPr>
          <w:color w:val="auto"/>
          <w:highlight w:val="none"/>
        </w:rPr>
        <w:t>85</w:t>
      </w:r>
      <w:r>
        <w:rPr>
          <w:color w:val="auto"/>
          <w:highlight w:val="none"/>
        </w:rPr>
        <w:fldChar w:fldCharType="end"/>
      </w:r>
      <w:r>
        <w:rPr>
          <w:color w:val="auto"/>
          <w:highlight w:val="none"/>
        </w:rPr>
        <w:fldChar w:fldCharType="end"/>
      </w:r>
    </w:p>
    <w:p w14:paraId="54532709">
      <w:pPr>
        <w:pStyle w:val="17"/>
        <w:tabs>
          <w:tab w:val="right" w:leader="dot" w:pos="9638"/>
          <w:tab w:val="clear" w:pos="8398"/>
        </w:tabs>
        <w:ind w:firstLine="241"/>
        <w:rPr>
          <w:color w:val="auto"/>
          <w:highlight w:val="none"/>
        </w:rPr>
      </w:pPr>
      <w:r>
        <w:rPr>
          <w:color w:val="auto"/>
          <w:highlight w:val="none"/>
        </w:rPr>
        <w:fldChar w:fldCharType="begin"/>
      </w:r>
      <w:r>
        <w:rPr>
          <w:color w:val="auto"/>
          <w:highlight w:val="none"/>
        </w:rPr>
        <w:instrText xml:space="preserve"> HYPERLINK \l "_Toc6218" </w:instrText>
      </w:r>
      <w:r>
        <w:rPr>
          <w:color w:val="auto"/>
          <w:highlight w:val="none"/>
        </w:rPr>
        <w:fldChar w:fldCharType="separate"/>
      </w:r>
      <w:r>
        <w:rPr>
          <w:rFonts w:hint="eastAsia" w:cs="宋体"/>
          <w:color w:val="auto"/>
          <w:highlight w:val="none"/>
        </w:rPr>
        <w:t>第五章  拟签订的合同文本</w:t>
      </w:r>
      <w:r>
        <w:rPr>
          <w:color w:val="auto"/>
          <w:highlight w:val="none"/>
        </w:rPr>
        <w:tab/>
      </w:r>
      <w:r>
        <w:rPr>
          <w:color w:val="auto"/>
          <w:highlight w:val="none"/>
        </w:rPr>
        <w:fldChar w:fldCharType="begin"/>
      </w:r>
      <w:r>
        <w:rPr>
          <w:color w:val="auto"/>
          <w:highlight w:val="none"/>
        </w:rPr>
        <w:instrText xml:space="preserve"> PAGEREF _Toc6218 \h </w:instrText>
      </w:r>
      <w:r>
        <w:rPr>
          <w:color w:val="auto"/>
          <w:highlight w:val="none"/>
        </w:rPr>
        <w:fldChar w:fldCharType="separate"/>
      </w:r>
      <w:r>
        <w:rPr>
          <w:color w:val="auto"/>
          <w:highlight w:val="none"/>
        </w:rPr>
        <w:t>94</w:t>
      </w:r>
      <w:r>
        <w:rPr>
          <w:color w:val="auto"/>
          <w:highlight w:val="none"/>
        </w:rPr>
        <w:fldChar w:fldCharType="end"/>
      </w:r>
      <w:r>
        <w:rPr>
          <w:color w:val="auto"/>
          <w:highlight w:val="none"/>
        </w:rPr>
        <w:fldChar w:fldCharType="end"/>
      </w:r>
    </w:p>
    <w:p w14:paraId="0EDE5A34">
      <w:pPr>
        <w:pStyle w:val="17"/>
        <w:tabs>
          <w:tab w:val="right" w:leader="dot" w:pos="9638"/>
          <w:tab w:val="clear" w:pos="8398"/>
        </w:tabs>
        <w:ind w:firstLine="241"/>
        <w:rPr>
          <w:color w:val="auto"/>
          <w:highlight w:val="none"/>
        </w:rPr>
      </w:pPr>
      <w:r>
        <w:rPr>
          <w:color w:val="auto"/>
          <w:highlight w:val="none"/>
        </w:rPr>
        <w:fldChar w:fldCharType="begin"/>
      </w:r>
      <w:r>
        <w:rPr>
          <w:color w:val="auto"/>
          <w:highlight w:val="none"/>
        </w:rPr>
        <w:instrText xml:space="preserve"> HYPERLINK \l "_Toc18373" </w:instrText>
      </w:r>
      <w:r>
        <w:rPr>
          <w:color w:val="auto"/>
          <w:highlight w:val="none"/>
        </w:rPr>
        <w:fldChar w:fldCharType="separate"/>
      </w:r>
      <w:r>
        <w:rPr>
          <w:rFonts w:hint="eastAsia" w:cs="宋体"/>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_Toc18373 \h </w:instrText>
      </w:r>
      <w:r>
        <w:rPr>
          <w:color w:val="auto"/>
          <w:highlight w:val="none"/>
        </w:rPr>
        <w:fldChar w:fldCharType="separate"/>
      </w:r>
      <w:r>
        <w:rPr>
          <w:color w:val="auto"/>
          <w:highlight w:val="none"/>
        </w:rPr>
        <w:t>101</w:t>
      </w:r>
      <w:r>
        <w:rPr>
          <w:color w:val="auto"/>
          <w:highlight w:val="none"/>
        </w:rPr>
        <w:fldChar w:fldCharType="end"/>
      </w:r>
      <w:r>
        <w:rPr>
          <w:color w:val="auto"/>
          <w:highlight w:val="none"/>
        </w:rPr>
        <w:fldChar w:fldCharType="end"/>
      </w:r>
    </w:p>
    <w:p w14:paraId="619DAC5B">
      <w:pPr>
        <w:spacing w:before="120" w:beforeLines="50" w:line="480" w:lineRule="exact"/>
        <w:rPr>
          <w:rFonts w:ascii="宋体" w:hAnsi="宋体" w:cs="宋体"/>
          <w:color w:val="auto"/>
          <w:sz w:val="24"/>
          <w:highlight w:val="none"/>
        </w:rPr>
      </w:pPr>
      <w:r>
        <w:rPr>
          <w:rFonts w:hint="eastAsia" w:ascii="宋体" w:hAnsi="宋体" w:cs="宋体"/>
          <w:b/>
          <w:color w:val="auto"/>
          <w:sz w:val="24"/>
          <w:highlight w:val="none"/>
        </w:rPr>
        <w:fldChar w:fldCharType="end"/>
      </w:r>
    </w:p>
    <w:p w14:paraId="7AD4D2CE">
      <w:pPr>
        <w:spacing w:before="120" w:beforeLines="50" w:line="480" w:lineRule="exact"/>
        <w:rPr>
          <w:rFonts w:ascii="宋体" w:hAnsi="宋体" w:cs="宋体"/>
          <w:color w:val="auto"/>
          <w:sz w:val="30"/>
          <w:highlight w:val="none"/>
        </w:rPr>
      </w:pPr>
    </w:p>
    <w:p w14:paraId="0E04CECA">
      <w:pPr>
        <w:rPr>
          <w:rFonts w:ascii="宋体" w:hAnsi="宋体" w:cs="宋体"/>
          <w:color w:val="auto"/>
          <w:highlight w:val="none"/>
        </w:rPr>
      </w:pPr>
    </w:p>
    <w:p w14:paraId="2DBC18E8">
      <w:pPr>
        <w:spacing w:before="120" w:beforeLines="50" w:line="480" w:lineRule="exact"/>
        <w:rPr>
          <w:rFonts w:ascii="宋体" w:hAnsi="宋体" w:cs="宋体"/>
          <w:color w:val="auto"/>
          <w:sz w:val="30"/>
          <w:highlight w:val="none"/>
        </w:rPr>
      </w:pPr>
    </w:p>
    <w:p w14:paraId="4895E1FA">
      <w:pPr>
        <w:spacing w:before="120" w:beforeLines="50" w:line="480" w:lineRule="exact"/>
        <w:rPr>
          <w:rFonts w:ascii="宋体" w:hAnsi="宋体" w:cs="宋体"/>
          <w:color w:val="auto"/>
          <w:sz w:val="30"/>
          <w:highlight w:val="none"/>
        </w:rPr>
      </w:pPr>
    </w:p>
    <w:p w14:paraId="2A8BFF5B">
      <w:pPr>
        <w:pStyle w:val="7"/>
        <w:rPr>
          <w:rFonts w:ascii="宋体" w:hAnsi="宋体" w:cs="宋体"/>
          <w:b/>
          <w:bCs/>
          <w:color w:val="auto"/>
          <w:highlight w:val="none"/>
        </w:rPr>
      </w:pPr>
      <w:bookmarkStart w:id="0" w:name="_Toc254970489"/>
      <w:bookmarkStart w:id="1" w:name="_Toc254970630"/>
    </w:p>
    <w:p w14:paraId="3D7BC578">
      <w:pPr>
        <w:pStyle w:val="2"/>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color w:val="auto"/>
          <w:highlight w:val="none"/>
        </w:rPr>
        <w:sectPr>
          <w:footerReference r:id="rId5" w:type="first"/>
          <w:headerReference r:id="rId3" w:type="default"/>
          <w:footerReference r:id="rId4" w:type="even"/>
          <w:pgSz w:w="11906" w:h="16838"/>
          <w:pgMar w:top="1134" w:right="1134" w:bottom="1134" w:left="1134" w:header="851" w:footer="567" w:gutter="0"/>
          <w:cols w:space="720" w:num="1"/>
          <w:titlePg/>
          <w:docGrid w:linePitch="312" w:charSpace="0"/>
        </w:sectPr>
      </w:pPr>
      <w:bookmarkStart w:id="2" w:name="_Toc74320800"/>
    </w:p>
    <w:p w14:paraId="603168FA">
      <w:pPr>
        <w:pStyle w:val="2"/>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color w:val="auto"/>
          <w:highlight w:val="none"/>
        </w:rPr>
      </w:pPr>
      <w:bookmarkStart w:id="3" w:name="_Toc3057"/>
      <w:bookmarkStart w:id="4" w:name="_Toc28550"/>
      <w:r>
        <w:rPr>
          <w:rFonts w:hint="eastAsia" w:ascii="宋体" w:hAnsi="宋体" w:cs="宋体"/>
          <w:color w:val="auto"/>
          <w:highlight w:val="none"/>
        </w:rPr>
        <w:t>第一章</w:t>
      </w:r>
      <w:bookmarkEnd w:id="0"/>
      <w:bookmarkEnd w:id="1"/>
      <w:bookmarkStart w:id="5" w:name="_Toc28359001"/>
      <w:bookmarkStart w:id="6" w:name="_Toc35393789"/>
      <w:r>
        <w:rPr>
          <w:rFonts w:hint="eastAsia" w:ascii="宋体" w:hAnsi="宋体" w:cs="宋体"/>
          <w:color w:val="auto"/>
          <w:highlight w:val="none"/>
        </w:rPr>
        <w:t xml:space="preserve"> 招标公告</w:t>
      </w:r>
      <w:bookmarkEnd w:id="2"/>
      <w:bookmarkEnd w:id="3"/>
      <w:bookmarkEnd w:id="4"/>
      <w:bookmarkEnd w:id="5"/>
      <w:bookmarkEnd w:id="6"/>
    </w:p>
    <w:p w14:paraId="0EBCC4D2">
      <w:pPr>
        <w:pStyle w:val="13"/>
        <w:spacing w:line="500" w:lineRule="exact"/>
        <w:jc w:val="center"/>
        <w:rPr>
          <w:rFonts w:hAnsi="宋体" w:cs="宋体"/>
          <w:color w:val="auto"/>
          <w:sz w:val="32"/>
          <w:szCs w:val="32"/>
          <w:highlight w:val="none"/>
        </w:rPr>
      </w:pPr>
      <w:r>
        <w:rPr>
          <w:rFonts w:hint="eastAsia" w:hAnsi="宋体" w:cs="宋体"/>
          <w:b/>
          <w:color w:val="auto"/>
          <w:sz w:val="32"/>
          <w:szCs w:val="32"/>
          <w:highlight w:val="none"/>
        </w:rPr>
        <w:t>广西国泰招标咨询有限公司关于</w:t>
      </w:r>
      <w:r>
        <w:rPr>
          <w:rFonts w:hint="eastAsia" w:hAnsi="宋体" w:cs="宋体"/>
          <w:b/>
          <w:color w:val="auto"/>
          <w:sz w:val="32"/>
          <w:szCs w:val="32"/>
          <w:highlight w:val="none"/>
          <w:lang w:eastAsia="zh-CN"/>
        </w:rPr>
        <w:t>广西中医药研究院2025年中药饮片配送服务采购</w:t>
      </w:r>
      <w:r>
        <w:rPr>
          <w:rFonts w:hint="eastAsia" w:hAnsi="宋体" w:cs="宋体"/>
          <w:b/>
          <w:color w:val="auto"/>
          <w:sz w:val="32"/>
          <w:szCs w:val="32"/>
          <w:highlight w:val="none"/>
        </w:rPr>
        <w:t>（</w:t>
      </w:r>
      <w:r>
        <w:rPr>
          <w:rFonts w:hint="eastAsia" w:hAnsi="宋体" w:cs="宋体"/>
          <w:b/>
          <w:color w:val="auto"/>
          <w:sz w:val="32"/>
          <w:szCs w:val="32"/>
          <w:highlight w:val="none"/>
          <w:lang w:eastAsia="zh-CN"/>
        </w:rPr>
        <w:t>GXZC2025-G3-003287-GTZB</w:t>
      </w:r>
      <w:r>
        <w:rPr>
          <w:rFonts w:hint="eastAsia" w:hAnsi="宋体" w:cs="宋体"/>
          <w:b/>
          <w:color w:val="auto"/>
          <w:sz w:val="32"/>
          <w:szCs w:val="32"/>
          <w:highlight w:val="none"/>
        </w:rPr>
        <w:t>）招标公告</w:t>
      </w:r>
    </w:p>
    <w:p w14:paraId="5D3AE290">
      <w:pPr>
        <w:pBdr>
          <w:top w:val="single" w:color="auto" w:sz="4" w:space="1"/>
          <w:left w:val="single" w:color="auto" w:sz="4" w:space="4"/>
          <w:bottom w:val="single" w:color="auto" w:sz="4" w:space="1"/>
          <w:right w:val="single" w:color="auto" w:sz="4" w:space="4"/>
        </w:pBdr>
        <w:spacing w:line="360" w:lineRule="auto"/>
        <w:rPr>
          <w:rFonts w:ascii="宋体" w:hAnsi="宋体" w:cs="宋体"/>
          <w:color w:val="auto"/>
          <w:szCs w:val="21"/>
          <w:highlight w:val="none"/>
        </w:rPr>
      </w:pPr>
      <w:r>
        <w:rPr>
          <w:rFonts w:hint="eastAsia" w:ascii="宋体" w:hAnsi="宋体" w:cs="宋体"/>
          <w:color w:val="auto"/>
          <w:szCs w:val="21"/>
          <w:highlight w:val="none"/>
        </w:rPr>
        <w:t>项目概况</w:t>
      </w:r>
    </w:p>
    <w:p w14:paraId="0B1FEA88">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广西中医药研究院2025年中药饮片配送服务采购</w:t>
      </w:r>
      <w:r>
        <w:rPr>
          <w:rFonts w:hint="eastAsia" w:ascii="宋体" w:hAnsi="宋体" w:cs="宋体"/>
          <w:color w:val="auto"/>
          <w:szCs w:val="21"/>
          <w:highlight w:val="none"/>
        </w:rPr>
        <w:t>招标项目的潜在投标人应在广西政府采购云平台（https://www.gcy.zfcg.gxzf.gov.cn/）获取招标文件，并于</w:t>
      </w:r>
      <w:r>
        <w:rPr>
          <w:rFonts w:hint="eastAsia" w:ascii="宋体" w:hAnsi="宋体" w:cs="宋体"/>
          <w:color w:val="auto"/>
          <w:szCs w:val="21"/>
          <w:highlight w:val="none"/>
          <w:lang w:eastAsia="zh-CN"/>
        </w:rPr>
        <w:t>2025年11月28日09点30分</w:t>
      </w:r>
      <w:r>
        <w:rPr>
          <w:rFonts w:hint="eastAsia" w:ascii="宋体" w:hAnsi="宋体" w:cs="宋体"/>
          <w:color w:val="auto"/>
          <w:szCs w:val="21"/>
          <w:highlight w:val="none"/>
        </w:rPr>
        <w:t>（北京时间）前递交投标文件。</w:t>
      </w:r>
    </w:p>
    <w:p w14:paraId="16C63932">
      <w:pPr>
        <w:spacing w:line="360" w:lineRule="auto"/>
        <w:rPr>
          <w:rFonts w:ascii="宋体" w:hAnsi="宋体" w:cs="宋体"/>
          <w:b/>
          <w:bCs/>
          <w:color w:val="auto"/>
          <w:sz w:val="24"/>
          <w:highlight w:val="none"/>
        </w:rPr>
      </w:pPr>
      <w:bookmarkStart w:id="7" w:name="_Toc28359079"/>
      <w:bookmarkStart w:id="8" w:name="_Toc35393621"/>
      <w:bookmarkStart w:id="9" w:name="_Toc28359002"/>
      <w:bookmarkStart w:id="10" w:name="_Toc35393790"/>
      <w:bookmarkStart w:id="11" w:name="_Hlk24379207"/>
      <w:r>
        <w:rPr>
          <w:rFonts w:hint="eastAsia" w:ascii="宋体" w:hAnsi="宋体" w:cs="宋体"/>
          <w:b/>
          <w:bCs/>
          <w:color w:val="auto"/>
          <w:sz w:val="24"/>
          <w:highlight w:val="none"/>
        </w:rPr>
        <w:t>一、项目基本情况</w:t>
      </w:r>
      <w:bookmarkEnd w:id="7"/>
      <w:bookmarkEnd w:id="8"/>
      <w:bookmarkEnd w:id="9"/>
      <w:bookmarkEnd w:id="10"/>
    </w:p>
    <w:p w14:paraId="35EDA414">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GXZC2025-G3-003287-GTZB</w:t>
      </w:r>
    </w:p>
    <w:p w14:paraId="218A4A45">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bCs/>
          <w:color w:val="auto"/>
          <w:szCs w:val="21"/>
          <w:highlight w:val="none"/>
          <w:lang w:eastAsia="zh-CN"/>
        </w:rPr>
        <w:t>广西中医药研究院2025年中药饮片配送服务采购</w:t>
      </w:r>
    </w:p>
    <w:bookmarkEnd w:id="11"/>
    <w:p w14:paraId="1B54ABB2">
      <w:pPr>
        <w:spacing w:line="360" w:lineRule="auto"/>
        <w:ind w:firstLine="420" w:firstLineChars="200"/>
        <w:rPr>
          <w:rFonts w:hint="eastAsia" w:ascii="宋体" w:hAnsi="宋体" w:cs="宋体"/>
          <w:bCs/>
          <w:color w:val="auto"/>
          <w:szCs w:val="21"/>
          <w:highlight w:val="none"/>
          <w:lang w:eastAsia="zh-CN"/>
        </w:rPr>
      </w:pPr>
      <w:r>
        <w:rPr>
          <w:rFonts w:hint="eastAsia" w:ascii="宋体" w:hAnsi="宋体" w:cs="宋体"/>
          <w:bCs/>
          <w:color w:val="auto"/>
          <w:szCs w:val="21"/>
          <w:highlight w:val="none"/>
        </w:rPr>
        <w:t>预算金额：</w:t>
      </w:r>
      <w:r>
        <w:rPr>
          <w:rFonts w:hint="eastAsia" w:ascii="宋体" w:hAnsi="宋体" w:cs="宋体"/>
          <w:bCs/>
          <w:color w:val="auto"/>
          <w:szCs w:val="21"/>
          <w:highlight w:val="none"/>
          <w:lang w:eastAsia="zh-CN"/>
        </w:rPr>
        <w:t>总金额：380.00万元（分标1：210.00万元；分标2：170.00万元）</w:t>
      </w:r>
    </w:p>
    <w:p w14:paraId="2CB61EE0">
      <w:pPr>
        <w:spacing w:line="360" w:lineRule="auto"/>
        <w:ind w:firstLine="420" w:firstLineChars="200"/>
        <w:rPr>
          <w:rFonts w:hint="eastAsia" w:ascii="宋体" w:hAnsi="宋体" w:cs="宋体"/>
          <w:bCs/>
          <w:color w:val="auto"/>
          <w:szCs w:val="21"/>
          <w:highlight w:val="none"/>
          <w:lang w:eastAsia="zh-CN"/>
        </w:rPr>
      </w:pPr>
      <w:r>
        <w:rPr>
          <w:rFonts w:hint="eastAsia" w:ascii="宋体" w:hAnsi="宋体" w:cs="宋体"/>
          <w:bCs/>
          <w:color w:val="auto"/>
          <w:szCs w:val="21"/>
          <w:highlight w:val="none"/>
        </w:rPr>
        <w:t>最高限价：</w:t>
      </w:r>
      <w:r>
        <w:rPr>
          <w:rFonts w:hint="eastAsia" w:ascii="宋体" w:hAnsi="宋体" w:cs="宋体"/>
          <w:bCs/>
          <w:color w:val="auto"/>
          <w:szCs w:val="21"/>
          <w:highlight w:val="none"/>
          <w:lang w:eastAsia="zh-CN"/>
        </w:rPr>
        <w:t>总金额：380.00万元（分标1：210.00万元；分标2：170.00万元）</w:t>
      </w:r>
    </w:p>
    <w:p w14:paraId="1EF76EE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采购需求： </w:t>
      </w:r>
    </w:p>
    <w:p w14:paraId="52A28530">
      <w:pPr>
        <w:spacing w:line="360" w:lineRule="auto"/>
        <w:ind w:firstLine="422" w:firstLineChars="20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分标1标项名称：</w:t>
      </w:r>
      <w:r>
        <w:rPr>
          <w:rFonts w:hint="eastAsia" w:asciiTheme="minorEastAsia" w:hAnsiTheme="minorEastAsia" w:eastAsiaTheme="minorEastAsia" w:cstheme="minorEastAsia"/>
          <w:b/>
          <w:color w:val="auto"/>
          <w:szCs w:val="21"/>
          <w:highlight w:val="none"/>
          <w:lang w:val="en-US" w:eastAsia="zh-CN"/>
        </w:rPr>
        <w:t>广西中医药研究院2025年中药饮片配送服务</w:t>
      </w:r>
      <w:r>
        <w:rPr>
          <w:rFonts w:hint="eastAsia" w:asciiTheme="minorEastAsia" w:hAnsiTheme="minorEastAsia" w:eastAsiaTheme="minorEastAsia" w:cstheme="minorEastAsia"/>
          <w:b/>
          <w:color w:val="auto"/>
          <w:szCs w:val="21"/>
          <w:highlight w:val="none"/>
        </w:rPr>
        <w:t>（1）</w:t>
      </w:r>
    </w:p>
    <w:tbl>
      <w:tblPr>
        <w:tblStyle w:val="2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2"/>
        <w:gridCol w:w="2532"/>
        <w:gridCol w:w="696"/>
        <w:gridCol w:w="768"/>
        <w:gridCol w:w="4622"/>
      </w:tblGrid>
      <w:tr w14:paraId="5160E5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14:paraId="067A50CD">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项号</w:t>
            </w:r>
          </w:p>
        </w:tc>
        <w:tc>
          <w:tcPr>
            <w:tcW w:w="2532" w:type="dxa"/>
            <w:tcBorders>
              <w:top w:val="single" w:color="auto" w:sz="4" w:space="0"/>
              <w:left w:val="single" w:color="auto" w:sz="4" w:space="0"/>
              <w:bottom w:val="single" w:color="auto" w:sz="4" w:space="0"/>
              <w:right w:val="single" w:color="auto" w:sz="4" w:space="0"/>
            </w:tcBorders>
            <w:vAlign w:val="center"/>
          </w:tcPr>
          <w:p w14:paraId="49D74D4C">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标的名称</w:t>
            </w:r>
          </w:p>
        </w:tc>
        <w:tc>
          <w:tcPr>
            <w:tcW w:w="696" w:type="dxa"/>
            <w:tcBorders>
              <w:top w:val="single" w:color="auto" w:sz="4" w:space="0"/>
              <w:left w:val="single" w:color="auto" w:sz="4" w:space="0"/>
              <w:bottom w:val="single" w:color="auto" w:sz="4" w:space="0"/>
              <w:right w:val="single" w:color="auto" w:sz="4" w:space="0"/>
            </w:tcBorders>
            <w:vAlign w:val="center"/>
          </w:tcPr>
          <w:p w14:paraId="45BBB58D">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w:t>
            </w:r>
          </w:p>
        </w:tc>
        <w:tc>
          <w:tcPr>
            <w:tcW w:w="768" w:type="dxa"/>
            <w:tcBorders>
              <w:top w:val="single" w:color="auto" w:sz="4" w:space="0"/>
              <w:left w:val="single" w:color="auto" w:sz="4" w:space="0"/>
              <w:bottom w:val="single" w:color="auto" w:sz="4" w:space="0"/>
              <w:right w:val="single" w:color="auto" w:sz="4" w:space="0"/>
            </w:tcBorders>
            <w:vAlign w:val="center"/>
          </w:tcPr>
          <w:p w14:paraId="575BD46F">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单位</w:t>
            </w:r>
          </w:p>
        </w:tc>
        <w:tc>
          <w:tcPr>
            <w:tcW w:w="4622" w:type="dxa"/>
            <w:tcBorders>
              <w:top w:val="single" w:color="auto" w:sz="4" w:space="0"/>
              <w:left w:val="single" w:color="auto" w:sz="4" w:space="0"/>
              <w:bottom w:val="single" w:color="auto" w:sz="4" w:space="0"/>
              <w:right w:val="single" w:color="auto" w:sz="4" w:space="0"/>
            </w:tcBorders>
            <w:vAlign w:val="center"/>
          </w:tcPr>
          <w:p w14:paraId="44E454E0">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简要技术需求</w:t>
            </w:r>
          </w:p>
        </w:tc>
      </w:tr>
      <w:tr w14:paraId="789365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14:paraId="50778F30">
            <w:pPr>
              <w:widowControl/>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1</w:t>
            </w:r>
          </w:p>
        </w:tc>
        <w:tc>
          <w:tcPr>
            <w:tcW w:w="2532" w:type="dxa"/>
            <w:tcBorders>
              <w:top w:val="single" w:color="auto" w:sz="4" w:space="0"/>
              <w:left w:val="single" w:color="auto" w:sz="4" w:space="0"/>
              <w:bottom w:val="single" w:color="auto" w:sz="4" w:space="0"/>
              <w:right w:val="single" w:color="auto" w:sz="4" w:space="0"/>
            </w:tcBorders>
            <w:vAlign w:val="center"/>
          </w:tcPr>
          <w:p w14:paraId="1CBB6993">
            <w:pPr>
              <w:widowControl/>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广西中医药研究院2025年中药饮片配送服务</w:t>
            </w:r>
            <w:r>
              <w:rPr>
                <w:rFonts w:hint="eastAsia" w:asciiTheme="minorEastAsia" w:hAnsiTheme="minorEastAsia" w:eastAsiaTheme="minorEastAsia" w:cstheme="minorEastAsia"/>
                <w:color w:val="auto"/>
                <w:szCs w:val="21"/>
                <w:highlight w:val="none"/>
              </w:rPr>
              <w:t>（1）</w:t>
            </w:r>
          </w:p>
        </w:tc>
        <w:tc>
          <w:tcPr>
            <w:tcW w:w="696" w:type="dxa"/>
            <w:tcBorders>
              <w:top w:val="single" w:color="auto" w:sz="4" w:space="0"/>
              <w:left w:val="single" w:color="auto" w:sz="4" w:space="0"/>
              <w:bottom w:val="single" w:color="auto" w:sz="4" w:space="0"/>
              <w:right w:val="single" w:color="auto" w:sz="4" w:space="0"/>
            </w:tcBorders>
            <w:vAlign w:val="center"/>
          </w:tcPr>
          <w:p w14:paraId="242B1190">
            <w:pPr>
              <w:widowControl/>
              <w:jc w:val="center"/>
              <w:textAlignment w:val="center"/>
              <w:rPr>
                <w:rFonts w:hint="default" w:asciiTheme="minorEastAsia" w:hAnsiTheme="minorEastAsia" w:eastAsiaTheme="minorEastAsia" w:cstheme="minorEastAsia"/>
                <w:color w:val="auto"/>
                <w:szCs w:val="21"/>
                <w:highlight w:val="none"/>
                <w:lang w:val="en-US" w:eastAsia="zh-CN"/>
              </w:rPr>
            </w:pPr>
            <w:r>
              <w:rPr>
                <w:rFonts w:hint="eastAsia" w:ascii="宋体" w:hAnsi="宋体" w:cs="宋体" w:eastAsiaTheme="minorEastAsia"/>
                <w:color w:val="auto"/>
                <w:szCs w:val="21"/>
                <w:highlight w:val="none"/>
                <w:lang w:val="en-US" w:eastAsia="zh-CN"/>
              </w:rPr>
              <w:t>1</w:t>
            </w:r>
          </w:p>
        </w:tc>
        <w:tc>
          <w:tcPr>
            <w:tcW w:w="768" w:type="dxa"/>
            <w:tcBorders>
              <w:top w:val="single" w:color="auto" w:sz="4" w:space="0"/>
              <w:left w:val="single" w:color="auto" w:sz="4" w:space="0"/>
              <w:bottom w:val="single" w:color="auto" w:sz="4" w:space="0"/>
              <w:right w:val="single" w:color="auto" w:sz="4" w:space="0"/>
            </w:tcBorders>
            <w:vAlign w:val="center"/>
          </w:tcPr>
          <w:p w14:paraId="6AB8A68B">
            <w:pPr>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项</w:t>
            </w:r>
          </w:p>
        </w:tc>
        <w:tc>
          <w:tcPr>
            <w:tcW w:w="4622" w:type="dxa"/>
            <w:tcBorders>
              <w:top w:val="single" w:color="auto" w:sz="4" w:space="0"/>
              <w:left w:val="single" w:color="auto" w:sz="4" w:space="0"/>
              <w:bottom w:val="single" w:color="auto" w:sz="4" w:space="0"/>
              <w:right w:val="single" w:color="auto" w:sz="4" w:space="0"/>
            </w:tcBorders>
            <w:vAlign w:val="center"/>
          </w:tcPr>
          <w:p w14:paraId="2277E935">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具体详见招标文件第二章《采购需求》</w:t>
            </w:r>
          </w:p>
        </w:tc>
      </w:tr>
    </w:tbl>
    <w:p w14:paraId="7D5149A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合同履行期限：</w:t>
      </w:r>
      <w:r>
        <w:rPr>
          <w:rFonts w:hint="eastAsia" w:ascii="宋体" w:hAnsi="宋体" w:cs="宋体"/>
          <w:color w:val="auto"/>
          <w:szCs w:val="21"/>
          <w:highlight w:val="none"/>
          <w:lang w:eastAsia="zh-CN"/>
        </w:rPr>
        <w:t>自签订合同之日起1年</w:t>
      </w:r>
      <w:r>
        <w:rPr>
          <w:rFonts w:hint="eastAsia" w:ascii="宋体" w:hAnsi="宋体" w:cs="宋体"/>
          <w:color w:val="auto"/>
          <w:szCs w:val="21"/>
          <w:highlight w:val="none"/>
        </w:rPr>
        <w:t>。</w:t>
      </w:r>
    </w:p>
    <w:p w14:paraId="590B00B1">
      <w:pPr>
        <w:spacing w:line="360" w:lineRule="auto"/>
        <w:ind w:firstLine="422" w:firstLineChars="20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分标2标项名称：</w:t>
      </w:r>
      <w:r>
        <w:rPr>
          <w:rFonts w:hint="eastAsia" w:asciiTheme="minorEastAsia" w:hAnsiTheme="minorEastAsia" w:eastAsiaTheme="minorEastAsia" w:cstheme="minorEastAsia"/>
          <w:b/>
          <w:color w:val="auto"/>
          <w:szCs w:val="21"/>
          <w:highlight w:val="none"/>
          <w:lang w:val="en-US" w:eastAsia="zh-CN"/>
        </w:rPr>
        <w:t>广西中医药研究院2025年中药饮片配送服务</w:t>
      </w:r>
      <w:r>
        <w:rPr>
          <w:rFonts w:hint="eastAsia" w:asciiTheme="minorEastAsia" w:hAnsiTheme="minorEastAsia" w:eastAsiaTheme="minorEastAsia" w:cstheme="minorEastAsia"/>
          <w:b/>
          <w:color w:val="auto"/>
          <w:szCs w:val="21"/>
          <w:highlight w:val="none"/>
        </w:rPr>
        <w:t>（</w:t>
      </w:r>
      <w:r>
        <w:rPr>
          <w:rFonts w:hint="eastAsia" w:asciiTheme="minorEastAsia" w:hAnsiTheme="minorEastAsia" w:eastAsiaTheme="minorEastAsia" w:cstheme="minorEastAsia"/>
          <w:b/>
          <w:color w:val="auto"/>
          <w:szCs w:val="21"/>
          <w:highlight w:val="none"/>
          <w:lang w:val="en-US" w:eastAsia="zh-CN"/>
        </w:rPr>
        <w:t>2</w:t>
      </w:r>
      <w:r>
        <w:rPr>
          <w:rFonts w:hint="eastAsia" w:asciiTheme="minorEastAsia" w:hAnsiTheme="minorEastAsia" w:eastAsiaTheme="minorEastAsia" w:cstheme="minorEastAsia"/>
          <w:b/>
          <w:color w:val="auto"/>
          <w:szCs w:val="21"/>
          <w:highlight w:val="none"/>
        </w:rPr>
        <w:t>）</w:t>
      </w:r>
    </w:p>
    <w:tbl>
      <w:tblPr>
        <w:tblStyle w:val="2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4"/>
        <w:gridCol w:w="2508"/>
        <w:gridCol w:w="720"/>
        <w:gridCol w:w="768"/>
        <w:gridCol w:w="4610"/>
      </w:tblGrid>
      <w:tr w14:paraId="6B405C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4AAB54ED">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项号</w:t>
            </w:r>
          </w:p>
        </w:tc>
        <w:tc>
          <w:tcPr>
            <w:tcW w:w="2508" w:type="dxa"/>
            <w:tcBorders>
              <w:top w:val="single" w:color="auto" w:sz="4" w:space="0"/>
              <w:left w:val="single" w:color="auto" w:sz="4" w:space="0"/>
              <w:bottom w:val="single" w:color="auto" w:sz="4" w:space="0"/>
              <w:right w:val="single" w:color="auto" w:sz="4" w:space="0"/>
            </w:tcBorders>
            <w:vAlign w:val="center"/>
          </w:tcPr>
          <w:p w14:paraId="3A37B6E3">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标的名称</w:t>
            </w:r>
          </w:p>
        </w:tc>
        <w:tc>
          <w:tcPr>
            <w:tcW w:w="720" w:type="dxa"/>
            <w:tcBorders>
              <w:top w:val="single" w:color="auto" w:sz="4" w:space="0"/>
              <w:left w:val="single" w:color="auto" w:sz="4" w:space="0"/>
              <w:bottom w:val="single" w:color="auto" w:sz="4" w:space="0"/>
              <w:right w:val="single" w:color="auto" w:sz="4" w:space="0"/>
            </w:tcBorders>
            <w:vAlign w:val="center"/>
          </w:tcPr>
          <w:p w14:paraId="2A083659">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w:t>
            </w:r>
          </w:p>
        </w:tc>
        <w:tc>
          <w:tcPr>
            <w:tcW w:w="768" w:type="dxa"/>
            <w:tcBorders>
              <w:top w:val="single" w:color="auto" w:sz="4" w:space="0"/>
              <w:left w:val="single" w:color="auto" w:sz="4" w:space="0"/>
              <w:bottom w:val="single" w:color="auto" w:sz="4" w:space="0"/>
              <w:right w:val="single" w:color="auto" w:sz="4" w:space="0"/>
            </w:tcBorders>
            <w:vAlign w:val="center"/>
          </w:tcPr>
          <w:p w14:paraId="53C7D181">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单位</w:t>
            </w:r>
          </w:p>
        </w:tc>
        <w:tc>
          <w:tcPr>
            <w:tcW w:w="4610" w:type="dxa"/>
            <w:tcBorders>
              <w:top w:val="single" w:color="auto" w:sz="4" w:space="0"/>
              <w:left w:val="single" w:color="auto" w:sz="4" w:space="0"/>
              <w:bottom w:val="single" w:color="auto" w:sz="4" w:space="0"/>
              <w:right w:val="single" w:color="auto" w:sz="4" w:space="0"/>
            </w:tcBorders>
            <w:vAlign w:val="center"/>
          </w:tcPr>
          <w:p w14:paraId="4FCB739B">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简要技术需求</w:t>
            </w:r>
          </w:p>
        </w:tc>
      </w:tr>
      <w:tr w14:paraId="7C13EE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7CBFAAAE">
            <w:pPr>
              <w:widowControl/>
              <w:jc w:val="center"/>
              <w:textAlignment w:val="center"/>
              <w:rPr>
                <w:rFonts w:hint="eastAsia" w:asciiTheme="minorEastAsia" w:hAnsiTheme="minorEastAsia" w:eastAsiaTheme="minorEastAsia" w:cstheme="minorEastAsia"/>
                <w:color w:val="auto"/>
                <w:kern w:val="0"/>
                <w:szCs w:val="21"/>
                <w:highlight w:val="none"/>
                <w:lang w:eastAsia="zh-CN" w:bidi="ar"/>
              </w:rPr>
            </w:pPr>
            <w:r>
              <w:rPr>
                <w:rFonts w:hint="eastAsia" w:asciiTheme="minorEastAsia" w:hAnsiTheme="minorEastAsia" w:eastAsiaTheme="minorEastAsia" w:cstheme="minorEastAsia"/>
                <w:color w:val="auto"/>
                <w:kern w:val="0"/>
                <w:szCs w:val="21"/>
                <w:highlight w:val="none"/>
                <w:lang w:val="en-US" w:eastAsia="zh-CN" w:bidi="ar"/>
              </w:rPr>
              <w:t>1</w:t>
            </w:r>
          </w:p>
        </w:tc>
        <w:tc>
          <w:tcPr>
            <w:tcW w:w="2508" w:type="dxa"/>
            <w:tcBorders>
              <w:top w:val="single" w:color="auto" w:sz="4" w:space="0"/>
              <w:left w:val="single" w:color="auto" w:sz="4" w:space="0"/>
              <w:bottom w:val="single" w:color="auto" w:sz="4" w:space="0"/>
              <w:right w:val="single" w:color="auto" w:sz="4" w:space="0"/>
            </w:tcBorders>
            <w:vAlign w:val="center"/>
          </w:tcPr>
          <w:p w14:paraId="23795395">
            <w:pPr>
              <w:widowControl/>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广西中医药研究院2025年中药饮片配送服务</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w:t>
            </w:r>
          </w:p>
        </w:tc>
        <w:tc>
          <w:tcPr>
            <w:tcW w:w="720" w:type="dxa"/>
            <w:tcBorders>
              <w:top w:val="single" w:color="auto" w:sz="4" w:space="0"/>
              <w:left w:val="single" w:color="auto" w:sz="4" w:space="0"/>
              <w:bottom w:val="single" w:color="auto" w:sz="4" w:space="0"/>
              <w:right w:val="single" w:color="auto" w:sz="4" w:space="0"/>
            </w:tcBorders>
            <w:vAlign w:val="center"/>
          </w:tcPr>
          <w:p w14:paraId="77FB4025">
            <w:pPr>
              <w:widowControl/>
              <w:jc w:val="center"/>
              <w:textAlignment w:val="center"/>
              <w:rPr>
                <w:rFonts w:hint="default" w:asciiTheme="minorEastAsia" w:hAnsiTheme="minorEastAsia" w:eastAsiaTheme="minorEastAsia" w:cstheme="minorEastAsia"/>
                <w:color w:val="auto"/>
                <w:szCs w:val="21"/>
                <w:highlight w:val="none"/>
                <w:lang w:val="en-US" w:eastAsia="zh-CN"/>
              </w:rPr>
            </w:pPr>
            <w:r>
              <w:rPr>
                <w:rFonts w:hint="eastAsia" w:ascii="宋体" w:hAnsi="宋体" w:cs="宋体" w:eastAsiaTheme="minorEastAsia"/>
                <w:color w:val="auto"/>
                <w:szCs w:val="21"/>
                <w:highlight w:val="none"/>
                <w:lang w:val="en-US" w:eastAsia="zh-CN"/>
              </w:rPr>
              <w:t>1</w:t>
            </w:r>
          </w:p>
        </w:tc>
        <w:tc>
          <w:tcPr>
            <w:tcW w:w="768" w:type="dxa"/>
            <w:tcBorders>
              <w:top w:val="single" w:color="auto" w:sz="4" w:space="0"/>
              <w:left w:val="single" w:color="auto" w:sz="4" w:space="0"/>
              <w:bottom w:val="single" w:color="auto" w:sz="4" w:space="0"/>
              <w:right w:val="single" w:color="auto" w:sz="4" w:space="0"/>
            </w:tcBorders>
            <w:vAlign w:val="center"/>
          </w:tcPr>
          <w:p w14:paraId="73118DB2">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项</w:t>
            </w:r>
          </w:p>
        </w:tc>
        <w:tc>
          <w:tcPr>
            <w:tcW w:w="4610" w:type="dxa"/>
            <w:tcBorders>
              <w:top w:val="single" w:color="auto" w:sz="4" w:space="0"/>
              <w:left w:val="single" w:color="auto" w:sz="4" w:space="0"/>
              <w:bottom w:val="single" w:color="auto" w:sz="4" w:space="0"/>
              <w:right w:val="single" w:color="auto" w:sz="4" w:space="0"/>
            </w:tcBorders>
            <w:vAlign w:val="center"/>
          </w:tcPr>
          <w:p w14:paraId="108D7A83">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具体详见招标文件第二章《采购需求》</w:t>
            </w:r>
          </w:p>
        </w:tc>
      </w:tr>
    </w:tbl>
    <w:p w14:paraId="169AD3B9">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合同履行期限：</w:t>
      </w:r>
      <w:r>
        <w:rPr>
          <w:rFonts w:hint="eastAsia" w:ascii="宋体" w:hAnsi="宋体" w:cs="宋体"/>
          <w:color w:val="auto"/>
          <w:szCs w:val="21"/>
          <w:highlight w:val="none"/>
          <w:lang w:eastAsia="zh-CN"/>
        </w:rPr>
        <w:t>自签订合同之日起1年</w:t>
      </w:r>
      <w:r>
        <w:rPr>
          <w:rFonts w:hint="eastAsia" w:ascii="宋体" w:hAnsi="宋体" w:cs="宋体"/>
          <w:color w:val="auto"/>
          <w:szCs w:val="21"/>
          <w:highlight w:val="none"/>
        </w:rPr>
        <w:t>。</w:t>
      </w:r>
    </w:p>
    <w:p w14:paraId="025381AD">
      <w:pPr>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本项目不接受联合体投标。</w:t>
      </w:r>
    </w:p>
    <w:p w14:paraId="3B754241">
      <w:pPr>
        <w:spacing w:line="500" w:lineRule="exact"/>
        <w:rPr>
          <w:rFonts w:ascii="宋体" w:hAnsi="宋体" w:cs="宋体"/>
          <w:b/>
          <w:bCs/>
          <w:color w:val="auto"/>
          <w:sz w:val="24"/>
          <w:highlight w:val="none"/>
        </w:rPr>
      </w:pPr>
      <w:bookmarkStart w:id="12" w:name="_Toc28359080"/>
      <w:bookmarkStart w:id="13" w:name="_Toc28359003"/>
      <w:bookmarkStart w:id="14" w:name="_Toc35393791"/>
      <w:bookmarkStart w:id="15" w:name="_Toc35393622"/>
      <w:r>
        <w:rPr>
          <w:rFonts w:hint="eastAsia" w:ascii="宋体" w:hAnsi="宋体" w:cs="宋体"/>
          <w:b/>
          <w:bCs/>
          <w:color w:val="auto"/>
          <w:sz w:val="24"/>
          <w:highlight w:val="none"/>
        </w:rPr>
        <w:t>二、申请人的资格要求：</w:t>
      </w:r>
      <w:bookmarkEnd w:id="12"/>
      <w:bookmarkEnd w:id="13"/>
      <w:bookmarkEnd w:id="14"/>
      <w:bookmarkEnd w:id="15"/>
    </w:p>
    <w:p w14:paraId="198F8FC8">
      <w:pPr>
        <w:spacing w:line="500" w:lineRule="exact"/>
        <w:ind w:firstLine="420" w:firstLineChars="200"/>
        <w:rPr>
          <w:rFonts w:ascii="宋体" w:hAnsi="宋体" w:cs="宋体"/>
          <w:color w:val="auto"/>
          <w:szCs w:val="21"/>
          <w:highlight w:val="none"/>
        </w:rPr>
      </w:pPr>
      <w:bookmarkStart w:id="16" w:name="_Hlk51746371"/>
      <w:r>
        <w:rPr>
          <w:rFonts w:hint="eastAsia" w:ascii="宋体" w:hAnsi="宋体" w:cs="宋体"/>
          <w:color w:val="auto"/>
          <w:szCs w:val="21"/>
          <w:highlight w:val="none"/>
        </w:rPr>
        <w:t>1、满足《中华人民共和国政府采购法》第二十二条规定；</w:t>
      </w:r>
    </w:p>
    <w:p w14:paraId="0761CCE1">
      <w:pPr>
        <w:spacing w:line="500" w:lineRule="exact"/>
        <w:ind w:firstLine="420" w:firstLineChars="200"/>
        <w:rPr>
          <w:rFonts w:ascii="宋体" w:hAnsi="宋体" w:cs="宋体"/>
          <w:color w:val="auto"/>
          <w:szCs w:val="21"/>
          <w:highlight w:val="none"/>
          <w:u w:val="single"/>
        </w:rPr>
      </w:pPr>
      <w:bookmarkStart w:id="17" w:name="_Toc28359081"/>
      <w:bookmarkStart w:id="18" w:name="_Toc28359004"/>
      <w:r>
        <w:rPr>
          <w:rFonts w:hint="eastAsia" w:ascii="宋体" w:hAnsi="宋体" w:cs="宋体"/>
          <w:color w:val="auto"/>
          <w:szCs w:val="21"/>
          <w:highlight w:val="none"/>
        </w:rPr>
        <w:t>2、落实政府采购政策需满足的资格要求：</w:t>
      </w:r>
    </w:p>
    <w:p w14:paraId="0D59C673">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专门面向中小企业采购的项目（</w:t>
      </w:r>
      <w:r>
        <w:rPr>
          <w:rFonts w:hint="eastAsia" w:ascii="宋体" w:hAnsi="宋体"/>
          <w:color w:val="auto"/>
          <w:szCs w:val="21"/>
          <w:highlight w:val="none"/>
          <w:lang w:eastAsia="zh-CN"/>
        </w:rPr>
        <w:t>供应商必须提供中小企业声明函或者残疾人福利性单位声明函或者供应商属于监狱企业的需提供由省级以上监狱管理局、戒毒管理局（含新疆生产建设兵团）出具的属于监狱企业的证明文件</w:t>
      </w:r>
      <w:r>
        <w:rPr>
          <w:rFonts w:hint="eastAsia" w:ascii="宋体" w:hAnsi="宋体"/>
          <w:color w:val="auto"/>
          <w:szCs w:val="21"/>
          <w:highlight w:val="none"/>
        </w:rPr>
        <w:t>)</w:t>
      </w:r>
    </w:p>
    <w:p w14:paraId="0C4EEF77">
      <w:pPr>
        <w:spacing w:line="500" w:lineRule="exact"/>
        <w:ind w:firstLine="440" w:firstLineChars="200"/>
        <w:rPr>
          <w:rFonts w:ascii="宋体" w:hAnsi="宋体"/>
          <w:color w:val="auto"/>
          <w:szCs w:val="21"/>
          <w:highlight w:val="none"/>
        </w:rPr>
      </w:pPr>
      <w:r>
        <w:rPr>
          <w:rFonts w:hint="eastAsia" w:ascii="Segoe UI Symbol" w:hAnsi="Segoe UI Symbol" w:cs="Segoe UI Symbol"/>
          <w:color w:val="auto"/>
          <w:sz w:val="22"/>
          <w:szCs w:val="22"/>
          <w:highlight w:val="none"/>
          <w:lang w:eastAsia="zh-CN"/>
        </w:rPr>
        <w:t>□</w:t>
      </w:r>
      <w:r>
        <w:rPr>
          <w:rFonts w:hint="eastAsia" w:ascii="宋体" w:hAnsi="宋体"/>
          <w:color w:val="auto"/>
          <w:szCs w:val="21"/>
          <w:highlight w:val="none"/>
        </w:rPr>
        <w:t>非专门面向中小企业采购的项目</w:t>
      </w:r>
    </w:p>
    <w:p w14:paraId="7573D485">
      <w:pPr>
        <w:numPr>
          <w:ilvl w:val="255"/>
          <w:numId w:val="0"/>
        </w:numPr>
        <w:spacing w:line="500" w:lineRule="exact"/>
        <w:ind w:firstLine="420" w:firstLineChars="200"/>
        <w:rPr>
          <w:rFonts w:ascii="宋体" w:hAnsi="宋体"/>
          <w:color w:val="auto"/>
          <w:szCs w:val="21"/>
          <w:highlight w:val="none"/>
        </w:rPr>
      </w:pPr>
      <w:r>
        <w:rPr>
          <w:rFonts w:hint="eastAsia" w:ascii="宋体" w:hAnsi="宋体" w:cs="宋体"/>
          <w:color w:val="auto"/>
          <w:szCs w:val="21"/>
          <w:highlight w:val="none"/>
        </w:rPr>
        <w:t>3、本项目的特定资格</w:t>
      </w:r>
      <w:r>
        <w:rPr>
          <w:rFonts w:hint="eastAsia" w:ascii="宋体" w:hAnsi="宋体" w:cs="Times New Roman"/>
          <w:color w:val="auto"/>
          <w:szCs w:val="21"/>
          <w:highlight w:val="none"/>
        </w:rPr>
        <w:t>要求：①</w:t>
      </w:r>
      <w:r>
        <w:rPr>
          <w:rFonts w:hint="eastAsia" w:ascii="宋体" w:hAnsi="宋体"/>
          <w:color w:val="auto"/>
          <w:szCs w:val="21"/>
          <w:highlight w:val="none"/>
        </w:rPr>
        <w:t>投标人如为生产企业，且所投分标中药饮片采购清单均为本企业生产的，提供有效期内的《药品生产许可证》；若所投分标中药饮片采购清单含非本企业生产的品种，须同时提供有效期内的《药品经营许可证》；</w:t>
      </w:r>
      <w:r>
        <w:rPr>
          <w:rFonts w:hint="eastAsia" w:ascii="宋体" w:hAnsi="宋体" w:cs="Times New Roman"/>
          <w:color w:val="auto"/>
          <w:szCs w:val="21"/>
          <w:highlight w:val="none"/>
        </w:rPr>
        <w:t>②</w:t>
      </w:r>
      <w:r>
        <w:rPr>
          <w:rFonts w:hint="eastAsia" w:ascii="宋体" w:hAnsi="宋体"/>
          <w:color w:val="auto"/>
          <w:szCs w:val="21"/>
          <w:highlight w:val="none"/>
        </w:rPr>
        <w:t>投标人如为经营企业，须提供有效期内的《药品经营许可证》</w:t>
      </w:r>
      <w:r>
        <w:rPr>
          <w:rFonts w:hint="eastAsia" w:ascii="宋体" w:hAnsi="宋体"/>
          <w:color w:val="auto"/>
          <w:szCs w:val="21"/>
          <w:highlight w:val="none"/>
          <w:lang w:eastAsia="zh-CN"/>
        </w:rPr>
        <w:t>。</w:t>
      </w:r>
    </w:p>
    <w:bookmarkEnd w:id="16"/>
    <w:p w14:paraId="3427B790">
      <w:pPr>
        <w:spacing w:line="500" w:lineRule="exact"/>
        <w:rPr>
          <w:rFonts w:ascii="宋体" w:hAnsi="宋体" w:cs="宋体"/>
          <w:b/>
          <w:bCs/>
          <w:color w:val="auto"/>
          <w:sz w:val="24"/>
          <w:highlight w:val="none"/>
        </w:rPr>
      </w:pPr>
      <w:bookmarkStart w:id="19" w:name="_Toc35393792"/>
      <w:bookmarkStart w:id="20" w:name="_Toc35393623"/>
      <w:r>
        <w:rPr>
          <w:rFonts w:hint="eastAsia" w:ascii="宋体" w:hAnsi="宋体" w:cs="宋体"/>
          <w:b/>
          <w:bCs/>
          <w:color w:val="auto"/>
          <w:sz w:val="24"/>
          <w:highlight w:val="none"/>
        </w:rPr>
        <w:t>三、获取招标文件</w:t>
      </w:r>
      <w:bookmarkEnd w:id="17"/>
      <w:bookmarkEnd w:id="18"/>
      <w:bookmarkEnd w:id="19"/>
      <w:bookmarkEnd w:id="20"/>
    </w:p>
    <w:p w14:paraId="4E80C9FD">
      <w:pPr>
        <w:spacing w:line="50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时间：</w:t>
      </w:r>
      <w:r>
        <w:rPr>
          <w:rFonts w:hint="eastAsia" w:ascii="宋体" w:hAnsi="宋体" w:cs="宋体"/>
          <w:color w:val="auto"/>
          <w:highlight w:val="none"/>
          <w:lang w:eastAsia="zh-CN"/>
        </w:rPr>
        <w:t>2025年11月7日</w:t>
      </w:r>
      <w:r>
        <w:rPr>
          <w:rFonts w:hint="eastAsia" w:ascii="宋体" w:hAnsi="宋体" w:cs="宋体"/>
          <w:color w:val="auto"/>
          <w:szCs w:val="21"/>
          <w:highlight w:val="none"/>
        </w:rPr>
        <w:t>至</w:t>
      </w:r>
      <w:r>
        <w:rPr>
          <w:rFonts w:hint="eastAsia" w:ascii="宋体" w:hAnsi="宋体" w:cs="宋体"/>
          <w:color w:val="auto"/>
          <w:highlight w:val="none"/>
        </w:rPr>
        <w:t>202</w:t>
      </w:r>
      <w:r>
        <w:rPr>
          <w:rFonts w:hint="eastAsia" w:ascii="宋体" w:hAnsi="宋体" w:cs="宋体"/>
          <w:color w:val="auto"/>
          <w:highlight w:val="none"/>
          <w:lang w:val="en-US" w:eastAsia="zh-CN"/>
        </w:rPr>
        <w:t>5</w:t>
      </w:r>
      <w:r>
        <w:rPr>
          <w:rFonts w:hint="eastAsia" w:ascii="宋体" w:hAnsi="宋体" w:cs="宋体"/>
          <w:color w:val="auto"/>
          <w:highlight w:val="none"/>
        </w:rPr>
        <w:t>年</w:t>
      </w:r>
      <w:r>
        <w:rPr>
          <w:rFonts w:hint="eastAsia" w:ascii="宋体" w:hAnsi="宋体" w:cs="宋体"/>
          <w:color w:val="auto"/>
          <w:highlight w:val="none"/>
          <w:lang w:val="en-US" w:eastAsia="zh-CN"/>
        </w:rPr>
        <w:t>11</w:t>
      </w:r>
      <w:r>
        <w:rPr>
          <w:rFonts w:hint="eastAsia" w:ascii="宋体" w:hAnsi="宋体" w:cs="宋体"/>
          <w:color w:val="auto"/>
          <w:highlight w:val="none"/>
        </w:rPr>
        <w:t>月</w:t>
      </w:r>
      <w:r>
        <w:rPr>
          <w:rFonts w:hint="eastAsia" w:ascii="宋体" w:hAnsi="宋体" w:cs="宋体"/>
          <w:color w:val="auto"/>
          <w:highlight w:val="none"/>
          <w:lang w:val="en-US" w:eastAsia="zh-CN"/>
        </w:rPr>
        <w:t>14</w:t>
      </w:r>
      <w:r>
        <w:rPr>
          <w:rFonts w:hint="eastAsia" w:ascii="宋体" w:hAnsi="宋体" w:cs="宋体"/>
          <w:color w:val="auto"/>
          <w:highlight w:val="none"/>
        </w:rPr>
        <w:t>日</w:t>
      </w:r>
      <w:r>
        <w:rPr>
          <w:rFonts w:hint="eastAsia" w:ascii="宋体" w:hAnsi="宋体" w:cs="宋体"/>
          <w:color w:val="auto"/>
          <w:szCs w:val="21"/>
          <w:highlight w:val="none"/>
        </w:rPr>
        <w:t>，每天上午00:00-12:00；下午1</w:t>
      </w:r>
      <w:r>
        <w:rPr>
          <w:rFonts w:hint="eastAsia" w:ascii="宋体" w:hAnsi="宋体" w:cs="宋体"/>
          <w:color w:val="auto"/>
          <w:highlight w:val="none"/>
        </w:rPr>
        <w:t>2</w:t>
      </w:r>
      <w:r>
        <w:rPr>
          <w:rFonts w:hint="eastAsia" w:ascii="宋体" w:hAnsi="宋体" w:cs="宋体"/>
          <w:color w:val="auto"/>
          <w:szCs w:val="21"/>
          <w:highlight w:val="none"/>
        </w:rPr>
        <w:t>:</w:t>
      </w:r>
      <w:r>
        <w:rPr>
          <w:rFonts w:hint="eastAsia" w:ascii="宋体" w:hAnsi="宋体" w:cs="宋体"/>
          <w:color w:val="auto"/>
          <w:highlight w:val="none"/>
        </w:rPr>
        <w:t>00</w:t>
      </w:r>
      <w:r>
        <w:rPr>
          <w:rFonts w:hint="eastAsia" w:ascii="宋体" w:hAnsi="宋体" w:cs="宋体"/>
          <w:color w:val="auto"/>
          <w:szCs w:val="21"/>
          <w:highlight w:val="none"/>
        </w:rPr>
        <w:t>-23:</w:t>
      </w:r>
      <w:r>
        <w:rPr>
          <w:rFonts w:hint="eastAsia" w:ascii="宋体" w:hAnsi="宋体" w:cs="宋体"/>
          <w:color w:val="auto"/>
          <w:highlight w:val="none"/>
        </w:rPr>
        <w:t>59</w:t>
      </w:r>
      <w:r>
        <w:rPr>
          <w:rFonts w:hint="eastAsia" w:ascii="宋体" w:hAnsi="宋体" w:cs="宋体"/>
          <w:color w:val="auto"/>
          <w:szCs w:val="21"/>
          <w:highlight w:val="none"/>
        </w:rPr>
        <w:t>（北京时间，法定节假日除外）。</w:t>
      </w:r>
    </w:p>
    <w:p w14:paraId="7B86E0A5">
      <w:pPr>
        <w:spacing w:line="50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地点：广西政府采购云平台（https://www.gcy.zfcg.gxzf.gov.cn/）</w:t>
      </w:r>
    </w:p>
    <w:p w14:paraId="67D0E247">
      <w:pPr>
        <w:spacing w:line="50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方式：网上下载。本项目不发放纸质文件，供应商应自行在</w:t>
      </w:r>
      <w:r>
        <w:rPr>
          <w:color w:val="auto"/>
          <w:highlight w:val="none"/>
        </w:rPr>
        <w:fldChar w:fldCharType="begin"/>
      </w:r>
      <w:r>
        <w:rPr>
          <w:color w:val="auto"/>
          <w:highlight w:val="none"/>
        </w:rPr>
        <w:instrText xml:space="preserve"> HYPERLINK </w:instrText>
      </w:r>
      <w:r>
        <w:rPr>
          <w:color w:val="auto"/>
          <w:highlight w:val="none"/>
        </w:rPr>
        <w:fldChar w:fldCharType="separate"/>
      </w:r>
      <w:r>
        <w:rPr>
          <w:color w:val="auto"/>
          <w:highlight w:val="none"/>
        </w:rPr>
        <w:fldChar w:fldCharType="end"/>
      </w:r>
      <w:r>
        <w:rPr>
          <w:rFonts w:hint="eastAsia" w:ascii="宋体" w:hAnsi="宋体" w:cs="宋体"/>
          <w:bCs/>
          <w:color w:val="auto"/>
          <w:kern w:val="0"/>
          <w:szCs w:val="21"/>
          <w:highlight w:val="none"/>
        </w:rPr>
        <w:t>广西政府采购云平台（https://www.gcy.zfcg.gxzf.gov.cn/）下载招标文件（操作路径：登录广西政府采购云平台-项目采购-获取采购文件-找到本项目-点击“申请获取采购文件”），电子投标文件制作需要基于广西政府采购云平台获取的招标文件编制。</w:t>
      </w:r>
    </w:p>
    <w:p w14:paraId="43E70F6D">
      <w:pPr>
        <w:spacing w:line="500" w:lineRule="exact"/>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售价：0元。</w:t>
      </w:r>
    </w:p>
    <w:p w14:paraId="62E90AB6">
      <w:pPr>
        <w:spacing w:line="500" w:lineRule="exact"/>
        <w:rPr>
          <w:rFonts w:ascii="宋体" w:hAnsi="宋体" w:cs="宋体"/>
          <w:color w:val="auto"/>
          <w:szCs w:val="21"/>
          <w:highlight w:val="none"/>
          <w:lang w:bidi="ar"/>
        </w:rPr>
      </w:pPr>
      <w:bookmarkStart w:id="21" w:name="_Toc28359005"/>
      <w:bookmarkStart w:id="22" w:name="_Toc28359082"/>
      <w:bookmarkStart w:id="23" w:name="_Toc35393624"/>
      <w:bookmarkStart w:id="24" w:name="_Toc35393793"/>
      <w:r>
        <w:rPr>
          <w:rFonts w:hint="eastAsia" w:ascii="宋体" w:hAnsi="宋体" w:cs="宋体"/>
          <w:b/>
          <w:bCs/>
          <w:color w:val="auto"/>
          <w:sz w:val="24"/>
          <w:highlight w:val="none"/>
        </w:rPr>
        <w:t>四、提交投标文件</w:t>
      </w:r>
      <w:bookmarkEnd w:id="21"/>
      <w:bookmarkEnd w:id="22"/>
      <w:r>
        <w:rPr>
          <w:rFonts w:hint="eastAsia" w:ascii="宋体" w:hAnsi="宋体" w:cs="宋体"/>
          <w:b/>
          <w:bCs/>
          <w:color w:val="auto"/>
          <w:sz w:val="24"/>
          <w:highlight w:val="none"/>
        </w:rPr>
        <w:t>截止时间、开标时间和地点</w:t>
      </w:r>
      <w:bookmarkEnd w:id="23"/>
      <w:bookmarkEnd w:id="24"/>
      <w:bookmarkStart w:id="25" w:name="_Toc35393625"/>
      <w:bookmarkStart w:id="26" w:name="_Toc28359007"/>
      <w:bookmarkStart w:id="27" w:name="_Toc35393794"/>
      <w:bookmarkStart w:id="28" w:name="_Toc28359084"/>
    </w:p>
    <w:p w14:paraId="3A69B31A">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提交投标文件截止时间：</w:t>
      </w:r>
      <w:r>
        <w:rPr>
          <w:rFonts w:hint="eastAsia" w:ascii="宋体" w:hAnsi="宋体" w:cs="宋体"/>
          <w:color w:val="auto"/>
          <w:highlight w:val="none"/>
          <w:lang w:eastAsia="zh-CN"/>
        </w:rPr>
        <w:t>2025年11月28日09点30分</w:t>
      </w:r>
      <w:r>
        <w:rPr>
          <w:rFonts w:hint="eastAsia" w:ascii="宋体" w:hAnsi="宋体" w:cs="宋体"/>
          <w:color w:val="auto"/>
          <w:highlight w:val="none"/>
        </w:rPr>
        <w:t>（北京时间）</w:t>
      </w:r>
    </w:p>
    <w:p w14:paraId="2D6156B3">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投标地点（网址）：本项目为全流程电子化项目，没有现场递交投标文件及现场开标环节，通过广西政府采购云平台（https://www.gcy.zfcg.gxzf.gov.cn/）实行在线电子投标，按照本项目招标文件和广西政府采购云平台的要求使用CA认证编制、加密投标文件后在投标截止时间前上传至广西政府采购云平台，供应商在广西政府采购云平台提交电子版投标文件时，请填写参加远程开标活动经办人联系方式。 </w:t>
      </w:r>
    </w:p>
    <w:p w14:paraId="10D3591B">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开标时间：</w:t>
      </w:r>
      <w:r>
        <w:rPr>
          <w:rFonts w:hint="eastAsia" w:ascii="宋体" w:hAnsi="宋体" w:cs="宋体"/>
          <w:color w:val="auto"/>
          <w:highlight w:val="none"/>
          <w:lang w:eastAsia="zh-CN"/>
        </w:rPr>
        <w:t>2025年11月28日09点30分</w:t>
      </w:r>
      <w:r>
        <w:rPr>
          <w:rFonts w:hint="eastAsia" w:ascii="宋体" w:hAnsi="宋体" w:cs="宋体"/>
          <w:color w:val="auto"/>
          <w:highlight w:val="none"/>
        </w:rPr>
        <w:t>（北京时间）</w:t>
      </w:r>
    </w:p>
    <w:p w14:paraId="20ABC53B">
      <w:pPr>
        <w:spacing w:line="500" w:lineRule="exact"/>
        <w:ind w:firstLine="420" w:firstLineChars="200"/>
        <w:rPr>
          <w:rFonts w:ascii="宋体" w:hAnsi="宋体" w:cs="宋体"/>
          <w:color w:val="auto"/>
          <w:szCs w:val="21"/>
          <w:highlight w:val="none"/>
          <w:lang w:bidi="ar"/>
        </w:rPr>
      </w:pPr>
      <w:r>
        <w:rPr>
          <w:rFonts w:hint="eastAsia" w:ascii="宋体" w:hAnsi="宋体" w:cs="宋体"/>
          <w:color w:val="auto"/>
          <w:highlight w:val="none"/>
        </w:rPr>
        <w:t>开标地点：本项目将在广西政府采购云平台电子开标大厅解密、开标</w:t>
      </w:r>
    </w:p>
    <w:p w14:paraId="757CAF15">
      <w:pPr>
        <w:spacing w:line="500" w:lineRule="exact"/>
        <w:rPr>
          <w:rFonts w:ascii="宋体" w:hAnsi="宋体" w:cs="宋体"/>
          <w:b/>
          <w:bCs/>
          <w:color w:val="auto"/>
          <w:sz w:val="24"/>
          <w:highlight w:val="none"/>
        </w:rPr>
      </w:pPr>
      <w:r>
        <w:rPr>
          <w:rFonts w:hint="eastAsia" w:ascii="宋体" w:hAnsi="宋体" w:cs="宋体"/>
          <w:b/>
          <w:bCs/>
          <w:color w:val="auto"/>
          <w:sz w:val="24"/>
          <w:highlight w:val="none"/>
        </w:rPr>
        <w:t>五、公告期限</w:t>
      </w:r>
      <w:bookmarkEnd w:id="25"/>
      <w:bookmarkEnd w:id="26"/>
      <w:bookmarkEnd w:id="27"/>
      <w:bookmarkEnd w:id="28"/>
    </w:p>
    <w:p w14:paraId="3B7B5407">
      <w:pPr>
        <w:spacing w:line="5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211A60EE">
      <w:pPr>
        <w:spacing w:line="500" w:lineRule="exact"/>
        <w:rPr>
          <w:rFonts w:ascii="宋体" w:hAnsi="宋体" w:cs="宋体"/>
          <w:color w:val="auto"/>
          <w:kern w:val="0"/>
          <w:szCs w:val="21"/>
          <w:highlight w:val="none"/>
        </w:rPr>
      </w:pPr>
      <w:bookmarkStart w:id="29" w:name="_Toc35393795"/>
      <w:bookmarkStart w:id="30" w:name="_Toc35393626"/>
      <w:r>
        <w:rPr>
          <w:rFonts w:hint="eastAsia" w:ascii="宋体" w:hAnsi="宋体" w:cs="宋体"/>
          <w:b/>
          <w:bCs/>
          <w:color w:val="auto"/>
          <w:sz w:val="24"/>
          <w:highlight w:val="none"/>
        </w:rPr>
        <w:t>六、其他补充事宜</w:t>
      </w:r>
      <w:bookmarkEnd w:id="29"/>
      <w:bookmarkEnd w:id="30"/>
      <w:bookmarkStart w:id="31" w:name="_Hlk37429674"/>
    </w:p>
    <w:p w14:paraId="6BA405EB">
      <w:pPr>
        <w:pStyle w:val="15"/>
        <w:spacing w:line="5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eastAsia="zh-CN"/>
        </w:rPr>
        <w:t>本项目不收取投标保证金</w:t>
      </w:r>
      <w:r>
        <w:rPr>
          <w:rFonts w:hint="eastAsia" w:ascii="宋体" w:hAnsi="宋体" w:cs="宋体" w:eastAsiaTheme="minorEastAsia"/>
          <w:color w:val="auto"/>
          <w:kern w:val="2"/>
          <w:sz w:val="21"/>
          <w:szCs w:val="21"/>
          <w:highlight w:val="none"/>
          <w:lang w:val="en-US" w:eastAsia="zh-CN" w:bidi="ar-SA"/>
        </w:rPr>
        <w:t>。</w:t>
      </w:r>
    </w:p>
    <w:p w14:paraId="763901A6">
      <w:pPr>
        <w:spacing w:line="5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2、采购意向公开链接：</w:t>
      </w:r>
    </w:p>
    <w:p w14:paraId="14F9C930">
      <w:pPr>
        <w:spacing w:line="5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https://zfcg.gxzf.gov.cn/site/detail?parentId=66485&amp;articleId=/3l/gBys9kK6npYhUQYn9Q==。</w:t>
      </w:r>
    </w:p>
    <w:p w14:paraId="20B5C4FF">
      <w:pPr>
        <w:spacing w:line="5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6F46144">
      <w:pPr>
        <w:spacing w:line="5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6EC5BDC8">
      <w:pPr>
        <w:spacing w:line="5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5、网上查询地址：中国政府采购网（www.ccgp.gov.cn）、广西政府采购网（zfcg.gxzf.gov.cn）、广西壮族自治区公共资源交易中心网（gxggzy.gxzf.gov.cn）。</w:t>
      </w:r>
    </w:p>
    <w:p w14:paraId="4961CB74">
      <w:pPr>
        <w:spacing w:line="5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6、本项目需要落实的政府采购政策：</w:t>
      </w:r>
    </w:p>
    <w:p w14:paraId="25AC6A8D">
      <w:pPr>
        <w:spacing w:line="5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74561270">
      <w:pPr>
        <w:spacing w:line="5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67BC98EE">
      <w:pPr>
        <w:spacing w:line="5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52069D91">
      <w:pPr>
        <w:spacing w:line="5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631CD09A">
      <w:pPr>
        <w:spacing w:line="5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629C3020">
      <w:pPr>
        <w:spacing w:line="5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（6）扶持不发达地区和少数民族地区政策</w:t>
      </w:r>
    </w:p>
    <w:p w14:paraId="115128FC">
      <w:pPr>
        <w:widowControl/>
        <w:spacing w:line="5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7、投标注意事项：</w:t>
      </w:r>
    </w:p>
    <w:p w14:paraId="256FC91B">
      <w:pPr>
        <w:widowControl/>
        <w:spacing w:line="500" w:lineRule="exact"/>
        <w:ind w:firstLine="420" w:firstLineChars="200"/>
        <w:rPr>
          <w:rFonts w:ascii="宋体" w:hAnsi="宋体" w:cs="宋体"/>
          <w:bCs/>
          <w:color w:val="auto"/>
          <w:szCs w:val="21"/>
          <w:highlight w:val="none"/>
        </w:rPr>
      </w:pPr>
      <w:r>
        <w:rPr>
          <w:rFonts w:hint="eastAsia" w:ascii="宋体" w:hAnsi="宋体" w:cs="宋体"/>
          <w:color w:val="auto"/>
          <w:szCs w:val="21"/>
          <w:highlight w:val="none"/>
        </w:rPr>
        <w:t>（1）投标文件提交方式：本项目为全流程电子化政府采购项目，通过广西政府采购云平台（https://www.gcy.zfcg.gxzf.gov.cn/）实行在线电子投标，供应商应先安装“广西政府采购云平台电子交易客户端”（请自行前往广西政府采购云平台进行下载），并按照本项目招标文件和广西政府采购云平台的要求编制、加密后在投标截止时间前通过网络上传至广西政府采购云平台，</w:t>
      </w:r>
      <w:r>
        <w:rPr>
          <w:rFonts w:hint="eastAsia" w:ascii="宋体" w:hAnsi="宋体" w:cs="宋体"/>
          <w:b/>
          <w:color w:val="auto"/>
          <w:szCs w:val="21"/>
          <w:highlight w:val="none"/>
        </w:rPr>
        <w:t>供应商在广西政府采购云平台提交电子版投标文件时，请填写参加远程开标活动经办人联系方式。</w:t>
      </w:r>
    </w:p>
    <w:p w14:paraId="7A7CCBE5">
      <w:pPr>
        <w:widowControl/>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（2）供应商应及时熟悉掌握电子标系统操作指南（见广西政府采购云平台电子卖场首页右上角—服务中心—帮助文档—项目采购）：</w:t>
      </w:r>
      <w:r>
        <w:rPr>
          <w:color w:val="auto"/>
          <w:highlight w:val="none"/>
        </w:rPr>
        <w:fldChar w:fldCharType="begin"/>
      </w:r>
      <w:r>
        <w:rPr>
          <w:color w:val="auto"/>
          <w:highlight w:val="none"/>
        </w:rPr>
        <w:instrText xml:space="preserve"> HYPERLINK "https://service.zcygov.cn/" \l "/knowledges/tree?tag=AG1DtGwBFdiHxlNdhY0r" </w:instrText>
      </w:r>
      <w:r>
        <w:rPr>
          <w:color w:val="auto"/>
          <w:highlight w:val="none"/>
        </w:rPr>
        <w:fldChar w:fldCharType="separate"/>
      </w:r>
      <w:r>
        <w:rPr>
          <w:rFonts w:hint="eastAsia" w:ascii="宋体" w:hAnsi="宋体" w:cs="宋体"/>
          <w:color w:val="auto"/>
          <w:highlight w:val="none"/>
        </w:rPr>
        <w:t>https://service.zcygov.cn/#/knowledges/tree?tag=AG1DtGwBFdiHxlNdhY0r</w:t>
      </w:r>
      <w:r>
        <w:rPr>
          <w:rFonts w:hint="eastAsia" w:ascii="宋体" w:hAnsi="宋体" w:cs="宋体"/>
          <w:color w:val="auto"/>
          <w:highlight w:val="none"/>
        </w:rPr>
        <w:fldChar w:fldCharType="end"/>
      </w:r>
      <w:r>
        <w:rPr>
          <w:rFonts w:hint="eastAsia" w:ascii="宋体" w:hAnsi="宋体" w:cs="宋体"/>
          <w:color w:val="auto"/>
          <w:szCs w:val="21"/>
          <w:highlight w:val="none"/>
        </w:rPr>
        <w:t>；及时完成CA申领和绑定（见广西政府采购网—办事服务—下载专区-政采云CA证书办理操作指南）。</w:t>
      </w:r>
    </w:p>
    <w:p w14:paraId="4E26CBF6">
      <w:pPr>
        <w:widowControl/>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未进行网上注册并办理数字证书（CA认证）的供应商将无法参与本项目政府采购活动，潜在供应商应当在投标截止时间前，完成电子交易平台上的CA数字证书办理及投标文件的提交。完成CA数字证书办理预计5日左右，投标人只需办理其中一家CA数字证书及签章，建议各投标人抓紧时间办理。</w:t>
      </w:r>
    </w:p>
    <w:p w14:paraId="6BF97F78">
      <w:pPr>
        <w:widowControl/>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（4）为确保网上操作合法、有效和安全，请投标人确保在电子投标过程中能够对相关数据电文进行加密和使用电子签章，妥善保管CA数字证书并使用有效的CA数字证书参与整个采购活动。</w:t>
      </w:r>
    </w:p>
    <w:p w14:paraId="24499A0A">
      <w:pPr>
        <w:spacing w:line="5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63DB445E">
      <w:pPr>
        <w:snapToGrid w:val="0"/>
        <w:spacing w:line="5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8、CA证书在线解密：供应商投标时，需携带制作投标文件时用来加密的有效数字证书（CA认证）登录广西政府采购云平台电子开标大厅现场按规定时间对加密的投标文件进行解密，否则后果自负。</w:t>
      </w:r>
    </w:p>
    <w:p w14:paraId="248B9344">
      <w:pPr>
        <w:spacing w:line="5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9、若对项目采购电子交易系统操作有疑问，可登录广西政府采购云平台（https://www.gcy.zfcg.gxzf.gov.cn/），点击右侧咨询小采，获取采小蜜智能服务管家帮助，或拨打广西政府采购云平台服务热线95763获取热线服务帮助。</w:t>
      </w:r>
    </w:p>
    <w:bookmarkEnd w:id="31"/>
    <w:p w14:paraId="60A4C8D4">
      <w:pPr>
        <w:spacing w:line="500" w:lineRule="exact"/>
        <w:rPr>
          <w:rFonts w:ascii="宋体" w:hAnsi="宋体" w:cs="宋体"/>
          <w:b/>
          <w:bCs/>
          <w:color w:val="auto"/>
          <w:sz w:val="24"/>
          <w:highlight w:val="none"/>
        </w:rPr>
      </w:pPr>
      <w:bookmarkStart w:id="32" w:name="_Toc35393627"/>
      <w:bookmarkStart w:id="33" w:name="_Toc28359085"/>
      <w:bookmarkStart w:id="34" w:name="_Toc35393796"/>
      <w:bookmarkStart w:id="35" w:name="_Toc28359008"/>
      <w:r>
        <w:rPr>
          <w:rFonts w:hint="eastAsia" w:ascii="宋体" w:hAnsi="宋体" w:cs="宋体"/>
          <w:b/>
          <w:bCs/>
          <w:color w:val="auto"/>
          <w:sz w:val="24"/>
          <w:highlight w:val="none"/>
        </w:rPr>
        <w:t>七、对本次招标提出询问，请按以下方式联系。</w:t>
      </w:r>
      <w:bookmarkEnd w:id="32"/>
      <w:bookmarkEnd w:id="33"/>
      <w:bookmarkEnd w:id="34"/>
      <w:bookmarkEnd w:id="35"/>
    </w:p>
    <w:p w14:paraId="04A51DD4">
      <w:pPr>
        <w:spacing w:line="500" w:lineRule="exact"/>
        <w:ind w:firstLine="567" w:firstLineChars="270"/>
        <w:jc w:val="left"/>
        <w:rPr>
          <w:rFonts w:ascii="宋体" w:hAnsi="宋体" w:cs="宋体"/>
          <w:color w:val="auto"/>
          <w:szCs w:val="21"/>
          <w:highlight w:val="none"/>
        </w:rPr>
      </w:pPr>
      <w:r>
        <w:rPr>
          <w:rFonts w:hint="eastAsia" w:ascii="宋体" w:hAnsi="宋体" w:cs="宋体"/>
          <w:color w:val="auto"/>
          <w:szCs w:val="21"/>
          <w:highlight w:val="none"/>
        </w:rPr>
        <w:t>1.采购人信息</w:t>
      </w:r>
    </w:p>
    <w:p w14:paraId="77D78FFF">
      <w:pPr>
        <w:spacing w:line="500" w:lineRule="exact"/>
        <w:ind w:firstLine="567" w:firstLineChars="27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 称：</w:t>
      </w:r>
      <w:r>
        <w:rPr>
          <w:rFonts w:hint="eastAsia" w:ascii="宋体" w:hAnsi="宋体" w:cs="宋体"/>
          <w:color w:val="auto"/>
          <w:highlight w:val="none"/>
          <w:lang w:eastAsia="zh-CN"/>
        </w:rPr>
        <w:t>广西壮族自治区中医药研究院</w:t>
      </w:r>
    </w:p>
    <w:p w14:paraId="50BE88C2">
      <w:pPr>
        <w:spacing w:line="500" w:lineRule="exact"/>
        <w:ind w:firstLine="567" w:firstLineChars="27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地址：</w:t>
      </w:r>
      <w:r>
        <w:rPr>
          <w:rFonts w:hint="eastAsia" w:ascii="宋体" w:hAnsi="宋体" w:cs="宋体"/>
          <w:color w:val="auto"/>
          <w:szCs w:val="21"/>
          <w:highlight w:val="none"/>
          <w:lang w:eastAsia="zh-CN"/>
        </w:rPr>
        <w:t>南宁市东葛路20-1号</w:t>
      </w:r>
    </w:p>
    <w:p w14:paraId="1042FCFF">
      <w:pPr>
        <w:spacing w:line="500" w:lineRule="exact"/>
        <w:ind w:firstLine="567" w:firstLineChars="270"/>
        <w:jc w:val="left"/>
        <w:rPr>
          <w:rFonts w:hint="eastAsia" w:ascii="宋体" w:hAnsi="宋体" w:eastAsia="宋体" w:cs="宋体"/>
          <w:color w:val="auto"/>
          <w:highlight w:val="none"/>
          <w:lang w:eastAsia="zh-CN"/>
        </w:rPr>
      </w:pPr>
      <w:r>
        <w:rPr>
          <w:rFonts w:hint="eastAsia" w:ascii="宋体" w:hAnsi="宋体" w:cs="宋体"/>
          <w:color w:val="auto"/>
          <w:szCs w:val="21"/>
          <w:highlight w:val="none"/>
        </w:rPr>
        <w:t>联系人：</w:t>
      </w:r>
      <w:bookmarkStart w:id="36" w:name="_Toc28359086"/>
      <w:bookmarkStart w:id="37" w:name="_Toc28359009"/>
      <w:r>
        <w:rPr>
          <w:rFonts w:hint="eastAsia" w:ascii="宋体" w:hAnsi="宋体" w:cs="宋体"/>
          <w:color w:val="auto"/>
          <w:szCs w:val="21"/>
          <w:highlight w:val="none"/>
          <w:lang w:eastAsia="zh-CN"/>
        </w:rPr>
        <w:t>黄老师</w:t>
      </w: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0771-5874431</w:t>
      </w:r>
    </w:p>
    <w:p w14:paraId="4D0D6F1E">
      <w:pPr>
        <w:spacing w:line="500" w:lineRule="exact"/>
        <w:ind w:firstLine="567" w:firstLineChars="270"/>
        <w:jc w:val="left"/>
        <w:rPr>
          <w:rFonts w:ascii="宋体" w:hAnsi="宋体" w:cs="宋体"/>
          <w:color w:val="auto"/>
          <w:szCs w:val="21"/>
          <w:highlight w:val="none"/>
        </w:rPr>
      </w:pPr>
      <w:r>
        <w:rPr>
          <w:rFonts w:hint="eastAsia" w:ascii="宋体" w:hAnsi="宋体" w:cs="宋体"/>
          <w:color w:val="auto"/>
          <w:szCs w:val="21"/>
          <w:highlight w:val="none"/>
        </w:rPr>
        <w:t>2.采购代理机构信息</w:t>
      </w:r>
      <w:bookmarkEnd w:id="36"/>
      <w:bookmarkEnd w:id="37"/>
    </w:p>
    <w:p w14:paraId="4D67A516">
      <w:pPr>
        <w:spacing w:line="500" w:lineRule="exact"/>
        <w:ind w:firstLine="567" w:firstLineChars="270"/>
        <w:rPr>
          <w:rFonts w:ascii="宋体" w:hAnsi="宋体" w:cs="宋体"/>
          <w:color w:val="auto"/>
          <w:szCs w:val="21"/>
          <w:highlight w:val="none"/>
        </w:rPr>
      </w:pPr>
      <w:r>
        <w:rPr>
          <w:rFonts w:hint="eastAsia" w:ascii="宋体" w:hAnsi="宋体" w:cs="宋体"/>
          <w:color w:val="auto"/>
          <w:szCs w:val="21"/>
          <w:highlight w:val="none"/>
        </w:rPr>
        <w:t>名 称：广西国泰招标咨询有限公司</w:t>
      </w:r>
    </w:p>
    <w:p w14:paraId="7BFE598B">
      <w:pPr>
        <w:spacing w:line="500" w:lineRule="exact"/>
        <w:ind w:firstLine="567" w:firstLineChars="270"/>
        <w:rPr>
          <w:rFonts w:ascii="宋体" w:hAnsi="宋体" w:cs="宋体"/>
          <w:color w:val="auto"/>
          <w:szCs w:val="21"/>
          <w:highlight w:val="none"/>
        </w:rPr>
      </w:pPr>
      <w:r>
        <w:rPr>
          <w:rFonts w:hint="eastAsia" w:ascii="宋体" w:hAnsi="宋体" w:cs="宋体"/>
          <w:color w:val="auto"/>
          <w:szCs w:val="21"/>
          <w:highlight w:val="none"/>
        </w:rPr>
        <w:t>地　址：广西南宁市民族大道141号中鼎万象东方D区六楼607室</w:t>
      </w:r>
    </w:p>
    <w:p w14:paraId="1D251229">
      <w:pPr>
        <w:spacing w:line="500" w:lineRule="exact"/>
        <w:ind w:firstLine="567" w:firstLineChars="270"/>
        <w:rPr>
          <w:rFonts w:ascii="宋体" w:hAnsi="宋体" w:cs="宋体"/>
          <w:color w:val="auto"/>
          <w:szCs w:val="21"/>
          <w:highlight w:val="none"/>
        </w:rPr>
      </w:pPr>
      <w:r>
        <w:rPr>
          <w:rFonts w:hint="eastAsia" w:ascii="宋体" w:hAnsi="宋体" w:cs="宋体"/>
          <w:color w:val="auto"/>
          <w:szCs w:val="21"/>
          <w:highlight w:val="none"/>
        </w:rPr>
        <w:t>联系方式：</w:t>
      </w:r>
      <w:bookmarkStart w:id="38" w:name="_Toc28359087"/>
      <w:bookmarkStart w:id="39" w:name="_Toc28359010"/>
      <w:r>
        <w:rPr>
          <w:rFonts w:hint="eastAsia" w:ascii="宋体" w:hAnsi="宋体" w:cs="宋体"/>
          <w:color w:val="auto"/>
          <w:szCs w:val="21"/>
          <w:highlight w:val="none"/>
          <w:lang w:eastAsia="zh-CN"/>
        </w:rPr>
        <w:t>卢秋月、曾液丽</w:t>
      </w: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0771-2023537、0771-2023587</w:t>
      </w:r>
      <w:r>
        <w:rPr>
          <w:rFonts w:hint="eastAsia" w:ascii="宋体" w:hAnsi="宋体" w:cs="宋体"/>
          <w:color w:val="auto"/>
          <w:szCs w:val="21"/>
          <w:highlight w:val="none"/>
        </w:rPr>
        <w:t>　　　　　</w:t>
      </w:r>
    </w:p>
    <w:p w14:paraId="7D60ED69">
      <w:pPr>
        <w:spacing w:line="500" w:lineRule="exact"/>
        <w:ind w:firstLine="567" w:firstLineChars="270"/>
        <w:rPr>
          <w:rFonts w:ascii="宋体" w:hAnsi="宋体" w:cs="宋体"/>
          <w:color w:val="auto"/>
          <w:szCs w:val="21"/>
          <w:highlight w:val="none"/>
        </w:rPr>
      </w:pPr>
      <w:r>
        <w:rPr>
          <w:rFonts w:hint="eastAsia" w:ascii="宋体" w:hAnsi="宋体" w:cs="宋体"/>
          <w:color w:val="auto"/>
          <w:szCs w:val="21"/>
          <w:highlight w:val="none"/>
        </w:rPr>
        <w:t>3.项目联系方式</w:t>
      </w:r>
      <w:bookmarkEnd w:id="38"/>
      <w:bookmarkEnd w:id="39"/>
    </w:p>
    <w:p w14:paraId="63350581">
      <w:pPr>
        <w:pStyle w:val="13"/>
        <w:spacing w:line="500" w:lineRule="exact"/>
        <w:ind w:firstLine="567" w:firstLineChars="270"/>
        <w:rPr>
          <w:rFonts w:hAnsi="宋体" w:cs="宋体"/>
          <w:color w:val="auto"/>
          <w:sz w:val="21"/>
          <w:highlight w:val="none"/>
        </w:rPr>
      </w:pPr>
      <w:r>
        <w:rPr>
          <w:rFonts w:hint="eastAsia" w:hAnsi="宋体" w:cs="宋体"/>
          <w:color w:val="auto"/>
          <w:sz w:val="21"/>
          <w:highlight w:val="none"/>
        </w:rPr>
        <w:t>项目</w:t>
      </w:r>
      <w:r>
        <w:rPr>
          <w:rFonts w:hint="eastAsia" w:hAnsi="宋体" w:cs="宋体"/>
          <w:color w:val="auto"/>
          <w:kern w:val="2"/>
          <w:sz w:val="21"/>
          <w:highlight w:val="none"/>
        </w:rPr>
        <w:t>联系人：</w:t>
      </w:r>
      <w:r>
        <w:rPr>
          <w:rFonts w:hint="eastAsia" w:hAnsi="宋体" w:cs="宋体"/>
          <w:color w:val="auto"/>
          <w:kern w:val="2"/>
          <w:sz w:val="21"/>
          <w:highlight w:val="none"/>
          <w:lang w:eastAsia="zh-CN"/>
        </w:rPr>
        <w:t>卢秋月、曾液丽</w:t>
      </w:r>
      <w:r>
        <w:rPr>
          <w:rFonts w:hint="eastAsia" w:hAnsi="宋体" w:cs="宋体"/>
          <w:color w:val="auto"/>
          <w:kern w:val="2"/>
          <w:sz w:val="21"/>
          <w:highlight w:val="none"/>
        </w:rPr>
        <w:t xml:space="preserve"> </w:t>
      </w:r>
    </w:p>
    <w:p w14:paraId="0BB85B11">
      <w:pPr>
        <w:spacing w:line="500" w:lineRule="exact"/>
        <w:ind w:firstLine="567" w:firstLineChars="270"/>
        <w:rPr>
          <w:rFonts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lang w:eastAsia="zh-CN"/>
        </w:rPr>
        <w:t>0771-2023537、0771-2023587</w:t>
      </w:r>
      <w:r>
        <w:rPr>
          <w:rFonts w:hint="eastAsia" w:ascii="宋体" w:hAnsi="宋体" w:cs="宋体"/>
          <w:color w:val="auto"/>
          <w:szCs w:val="21"/>
          <w:highlight w:val="none"/>
        </w:rPr>
        <w:t>　</w:t>
      </w:r>
    </w:p>
    <w:p w14:paraId="5A3444AC">
      <w:pPr>
        <w:spacing w:line="500" w:lineRule="exact"/>
        <w:jc w:val="right"/>
        <w:rPr>
          <w:rFonts w:ascii="宋体" w:hAnsi="宋体" w:cs="宋体"/>
          <w:color w:val="auto"/>
          <w:szCs w:val="21"/>
          <w:highlight w:val="none"/>
        </w:rPr>
      </w:pPr>
      <w:r>
        <w:rPr>
          <w:rFonts w:hint="eastAsia" w:ascii="宋体" w:hAnsi="宋体" w:cs="宋体"/>
          <w:color w:val="auto"/>
          <w:szCs w:val="21"/>
          <w:highlight w:val="none"/>
        </w:rPr>
        <w:t>广西国泰招标咨询有限公司</w:t>
      </w:r>
    </w:p>
    <w:p w14:paraId="2D978CEC">
      <w:pPr>
        <w:snapToGrid w:val="0"/>
        <w:spacing w:line="500" w:lineRule="exact"/>
        <w:ind w:left="238"/>
        <w:jc w:val="right"/>
        <w:rPr>
          <w:rFonts w:hint="eastAsia" w:ascii="宋体" w:hAnsi="宋体" w:eastAsia="宋体" w:cs="宋体"/>
          <w:color w:val="auto"/>
          <w:highlight w:val="none"/>
          <w:lang w:eastAsia="zh-CN"/>
        </w:rPr>
      </w:pPr>
      <w:r>
        <w:rPr>
          <w:rFonts w:hint="eastAsia" w:ascii="宋体" w:hAnsi="宋体" w:cs="宋体"/>
          <w:color w:val="auto"/>
          <w:highlight w:val="none"/>
        </w:rPr>
        <w:t xml:space="preserve">                                                              </w:t>
      </w:r>
      <w:r>
        <w:rPr>
          <w:rFonts w:hint="eastAsia" w:ascii="宋体" w:hAnsi="宋体" w:cs="宋体"/>
          <w:color w:val="auto"/>
          <w:highlight w:val="none"/>
          <w:lang w:eastAsia="zh-CN"/>
        </w:rPr>
        <w:t>2025年11月7日</w:t>
      </w:r>
    </w:p>
    <w:p w14:paraId="08EDB4E4">
      <w:pPr>
        <w:pStyle w:val="2"/>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color w:val="auto"/>
          <w:highlight w:val="none"/>
        </w:rPr>
      </w:pPr>
      <w:bookmarkStart w:id="40" w:name="_Toc74320801"/>
      <w:r>
        <w:rPr>
          <w:rFonts w:hint="eastAsia" w:ascii="宋体" w:hAnsi="宋体" w:cs="宋体"/>
          <w:color w:val="auto"/>
          <w:highlight w:val="none"/>
        </w:rPr>
        <w:br w:type="page"/>
      </w:r>
      <w:bookmarkStart w:id="41" w:name="_Toc7662"/>
      <w:bookmarkStart w:id="42" w:name="_Toc29201"/>
      <w:r>
        <w:rPr>
          <w:rFonts w:hint="eastAsia" w:ascii="宋体" w:hAnsi="宋体" w:cs="宋体"/>
          <w:color w:val="auto"/>
          <w:highlight w:val="none"/>
        </w:rPr>
        <w:t>第二章  采购需求</w:t>
      </w:r>
      <w:bookmarkEnd w:id="40"/>
      <w:bookmarkEnd w:id="41"/>
      <w:bookmarkEnd w:id="42"/>
    </w:p>
    <w:p w14:paraId="17B6A828">
      <w:pPr>
        <w:spacing w:line="360" w:lineRule="auto"/>
        <w:jc w:val="left"/>
        <w:rPr>
          <w:rFonts w:ascii="宋体" w:hAnsi="宋体" w:cs="宋体"/>
          <w:b/>
          <w:color w:val="auto"/>
          <w:szCs w:val="21"/>
          <w:highlight w:val="none"/>
        </w:rPr>
      </w:pPr>
      <w:bookmarkStart w:id="43" w:name="_Toc254970490"/>
      <w:bookmarkStart w:id="44" w:name="_Toc254970631"/>
      <w:r>
        <w:rPr>
          <w:rFonts w:hint="eastAsia" w:ascii="宋体" w:hAnsi="宋体" w:cs="宋体"/>
          <w:b/>
          <w:color w:val="auto"/>
          <w:szCs w:val="21"/>
          <w:highlight w:val="none"/>
        </w:rPr>
        <w:t>说明：</w:t>
      </w:r>
    </w:p>
    <w:p w14:paraId="5FBE827C">
      <w:pPr>
        <w:spacing w:line="360" w:lineRule="exact"/>
        <w:ind w:left="-10" w:leftChars="-5" w:right="2" w:rightChars="1" w:firstLine="422" w:firstLineChars="200"/>
        <w:rPr>
          <w:rFonts w:ascii="宋体" w:hAnsi="宋体" w:cs="宋体"/>
          <w:b/>
          <w:bCs/>
          <w:color w:val="auto"/>
          <w:highlight w:val="none"/>
        </w:rPr>
      </w:pPr>
      <w:r>
        <w:rPr>
          <w:rFonts w:hint="eastAsia" w:ascii="宋体" w:hAnsi="宋体" w:cs="宋体"/>
          <w:b/>
          <w:bCs/>
          <w:color w:val="auto"/>
          <w:highlight w:val="none"/>
        </w:rPr>
        <w:t>1、采购需求中如出现品牌、型号或者生产厂家等均仅起参考作用，不属于指定品牌、型号或者生产厂家的情形，投标人可参照或者选用其他相当的品牌、型号或者生产供应商替代。但投标人的产品实质上应相当于或优于本需求中的技术要求。</w:t>
      </w:r>
    </w:p>
    <w:p w14:paraId="27F83CC5">
      <w:pPr>
        <w:spacing w:line="360" w:lineRule="exact"/>
        <w:ind w:left="-10" w:leftChars="-5" w:right="2" w:rightChars="1" w:firstLine="422" w:firstLineChars="200"/>
        <w:rPr>
          <w:rFonts w:ascii="宋体" w:hAnsi="宋体" w:cs="宋体"/>
          <w:b/>
          <w:bCs/>
          <w:color w:val="auto"/>
          <w:highlight w:val="none"/>
        </w:rPr>
      </w:pPr>
      <w:r>
        <w:rPr>
          <w:rFonts w:hint="eastAsia" w:ascii="宋体" w:hAnsi="宋体" w:cs="宋体"/>
          <w:b/>
          <w:bCs/>
          <w:color w:val="auto"/>
          <w:highlight w:val="none"/>
        </w:rPr>
        <w:t>2、凡在“技术要求”中表述为“标配”或“标准配置”的设备，投标人应在投标设备性能配置清单中将其标配参数详细列明。</w:t>
      </w:r>
    </w:p>
    <w:p w14:paraId="05B32ED2">
      <w:pPr>
        <w:spacing w:line="360" w:lineRule="exact"/>
        <w:ind w:left="-10" w:leftChars="-5" w:right="2" w:rightChars="1" w:firstLine="422" w:firstLineChars="200"/>
        <w:rPr>
          <w:rFonts w:ascii="宋体" w:hAnsi="宋体" w:cs="宋体"/>
          <w:b/>
          <w:bCs/>
          <w:color w:val="auto"/>
          <w:highlight w:val="none"/>
        </w:rPr>
      </w:pPr>
      <w:r>
        <w:rPr>
          <w:rFonts w:hint="eastAsia" w:ascii="宋体" w:hAnsi="宋体" w:cs="宋体"/>
          <w:b/>
          <w:bCs/>
          <w:color w:val="auto"/>
          <w:highlight w:val="none"/>
        </w:rPr>
        <w:t>3、根据《财政部 发展改革委 生态环境部 市场监管总局关于调整优化节能产品、环境标志产品政府采购执行机制的通知》（财库〔2019〕9 号）和《关于印发节能产品政府采购品目清单的通知》（财库〔2019〕19 号）的规定，采购需求中的产品属于节能产品政府采购品目清单内标注“★”的，投标人的投标货物必须使用政府强制采购的节能产品，否则投标文件作无效处理。</w:t>
      </w:r>
    </w:p>
    <w:p w14:paraId="5126EB5E">
      <w:pPr>
        <w:spacing w:line="360" w:lineRule="exact"/>
        <w:ind w:left="-10" w:leftChars="-5" w:right="2" w:rightChars="1" w:firstLine="422" w:firstLineChars="200"/>
        <w:rPr>
          <w:rFonts w:ascii="宋体" w:hAnsi="宋体" w:cs="宋体"/>
          <w:b/>
          <w:bCs/>
          <w:color w:val="auto"/>
          <w:highlight w:val="none"/>
        </w:rPr>
      </w:pPr>
      <w:r>
        <w:rPr>
          <w:rFonts w:hint="eastAsia" w:ascii="宋体" w:hAnsi="宋体" w:cs="宋体"/>
          <w:b/>
          <w:bCs/>
          <w:color w:val="auto"/>
          <w:highlight w:val="none"/>
        </w:rPr>
        <w:t>4、如投标人投标产品存在侵犯他人的知识产权或者专利成果行为的，由投标人自行承担相应法律责任。</w:t>
      </w:r>
    </w:p>
    <w:p w14:paraId="3F13FC62">
      <w:pPr>
        <w:spacing w:line="360" w:lineRule="exact"/>
        <w:ind w:left="-10" w:leftChars="-5" w:right="2" w:rightChars="1" w:firstLine="422" w:firstLineChars="200"/>
        <w:rPr>
          <w:rFonts w:ascii="宋体" w:hAnsi="宋体" w:cs="宋体"/>
          <w:b/>
          <w:bCs/>
          <w:color w:val="auto"/>
          <w:highlight w:val="none"/>
        </w:rPr>
      </w:pPr>
      <w:r>
        <w:rPr>
          <w:rFonts w:hint="eastAsia" w:ascii="宋体" w:hAnsi="宋体" w:cs="宋体"/>
          <w:b/>
          <w:bCs/>
          <w:color w:val="auto"/>
          <w:highlight w:val="none"/>
        </w:rPr>
        <w:t>5、“实质性要求”是指招标文件中已经指明不满足则投标无效的条款，或者不能负偏离的条款，或者采购需求中带“▲”的条款。</w:t>
      </w:r>
    </w:p>
    <w:p w14:paraId="239B98A2">
      <w:pPr>
        <w:spacing w:line="360" w:lineRule="exact"/>
        <w:ind w:left="-10" w:leftChars="-5" w:right="2" w:rightChars="1" w:firstLine="422" w:firstLineChars="200"/>
        <w:rPr>
          <w:rFonts w:ascii="宋体" w:hAnsi="宋体" w:cs="宋体"/>
          <w:b/>
          <w:bCs/>
          <w:color w:val="auto"/>
          <w:highlight w:val="none"/>
        </w:rPr>
      </w:pPr>
      <w:bookmarkStart w:id="45" w:name="_Hlk65055179"/>
      <w:r>
        <w:rPr>
          <w:rFonts w:hint="eastAsia" w:ascii="宋体" w:hAnsi="宋体" w:cs="宋体"/>
          <w:b/>
          <w:bCs/>
          <w:color w:val="auto"/>
          <w:highlight w:val="none"/>
        </w:rPr>
        <w:t>6、投标人应根据自身实际情况如实响应招标文件，不得仅将招标文件内容简单复制粘贴作为投标响应，否则投标文件作无效处理。</w:t>
      </w:r>
    </w:p>
    <w:p w14:paraId="53E7F10C">
      <w:pPr>
        <w:spacing w:line="360" w:lineRule="auto"/>
        <w:ind w:firstLine="310" w:firstLineChars="147"/>
        <w:jc w:val="left"/>
        <w:rPr>
          <w:rFonts w:ascii="宋体" w:hAnsi="宋体" w:cs="宋体"/>
          <w:b/>
          <w:color w:val="auto"/>
          <w:szCs w:val="21"/>
          <w:highlight w:val="none"/>
          <w:u w:val="single"/>
        </w:rPr>
      </w:pPr>
      <w:r>
        <w:rPr>
          <w:rFonts w:hint="eastAsia" w:ascii="宋体" w:hAnsi="宋体" w:cs="宋体"/>
          <w:b/>
          <w:color w:val="auto"/>
          <w:szCs w:val="21"/>
          <w:highlight w:val="none"/>
          <w:u w:val="single"/>
        </w:rPr>
        <w:t>采购预算：</w:t>
      </w:r>
      <w:r>
        <w:rPr>
          <w:rFonts w:hint="eastAsia" w:ascii="宋体" w:hAnsi="宋体" w:cs="宋体"/>
          <w:b/>
          <w:color w:val="auto"/>
          <w:szCs w:val="21"/>
          <w:highlight w:val="none"/>
          <w:u w:val="single"/>
          <w:lang w:eastAsia="zh-CN"/>
        </w:rPr>
        <w:t>总金额：380.00万元（分标1：210.00万元；分标2：170.00万元）</w:t>
      </w:r>
    </w:p>
    <w:p w14:paraId="5D86E52D">
      <w:pPr>
        <w:spacing w:line="360" w:lineRule="auto"/>
        <w:ind w:firstLine="310" w:firstLineChars="147"/>
        <w:jc w:val="left"/>
        <w:rPr>
          <w:rFonts w:hint="eastAsia" w:ascii="宋体" w:hAnsi="宋体" w:cs="宋体"/>
          <w:b/>
          <w:color w:val="auto"/>
          <w:szCs w:val="21"/>
          <w:highlight w:val="none"/>
        </w:rPr>
      </w:pPr>
      <w:r>
        <w:rPr>
          <w:rFonts w:hint="eastAsia" w:ascii="宋体" w:hAnsi="宋体" w:cs="宋体"/>
          <w:b/>
          <w:color w:val="auto"/>
          <w:szCs w:val="21"/>
          <w:highlight w:val="none"/>
          <w:u w:val="single"/>
        </w:rPr>
        <w:t>最高限价：</w:t>
      </w:r>
      <w:r>
        <w:rPr>
          <w:rFonts w:hint="eastAsia" w:ascii="宋体" w:hAnsi="宋体" w:cs="宋体"/>
          <w:b/>
          <w:color w:val="auto"/>
          <w:szCs w:val="21"/>
          <w:highlight w:val="none"/>
          <w:u w:val="single"/>
          <w:lang w:eastAsia="zh-CN"/>
        </w:rPr>
        <w:t>总金额：380.00万元（分标1：210.00万元；分标2：170.00万元）</w:t>
      </w:r>
    </w:p>
    <w:bookmarkEnd w:id="43"/>
    <w:bookmarkEnd w:id="44"/>
    <w:bookmarkEnd w:id="45"/>
    <w:tbl>
      <w:tblPr>
        <w:tblStyle w:val="22"/>
        <w:tblW w:w="104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
        <w:gridCol w:w="912"/>
        <w:gridCol w:w="624"/>
        <w:gridCol w:w="638"/>
        <w:gridCol w:w="574"/>
        <w:gridCol w:w="7220"/>
      </w:tblGrid>
      <w:tr w14:paraId="5A32C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455" w:type="dxa"/>
            <w:vAlign w:val="center"/>
          </w:tcPr>
          <w:p w14:paraId="45896CD1">
            <w:pPr>
              <w:widowControl/>
              <w:spacing w:line="360" w:lineRule="auto"/>
              <w:rPr>
                <w:rFonts w:ascii="宋体" w:hAnsi="宋体" w:cs="宋体"/>
                <w:b/>
                <w:bCs/>
                <w:color w:val="auto"/>
                <w:kern w:val="0"/>
                <w:szCs w:val="21"/>
                <w:highlight w:val="none"/>
              </w:rPr>
            </w:pPr>
            <w:bookmarkStart w:id="46" w:name="_Toc74320802"/>
            <w:r>
              <w:rPr>
                <w:rFonts w:hint="eastAsia" w:ascii="宋体" w:hAnsi="宋体" w:cs="宋体"/>
                <w:b/>
                <w:bCs/>
                <w:color w:val="auto"/>
                <w:kern w:val="0"/>
                <w:szCs w:val="21"/>
                <w:highlight w:val="none"/>
              </w:rPr>
              <w:t>分标</w:t>
            </w:r>
          </w:p>
        </w:tc>
        <w:tc>
          <w:tcPr>
            <w:tcW w:w="912" w:type="dxa"/>
            <w:vAlign w:val="center"/>
          </w:tcPr>
          <w:p w14:paraId="23D75090">
            <w:pPr>
              <w:widowControl/>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标的名称</w:t>
            </w:r>
          </w:p>
        </w:tc>
        <w:tc>
          <w:tcPr>
            <w:tcW w:w="624" w:type="dxa"/>
            <w:vAlign w:val="center"/>
          </w:tcPr>
          <w:p w14:paraId="7B59AAF4">
            <w:pPr>
              <w:widowControl/>
              <w:spacing w:line="360" w:lineRule="auto"/>
              <w:jc w:val="center"/>
              <w:rPr>
                <w:rFonts w:hint="default" w:ascii="宋体" w:hAnsi="宋体" w:eastAsia="宋体" w:cs="宋体"/>
                <w:b/>
                <w:bCs/>
                <w:color w:val="auto"/>
                <w:kern w:val="0"/>
                <w:szCs w:val="21"/>
                <w:highlight w:val="none"/>
                <w:lang w:val="en-US" w:eastAsia="zh-CN"/>
              </w:rPr>
            </w:pPr>
            <w:r>
              <w:rPr>
                <w:rFonts w:hint="eastAsia" w:ascii="宋体" w:hAnsi="宋体" w:cs="宋体"/>
                <w:b/>
                <w:bCs/>
                <w:color w:val="auto"/>
                <w:kern w:val="0"/>
                <w:szCs w:val="21"/>
                <w:highlight w:val="none"/>
              </w:rPr>
              <w:t>数量</w:t>
            </w:r>
            <w:r>
              <w:rPr>
                <w:rFonts w:hint="eastAsia" w:ascii="宋体" w:hAnsi="宋体" w:cs="宋体"/>
                <w:b/>
                <w:bCs/>
                <w:color w:val="auto"/>
                <w:kern w:val="0"/>
                <w:szCs w:val="21"/>
                <w:highlight w:val="none"/>
                <w:lang w:val="en-US" w:eastAsia="zh-CN"/>
              </w:rPr>
              <w:t>及单位</w:t>
            </w:r>
          </w:p>
        </w:tc>
        <w:tc>
          <w:tcPr>
            <w:tcW w:w="638" w:type="dxa"/>
            <w:vAlign w:val="center"/>
          </w:tcPr>
          <w:p w14:paraId="305318B4">
            <w:pPr>
              <w:widowControl/>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采购预算</w:t>
            </w:r>
          </w:p>
          <w:p w14:paraId="09255FF8">
            <w:pPr>
              <w:widowControl/>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（万元）</w:t>
            </w:r>
          </w:p>
        </w:tc>
        <w:tc>
          <w:tcPr>
            <w:tcW w:w="574" w:type="dxa"/>
            <w:vAlign w:val="center"/>
          </w:tcPr>
          <w:p w14:paraId="62361AEE">
            <w:pPr>
              <w:widowControl/>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所属行业</w:t>
            </w:r>
          </w:p>
        </w:tc>
        <w:tc>
          <w:tcPr>
            <w:tcW w:w="7220" w:type="dxa"/>
            <w:vAlign w:val="center"/>
          </w:tcPr>
          <w:p w14:paraId="6B7B3611">
            <w:pPr>
              <w:widowControl/>
              <w:spacing w:line="360" w:lineRule="auto"/>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服务内容</w:t>
            </w:r>
          </w:p>
        </w:tc>
      </w:tr>
      <w:tr w14:paraId="241A0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dxa"/>
            <w:vAlign w:val="center"/>
          </w:tcPr>
          <w:p w14:paraId="77AB551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分标1</w:t>
            </w:r>
          </w:p>
        </w:tc>
        <w:tc>
          <w:tcPr>
            <w:tcW w:w="912" w:type="dxa"/>
            <w:shd w:val="clear" w:color="auto" w:fill="auto"/>
            <w:vAlign w:val="center"/>
          </w:tcPr>
          <w:p w14:paraId="6531D4F5">
            <w:pPr>
              <w:pageBreakBefore w:val="0"/>
              <w:widowControl/>
              <w:kinsoku/>
              <w:wordWrap/>
              <w:overflowPunct/>
              <w:topLinePunct w:val="0"/>
              <w:autoSpaceDE/>
              <w:autoSpaceDN/>
              <w:bidi w:val="0"/>
              <w:adjustRightInd/>
              <w:snapToGrid/>
              <w:spacing w:line="400" w:lineRule="exact"/>
              <w:ind w:right="0" w:rightChars="0"/>
              <w:jc w:val="center"/>
              <w:textAlignment w:val="auto"/>
              <w:rPr>
                <w:rFonts w:asciiTheme="minorEastAsia" w:hAnsiTheme="minorEastAsia" w:eastAsiaTheme="minorEastAsia" w:cstheme="minorEastAsia"/>
                <w:color w:val="auto"/>
                <w:szCs w:val="21"/>
                <w:highlight w:val="none"/>
              </w:rPr>
            </w:pPr>
            <w:r>
              <w:rPr>
                <w:rFonts w:hint="eastAsia" w:ascii="宋体" w:hAnsi="宋体"/>
                <w:color w:val="auto"/>
                <w:szCs w:val="21"/>
                <w:highlight w:val="none"/>
                <w:u w:val="none"/>
                <w:lang w:val="en-US" w:eastAsia="zh-CN"/>
              </w:rPr>
              <w:t>广西中医药研究院2025年中药饮片配送服务</w:t>
            </w:r>
            <w:r>
              <w:rPr>
                <w:rFonts w:hint="eastAsia" w:ascii="宋体" w:hAnsi="宋体"/>
                <w:color w:val="auto"/>
                <w:szCs w:val="21"/>
                <w:highlight w:val="none"/>
              </w:rPr>
              <w:t>（1）</w:t>
            </w:r>
          </w:p>
        </w:tc>
        <w:tc>
          <w:tcPr>
            <w:tcW w:w="624" w:type="dxa"/>
            <w:shd w:val="clear" w:color="auto" w:fill="auto"/>
            <w:vAlign w:val="center"/>
          </w:tcPr>
          <w:p w14:paraId="496B7E08">
            <w:pPr>
              <w:pageBreakBefore w:val="0"/>
              <w:kinsoku/>
              <w:wordWrap/>
              <w:overflowPunct/>
              <w:topLinePunct w:val="0"/>
              <w:autoSpaceDE/>
              <w:autoSpaceDN/>
              <w:bidi w:val="0"/>
              <w:adjustRightInd/>
              <w:snapToGrid/>
              <w:spacing w:line="400" w:lineRule="exact"/>
              <w:ind w:right="0" w:rightChars="0"/>
              <w:jc w:val="center"/>
              <w:textAlignment w:val="auto"/>
              <w:rPr>
                <w:rFonts w:hint="default" w:asciiTheme="minorEastAsia" w:hAnsiTheme="minorEastAsia" w:eastAsiaTheme="minorEastAsia" w:cstheme="minorEastAsia"/>
                <w:color w:val="auto"/>
                <w:szCs w:val="21"/>
                <w:highlight w:val="none"/>
                <w:lang w:val="en-US" w:eastAsia="zh-CN"/>
              </w:rPr>
            </w:pPr>
            <w:r>
              <w:rPr>
                <w:rFonts w:ascii="宋体" w:hAnsi="宋体"/>
                <w:color w:val="auto"/>
                <w:szCs w:val="21"/>
                <w:highlight w:val="none"/>
              </w:rPr>
              <w:t>1</w:t>
            </w:r>
            <w:r>
              <w:rPr>
                <w:rFonts w:hint="eastAsia" w:ascii="宋体" w:hAnsi="宋体"/>
                <w:color w:val="auto"/>
                <w:szCs w:val="21"/>
                <w:highlight w:val="none"/>
              </w:rPr>
              <w:t>项</w:t>
            </w:r>
          </w:p>
        </w:tc>
        <w:tc>
          <w:tcPr>
            <w:tcW w:w="638" w:type="dxa"/>
            <w:shd w:val="clear" w:color="auto" w:fill="auto"/>
            <w:vAlign w:val="center"/>
          </w:tcPr>
          <w:p w14:paraId="12D3D270">
            <w:pPr>
              <w:pageBreakBefore w:val="0"/>
              <w:kinsoku/>
              <w:wordWrap/>
              <w:overflowPunct/>
              <w:topLinePunct w:val="0"/>
              <w:autoSpaceDE/>
              <w:autoSpaceDN/>
              <w:bidi w:val="0"/>
              <w:adjustRightInd/>
              <w:snapToGrid/>
              <w:spacing w:line="400" w:lineRule="exact"/>
              <w:ind w:right="0" w:rightChars="0"/>
              <w:jc w:val="center"/>
              <w:textAlignment w:val="auto"/>
              <w:rPr>
                <w:rFonts w:asciiTheme="minorEastAsia" w:hAnsiTheme="minorEastAsia" w:eastAsiaTheme="minorEastAsia" w:cstheme="minorEastAsia"/>
                <w:color w:val="auto"/>
                <w:szCs w:val="21"/>
                <w:highlight w:val="none"/>
              </w:rPr>
            </w:pPr>
            <w:r>
              <w:rPr>
                <w:rFonts w:hint="eastAsia" w:ascii="宋体" w:hAnsi="宋体"/>
                <w:color w:val="auto"/>
                <w:szCs w:val="21"/>
                <w:highlight w:val="none"/>
                <w:lang w:val="en-US" w:eastAsia="zh-CN"/>
              </w:rPr>
              <w:t>210.00</w:t>
            </w:r>
          </w:p>
        </w:tc>
        <w:tc>
          <w:tcPr>
            <w:tcW w:w="574" w:type="dxa"/>
            <w:vAlign w:val="center"/>
          </w:tcPr>
          <w:p w14:paraId="11C9024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lang w:eastAsia="zh-CN"/>
              </w:rPr>
              <w:t>批发业</w:t>
            </w:r>
          </w:p>
        </w:tc>
        <w:tc>
          <w:tcPr>
            <w:tcW w:w="7220" w:type="dxa"/>
            <w:vMerge w:val="restart"/>
            <w:shd w:val="clear" w:color="auto" w:fill="auto"/>
            <w:vAlign w:val="center"/>
          </w:tcPr>
          <w:p w14:paraId="11D31840">
            <w:pPr>
              <w:pageBreakBefore w:val="0"/>
              <w:kinsoku/>
              <w:wordWrap/>
              <w:overflowPunct/>
              <w:topLinePunct w:val="0"/>
              <w:autoSpaceDE/>
              <w:autoSpaceDN/>
              <w:bidi w:val="0"/>
              <w:adjustRightInd/>
              <w:snapToGrid/>
              <w:spacing w:line="400" w:lineRule="exact"/>
              <w:ind w:right="0" w:rightChars="0"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一、服务范围：</w:t>
            </w:r>
          </w:p>
          <w:p w14:paraId="56A398F8">
            <w:pPr>
              <w:pageBreakBefore w:val="0"/>
              <w:kinsoku/>
              <w:wordWrap/>
              <w:overflowPunct/>
              <w:topLinePunct w:val="0"/>
              <w:autoSpaceDE/>
              <w:autoSpaceDN/>
              <w:bidi w:val="0"/>
              <w:adjustRightInd/>
              <w:snapToGrid/>
              <w:spacing w:line="400" w:lineRule="exact"/>
              <w:ind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为满足临床及患者对传统中药的不同服务和质量需求，通过公开招标方式择优选择医药生产或配送公司，为采购单位提供中药饮片（小包装、大包装）</w:t>
            </w:r>
            <w:r>
              <w:rPr>
                <w:rFonts w:hint="eastAsia" w:ascii="宋体" w:hAnsi="宋体"/>
                <w:color w:val="auto"/>
                <w:szCs w:val="21"/>
                <w:highlight w:val="none"/>
                <w:u w:val="none"/>
                <w:lang w:val="en-US" w:eastAsia="zh-CN"/>
              </w:rPr>
              <w:t>配送服务</w:t>
            </w:r>
            <w:r>
              <w:rPr>
                <w:rFonts w:hint="eastAsia" w:ascii="宋体" w:hAnsi="宋体" w:cs="宋体"/>
                <w:color w:val="auto"/>
                <w:szCs w:val="21"/>
                <w:highlight w:val="none"/>
              </w:rPr>
              <w:t>。具体中药饮片采购清单及采购限价详见本章附件1。</w:t>
            </w:r>
          </w:p>
          <w:p w14:paraId="78C36081">
            <w:pPr>
              <w:pageBreakBefore w:val="0"/>
              <w:kinsoku/>
              <w:wordWrap/>
              <w:overflowPunct/>
              <w:topLinePunct w:val="0"/>
              <w:autoSpaceDE/>
              <w:autoSpaceDN/>
              <w:bidi w:val="0"/>
              <w:adjustRightInd/>
              <w:snapToGrid/>
              <w:spacing w:line="400" w:lineRule="exact"/>
              <w:ind w:right="0" w:rightChars="0"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▲二、服务要求：</w:t>
            </w:r>
          </w:p>
          <w:p w14:paraId="3DAB46EB">
            <w:pPr>
              <w:pageBreakBefore w:val="0"/>
              <w:kinsoku/>
              <w:wordWrap/>
              <w:overflowPunct/>
              <w:topLinePunct w:val="0"/>
              <w:autoSpaceDE/>
              <w:autoSpaceDN/>
              <w:bidi w:val="0"/>
              <w:adjustRightInd/>
              <w:snapToGrid/>
              <w:spacing w:line="400" w:lineRule="exact"/>
              <w:ind w:right="0" w:rightChars="0"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须具有提供本中药饮片采购清单所有品种中药饮片的能力</w:t>
            </w:r>
            <w:r>
              <w:rPr>
                <w:rFonts w:hint="eastAsia" w:ascii="宋体" w:hAnsi="宋体" w:cs="宋体"/>
                <w:color w:val="auto"/>
                <w:szCs w:val="21"/>
                <w:highlight w:val="none"/>
                <w:lang w:eastAsia="zh-CN"/>
              </w:rPr>
              <w:t>。</w:t>
            </w:r>
          </w:p>
          <w:p w14:paraId="086E18FD">
            <w:pPr>
              <w:pageBreakBefore w:val="0"/>
              <w:kinsoku/>
              <w:wordWrap/>
              <w:overflowPunct/>
              <w:topLinePunct w:val="0"/>
              <w:autoSpaceDE/>
              <w:autoSpaceDN/>
              <w:bidi w:val="0"/>
              <w:adjustRightInd/>
              <w:snapToGrid/>
              <w:spacing w:line="400" w:lineRule="exact"/>
              <w:ind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提供的中药饮片必须符合国家、行业或地方标准的药品收载的标准要求，并满足采购人用药习惯要求。对特许生产和经营的中药饮片、国家中药批准文号的中药饮片需符合国家相关文件要求。</w:t>
            </w:r>
          </w:p>
          <w:p w14:paraId="52483F40">
            <w:pPr>
              <w:pageBreakBefore w:val="0"/>
              <w:kinsoku/>
              <w:wordWrap/>
              <w:overflowPunct/>
              <w:topLinePunct w:val="0"/>
              <w:autoSpaceDE/>
              <w:autoSpaceDN/>
              <w:bidi w:val="0"/>
              <w:adjustRightInd/>
              <w:snapToGrid/>
              <w:spacing w:line="400" w:lineRule="exact"/>
              <w:ind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供应的小包装中药饮片规格和色标应符合《国家中医药管理局办公室关于印发小包装中药饮片规格和色标的通知（国中医药办医政发[2011]18号）》的要求。中药饮片内、外标签必须符合《国家药监局关于发布&lt;中药饮片标签管理规定&gt;的公告（2023年第90号）》的要求。</w:t>
            </w:r>
          </w:p>
          <w:p w14:paraId="593BD0D7">
            <w:pPr>
              <w:pageBreakBefore w:val="0"/>
              <w:kinsoku/>
              <w:wordWrap/>
              <w:overflowPunct/>
              <w:topLinePunct w:val="0"/>
              <w:autoSpaceDE/>
              <w:autoSpaceDN/>
              <w:bidi w:val="0"/>
              <w:adjustRightInd/>
              <w:snapToGrid/>
              <w:spacing w:line="400" w:lineRule="exact"/>
              <w:ind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中药饮片的包装等相关要求：①包装材质要求不刺手又不易破，且符合国家药品包装要求；②包装袋有一面必须要有透明窗，能直观地看到内装中药饮片；③产品外包装标签必须标有品名、规格、产地、等级、生产企业、产品批号、生产日期并附上质量合格标志，同时药品出库单须与药品同行并附上与药品批次对应的成品检验报告单。</w:t>
            </w:r>
          </w:p>
          <w:p w14:paraId="28F0C450">
            <w:pPr>
              <w:pageBreakBefore w:val="0"/>
              <w:kinsoku/>
              <w:wordWrap/>
              <w:overflowPunct/>
              <w:topLinePunct w:val="0"/>
              <w:autoSpaceDE/>
              <w:autoSpaceDN/>
              <w:bidi w:val="0"/>
              <w:adjustRightInd/>
              <w:snapToGrid/>
              <w:spacing w:line="400" w:lineRule="exact"/>
              <w:ind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中标人必须产品齐全，不得以任何借口（如无货，采购量少等）不执行采购人药品采购计划，保证临床用药不断档。尤其是附件1内使用量小但采购人临床又需要使用的中药饮片品种，接到采购人的采购通知后，保证及时组织备货和配送，必须在采购人要求的时间内（一般用药务必在2个工作日内，紧急用药在4小时内）将中药饮片配送到位，以满足采购单位用药需求。</w:t>
            </w:r>
          </w:p>
          <w:p w14:paraId="240A00CF">
            <w:pPr>
              <w:pageBreakBefore w:val="0"/>
              <w:kinsoku/>
              <w:wordWrap/>
              <w:overflowPunct/>
              <w:topLinePunct w:val="0"/>
              <w:autoSpaceDE/>
              <w:autoSpaceDN/>
              <w:bidi w:val="0"/>
              <w:adjustRightInd/>
              <w:snapToGrid/>
              <w:spacing w:line="400" w:lineRule="exact"/>
              <w:ind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6.中标人必须建立药品档案，药品可供采购溯源，源头的相关信息要明确，如药品产地、生产厂家、质量检验报告、生产日期等。中标人应在供货时提供药品产地、质量检验报告、生产日期等相关质量信息。</w:t>
            </w:r>
          </w:p>
          <w:p w14:paraId="790594BF">
            <w:pPr>
              <w:pageBreakBefore w:val="0"/>
              <w:kinsoku/>
              <w:wordWrap/>
              <w:overflowPunct/>
              <w:topLinePunct w:val="0"/>
              <w:autoSpaceDE/>
              <w:autoSpaceDN/>
              <w:bidi w:val="0"/>
              <w:adjustRightInd/>
              <w:snapToGrid/>
              <w:spacing w:line="400" w:lineRule="exact"/>
              <w:ind w:right="0" w:rightChars="0" w:firstLine="422" w:firstLineChars="200"/>
              <w:jc w:val="left"/>
              <w:textAlignment w:val="auto"/>
              <w:rPr>
                <w:rFonts w:ascii="宋体" w:hAnsi="宋体" w:cs="宋体"/>
                <w:b/>
                <w:color w:val="auto"/>
                <w:szCs w:val="21"/>
                <w:highlight w:val="none"/>
              </w:rPr>
            </w:pPr>
            <w:r>
              <w:rPr>
                <w:rFonts w:hint="eastAsia" w:ascii="宋体" w:hAnsi="宋体" w:cs="宋体"/>
                <w:b/>
                <w:color w:val="auto"/>
                <w:szCs w:val="21"/>
                <w:highlight w:val="none"/>
              </w:rPr>
              <w:t>▲三、报价要求：</w:t>
            </w:r>
          </w:p>
          <w:p w14:paraId="6166DFA1">
            <w:pPr>
              <w:pageBreakBefore w:val="0"/>
              <w:kinsoku/>
              <w:wordWrap/>
              <w:overflowPunct/>
              <w:topLinePunct w:val="0"/>
              <w:autoSpaceDE/>
              <w:autoSpaceDN/>
              <w:bidi w:val="0"/>
              <w:adjustRightInd/>
              <w:snapToGrid/>
              <w:spacing w:line="400" w:lineRule="exact"/>
              <w:ind w:right="0" w:rightChars="0"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ascii="宋体" w:hAnsi="宋体" w:cs="宋体"/>
                <w:color w:val="auto"/>
                <w:szCs w:val="21"/>
                <w:highlight w:val="none"/>
              </w:rPr>
              <w:t>.</w:t>
            </w:r>
            <w:r>
              <w:rPr>
                <w:rFonts w:hint="eastAsia" w:ascii="宋体" w:hAnsi="宋体" w:cs="宋体"/>
                <w:color w:val="auto"/>
                <w:szCs w:val="21"/>
                <w:highlight w:val="none"/>
              </w:rPr>
              <w:t>调剂用中药饮片的报价必须为小包装和大包装的综合报价</w:t>
            </w:r>
            <w:r>
              <w:rPr>
                <w:rFonts w:hint="eastAsia" w:ascii="宋体" w:hAnsi="宋体" w:cs="宋体"/>
                <w:color w:val="auto"/>
                <w:szCs w:val="21"/>
                <w:highlight w:val="none"/>
                <w:lang w:eastAsia="zh-CN"/>
              </w:rPr>
              <w:t>。</w:t>
            </w:r>
          </w:p>
          <w:p w14:paraId="2BCA3D2D">
            <w:pPr>
              <w:pageBreakBefore w:val="0"/>
              <w:kinsoku/>
              <w:wordWrap/>
              <w:overflowPunct/>
              <w:topLinePunct w:val="0"/>
              <w:autoSpaceDE/>
              <w:autoSpaceDN/>
              <w:bidi w:val="0"/>
              <w:adjustRightInd/>
              <w:snapToGrid/>
              <w:spacing w:line="400" w:lineRule="exact"/>
              <w:ind w:right="0" w:rightChars="0"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投标报价包含采购的全部费用（如中药饮片、利润、人员薪资、验收、包装、运输、检测、管理服务、保险、税金等费用）、产品指定交货地点的各种费用、售后服务、税金、利息、代理服务费及其它所有成本费用的总和）；</w:t>
            </w:r>
          </w:p>
          <w:p w14:paraId="60D65C79">
            <w:pPr>
              <w:pageBreakBefore w:val="0"/>
              <w:kinsoku/>
              <w:wordWrap/>
              <w:overflowPunct/>
              <w:topLinePunct w:val="0"/>
              <w:autoSpaceDE/>
              <w:autoSpaceDN/>
              <w:bidi w:val="0"/>
              <w:adjustRightInd/>
              <w:snapToGrid/>
              <w:spacing w:line="400" w:lineRule="exact"/>
              <w:ind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s="宋体"/>
                <w:color w:val="auto"/>
                <w:szCs w:val="21"/>
                <w:highlight w:val="none"/>
              </w:rPr>
              <w:t>合同履行期内，中标人产品价格不允许变动。</w:t>
            </w:r>
          </w:p>
          <w:p w14:paraId="544700BE">
            <w:pPr>
              <w:pageBreakBefore w:val="0"/>
              <w:kinsoku/>
              <w:wordWrap/>
              <w:overflowPunct/>
              <w:topLinePunct w:val="0"/>
              <w:autoSpaceDE/>
              <w:autoSpaceDN/>
              <w:bidi w:val="0"/>
              <w:adjustRightInd/>
              <w:snapToGrid/>
              <w:spacing w:line="400" w:lineRule="exact"/>
              <w:ind w:right="0" w:rightChars="0"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四、其他要求：</w:t>
            </w:r>
          </w:p>
          <w:p w14:paraId="4487B632">
            <w:pPr>
              <w:pageBreakBefore w:val="0"/>
              <w:kinsoku/>
              <w:wordWrap/>
              <w:overflowPunct/>
              <w:topLinePunct w:val="0"/>
              <w:autoSpaceDE/>
              <w:autoSpaceDN/>
              <w:bidi w:val="0"/>
              <w:adjustRightInd/>
              <w:snapToGrid/>
              <w:spacing w:line="400" w:lineRule="exact"/>
              <w:ind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如发现疑似质量问题，采购人可要求对中标人提供的中药饮片进行抽检并送市级及以上药品检测部门检测，检验检测的费用由中标人先行垫付，如检验检测结果为不符合标准的，由中标人承担检测费用及违约责任；若检验检测结果为符合标准的，由采购人承担费用。被药品检测部门抽检定为假、劣药的中标人须无条件给予退换，并承担相关的法律责任，由此产生的相关费用由中标人自行负责。</w:t>
            </w:r>
          </w:p>
          <w:p w14:paraId="7D8744F5">
            <w:pPr>
              <w:pageBreakBefore w:val="0"/>
              <w:kinsoku/>
              <w:wordWrap/>
              <w:overflowPunct/>
              <w:topLinePunct w:val="0"/>
              <w:autoSpaceDE/>
              <w:autoSpaceDN/>
              <w:bidi w:val="0"/>
              <w:adjustRightInd/>
              <w:snapToGrid/>
              <w:spacing w:line="400" w:lineRule="exact"/>
              <w:ind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如患者在使用中标人提供的中药饮片后出现不良反应或药物损害，中标人应积极配合采购人做好调查核实工作，同时配合封存有关的资料及相关中药饮片，若调查核实确定为中标人责任，相关责任及费用由中标人承担。</w:t>
            </w:r>
          </w:p>
          <w:p w14:paraId="67A3971C">
            <w:pPr>
              <w:pageBreakBefore w:val="0"/>
              <w:kinsoku/>
              <w:wordWrap/>
              <w:overflowPunct/>
              <w:topLinePunct w:val="0"/>
              <w:autoSpaceDE/>
              <w:autoSpaceDN/>
              <w:bidi w:val="0"/>
              <w:adjustRightInd/>
              <w:snapToGrid/>
              <w:spacing w:line="400" w:lineRule="exact"/>
              <w:ind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▲3.中标人在供货时须提供中药饮片正规来源的证明材料，确保货物的质量符合国家、相关质量标准，确保交易合法。</w:t>
            </w:r>
          </w:p>
          <w:p w14:paraId="4819FD4D">
            <w:pPr>
              <w:pageBreakBefore w:val="0"/>
              <w:kinsoku/>
              <w:wordWrap/>
              <w:overflowPunct/>
              <w:topLinePunct w:val="0"/>
              <w:autoSpaceDE/>
              <w:autoSpaceDN/>
              <w:bidi w:val="0"/>
              <w:adjustRightInd/>
              <w:snapToGrid/>
              <w:spacing w:line="400" w:lineRule="exact"/>
              <w:ind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中标人在保证药品质量、执行国家物价的前提下，按约定的药品品种、剂型、规格、数量、价格、供货方式等供货，保证临床用药不断档，并保证实际配送的货物必须为合格品，不能以次充好或提供假冒伪劣产品，否则采购人有权依法终止与中标人的供货合同并追究其相关法律责任。</w:t>
            </w:r>
          </w:p>
          <w:p w14:paraId="11CECC56">
            <w:pPr>
              <w:pageBreakBefore w:val="0"/>
              <w:kinsoku/>
              <w:wordWrap/>
              <w:overflowPunct/>
              <w:topLinePunct w:val="0"/>
              <w:autoSpaceDE/>
              <w:autoSpaceDN/>
              <w:bidi w:val="0"/>
              <w:adjustRightInd/>
              <w:snapToGrid/>
              <w:spacing w:line="400" w:lineRule="exact"/>
              <w:ind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5.中标人应遵守有关的国家法律、法规和条例。</w:t>
            </w:r>
          </w:p>
          <w:p w14:paraId="15215787">
            <w:pPr>
              <w:pageBreakBefore w:val="0"/>
              <w:kinsoku/>
              <w:wordWrap/>
              <w:overflowPunct/>
              <w:topLinePunct w:val="0"/>
              <w:autoSpaceDE/>
              <w:autoSpaceDN/>
              <w:bidi w:val="0"/>
              <w:adjustRightInd/>
              <w:snapToGrid/>
              <w:spacing w:line="400" w:lineRule="exact"/>
              <w:ind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▲6.中标人具备药品存储条件及配送条件，并投入至少2名固定配送人员提供配送等服务，未经采购人允许，固定人员不得随意变更，并至少投入1辆配送车辆。</w:t>
            </w:r>
          </w:p>
          <w:p w14:paraId="3434043B">
            <w:pPr>
              <w:pageBreakBefore w:val="0"/>
              <w:kinsoku/>
              <w:wordWrap/>
              <w:overflowPunct/>
              <w:topLinePunct w:val="0"/>
              <w:autoSpaceDE/>
              <w:autoSpaceDN/>
              <w:bidi w:val="0"/>
              <w:adjustRightInd/>
              <w:snapToGrid/>
              <w:spacing w:line="400" w:lineRule="exact"/>
              <w:ind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▲7.根据</w:t>
            </w:r>
            <w:r>
              <w:rPr>
                <w:rFonts w:hint="eastAsia" w:ascii="宋体" w:hAnsi="宋体" w:cs="宋体"/>
                <w:color w:val="auto"/>
                <w:szCs w:val="21"/>
                <w:highlight w:val="none"/>
                <w:lang w:val="en-US" w:eastAsia="zh-CN"/>
              </w:rPr>
              <w:t>采购单位</w:t>
            </w:r>
            <w:r>
              <w:rPr>
                <w:rFonts w:hint="eastAsia" w:ascii="宋体" w:hAnsi="宋体" w:cs="宋体"/>
                <w:color w:val="auto"/>
                <w:szCs w:val="21"/>
                <w:highlight w:val="none"/>
              </w:rPr>
              <w:t>用药的应急需求，对采购目录外的药品品种（如：</w:t>
            </w:r>
            <w:r>
              <w:rPr>
                <w:rFonts w:hint="eastAsia" w:hAnsi="宋体" w:eastAsia="宋体" w:cs="Courier New"/>
                <w:color w:val="auto"/>
                <w:kern w:val="2"/>
                <w:sz w:val="21"/>
                <w:highlight w:val="none"/>
                <w:lang w:val="en-US" w:eastAsia="zh-CN"/>
              </w:rPr>
              <w:t>麻黄、乌梢蛇、羚羊角、</w:t>
            </w:r>
            <w:r>
              <w:rPr>
                <w:rFonts w:hint="eastAsia" w:hAnsi="宋体" w:cs="Courier New"/>
                <w:color w:val="auto"/>
                <w:kern w:val="2"/>
                <w:sz w:val="21"/>
                <w:highlight w:val="none"/>
                <w:lang w:val="en-US" w:eastAsia="zh-CN"/>
              </w:rPr>
              <w:t>海马、</w:t>
            </w:r>
            <w:r>
              <w:rPr>
                <w:rFonts w:hint="eastAsia" w:hAnsi="宋体" w:eastAsia="宋体" w:cs="Courier New"/>
                <w:color w:val="auto"/>
                <w:kern w:val="2"/>
                <w:sz w:val="21"/>
                <w:highlight w:val="none"/>
                <w:lang w:val="en-US" w:eastAsia="zh-CN"/>
              </w:rPr>
              <w:t>穿山甲、</w:t>
            </w:r>
            <w:r>
              <w:rPr>
                <w:rFonts w:hint="eastAsia" w:hAnsi="宋体" w:cs="Courier New"/>
                <w:color w:val="auto"/>
                <w:kern w:val="2"/>
                <w:sz w:val="21"/>
                <w:highlight w:val="none"/>
                <w:lang w:val="en-US" w:eastAsia="zh-CN"/>
              </w:rPr>
              <w:t>蛤蚧、</w:t>
            </w:r>
            <w:r>
              <w:rPr>
                <w:rFonts w:hint="eastAsia" w:hAnsi="宋体" w:eastAsia="宋体" w:cs="Courier New"/>
                <w:color w:val="auto"/>
                <w:kern w:val="2"/>
                <w:sz w:val="21"/>
                <w:highlight w:val="none"/>
                <w:lang w:val="en-US" w:eastAsia="zh-CN"/>
              </w:rPr>
              <w:t>狗脊</w:t>
            </w:r>
            <w:r>
              <w:rPr>
                <w:rFonts w:hint="eastAsia" w:ascii="宋体" w:hAnsi="宋体" w:cs="宋体"/>
                <w:color w:val="auto"/>
                <w:szCs w:val="21"/>
                <w:highlight w:val="none"/>
              </w:rPr>
              <w:t>等），中标单位应配合采购单位寻找货源。</w:t>
            </w:r>
          </w:p>
          <w:p w14:paraId="40495259">
            <w:pPr>
              <w:pageBreakBefore w:val="0"/>
              <w:kinsoku/>
              <w:wordWrap/>
              <w:overflowPunct/>
              <w:topLinePunct w:val="0"/>
              <w:autoSpaceDE/>
              <w:autoSpaceDN/>
              <w:bidi w:val="0"/>
              <w:adjustRightInd/>
              <w:snapToGrid/>
              <w:spacing w:line="400" w:lineRule="exact"/>
              <w:ind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▲8.中标人无法按质量或不能及时供应，采购单位可通过其它渠道进行采购，所产生的相关费用由原中标供应商承担，采购人有权从未支付的合同款中扣除该费用。</w:t>
            </w:r>
          </w:p>
          <w:p w14:paraId="6CC943A9">
            <w:pPr>
              <w:pageBreakBefore w:val="0"/>
              <w:kinsoku/>
              <w:wordWrap/>
              <w:overflowPunct/>
              <w:topLinePunct w:val="0"/>
              <w:autoSpaceDE/>
              <w:autoSpaceDN/>
              <w:bidi w:val="0"/>
              <w:adjustRightInd/>
              <w:snapToGrid/>
              <w:spacing w:line="400" w:lineRule="exact"/>
              <w:ind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▲9.中标人必须遵守的规定：</w:t>
            </w:r>
          </w:p>
          <w:p w14:paraId="4BA54F5A">
            <w:pPr>
              <w:pageBreakBefore w:val="0"/>
              <w:kinsoku/>
              <w:wordWrap/>
              <w:overflowPunct/>
              <w:topLinePunct w:val="0"/>
              <w:autoSpaceDE/>
              <w:autoSpaceDN/>
              <w:bidi w:val="0"/>
              <w:adjustRightInd/>
              <w:snapToGrid/>
              <w:spacing w:line="400" w:lineRule="exact"/>
              <w:ind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中标中药饮片品种一旦确定，不得无故不予配送。中标人必须交付与投标时承诺的质量相同的中药饮片，验收时如发现与投标时承诺的质量要求不相符的，予以退货处理。一个月内若不按规定时间配送，中标人向采购人按下列约定支付违约金：第一次1000元，第二次3000元，第三次5000元，第四次10000元，第五次20000元，5次以上不按规定时间配送，采购人有权单方面终止合同，并书面通知中标人。</w:t>
            </w:r>
          </w:p>
          <w:p w14:paraId="54507850">
            <w:pPr>
              <w:pageBreakBefore w:val="0"/>
              <w:kinsoku/>
              <w:wordWrap/>
              <w:overflowPunct/>
              <w:topLinePunct w:val="0"/>
              <w:autoSpaceDE/>
              <w:autoSpaceDN/>
              <w:bidi w:val="0"/>
              <w:adjustRightInd/>
              <w:snapToGrid/>
              <w:spacing w:line="400" w:lineRule="exact"/>
              <w:ind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（2）被药监部门抽检定为假、劣药的须无条件给予退换，并承担相关的法律责任，由此产生的相关责任及费用由中标人自行负责。同时采购单位有权单方终止与中标人的供货协议/合同并追究相关法律责任。</w:t>
            </w:r>
          </w:p>
          <w:p w14:paraId="1E99E6D0">
            <w:pPr>
              <w:pageBreakBefore w:val="0"/>
              <w:kinsoku/>
              <w:wordWrap/>
              <w:overflowPunct/>
              <w:topLinePunct w:val="0"/>
              <w:autoSpaceDE/>
              <w:autoSpaceDN/>
              <w:bidi w:val="0"/>
              <w:adjustRightInd/>
              <w:snapToGrid/>
              <w:spacing w:line="400" w:lineRule="exact"/>
              <w:ind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10.中标人需利用现代医药物流信息技术和相关设施设备为采购人提供物流配送、药品存储管理及相关增值服务，保障采购人饮片供应，提高药房整体服务和解决方案。</w:t>
            </w:r>
          </w:p>
          <w:p w14:paraId="77889667">
            <w:pPr>
              <w:pageBreakBefore w:val="0"/>
              <w:kinsoku/>
              <w:wordWrap/>
              <w:overflowPunct/>
              <w:topLinePunct w:val="0"/>
              <w:autoSpaceDE/>
              <w:autoSpaceDN/>
              <w:bidi w:val="0"/>
              <w:adjustRightInd/>
              <w:snapToGrid/>
              <w:spacing w:line="400" w:lineRule="exact"/>
              <w:ind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▲11.若与国家政策相冲突，原则上按国家有关政策规定执行。采购人将按国家政策调整各分标中药饮片采购清单配送计划，采购人不承担调配后对供应商造成的任何损失，未调整部分仍按原合同执行。</w:t>
            </w:r>
          </w:p>
          <w:p w14:paraId="72C6B78F">
            <w:pPr>
              <w:pageBreakBefore w:val="0"/>
              <w:kinsoku/>
              <w:wordWrap/>
              <w:overflowPunct/>
              <w:topLinePunct w:val="0"/>
              <w:autoSpaceDE/>
              <w:autoSpaceDN/>
              <w:bidi w:val="0"/>
              <w:adjustRightInd/>
              <w:snapToGrid/>
              <w:spacing w:line="400" w:lineRule="exact"/>
              <w:ind w:right="0" w:rightChars="0" w:firstLine="420" w:firstLineChars="200"/>
              <w:jc w:val="left"/>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▲12.合同履行期限满后，中标人须按采购人要求进行工作交接，并保障采购人顺利运转。</w:t>
            </w:r>
          </w:p>
        </w:tc>
      </w:tr>
      <w:tr w14:paraId="1E432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dxa"/>
            <w:shd w:val="clear" w:color="auto" w:fill="auto"/>
            <w:vAlign w:val="center"/>
          </w:tcPr>
          <w:p w14:paraId="7C85899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分标</w:t>
            </w:r>
            <w:r>
              <w:rPr>
                <w:rFonts w:hint="eastAsia" w:ascii="宋体" w:hAnsi="宋体" w:cs="宋体"/>
                <w:color w:val="auto"/>
                <w:kern w:val="0"/>
                <w:szCs w:val="21"/>
                <w:highlight w:val="none"/>
                <w:lang w:val="en-US" w:eastAsia="zh-CN" w:bidi="ar"/>
              </w:rPr>
              <w:t>2</w:t>
            </w:r>
          </w:p>
        </w:tc>
        <w:tc>
          <w:tcPr>
            <w:tcW w:w="912" w:type="dxa"/>
            <w:shd w:val="clear" w:color="auto" w:fill="auto"/>
            <w:vAlign w:val="center"/>
          </w:tcPr>
          <w:p w14:paraId="137566A1">
            <w:pPr>
              <w:pageBreakBefore w:val="0"/>
              <w:widowControl/>
              <w:kinsoku/>
              <w:wordWrap/>
              <w:overflowPunct/>
              <w:topLinePunct w:val="0"/>
              <w:autoSpaceDE/>
              <w:autoSpaceDN/>
              <w:bidi w:val="0"/>
              <w:adjustRightInd/>
              <w:snapToGrid/>
              <w:spacing w:line="400" w:lineRule="exact"/>
              <w:ind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olor w:val="auto"/>
                <w:szCs w:val="21"/>
                <w:highlight w:val="none"/>
                <w:u w:val="none"/>
                <w:lang w:val="en-US" w:eastAsia="zh-CN"/>
              </w:rPr>
              <w:t>广西中医药研究院2025年中药饮片配送服务</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w:t>
            </w:r>
          </w:p>
        </w:tc>
        <w:tc>
          <w:tcPr>
            <w:tcW w:w="624" w:type="dxa"/>
            <w:shd w:val="clear" w:color="auto" w:fill="auto"/>
            <w:vAlign w:val="center"/>
          </w:tcPr>
          <w:p w14:paraId="33D42318">
            <w:pPr>
              <w:pageBreakBefore w:val="0"/>
              <w:kinsoku/>
              <w:wordWrap/>
              <w:overflowPunct/>
              <w:topLinePunct w:val="0"/>
              <w:autoSpaceDE/>
              <w:autoSpaceDN/>
              <w:bidi w:val="0"/>
              <w:adjustRightInd/>
              <w:snapToGrid/>
              <w:spacing w:line="400" w:lineRule="exact"/>
              <w:ind w:right="0" w:rightChars="0"/>
              <w:jc w:val="center"/>
              <w:textAlignment w:val="auto"/>
              <w:rPr>
                <w:rFonts w:hint="default" w:asciiTheme="minorEastAsia" w:hAnsiTheme="minorEastAsia" w:eastAsiaTheme="minorEastAsia" w:cstheme="minorEastAsia"/>
                <w:color w:val="auto"/>
                <w:kern w:val="2"/>
                <w:sz w:val="21"/>
                <w:szCs w:val="21"/>
                <w:highlight w:val="none"/>
                <w:lang w:val="en-US" w:eastAsia="zh-CN" w:bidi="ar-SA"/>
              </w:rPr>
            </w:pPr>
            <w:r>
              <w:rPr>
                <w:rFonts w:ascii="宋体" w:hAnsi="宋体"/>
                <w:color w:val="auto"/>
                <w:szCs w:val="21"/>
                <w:highlight w:val="none"/>
              </w:rPr>
              <w:t>1</w:t>
            </w:r>
            <w:r>
              <w:rPr>
                <w:rFonts w:hint="eastAsia" w:ascii="宋体" w:hAnsi="宋体"/>
                <w:color w:val="auto"/>
                <w:szCs w:val="21"/>
                <w:highlight w:val="none"/>
              </w:rPr>
              <w:t>项</w:t>
            </w:r>
          </w:p>
        </w:tc>
        <w:tc>
          <w:tcPr>
            <w:tcW w:w="638" w:type="dxa"/>
            <w:shd w:val="clear" w:color="auto" w:fill="auto"/>
            <w:vAlign w:val="center"/>
          </w:tcPr>
          <w:p w14:paraId="3DC454BC">
            <w:pPr>
              <w:pageBreakBefore w:val="0"/>
              <w:kinsoku/>
              <w:wordWrap/>
              <w:overflowPunct/>
              <w:topLinePunct w:val="0"/>
              <w:autoSpaceDE/>
              <w:autoSpaceDN/>
              <w:bidi w:val="0"/>
              <w:adjustRightInd/>
              <w:snapToGrid/>
              <w:spacing w:line="400" w:lineRule="exact"/>
              <w:ind w:right="0" w:rightChars="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olor w:val="auto"/>
                <w:szCs w:val="21"/>
                <w:highlight w:val="none"/>
                <w:lang w:val="en-US" w:eastAsia="zh-CN"/>
              </w:rPr>
              <w:t>170.00</w:t>
            </w:r>
          </w:p>
        </w:tc>
        <w:tc>
          <w:tcPr>
            <w:tcW w:w="574" w:type="dxa"/>
            <w:shd w:val="clear" w:color="auto" w:fill="auto"/>
            <w:vAlign w:val="center"/>
          </w:tcPr>
          <w:p w14:paraId="09F2B8BC">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eastAsia="zh-CN"/>
              </w:rPr>
              <w:t>批发业</w:t>
            </w:r>
          </w:p>
        </w:tc>
        <w:tc>
          <w:tcPr>
            <w:tcW w:w="7220" w:type="dxa"/>
            <w:vMerge w:val="continue"/>
            <w:vAlign w:val="center"/>
          </w:tcPr>
          <w:p w14:paraId="2194C1B1">
            <w:pPr>
              <w:widowControl/>
              <w:spacing w:line="360" w:lineRule="exact"/>
              <w:ind w:firstLine="210" w:firstLineChars="100"/>
              <w:jc w:val="left"/>
              <w:textAlignment w:val="center"/>
              <w:rPr>
                <w:rFonts w:hint="eastAsia" w:ascii="宋体" w:hAnsi="宋体" w:cs="宋体"/>
                <w:color w:val="auto"/>
                <w:szCs w:val="21"/>
                <w:highlight w:val="none"/>
                <w:lang w:val="en-US" w:eastAsia="zh-CN"/>
              </w:rPr>
            </w:pPr>
          </w:p>
        </w:tc>
      </w:tr>
      <w:tr w14:paraId="6FA58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423" w:type="dxa"/>
            <w:gridSpan w:val="6"/>
            <w:vAlign w:val="center"/>
          </w:tcPr>
          <w:p w14:paraId="444A3EB7">
            <w:pPr>
              <w:spacing w:line="360" w:lineRule="auto"/>
              <w:rPr>
                <w:rFonts w:ascii="宋体" w:hAnsi="宋体" w:cs="宋体"/>
                <w:color w:val="auto"/>
                <w:szCs w:val="21"/>
                <w:highlight w:val="none"/>
              </w:rPr>
            </w:pPr>
            <w:r>
              <w:rPr>
                <w:rFonts w:hint="eastAsia" w:ascii="宋体" w:hAnsi="宋体" w:cs="宋体"/>
                <w:b/>
                <w:bCs/>
                <w:color w:val="auto"/>
                <w:kern w:val="0"/>
                <w:szCs w:val="21"/>
                <w:highlight w:val="none"/>
              </w:rPr>
              <w:t>商务条款</w:t>
            </w:r>
          </w:p>
        </w:tc>
      </w:tr>
      <w:tr w14:paraId="0BB0A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dxa"/>
            <w:gridSpan w:val="2"/>
            <w:vAlign w:val="center"/>
          </w:tcPr>
          <w:p w14:paraId="18680C8A">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▲合同签订时间</w:t>
            </w:r>
          </w:p>
        </w:tc>
        <w:tc>
          <w:tcPr>
            <w:tcW w:w="9056" w:type="dxa"/>
            <w:gridSpan w:val="4"/>
            <w:vAlign w:val="center"/>
          </w:tcPr>
          <w:p w14:paraId="1CD31975">
            <w:pPr>
              <w:widowControl/>
              <w:adjustRightInd w:val="0"/>
              <w:spacing w:line="360" w:lineRule="exact"/>
              <w:ind w:firstLine="420" w:firstLineChars="200"/>
              <w:jc w:val="left"/>
              <w:textAlignment w:val="center"/>
              <w:rPr>
                <w:rFonts w:asciiTheme="minorEastAsia" w:hAnsiTheme="minorEastAsia" w:eastAsiaTheme="minorEastAsia" w:cstheme="minorEastAsia"/>
                <w:color w:val="auto"/>
                <w:szCs w:val="21"/>
                <w:highlight w:val="none"/>
                <w14:ligatures w14:val="standardContextual"/>
              </w:rPr>
            </w:pPr>
            <w:r>
              <w:rPr>
                <w:rFonts w:hint="eastAsia" w:asciiTheme="minorEastAsia" w:hAnsiTheme="minorEastAsia" w:eastAsiaTheme="minorEastAsia" w:cstheme="minorEastAsia"/>
                <w:color w:val="auto"/>
                <w:szCs w:val="21"/>
                <w:highlight w:val="none"/>
                <w14:ligatures w14:val="standardContextual"/>
              </w:rPr>
              <w:t>自中标通知书发出之日起 25个日历日内。</w:t>
            </w:r>
          </w:p>
        </w:tc>
      </w:tr>
      <w:tr w14:paraId="5F0B7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dxa"/>
            <w:gridSpan w:val="2"/>
            <w:vAlign w:val="center"/>
          </w:tcPr>
          <w:p w14:paraId="793C552B">
            <w:pPr>
              <w:spacing w:line="360" w:lineRule="exact"/>
              <w:jc w:val="center"/>
              <w:rPr>
                <w:rFonts w:hint="eastAsia" w:asciiTheme="minorEastAsia" w:hAnsiTheme="minorEastAsia" w:eastAsiaTheme="minorEastAsia" w:cstheme="minorEastAsia"/>
                <w:color w:val="auto"/>
                <w:szCs w:val="21"/>
                <w:highlight w:val="none"/>
                <w:lang w:val="en-US" w:eastAsia="zh-CN"/>
              </w:rPr>
            </w:pPr>
            <w:r>
              <w:rPr>
                <w:rFonts w:hint="eastAsia" w:ascii="宋体" w:hAnsi="宋体" w:cs="宋体"/>
                <w:color w:val="auto"/>
                <w:szCs w:val="21"/>
                <w:highlight w:val="none"/>
              </w:rPr>
              <w:t>▲</w:t>
            </w:r>
            <w:r>
              <w:rPr>
                <w:rFonts w:hint="eastAsia" w:asciiTheme="minorEastAsia" w:hAnsiTheme="minorEastAsia" w:eastAsiaTheme="minorEastAsia" w:cstheme="minorEastAsia"/>
                <w:color w:val="auto"/>
                <w:szCs w:val="21"/>
                <w:highlight w:val="none"/>
                <w:lang w:val="en-US" w:eastAsia="zh-CN"/>
              </w:rPr>
              <w:t>服务</w:t>
            </w:r>
            <w:r>
              <w:rPr>
                <w:rFonts w:hint="eastAsia" w:asciiTheme="minorEastAsia" w:hAnsiTheme="minorEastAsia" w:eastAsiaTheme="minorEastAsia" w:cstheme="minorEastAsia"/>
                <w:color w:val="auto"/>
                <w:szCs w:val="21"/>
                <w:highlight w:val="none"/>
              </w:rPr>
              <w:t>期</w:t>
            </w:r>
            <w:r>
              <w:rPr>
                <w:rFonts w:hint="eastAsia" w:asciiTheme="minorEastAsia" w:hAnsiTheme="minorEastAsia" w:eastAsiaTheme="minorEastAsia" w:cstheme="minorEastAsia"/>
                <w:color w:val="auto"/>
                <w:szCs w:val="21"/>
                <w:highlight w:val="none"/>
                <w:lang w:val="en-US" w:eastAsia="zh-CN"/>
              </w:rPr>
              <w:t>限</w:t>
            </w:r>
          </w:p>
        </w:tc>
        <w:tc>
          <w:tcPr>
            <w:tcW w:w="9056" w:type="dxa"/>
            <w:gridSpan w:val="4"/>
            <w:vAlign w:val="center"/>
          </w:tcPr>
          <w:p w14:paraId="2014AC49">
            <w:pPr>
              <w:widowControl/>
              <w:adjustRightInd w:val="0"/>
              <w:spacing w:line="360" w:lineRule="exact"/>
              <w:ind w:firstLine="420" w:firstLineChars="200"/>
              <w:jc w:val="left"/>
              <w:textAlignment w:val="center"/>
              <w:rPr>
                <w:rFonts w:asciiTheme="minorEastAsia" w:hAnsiTheme="minorEastAsia" w:eastAsiaTheme="minorEastAsia" w:cstheme="minorEastAsia"/>
                <w:color w:val="auto"/>
                <w:szCs w:val="21"/>
                <w:highlight w:val="none"/>
                <w14:ligatures w14:val="standardContextual"/>
              </w:rPr>
            </w:pPr>
            <w:r>
              <w:rPr>
                <w:rFonts w:hint="eastAsia" w:ascii="宋体" w:hAnsi="宋体"/>
                <w:color w:val="auto"/>
                <w:szCs w:val="21"/>
                <w:highlight w:val="none"/>
              </w:rPr>
              <w:t>自合同签订之日起1年。</w:t>
            </w:r>
          </w:p>
        </w:tc>
      </w:tr>
      <w:tr w14:paraId="42A1A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dxa"/>
            <w:gridSpan w:val="2"/>
            <w:vAlign w:val="center"/>
          </w:tcPr>
          <w:p w14:paraId="7F8B6141">
            <w:pPr>
              <w:pageBreakBefore w:val="0"/>
              <w:kinsoku/>
              <w:wordWrap/>
              <w:overflowPunct/>
              <w:topLinePunct w:val="0"/>
              <w:autoSpaceDE/>
              <w:autoSpaceDN/>
              <w:bidi w:val="0"/>
              <w:adjustRightInd/>
              <w:snapToGrid/>
              <w:spacing w:line="400" w:lineRule="exact"/>
              <w:ind w:right="0" w:rightChars="0"/>
              <w:textAlignment w:val="auto"/>
              <w:rPr>
                <w:rFonts w:hint="eastAsia" w:ascii="宋体" w:hAnsi="宋体" w:cs="宋体"/>
                <w:color w:val="auto"/>
                <w:szCs w:val="21"/>
                <w:highlight w:val="none"/>
              </w:rPr>
            </w:pPr>
            <w:r>
              <w:rPr>
                <w:rFonts w:hint="eastAsia" w:ascii="宋体" w:hAnsi="宋体"/>
                <w:color w:val="auto"/>
                <w:szCs w:val="21"/>
                <w:highlight w:val="none"/>
              </w:rPr>
              <w:t>▲交货时间及交货地点</w:t>
            </w:r>
          </w:p>
        </w:tc>
        <w:tc>
          <w:tcPr>
            <w:tcW w:w="9056" w:type="dxa"/>
            <w:gridSpan w:val="4"/>
            <w:vAlign w:val="center"/>
          </w:tcPr>
          <w:p w14:paraId="336F4A23">
            <w:pPr>
              <w:pageBreakBefore w:val="0"/>
              <w:kinsoku/>
              <w:wordWrap/>
              <w:overflowPunct/>
              <w:topLinePunct w:val="0"/>
              <w:autoSpaceDE/>
              <w:autoSpaceDN/>
              <w:bidi w:val="0"/>
              <w:adjustRightInd/>
              <w:snapToGrid/>
              <w:spacing w:line="400" w:lineRule="exact"/>
              <w:ind w:right="0" w:rightChars="0" w:firstLine="420" w:firstLineChars="200"/>
              <w:textAlignment w:val="auto"/>
              <w:rPr>
                <w:rFonts w:ascii="宋体" w:hAnsi="宋体" w:cs="宋体"/>
                <w:color w:val="auto"/>
                <w:szCs w:val="21"/>
                <w:highlight w:val="none"/>
              </w:rPr>
            </w:pPr>
            <w:r>
              <w:rPr>
                <w:rFonts w:hint="eastAsia" w:ascii="宋体" w:hAnsi="宋体"/>
                <w:color w:val="auto"/>
                <w:szCs w:val="21"/>
                <w:highlight w:val="none"/>
              </w:rPr>
              <w:t>1.</w:t>
            </w:r>
            <w:r>
              <w:rPr>
                <w:rFonts w:hint="eastAsia" w:ascii="宋体" w:hAnsi="宋体" w:cs="宋体"/>
                <w:color w:val="auto"/>
                <w:szCs w:val="21"/>
                <w:highlight w:val="none"/>
              </w:rPr>
              <w:t>交货时间：根据采购人每次出具的釆购计划数量进行分批供货，中标人每次接到采购人供货通知单后，在采购人指定的时间（一般用药务必在2个工作日内，紧急用药在4小时内）和地点交付产地、质量、包装、有效期等均符合条件的药品，且产品外包装标签上必须标示有品名、规格、产地、等级、生产企业、产品批号、生产日期并附质量合格标志。中药饮片出库单须与药品同行并附上与药品批次对应的成品检验报告单。采购人根据中药饮片验收时的质量状况确定是否收货或者退货。</w:t>
            </w:r>
          </w:p>
          <w:p w14:paraId="579470D5">
            <w:pPr>
              <w:pageBreakBefore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交货地点：南宁市内采购人指定地点。</w:t>
            </w:r>
          </w:p>
        </w:tc>
      </w:tr>
      <w:tr w14:paraId="13429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dxa"/>
            <w:gridSpan w:val="2"/>
            <w:vAlign w:val="center"/>
          </w:tcPr>
          <w:p w14:paraId="6A2AF02E">
            <w:pPr>
              <w:pageBreakBefore w:val="0"/>
              <w:kinsoku/>
              <w:wordWrap/>
              <w:overflowPunct/>
              <w:topLinePunct w:val="0"/>
              <w:autoSpaceDE/>
              <w:autoSpaceDN/>
              <w:bidi w:val="0"/>
              <w:adjustRightInd/>
              <w:snapToGrid/>
              <w:spacing w:line="400" w:lineRule="exact"/>
              <w:ind w:right="0" w:rightChars="0"/>
              <w:textAlignment w:val="auto"/>
              <w:rPr>
                <w:rFonts w:asciiTheme="minorEastAsia" w:hAnsiTheme="minorEastAsia" w:eastAsiaTheme="minorEastAsia" w:cstheme="minorEastAsia"/>
                <w:color w:val="auto"/>
                <w:szCs w:val="21"/>
                <w:highlight w:val="none"/>
              </w:rPr>
            </w:pPr>
            <w:r>
              <w:rPr>
                <w:rFonts w:hint="eastAsia" w:ascii="宋体" w:hAnsi="宋体"/>
                <w:color w:val="auto"/>
                <w:szCs w:val="21"/>
                <w:highlight w:val="none"/>
              </w:rPr>
              <w:t>其他服务要求</w:t>
            </w:r>
          </w:p>
        </w:tc>
        <w:tc>
          <w:tcPr>
            <w:tcW w:w="9056" w:type="dxa"/>
            <w:gridSpan w:val="4"/>
            <w:vAlign w:val="center"/>
          </w:tcPr>
          <w:p w14:paraId="26451F4A">
            <w:pPr>
              <w:pageBreakBefore w:val="0"/>
              <w:kinsoku/>
              <w:wordWrap/>
              <w:overflowPunct/>
              <w:topLinePunct w:val="0"/>
              <w:autoSpaceDE/>
              <w:autoSpaceDN/>
              <w:bidi w:val="0"/>
              <w:adjustRightInd/>
              <w:snapToGrid/>
              <w:spacing w:line="400" w:lineRule="exact"/>
              <w:ind w:right="0" w:rightChars="0" w:firstLine="420" w:firstLineChars="200"/>
              <w:textAlignment w:val="auto"/>
              <w:rPr>
                <w:rFonts w:asciiTheme="minorEastAsia" w:hAnsiTheme="minorEastAsia" w:eastAsiaTheme="minorEastAsia" w:cstheme="minorEastAsia"/>
                <w:color w:val="auto"/>
                <w:szCs w:val="21"/>
                <w:highlight w:val="none"/>
                <w14:ligatures w14:val="standardContextual"/>
              </w:rPr>
            </w:pPr>
            <w:r>
              <w:rPr>
                <w:rFonts w:hint="eastAsia" w:ascii="宋体" w:hAnsi="宋体"/>
                <w:color w:val="auto"/>
                <w:szCs w:val="21"/>
                <w:highlight w:val="none"/>
              </w:rPr>
              <w:t>每次验收合格后中标人安排至少2名固定售后人员协助采购人将中药饮片整理上架。</w:t>
            </w:r>
          </w:p>
        </w:tc>
      </w:tr>
      <w:tr w14:paraId="7113D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dxa"/>
            <w:gridSpan w:val="2"/>
            <w:vAlign w:val="center"/>
          </w:tcPr>
          <w:p w14:paraId="573BDFA9">
            <w:pPr>
              <w:pageBreakBefore w:val="0"/>
              <w:kinsoku/>
              <w:wordWrap/>
              <w:overflowPunct/>
              <w:topLinePunct w:val="0"/>
              <w:autoSpaceDE/>
              <w:autoSpaceDN/>
              <w:bidi w:val="0"/>
              <w:adjustRightInd/>
              <w:snapToGrid/>
              <w:spacing w:line="400" w:lineRule="exact"/>
              <w:ind w:right="0" w:rightChars="0"/>
              <w:textAlignment w:val="auto"/>
              <w:rPr>
                <w:rFonts w:asciiTheme="minorEastAsia" w:hAnsiTheme="minorEastAsia" w:eastAsiaTheme="minorEastAsia" w:cstheme="minorEastAsia"/>
                <w:color w:val="auto"/>
                <w:szCs w:val="21"/>
                <w:highlight w:val="none"/>
              </w:rPr>
            </w:pPr>
            <w:r>
              <w:rPr>
                <w:rFonts w:hint="eastAsia" w:ascii="宋体" w:hAnsi="宋体"/>
                <w:color w:val="auto"/>
                <w:szCs w:val="21"/>
                <w:highlight w:val="none"/>
              </w:rPr>
              <w:t>▲售后服务要求</w:t>
            </w:r>
          </w:p>
        </w:tc>
        <w:tc>
          <w:tcPr>
            <w:tcW w:w="9056" w:type="dxa"/>
            <w:gridSpan w:val="4"/>
            <w:vAlign w:val="center"/>
          </w:tcPr>
          <w:p w14:paraId="5BBBFC8A">
            <w:pPr>
              <w:pageBreakBefore w:val="0"/>
              <w:numPr>
                <w:ilvl w:val="0"/>
                <w:numId w:val="0"/>
              </w:numPr>
              <w:kinsoku/>
              <w:wordWrap/>
              <w:overflowPunct/>
              <w:topLinePunct w:val="0"/>
              <w:autoSpaceDE/>
              <w:autoSpaceDN/>
              <w:bidi w:val="0"/>
              <w:adjustRightInd/>
              <w:snapToGrid/>
              <w:spacing w:line="400" w:lineRule="exact"/>
              <w:ind w:left="0" w:leftChars="0" w:right="0" w:rightChars="0" w:firstLine="420" w:firstLineChars="200"/>
              <w:textAlignment w:val="auto"/>
              <w:rPr>
                <w:rFonts w:hint="eastAsia" w:ascii="宋体" w:hAnsi="宋体"/>
                <w:color w:val="auto"/>
                <w:szCs w:val="21"/>
                <w:highlight w:val="none"/>
              </w:rPr>
            </w:pPr>
            <w:r>
              <w:rPr>
                <w:rFonts w:hint="default" w:ascii="宋体" w:hAnsi="宋体"/>
                <w:color w:val="auto"/>
                <w:kern w:val="2"/>
                <w:sz w:val="21"/>
                <w:szCs w:val="21"/>
                <w:highlight w:val="none"/>
                <w:lang w:val="en-US" w:eastAsia="zh-CN" w:bidi="ar-SA"/>
              </w:rPr>
              <w:t>1．</w:t>
            </w:r>
            <w:r>
              <w:rPr>
                <w:rFonts w:hint="eastAsia" w:ascii="宋体" w:hAnsi="宋体"/>
                <w:color w:val="auto"/>
                <w:szCs w:val="21"/>
                <w:highlight w:val="none"/>
              </w:rPr>
              <w:t>按国家有关规定执行“三包”。</w:t>
            </w:r>
          </w:p>
          <w:p w14:paraId="36F79283">
            <w:pPr>
              <w:pageBreakBefore w:val="0"/>
              <w:numPr>
                <w:ilvl w:val="0"/>
                <w:numId w:val="0"/>
              </w:numPr>
              <w:kinsoku/>
              <w:wordWrap/>
              <w:overflowPunct/>
              <w:topLinePunct w:val="0"/>
              <w:autoSpaceDE/>
              <w:autoSpaceDN/>
              <w:bidi w:val="0"/>
              <w:adjustRightInd/>
              <w:snapToGrid/>
              <w:spacing w:line="400" w:lineRule="exact"/>
              <w:ind w:left="0" w:leftChars="0" w:right="0" w:rightChars="0" w:firstLine="420" w:firstLineChars="200"/>
              <w:textAlignment w:val="auto"/>
              <w:rPr>
                <w:rFonts w:hint="eastAsia" w:ascii="宋体" w:hAnsi="宋体"/>
                <w:color w:val="auto"/>
                <w:szCs w:val="21"/>
                <w:highlight w:val="none"/>
              </w:rPr>
            </w:pPr>
            <w:r>
              <w:rPr>
                <w:rFonts w:hint="default" w:ascii="宋体" w:hAnsi="宋体"/>
                <w:color w:val="auto"/>
                <w:kern w:val="2"/>
                <w:sz w:val="21"/>
                <w:szCs w:val="21"/>
                <w:highlight w:val="none"/>
                <w:lang w:val="en-US" w:eastAsia="zh-CN" w:bidi="ar-SA"/>
              </w:rPr>
              <w:t>2．</w:t>
            </w:r>
            <w:r>
              <w:rPr>
                <w:rFonts w:hint="eastAsia" w:ascii="宋体" w:hAnsi="宋体"/>
                <w:color w:val="auto"/>
                <w:szCs w:val="21"/>
                <w:highlight w:val="none"/>
              </w:rPr>
              <w:t>由中标人送货到采购人指定地点，由此产生的一切费用由中标人负责，报价时投标人应当考虑相关费用。</w:t>
            </w:r>
          </w:p>
          <w:p w14:paraId="63AC66F4">
            <w:pPr>
              <w:pageBreakBefore w:val="0"/>
              <w:numPr>
                <w:ilvl w:val="0"/>
                <w:numId w:val="0"/>
              </w:numPr>
              <w:kinsoku/>
              <w:wordWrap/>
              <w:overflowPunct/>
              <w:topLinePunct w:val="0"/>
              <w:autoSpaceDE/>
              <w:autoSpaceDN/>
              <w:bidi w:val="0"/>
              <w:adjustRightInd/>
              <w:snapToGrid/>
              <w:spacing w:line="400" w:lineRule="exact"/>
              <w:ind w:left="0" w:leftChars="0" w:right="0" w:rightChars="0" w:firstLine="420" w:firstLineChars="200"/>
              <w:textAlignment w:val="auto"/>
              <w:rPr>
                <w:rFonts w:hint="eastAsia" w:ascii="宋体" w:hAnsi="宋体"/>
                <w:color w:val="auto"/>
                <w:szCs w:val="21"/>
                <w:highlight w:val="none"/>
              </w:rPr>
            </w:pPr>
            <w:r>
              <w:rPr>
                <w:rFonts w:hint="default" w:ascii="宋体" w:hAnsi="宋体"/>
                <w:color w:val="auto"/>
                <w:kern w:val="2"/>
                <w:sz w:val="21"/>
                <w:szCs w:val="21"/>
                <w:highlight w:val="none"/>
                <w:lang w:val="en-US" w:eastAsia="zh-CN" w:bidi="ar-SA"/>
              </w:rPr>
              <w:t>3．</w:t>
            </w:r>
            <w:r>
              <w:rPr>
                <w:rFonts w:hint="eastAsia" w:ascii="宋体" w:hAnsi="宋体"/>
                <w:color w:val="auto"/>
                <w:szCs w:val="21"/>
                <w:highlight w:val="none"/>
              </w:rPr>
              <w:t>突发事件或紧急药品及使用科室应急药品须随叫随送，超过时间（4小时）采购人有权按合同违约处理（特殊情况另议）；</w:t>
            </w:r>
          </w:p>
          <w:p w14:paraId="03A05C57">
            <w:pPr>
              <w:pageBreakBefore w:val="0"/>
              <w:numPr>
                <w:ilvl w:val="0"/>
                <w:numId w:val="0"/>
              </w:numPr>
              <w:kinsoku/>
              <w:wordWrap/>
              <w:overflowPunct/>
              <w:topLinePunct w:val="0"/>
              <w:autoSpaceDE/>
              <w:autoSpaceDN/>
              <w:bidi w:val="0"/>
              <w:adjustRightInd/>
              <w:snapToGrid/>
              <w:spacing w:line="400" w:lineRule="exact"/>
              <w:ind w:left="0" w:leftChars="0" w:right="0" w:rightChars="0" w:firstLine="420" w:firstLineChars="200"/>
              <w:textAlignment w:val="auto"/>
              <w:rPr>
                <w:rFonts w:hint="eastAsia" w:ascii="宋体" w:hAnsi="宋体"/>
                <w:color w:val="auto"/>
                <w:szCs w:val="21"/>
                <w:highlight w:val="none"/>
              </w:rPr>
            </w:pPr>
            <w:r>
              <w:rPr>
                <w:rFonts w:hint="default" w:ascii="宋体" w:hAnsi="宋体"/>
                <w:color w:val="auto"/>
                <w:kern w:val="2"/>
                <w:sz w:val="21"/>
                <w:szCs w:val="21"/>
                <w:highlight w:val="none"/>
                <w:lang w:val="en-US" w:eastAsia="zh-CN" w:bidi="ar-SA"/>
              </w:rPr>
              <w:t>4．</w:t>
            </w:r>
            <w:r>
              <w:rPr>
                <w:rFonts w:hint="eastAsia" w:ascii="宋体" w:hAnsi="宋体"/>
                <w:color w:val="auto"/>
                <w:szCs w:val="21"/>
                <w:highlight w:val="none"/>
              </w:rPr>
              <w:t>中标人应在中药饮片发货前对其进行防潮、防震和防破损装卸等要求包装，以保证货物安全运输。</w:t>
            </w:r>
          </w:p>
          <w:p w14:paraId="0FD50E74">
            <w:pPr>
              <w:pageBreakBefore w:val="0"/>
              <w:numPr>
                <w:ilvl w:val="0"/>
                <w:numId w:val="0"/>
              </w:numPr>
              <w:kinsoku/>
              <w:wordWrap/>
              <w:overflowPunct/>
              <w:topLinePunct w:val="0"/>
              <w:autoSpaceDE/>
              <w:autoSpaceDN/>
              <w:bidi w:val="0"/>
              <w:adjustRightInd/>
              <w:snapToGrid/>
              <w:spacing w:line="400" w:lineRule="exact"/>
              <w:ind w:left="0" w:leftChars="0" w:right="0" w:rightChars="0" w:firstLine="420" w:firstLineChars="200"/>
              <w:textAlignment w:val="auto"/>
              <w:rPr>
                <w:rFonts w:hint="eastAsia" w:ascii="宋体" w:hAnsi="宋体"/>
                <w:color w:val="auto"/>
                <w:szCs w:val="21"/>
                <w:highlight w:val="none"/>
              </w:rPr>
            </w:pPr>
            <w:r>
              <w:rPr>
                <w:rFonts w:hint="default" w:ascii="宋体" w:hAnsi="宋体"/>
                <w:color w:val="auto"/>
                <w:kern w:val="2"/>
                <w:sz w:val="21"/>
                <w:szCs w:val="21"/>
                <w:highlight w:val="none"/>
                <w:lang w:val="en-US" w:eastAsia="zh-CN" w:bidi="ar-SA"/>
              </w:rPr>
              <w:t>5．</w:t>
            </w:r>
            <w:r>
              <w:rPr>
                <w:rFonts w:hint="eastAsia" w:ascii="宋体" w:hAnsi="宋体"/>
                <w:color w:val="auto"/>
                <w:szCs w:val="21"/>
                <w:highlight w:val="none"/>
              </w:rPr>
              <w:t>中药饮片在正式交付采购人前发生的风险均由中标人负责。</w:t>
            </w:r>
          </w:p>
          <w:p w14:paraId="295B50A1">
            <w:pPr>
              <w:pageBreakBefore w:val="0"/>
              <w:numPr>
                <w:ilvl w:val="0"/>
                <w:numId w:val="0"/>
              </w:numPr>
              <w:kinsoku/>
              <w:wordWrap/>
              <w:overflowPunct/>
              <w:topLinePunct w:val="0"/>
              <w:autoSpaceDE/>
              <w:autoSpaceDN/>
              <w:bidi w:val="0"/>
              <w:adjustRightInd/>
              <w:snapToGrid/>
              <w:spacing w:line="400" w:lineRule="exact"/>
              <w:ind w:left="0" w:leftChars="0" w:right="0" w:rightChars="0" w:firstLine="420" w:firstLineChars="200"/>
              <w:textAlignment w:val="auto"/>
              <w:rPr>
                <w:rFonts w:hint="eastAsia" w:ascii="宋体" w:hAnsi="宋体"/>
                <w:color w:val="auto"/>
                <w:szCs w:val="21"/>
                <w:highlight w:val="none"/>
              </w:rPr>
            </w:pPr>
            <w:r>
              <w:rPr>
                <w:rFonts w:hint="default" w:ascii="宋体" w:hAnsi="宋体"/>
                <w:color w:val="auto"/>
                <w:kern w:val="2"/>
                <w:sz w:val="21"/>
                <w:szCs w:val="21"/>
                <w:highlight w:val="none"/>
                <w:lang w:val="en-US" w:eastAsia="zh-CN" w:bidi="ar-SA"/>
              </w:rPr>
              <w:t>6．</w:t>
            </w:r>
            <w:r>
              <w:rPr>
                <w:rFonts w:hint="eastAsia" w:ascii="宋体" w:hAnsi="宋体"/>
                <w:color w:val="auto"/>
                <w:szCs w:val="21"/>
                <w:highlight w:val="none"/>
              </w:rPr>
              <w:t>中标人提供的中药饮片须在质量保证期内，因工艺或材料的缺陷和其它质量原因造成的问题，由此产生的相关费用由中标人负责，采购人有权从未支付的合同款中扣除相关费用。</w:t>
            </w:r>
          </w:p>
          <w:p w14:paraId="06AA290F">
            <w:pPr>
              <w:pageBreakBefore w:val="0"/>
              <w:numPr>
                <w:ilvl w:val="0"/>
                <w:numId w:val="0"/>
              </w:numPr>
              <w:kinsoku/>
              <w:wordWrap/>
              <w:overflowPunct/>
              <w:topLinePunct w:val="0"/>
              <w:autoSpaceDE/>
              <w:autoSpaceDN/>
              <w:bidi w:val="0"/>
              <w:adjustRightInd/>
              <w:snapToGrid/>
              <w:spacing w:line="400" w:lineRule="exact"/>
              <w:ind w:left="0" w:leftChars="0" w:right="0" w:rightChars="0" w:firstLine="420" w:firstLineChars="200"/>
              <w:textAlignment w:val="auto"/>
              <w:rPr>
                <w:rFonts w:hint="eastAsia" w:ascii="宋体" w:hAnsi="宋体"/>
                <w:color w:val="auto"/>
                <w:szCs w:val="21"/>
                <w:highlight w:val="none"/>
              </w:rPr>
            </w:pPr>
            <w:r>
              <w:rPr>
                <w:rFonts w:hint="default" w:ascii="宋体" w:hAnsi="宋体"/>
                <w:color w:val="auto"/>
                <w:kern w:val="2"/>
                <w:sz w:val="21"/>
                <w:szCs w:val="21"/>
                <w:highlight w:val="none"/>
                <w:lang w:val="en-US" w:eastAsia="zh-CN" w:bidi="ar-SA"/>
              </w:rPr>
              <w:t>7．</w:t>
            </w:r>
            <w:r>
              <w:rPr>
                <w:rFonts w:hint="eastAsia" w:ascii="宋体" w:hAnsi="宋体"/>
                <w:color w:val="auto"/>
                <w:szCs w:val="21"/>
                <w:highlight w:val="none"/>
              </w:rPr>
              <w:t>接受采购人的临时抽检，抽检样品由采购人和中标人双方现场包装密封并签字，送有资质的相关部门检测，检测相关费用由中标人承担。</w:t>
            </w:r>
          </w:p>
          <w:p w14:paraId="01191496">
            <w:pPr>
              <w:pageBreakBefore w:val="0"/>
              <w:numPr>
                <w:ilvl w:val="0"/>
                <w:numId w:val="0"/>
              </w:numPr>
              <w:kinsoku/>
              <w:wordWrap/>
              <w:overflowPunct/>
              <w:topLinePunct w:val="0"/>
              <w:autoSpaceDE/>
              <w:autoSpaceDN/>
              <w:bidi w:val="0"/>
              <w:adjustRightInd/>
              <w:snapToGrid/>
              <w:spacing w:line="400" w:lineRule="exact"/>
              <w:ind w:left="0" w:leftChars="0" w:right="0" w:rightChars="0" w:firstLine="420" w:firstLineChars="200"/>
              <w:textAlignment w:val="auto"/>
              <w:rPr>
                <w:rFonts w:hint="eastAsia" w:ascii="宋体" w:hAnsi="宋体"/>
                <w:color w:val="auto"/>
                <w:szCs w:val="21"/>
                <w:highlight w:val="none"/>
              </w:rPr>
            </w:pPr>
            <w:r>
              <w:rPr>
                <w:rFonts w:hint="default" w:ascii="宋体" w:hAnsi="宋体"/>
                <w:color w:val="auto"/>
                <w:kern w:val="2"/>
                <w:sz w:val="21"/>
                <w:szCs w:val="21"/>
                <w:highlight w:val="none"/>
                <w:lang w:val="en-US" w:eastAsia="zh-CN" w:bidi="ar-SA"/>
              </w:rPr>
              <w:t>8．</w:t>
            </w:r>
            <w:r>
              <w:rPr>
                <w:rFonts w:hint="eastAsia" w:ascii="宋体" w:hAnsi="宋体"/>
                <w:color w:val="auto"/>
                <w:szCs w:val="21"/>
                <w:highlight w:val="none"/>
              </w:rPr>
              <w:t>质保期小于等于六个月的中药饮片采购人有权要求中标人退换。</w:t>
            </w:r>
          </w:p>
          <w:p w14:paraId="17EFB305">
            <w:pPr>
              <w:pageBreakBefore w:val="0"/>
              <w:numPr>
                <w:ilvl w:val="0"/>
                <w:numId w:val="0"/>
              </w:numPr>
              <w:kinsoku/>
              <w:wordWrap/>
              <w:overflowPunct/>
              <w:topLinePunct w:val="0"/>
              <w:autoSpaceDE/>
              <w:autoSpaceDN/>
              <w:bidi w:val="0"/>
              <w:adjustRightInd/>
              <w:snapToGrid/>
              <w:spacing w:line="400" w:lineRule="exact"/>
              <w:ind w:left="0" w:leftChars="0" w:right="0" w:rightChars="0" w:firstLine="420" w:firstLineChars="200"/>
              <w:textAlignment w:val="auto"/>
              <w:rPr>
                <w:rFonts w:hint="eastAsia" w:ascii="宋体" w:hAnsi="宋体"/>
                <w:color w:val="auto"/>
                <w:szCs w:val="21"/>
                <w:highlight w:val="none"/>
              </w:rPr>
            </w:pPr>
            <w:r>
              <w:rPr>
                <w:rFonts w:hint="default" w:ascii="宋体" w:hAnsi="宋体"/>
                <w:color w:val="auto"/>
                <w:kern w:val="2"/>
                <w:sz w:val="21"/>
                <w:szCs w:val="21"/>
                <w:highlight w:val="none"/>
                <w:lang w:val="en-US" w:eastAsia="zh-CN" w:bidi="ar-SA"/>
              </w:rPr>
              <w:t>9．</w:t>
            </w:r>
            <w:r>
              <w:rPr>
                <w:rFonts w:hint="eastAsia" w:ascii="宋体" w:hAnsi="宋体"/>
                <w:color w:val="auto"/>
                <w:szCs w:val="21"/>
                <w:highlight w:val="none"/>
              </w:rPr>
              <w:t>中标人在采购人中药房须至少配备1名服务人员协助对中药饮片质量进行管理，中标人配备的服务人员必须是药学类专业人员，工作期间服务人员须遵守采购人内部的规章制度，服从采购人工作安排。</w:t>
            </w:r>
          </w:p>
          <w:p w14:paraId="259848D3">
            <w:pPr>
              <w:pageBreakBefore w:val="0"/>
              <w:numPr>
                <w:ilvl w:val="0"/>
                <w:numId w:val="0"/>
              </w:numPr>
              <w:kinsoku/>
              <w:wordWrap/>
              <w:overflowPunct/>
              <w:topLinePunct w:val="0"/>
              <w:autoSpaceDE/>
              <w:autoSpaceDN/>
              <w:bidi w:val="0"/>
              <w:adjustRightInd/>
              <w:snapToGrid/>
              <w:spacing w:line="400" w:lineRule="exact"/>
              <w:ind w:left="0" w:leftChars="0" w:right="0" w:rightChars="0" w:firstLine="420" w:firstLineChars="200"/>
              <w:textAlignment w:val="auto"/>
              <w:rPr>
                <w:rFonts w:asciiTheme="minorEastAsia" w:hAnsiTheme="minorEastAsia" w:eastAsiaTheme="minorEastAsia" w:cstheme="minorEastAsia"/>
                <w:color w:val="auto"/>
                <w:szCs w:val="21"/>
                <w:highlight w:val="none"/>
                <w14:ligatures w14:val="standardContextual"/>
              </w:rPr>
            </w:pPr>
            <w:r>
              <w:rPr>
                <w:rFonts w:hint="default" w:ascii="宋体" w:hAnsi="宋体"/>
                <w:color w:val="auto"/>
                <w:kern w:val="2"/>
                <w:sz w:val="21"/>
                <w:szCs w:val="21"/>
                <w:highlight w:val="none"/>
                <w:lang w:val="en-US" w:eastAsia="zh-CN" w:bidi="ar-SA"/>
              </w:rPr>
              <w:t>10．</w:t>
            </w:r>
            <w:r>
              <w:rPr>
                <w:rFonts w:hint="eastAsia" w:ascii="宋体" w:hAnsi="宋体"/>
                <w:color w:val="auto"/>
                <w:szCs w:val="21"/>
                <w:highlight w:val="none"/>
              </w:rPr>
              <w:t>中标人需负责为采购单位提供中药邮寄服务，相关费用由中标单位负责。预计月邮寄单数约</w:t>
            </w:r>
            <w:r>
              <w:rPr>
                <w:rFonts w:hint="eastAsia" w:ascii="宋体" w:hAnsi="宋体"/>
                <w:color w:val="auto"/>
                <w:szCs w:val="21"/>
                <w:highlight w:val="none"/>
                <w:lang w:val="en-US" w:eastAsia="zh-CN"/>
              </w:rPr>
              <w:t>200</w:t>
            </w:r>
            <w:r>
              <w:rPr>
                <w:rFonts w:hint="eastAsia" w:ascii="宋体" w:hAnsi="宋体"/>
                <w:color w:val="auto"/>
                <w:szCs w:val="21"/>
                <w:highlight w:val="none"/>
              </w:rPr>
              <w:t>单。</w:t>
            </w:r>
          </w:p>
        </w:tc>
      </w:tr>
      <w:tr w14:paraId="4D410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dxa"/>
            <w:gridSpan w:val="2"/>
            <w:shd w:val="clear" w:color="auto" w:fill="auto"/>
            <w:vAlign w:val="center"/>
          </w:tcPr>
          <w:p w14:paraId="1DED40CB">
            <w:pPr>
              <w:pageBreakBefore w:val="0"/>
              <w:kinsoku/>
              <w:wordWrap/>
              <w:overflowPunct/>
              <w:topLinePunct w:val="0"/>
              <w:autoSpaceDE/>
              <w:autoSpaceDN/>
              <w:bidi w:val="0"/>
              <w:adjustRightInd/>
              <w:snapToGrid/>
              <w:spacing w:line="400" w:lineRule="exact"/>
              <w:ind w:right="0" w:rightChars="0"/>
              <w:textAlignment w:val="auto"/>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投标报价要求</w:t>
            </w:r>
          </w:p>
        </w:tc>
        <w:tc>
          <w:tcPr>
            <w:tcW w:w="9056" w:type="dxa"/>
            <w:gridSpan w:val="4"/>
            <w:shd w:val="clear" w:color="auto" w:fill="auto"/>
            <w:vAlign w:val="center"/>
          </w:tcPr>
          <w:p w14:paraId="4674B5CA">
            <w:pPr>
              <w:pageBreakBefore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投标人须根据各分标采购预算金额和附件1中各分标所有药品品种的单价最高限价（即“预算单价”）对所投分标各中药饮片单价进行报价，所有报价单价均保留小数点后两位。中标后，中标人的各中药饮片中标单价作为各中药饮片的结算单价。</w:t>
            </w:r>
          </w:p>
          <w:p w14:paraId="22F9E40B">
            <w:pPr>
              <w:pageBreakBefore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.签订合同后，除与国家政策相冲突以外，合同履约服务期内中标单价不能增涨。因国家政策调整导致</w:t>
            </w:r>
            <w:r>
              <w:rPr>
                <w:rFonts w:hint="eastAsia"/>
                <w:color w:val="auto"/>
                <w:highlight w:val="none"/>
              </w:rPr>
              <w:t>相关中药饮片的</w:t>
            </w:r>
            <w:r>
              <w:rPr>
                <w:rFonts w:hint="eastAsia" w:ascii="宋体" w:hAnsi="宋体"/>
                <w:color w:val="auto"/>
                <w:szCs w:val="21"/>
                <w:highlight w:val="none"/>
              </w:rPr>
              <w:t>价格变动，对应中标人中药饮片中标单价，按就低不就高原则进行供货及结算。</w:t>
            </w:r>
          </w:p>
          <w:p w14:paraId="0FCA6DC2">
            <w:pPr>
              <w:pageBreakBefore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采购人不承诺业务量，最终结算金额以实际发生采购量×中标单价为准。投标人自行考虑风险进行报价。</w:t>
            </w:r>
          </w:p>
          <w:p w14:paraId="4AF5498C">
            <w:pPr>
              <w:pageBreakBefore w:val="0"/>
              <w:kinsoku/>
              <w:wordWrap/>
              <w:overflowPunct/>
              <w:topLinePunct w:val="0"/>
              <w:autoSpaceDE/>
              <w:autoSpaceDN/>
              <w:bidi w:val="0"/>
              <w:adjustRightInd/>
              <w:snapToGrid/>
              <w:spacing w:line="400" w:lineRule="exact"/>
              <w:ind w:right="0" w:rightChars="0" w:firstLine="420" w:firstLineChars="200"/>
              <w:textAlignment w:val="auto"/>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.所报单价要符合市场价格，不能恶意报低价或虚高价。</w:t>
            </w:r>
          </w:p>
          <w:p w14:paraId="453E14C9">
            <w:pPr>
              <w:pageBreakBefore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每个药品必须配备列出的所有包装规定，且不同规格每克单价一致。中药饮片包装按药品管理法和国家中医药管理局、国家药品监督管理局的相关规定执行。</w:t>
            </w:r>
          </w:p>
        </w:tc>
      </w:tr>
      <w:tr w14:paraId="28DA1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dxa"/>
            <w:gridSpan w:val="2"/>
            <w:shd w:val="clear" w:color="auto" w:fill="auto"/>
            <w:vAlign w:val="center"/>
          </w:tcPr>
          <w:p w14:paraId="50652D86">
            <w:pPr>
              <w:pageBreakBefore w:val="0"/>
              <w:kinsoku/>
              <w:wordWrap/>
              <w:overflowPunct/>
              <w:topLinePunct w:val="0"/>
              <w:autoSpaceDE/>
              <w:autoSpaceDN/>
              <w:bidi w:val="0"/>
              <w:adjustRightInd/>
              <w:snapToGrid/>
              <w:spacing w:line="400" w:lineRule="exact"/>
              <w:ind w:right="0" w:rightChars="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▲付款方式</w:t>
            </w:r>
          </w:p>
        </w:tc>
        <w:tc>
          <w:tcPr>
            <w:tcW w:w="9056" w:type="dxa"/>
            <w:gridSpan w:val="4"/>
            <w:shd w:val="clear" w:color="auto" w:fill="auto"/>
            <w:vAlign w:val="center"/>
          </w:tcPr>
          <w:p w14:paraId="0901419E">
            <w:pPr>
              <w:pageBreakBefore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本项目无预付款。</w:t>
            </w:r>
          </w:p>
          <w:p w14:paraId="71517B2D">
            <w:pPr>
              <w:pageBreakBefore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合同履行期间，按采购计划分批次交货，每批次交货验收合格按合同规定的时间内付清该批货款；中标人每月15日-20日与采购人的药库进行对账，采购人结清每批次货款前，中标人必须提供对应金额的合法、有效发票给采购人。</w:t>
            </w:r>
          </w:p>
        </w:tc>
      </w:tr>
      <w:tr w14:paraId="15059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dxa"/>
            <w:gridSpan w:val="2"/>
            <w:shd w:val="clear" w:color="auto" w:fill="auto"/>
            <w:vAlign w:val="center"/>
          </w:tcPr>
          <w:p w14:paraId="21A8626C">
            <w:pPr>
              <w:pageBreakBefore w:val="0"/>
              <w:kinsoku/>
              <w:wordWrap/>
              <w:overflowPunct/>
              <w:topLinePunct w:val="0"/>
              <w:autoSpaceDE/>
              <w:autoSpaceDN/>
              <w:bidi w:val="0"/>
              <w:adjustRightInd/>
              <w:snapToGrid/>
              <w:spacing w:line="400" w:lineRule="exact"/>
              <w:ind w:right="0" w:rightChars="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验收标准</w:t>
            </w:r>
          </w:p>
        </w:tc>
        <w:tc>
          <w:tcPr>
            <w:tcW w:w="9056" w:type="dxa"/>
            <w:gridSpan w:val="4"/>
            <w:shd w:val="clear" w:color="auto" w:fill="auto"/>
            <w:vAlign w:val="center"/>
          </w:tcPr>
          <w:p w14:paraId="6B06F600">
            <w:pPr>
              <w:pageBreakBefore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1.在每批次中药饮片送到采购人指定地点后，采购人2个工作日内组织开展履约验收。</w:t>
            </w:r>
          </w:p>
          <w:p w14:paraId="2E9804D8">
            <w:pPr>
              <w:pageBreakBefore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2.验收过程中所产生的一切费用均由中标人承担。</w:t>
            </w:r>
          </w:p>
          <w:p w14:paraId="42E65FEF">
            <w:pPr>
              <w:pageBreakBefore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中标人在验收时由采购人对照招标文件的项目需要全面核对检验，对所有要求出具的证明文件的原件进行核查，如不符合招标文件的技术需求及要求以及提供虚假承诺的，按相关规定做退货处理及违约处理，中标人承担所有责任和费用，采购人保留进一步追究责任的权利。</w:t>
            </w:r>
          </w:p>
          <w:p w14:paraId="3FA20E8D">
            <w:pPr>
              <w:pageBreakBefore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4.符合现行国家相关标准、行业标准、地方标准或者其他标准、规范。</w:t>
            </w:r>
          </w:p>
        </w:tc>
      </w:tr>
      <w:tr w14:paraId="1910C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dxa"/>
            <w:gridSpan w:val="2"/>
            <w:shd w:val="clear" w:color="auto" w:fill="auto"/>
            <w:vAlign w:val="center"/>
          </w:tcPr>
          <w:p w14:paraId="41A8B9E6">
            <w:pPr>
              <w:pageBreakBefore w:val="0"/>
              <w:kinsoku/>
              <w:wordWrap/>
              <w:overflowPunct/>
              <w:topLinePunct w:val="0"/>
              <w:autoSpaceDE/>
              <w:autoSpaceDN/>
              <w:bidi w:val="0"/>
              <w:adjustRightInd/>
              <w:snapToGrid/>
              <w:spacing w:line="400" w:lineRule="exact"/>
              <w:ind w:right="0" w:rightChars="0"/>
              <w:textAlignment w:val="auto"/>
              <w:rPr>
                <w:rFonts w:hint="eastAsia" w:ascii="宋体" w:hAnsi="宋体"/>
                <w:color w:val="auto"/>
                <w:szCs w:val="21"/>
                <w:highlight w:val="none"/>
              </w:rPr>
            </w:pPr>
            <w:r>
              <w:rPr>
                <w:rFonts w:hint="eastAsia" w:ascii="宋体" w:hAnsi="宋体"/>
                <w:color w:val="auto"/>
                <w:szCs w:val="21"/>
                <w:highlight w:val="none"/>
              </w:rPr>
              <w:t>验收事项或要求</w:t>
            </w:r>
          </w:p>
        </w:tc>
        <w:tc>
          <w:tcPr>
            <w:tcW w:w="9056" w:type="dxa"/>
            <w:gridSpan w:val="4"/>
            <w:shd w:val="clear" w:color="auto" w:fill="auto"/>
            <w:vAlign w:val="center"/>
          </w:tcPr>
          <w:p w14:paraId="51AC815B">
            <w:pPr>
              <w:pageBreakBefore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1.本章《采购需求》有其他要求的按其要求。</w:t>
            </w:r>
          </w:p>
          <w:p w14:paraId="5CD434ED">
            <w:pPr>
              <w:pageBreakBefore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合同履行过程中，采购人将同时按照招标文件及中标供应商投标文件承诺的条款进行验收，如所提供相关服务不符合要求，由中标供应商在规定时间内进行整改，给采购人造成的损失等费用均由中标供应商承担。拒不按要求整改（或经多次整改未能改善），或发现中标供应商在投标文件中有弄虚作假的行为，或在投标文件中有针对技术商务条款有虚假响应情况的，采购人追究中标供应商的责任，由此带来的一切损失由中标供应商自行承担。</w:t>
            </w:r>
          </w:p>
          <w:p w14:paraId="2BDD65CE">
            <w:pPr>
              <w:pageBreakBefore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其他未尽事宜应严格按照《关于印发广西壮族自治区政府采购项目履约验收管理办法的通知》[桂财采〔2015〕22号]以及《财政部关于进一步加强政府采购需求和履约验收管理的指导意见》[财库〔2016〕205号]规定执行。</w:t>
            </w:r>
          </w:p>
          <w:p w14:paraId="09F421B1">
            <w:pPr>
              <w:pageBreakBefore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4.验收过程中，若出现需要第三方机构介入验收的，所产生的费用均由中标供应商承担。报价时应考虑相关费用。</w:t>
            </w:r>
          </w:p>
        </w:tc>
      </w:tr>
      <w:tr w14:paraId="02A59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2" w:hRule="atLeast"/>
        </w:trPr>
        <w:tc>
          <w:tcPr>
            <w:tcW w:w="1367" w:type="dxa"/>
            <w:gridSpan w:val="2"/>
            <w:shd w:val="clear" w:color="auto" w:fill="auto"/>
            <w:vAlign w:val="center"/>
          </w:tcPr>
          <w:p w14:paraId="4AB8E66F">
            <w:pPr>
              <w:pageBreakBefore w:val="0"/>
              <w:kinsoku/>
              <w:wordWrap/>
              <w:overflowPunct/>
              <w:topLinePunct w:val="0"/>
              <w:autoSpaceDE/>
              <w:autoSpaceDN/>
              <w:bidi w:val="0"/>
              <w:adjustRightInd/>
              <w:snapToGrid/>
              <w:spacing w:line="400" w:lineRule="exact"/>
              <w:ind w:right="0" w:rightChars="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其他要求</w:t>
            </w:r>
          </w:p>
        </w:tc>
        <w:tc>
          <w:tcPr>
            <w:tcW w:w="9056" w:type="dxa"/>
            <w:gridSpan w:val="4"/>
            <w:shd w:val="clear" w:color="auto" w:fill="auto"/>
            <w:vAlign w:val="center"/>
          </w:tcPr>
          <w:p w14:paraId="14837508">
            <w:pPr>
              <w:pageBreakBefore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▲1.投标人须在投标文件中提供拟投入本项目人员（包含但不限于固定配送人员、中药房服务人员等）近一个月的工资流水或劳动合同或近</w:t>
            </w:r>
            <w:r>
              <w:rPr>
                <w:rFonts w:ascii="宋体" w:hAnsi="宋体"/>
                <w:color w:val="auto"/>
                <w:szCs w:val="21"/>
                <w:highlight w:val="none"/>
              </w:rPr>
              <w:t>一个月</w:t>
            </w:r>
            <w:r>
              <w:rPr>
                <w:rFonts w:hint="eastAsia" w:ascii="宋体" w:hAnsi="宋体"/>
                <w:color w:val="auto"/>
                <w:szCs w:val="21"/>
                <w:highlight w:val="none"/>
              </w:rPr>
              <w:t>社保证明复印件并加盖投标人公章或电子签章，否则按无效投标处理，且未经采购人允许，固定人员不得随意变更。</w:t>
            </w:r>
          </w:p>
          <w:p w14:paraId="4C803725">
            <w:pPr>
              <w:pageBreakBefore w:val="0"/>
              <w:kinsoku/>
              <w:wordWrap/>
              <w:overflowPunct/>
              <w:topLinePunct w:val="0"/>
              <w:autoSpaceDE/>
              <w:autoSpaceDN/>
              <w:bidi w:val="0"/>
              <w:adjustRightInd/>
              <w:snapToGrid/>
              <w:spacing w:line="400" w:lineRule="exact"/>
              <w:ind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2.投标人可根据项目需求及评分标准编制技术内容用于评审，内容包括但不限于：</w:t>
            </w:r>
          </w:p>
          <w:p w14:paraId="72C6090D">
            <w:pPr>
              <w:pageBreakBefore w:val="0"/>
              <w:kinsoku/>
              <w:wordWrap/>
              <w:overflowPunct/>
              <w:topLinePunct w:val="0"/>
              <w:autoSpaceDE/>
              <w:autoSpaceDN/>
              <w:bidi w:val="0"/>
              <w:adjustRightInd/>
              <w:snapToGrid/>
              <w:spacing w:line="400" w:lineRule="exact"/>
              <w:ind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（1）质量控制方案；</w:t>
            </w:r>
          </w:p>
          <w:p w14:paraId="256C7394">
            <w:pPr>
              <w:pageBreakBefore w:val="0"/>
              <w:kinsoku/>
              <w:wordWrap/>
              <w:overflowPunct/>
              <w:topLinePunct w:val="0"/>
              <w:autoSpaceDE/>
              <w:autoSpaceDN/>
              <w:bidi w:val="0"/>
              <w:adjustRightInd/>
              <w:snapToGrid/>
              <w:spacing w:line="400" w:lineRule="exact"/>
              <w:ind w:right="0" w:rightChars="0" w:firstLine="420" w:firstLineChars="200"/>
              <w:textAlignment w:val="auto"/>
              <w:rPr>
                <w:rFonts w:ascii="宋体" w:hAnsi="宋体"/>
                <w:color w:val="auto"/>
                <w:szCs w:val="21"/>
                <w:highlight w:val="none"/>
              </w:rPr>
            </w:pPr>
            <w:r>
              <w:rPr>
                <w:rFonts w:hint="eastAsia" w:ascii="宋体" w:hAnsi="宋体"/>
                <w:color w:val="auto"/>
                <w:szCs w:val="21"/>
                <w:highlight w:val="none"/>
              </w:rPr>
              <w:t>（2）售后服务方案；</w:t>
            </w:r>
          </w:p>
          <w:p w14:paraId="6DF9A2FB">
            <w:pPr>
              <w:pageBreakBefore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（3）运输配送方案。</w:t>
            </w:r>
          </w:p>
          <w:p w14:paraId="2043FBA7">
            <w:pPr>
              <w:pageBreakBefore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3.中标人或所投产品的生产厂家应有标本室或留样室，质检设施完备。</w:t>
            </w:r>
          </w:p>
          <w:p w14:paraId="591C4597">
            <w:pPr>
              <w:pageBreakBefore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▲4.所投产品如涉及实行批准文号管理的中药饮片，其提供的产品须取得国家药品监督管理局颁发的批准文号，并于交货时提供相应的证明材料。</w:t>
            </w:r>
          </w:p>
        </w:tc>
      </w:tr>
      <w:tr w14:paraId="22ACC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23" w:type="dxa"/>
            <w:gridSpan w:val="6"/>
            <w:vAlign w:val="center"/>
          </w:tcPr>
          <w:p w14:paraId="7FA6A607">
            <w:pPr>
              <w:widowControl/>
              <w:adjustRightInd w:val="0"/>
              <w:spacing w:line="400" w:lineRule="exact"/>
              <w:jc w:val="left"/>
              <w:textAlignment w:val="center"/>
              <w:rPr>
                <w:rFonts w:ascii="宋体" w:hAnsi="宋体" w:cs="宋体"/>
                <w:color w:val="auto"/>
                <w:szCs w:val="21"/>
                <w:highlight w:val="none"/>
              </w:rPr>
            </w:pPr>
            <w:bookmarkStart w:id="47" w:name="_Toc112340845"/>
            <w:r>
              <w:rPr>
                <w:rFonts w:hint="eastAsia" w:ascii="宋体" w:hAnsi="宋体" w:cs="宋体"/>
                <w:b/>
                <w:bCs/>
                <w:color w:val="auto"/>
                <w:szCs w:val="21"/>
                <w:highlight w:val="none"/>
              </w:rPr>
              <w:t>其他说明</w:t>
            </w:r>
            <w:bookmarkEnd w:id="47"/>
          </w:p>
        </w:tc>
      </w:tr>
      <w:tr w14:paraId="7D02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7" w:type="dxa"/>
            <w:gridSpan w:val="2"/>
            <w:vAlign w:val="center"/>
          </w:tcPr>
          <w:p w14:paraId="47C0A86C">
            <w:pPr>
              <w:snapToGrid w:val="0"/>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▲进口产品说明</w:t>
            </w:r>
          </w:p>
        </w:tc>
        <w:tc>
          <w:tcPr>
            <w:tcW w:w="9056" w:type="dxa"/>
            <w:gridSpan w:val="4"/>
          </w:tcPr>
          <w:p w14:paraId="0D7529C6">
            <w:pPr>
              <w:widowControl/>
              <w:adjustRightInd w:val="0"/>
              <w:spacing w:line="400" w:lineRule="exact"/>
              <w:ind w:firstLine="422" w:firstLineChars="200"/>
              <w:jc w:val="left"/>
              <w:textAlignment w:val="center"/>
              <w:rPr>
                <w:rFonts w:ascii="宋体" w:hAnsi="宋体" w:cs="宋体"/>
                <w:color w:val="auto"/>
                <w:highlight w:val="none"/>
              </w:rPr>
            </w:pPr>
            <w:r>
              <w:rPr>
                <w:rFonts w:hint="eastAsia" w:ascii="宋体" w:hAnsi="宋体" w:cs="宋体"/>
                <w:b/>
                <w:bCs/>
                <w:color w:val="auto"/>
                <w:szCs w:val="21"/>
                <w:highlight w:val="none"/>
              </w:rPr>
              <w:t>本分标不接受进口产品（即通过中国海关报关验放进入中国境内且产自关境外的产品）参与投标，如有此类产品参与投标的做无效标处理）。</w:t>
            </w:r>
          </w:p>
        </w:tc>
      </w:tr>
      <w:tr w14:paraId="5AAF8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7" w:type="dxa"/>
            <w:gridSpan w:val="2"/>
            <w:vAlign w:val="center"/>
          </w:tcPr>
          <w:p w14:paraId="31D04ACA">
            <w:pPr>
              <w:spacing w:line="360" w:lineRule="exact"/>
              <w:jc w:val="center"/>
              <w:rPr>
                <w:rFonts w:asciiTheme="minorEastAsia" w:hAnsiTheme="minorEastAsia" w:eastAsiaTheme="minorEastAsia" w:cstheme="minorEastAsia"/>
                <w:color w:val="auto"/>
                <w:szCs w:val="21"/>
                <w:highlight w:val="none"/>
              </w:rPr>
            </w:pPr>
            <w:r>
              <w:rPr>
                <w:rFonts w:hint="eastAsia" w:ascii="宋体" w:hAnsi="宋体"/>
                <w:b/>
                <w:bCs/>
                <w:color w:val="auto"/>
                <w:szCs w:val="21"/>
                <w:highlight w:val="none"/>
                <w:u w:val="none"/>
              </w:rPr>
              <w:t>报价</w:t>
            </w:r>
            <w:r>
              <w:rPr>
                <w:rFonts w:hint="eastAsia" w:ascii="宋体" w:hAnsi="宋体" w:cs="宋体"/>
                <w:b/>
                <w:bCs/>
                <w:color w:val="auto"/>
                <w:szCs w:val="21"/>
                <w:highlight w:val="none"/>
              </w:rPr>
              <w:t>说明</w:t>
            </w:r>
          </w:p>
        </w:tc>
        <w:tc>
          <w:tcPr>
            <w:tcW w:w="9056" w:type="dxa"/>
            <w:gridSpan w:val="4"/>
            <w:vAlign w:val="center"/>
          </w:tcPr>
          <w:p w14:paraId="3660BCAD">
            <w:pPr>
              <w:keepNext w:val="0"/>
              <w:keepLines w:val="0"/>
              <w:pageBreakBefore w:val="0"/>
              <w:widowControl w:val="0"/>
              <w:kinsoku/>
              <w:wordWrap/>
              <w:overflowPunct/>
              <w:topLinePunct w:val="0"/>
              <w:autoSpaceDE/>
              <w:autoSpaceDN/>
              <w:bidi w:val="0"/>
              <w:adjustRightInd/>
              <w:snapToGrid/>
              <w:spacing w:line="400" w:lineRule="exact"/>
              <w:ind w:right="0" w:rightChars="0" w:firstLine="422" w:firstLineChars="200"/>
              <w:textAlignment w:val="auto"/>
              <w:rPr>
                <w:rFonts w:hint="eastAsia" w:ascii="宋体" w:hAnsi="宋体"/>
                <w:b/>
                <w:bCs/>
                <w:color w:val="auto"/>
                <w:szCs w:val="21"/>
                <w:highlight w:val="none"/>
                <w:u w:val="single"/>
              </w:rPr>
            </w:pPr>
            <w:r>
              <w:rPr>
                <w:rFonts w:hint="eastAsia" w:ascii="宋体" w:hAnsi="宋体"/>
                <w:b/>
                <w:bCs/>
                <w:color w:val="auto"/>
                <w:szCs w:val="21"/>
                <w:highlight w:val="none"/>
              </w:rPr>
              <w:t>▲1.评审时以“中药饮片采购清单”中的“预算单价”为评审依据，</w:t>
            </w:r>
            <w:r>
              <w:rPr>
                <w:rFonts w:hint="eastAsia" w:ascii="宋体" w:hAnsi="宋体"/>
                <w:b/>
                <w:bCs/>
                <w:color w:val="auto"/>
                <w:szCs w:val="21"/>
                <w:highlight w:val="none"/>
                <w:u w:val="single"/>
              </w:rPr>
              <w:t>投标人对所投分标各中药饮片的投标单价不得超过相应的单价最高限价，否则，其报价作无效报价处理。</w:t>
            </w:r>
          </w:p>
          <w:p w14:paraId="786ACC55">
            <w:pPr>
              <w:keepNext w:val="0"/>
              <w:keepLines w:val="0"/>
              <w:pageBreakBefore w:val="0"/>
              <w:widowControl w:val="0"/>
              <w:kinsoku/>
              <w:wordWrap/>
              <w:overflowPunct/>
              <w:topLinePunct w:val="0"/>
              <w:autoSpaceDE/>
              <w:autoSpaceDN/>
              <w:bidi w:val="0"/>
              <w:adjustRightInd/>
              <w:snapToGrid/>
              <w:spacing w:line="400" w:lineRule="exact"/>
              <w:ind w:right="0" w:rightChars="0" w:firstLine="422" w:firstLineChars="200"/>
              <w:textAlignment w:val="auto"/>
              <w:rPr>
                <w:rFonts w:hint="eastAsia" w:ascii="宋体" w:hAnsi="宋体"/>
                <w:b/>
                <w:bCs/>
                <w:color w:val="auto"/>
                <w:szCs w:val="21"/>
                <w:highlight w:val="none"/>
                <w:u w:val="single"/>
              </w:rPr>
            </w:pPr>
            <w:r>
              <w:rPr>
                <w:rFonts w:hint="eastAsia" w:ascii="宋体" w:hAnsi="宋体"/>
                <w:b/>
                <w:bCs/>
                <w:color w:val="auto"/>
                <w:szCs w:val="21"/>
                <w:highlight w:val="none"/>
                <w:u w:val="none"/>
              </w:rPr>
              <w:t>2.投标人的报价总金额仅作为价格分的计算依据。</w:t>
            </w:r>
            <w:r>
              <w:rPr>
                <w:rFonts w:hint="eastAsia" w:ascii="宋体" w:hAnsi="宋体" w:cs="宋体"/>
                <w:b/>
                <w:color w:val="auto"/>
                <w:szCs w:val="21"/>
                <w:highlight w:val="none"/>
                <w:u w:val="none"/>
              </w:rPr>
              <w:t>采购预算：</w:t>
            </w:r>
            <w:r>
              <w:rPr>
                <w:rFonts w:hint="eastAsia" w:ascii="宋体" w:hAnsi="宋体" w:cs="宋体"/>
                <w:b/>
                <w:color w:val="auto"/>
                <w:szCs w:val="21"/>
                <w:highlight w:val="none"/>
                <w:u w:val="none"/>
                <w:lang w:eastAsia="zh-CN"/>
              </w:rPr>
              <w:t>380.00万元（分标1：210.00万元；分标2：170.00万元）</w:t>
            </w:r>
            <w:r>
              <w:rPr>
                <w:rFonts w:hint="eastAsia" w:ascii="宋体" w:hAnsi="宋体" w:eastAsia="宋体" w:cs="宋体"/>
                <w:b/>
                <w:bCs/>
                <w:color w:val="auto"/>
                <w:sz w:val="21"/>
                <w:szCs w:val="21"/>
                <w:highlight w:val="none"/>
              </w:rPr>
              <w:t>，签订合同总价即为</w:t>
            </w:r>
            <w:r>
              <w:rPr>
                <w:rFonts w:hint="eastAsia" w:ascii="宋体" w:hAnsi="宋体"/>
                <w:b/>
                <w:bCs/>
                <w:color w:val="auto"/>
                <w:szCs w:val="21"/>
                <w:highlight w:val="none"/>
                <w:u w:val="none"/>
              </w:rPr>
              <w:t>分标</w:t>
            </w:r>
            <w:r>
              <w:rPr>
                <w:rFonts w:hint="eastAsia" w:ascii="宋体" w:hAnsi="宋体" w:eastAsia="宋体" w:cs="宋体"/>
                <w:b/>
                <w:bCs/>
                <w:color w:val="auto"/>
                <w:sz w:val="21"/>
                <w:szCs w:val="21"/>
                <w:highlight w:val="none"/>
              </w:rPr>
              <w:t>采购预算价，结算总金额=以实际发生采购量×中标单价为准。</w:t>
            </w:r>
          </w:p>
          <w:p w14:paraId="5C4327A8">
            <w:pPr>
              <w:keepNext w:val="0"/>
              <w:keepLines w:val="0"/>
              <w:pageBreakBefore w:val="0"/>
              <w:widowControl w:val="0"/>
              <w:kinsoku/>
              <w:wordWrap/>
              <w:overflowPunct/>
              <w:topLinePunct w:val="0"/>
              <w:autoSpaceDE/>
              <w:autoSpaceDN/>
              <w:bidi w:val="0"/>
              <w:adjustRightInd/>
              <w:snapToGrid/>
              <w:spacing w:line="400" w:lineRule="exact"/>
              <w:ind w:right="0" w:rightChars="0" w:firstLine="422" w:firstLineChars="200"/>
              <w:textAlignment w:val="auto"/>
              <w:rPr>
                <w:rFonts w:hint="eastAsia" w:ascii="宋体" w:hAnsi="宋体"/>
                <w:b/>
                <w:bCs/>
                <w:color w:val="auto"/>
                <w:szCs w:val="21"/>
                <w:highlight w:val="none"/>
              </w:rPr>
            </w:pPr>
            <w:r>
              <w:rPr>
                <w:rFonts w:hint="eastAsia" w:ascii="宋体" w:hAnsi="宋体"/>
                <w:b/>
                <w:bCs/>
                <w:color w:val="auto"/>
                <w:szCs w:val="21"/>
                <w:highlight w:val="none"/>
                <w:u w:val="single"/>
              </w:rPr>
              <w:t>▲3.投标人按采购需求所列的清单进行报价，所投分标的中药品种必须全部投标报价方视为有效投标，否则视为无效投标处理</w:t>
            </w:r>
            <w:r>
              <w:rPr>
                <w:rFonts w:hint="eastAsia" w:ascii="宋体" w:hAnsi="宋体"/>
                <w:b/>
                <w:bCs/>
                <w:color w:val="auto"/>
                <w:szCs w:val="21"/>
                <w:highlight w:val="none"/>
              </w:rPr>
              <w:t>。</w:t>
            </w:r>
          </w:p>
          <w:p w14:paraId="1243B84C">
            <w:pPr>
              <w:widowControl/>
              <w:adjustRightInd w:val="0"/>
              <w:spacing w:line="400" w:lineRule="exact"/>
              <w:ind w:firstLine="406" w:firstLineChars="200"/>
              <w:jc w:val="left"/>
              <w:textAlignment w:val="center"/>
              <w:rPr>
                <w:rFonts w:asciiTheme="minorEastAsia" w:hAnsiTheme="minorEastAsia" w:eastAsiaTheme="minorEastAsia" w:cstheme="minorEastAsia"/>
                <w:color w:val="auto"/>
                <w:szCs w:val="21"/>
                <w:highlight w:val="none"/>
              </w:rPr>
            </w:pPr>
            <w:r>
              <w:rPr>
                <w:rFonts w:hint="eastAsia" w:ascii="宋体" w:hAnsi="宋体"/>
                <w:b/>
                <w:bCs/>
                <w:color w:val="auto"/>
                <w:spacing w:val="-4"/>
                <w:szCs w:val="21"/>
                <w:highlight w:val="none"/>
                <w:u w:val="single"/>
              </w:rPr>
              <w:t>▲4.投标人就本项目服务需求中全部内容作完整唯一报价，拆分服务</w:t>
            </w:r>
            <w:r>
              <w:rPr>
                <w:rFonts w:ascii="宋体" w:hAnsi="宋体"/>
                <w:b/>
                <w:bCs/>
                <w:color w:val="auto"/>
                <w:spacing w:val="-4"/>
                <w:szCs w:val="21"/>
                <w:highlight w:val="none"/>
                <w:u w:val="single"/>
              </w:rPr>
              <w:t>内容</w:t>
            </w:r>
            <w:r>
              <w:rPr>
                <w:rFonts w:hint="eastAsia" w:ascii="宋体" w:hAnsi="宋体"/>
                <w:b/>
                <w:bCs/>
                <w:color w:val="auto"/>
                <w:spacing w:val="-4"/>
                <w:szCs w:val="21"/>
                <w:highlight w:val="none"/>
                <w:u w:val="single"/>
              </w:rPr>
              <w:t>（含</w:t>
            </w:r>
            <w:r>
              <w:rPr>
                <w:rFonts w:hint="eastAsia" w:ascii="宋体" w:hAnsi="宋体"/>
                <w:b/>
                <w:bCs/>
                <w:color w:val="auto"/>
                <w:szCs w:val="21"/>
                <w:highlight w:val="none"/>
                <w:u w:val="single"/>
              </w:rPr>
              <w:t>所投分标的中药品种</w:t>
            </w:r>
            <w:r>
              <w:rPr>
                <w:rFonts w:hint="eastAsia" w:ascii="宋体" w:hAnsi="宋体"/>
                <w:b/>
                <w:bCs/>
                <w:color w:val="auto"/>
                <w:spacing w:val="-4"/>
                <w:szCs w:val="21"/>
                <w:highlight w:val="none"/>
                <w:u w:val="single"/>
              </w:rPr>
              <w:t>）投标或仅</w:t>
            </w:r>
            <w:r>
              <w:rPr>
                <w:rFonts w:ascii="宋体" w:hAnsi="宋体"/>
                <w:b/>
                <w:bCs/>
                <w:color w:val="auto"/>
                <w:spacing w:val="-4"/>
                <w:szCs w:val="21"/>
                <w:highlight w:val="none"/>
                <w:u w:val="single"/>
              </w:rPr>
              <w:t>对部分内容</w:t>
            </w:r>
            <w:r>
              <w:rPr>
                <w:rFonts w:hint="eastAsia" w:ascii="宋体" w:hAnsi="宋体"/>
                <w:b/>
                <w:bCs/>
                <w:color w:val="auto"/>
                <w:spacing w:val="-4"/>
                <w:szCs w:val="21"/>
                <w:highlight w:val="none"/>
                <w:u w:val="single"/>
              </w:rPr>
              <w:t>（含</w:t>
            </w:r>
            <w:r>
              <w:rPr>
                <w:rFonts w:hint="eastAsia" w:ascii="宋体" w:hAnsi="宋体"/>
                <w:b/>
                <w:bCs/>
                <w:color w:val="auto"/>
                <w:szCs w:val="21"/>
                <w:highlight w:val="none"/>
                <w:u w:val="single"/>
              </w:rPr>
              <w:t>所投分标的中药品种</w:t>
            </w:r>
            <w:r>
              <w:rPr>
                <w:rFonts w:hint="eastAsia" w:ascii="宋体" w:hAnsi="宋体"/>
                <w:b/>
                <w:bCs/>
                <w:color w:val="auto"/>
                <w:spacing w:val="-4"/>
                <w:szCs w:val="21"/>
                <w:highlight w:val="none"/>
                <w:u w:val="single"/>
              </w:rPr>
              <w:t>）投</w:t>
            </w:r>
            <w:r>
              <w:rPr>
                <w:rFonts w:ascii="宋体" w:hAnsi="宋体"/>
                <w:b/>
                <w:bCs/>
                <w:color w:val="auto"/>
                <w:spacing w:val="-4"/>
                <w:szCs w:val="21"/>
                <w:highlight w:val="none"/>
                <w:u w:val="single"/>
              </w:rPr>
              <w:t>标报价</w:t>
            </w:r>
            <w:r>
              <w:rPr>
                <w:rFonts w:hint="eastAsia" w:ascii="宋体" w:hAnsi="宋体"/>
                <w:b/>
                <w:bCs/>
                <w:color w:val="auto"/>
                <w:spacing w:val="-4"/>
                <w:szCs w:val="21"/>
                <w:highlight w:val="none"/>
                <w:u w:val="single"/>
              </w:rPr>
              <w:t>的将导致投标无效</w:t>
            </w:r>
            <w:r>
              <w:rPr>
                <w:rFonts w:hint="eastAsia" w:asciiTheme="minorEastAsia" w:hAnsiTheme="minorEastAsia" w:eastAsiaTheme="minorEastAsia" w:cstheme="minorEastAsia"/>
                <w:color w:val="auto"/>
                <w:szCs w:val="21"/>
                <w:highlight w:val="none"/>
              </w:rPr>
              <w:t>。</w:t>
            </w:r>
          </w:p>
        </w:tc>
      </w:tr>
    </w:tbl>
    <w:p w14:paraId="65592E1D">
      <w:pPr>
        <w:spacing w:line="360" w:lineRule="auto"/>
        <w:ind w:firstLine="308" w:firstLineChars="147"/>
        <w:jc w:val="left"/>
        <w:rPr>
          <w:rFonts w:ascii="宋体" w:hAnsi="宋体" w:cs="宋体"/>
          <w:bCs/>
          <w:color w:val="auto"/>
          <w:szCs w:val="21"/>
          <w:highlight w:val="none"/>
          <w:u w:val="single"/>
        </w:rPr>
        <w:sectPr>
          <w:footerReference r:id="rId7" w:type="first"/>
          <w:footerReference r:id="rId6" w:type="default"/>
          <w:pgSz w:w="11906" w:h="16838"/>
          <w:pgMar w:top="1134" w:right="1134" w:bottom="1020" w:left="1134" w:header="851" w:footer="567" w:gutter="0"/>
          <w:pgNumType w:start="1"/>
          <w:cols w:space="720" w:num="1"/>
          <w:titlePg/>
          <w:docGrid w:linePitch="312" w:charSpace="0"/>
        </w:sectPr>
      </w:pPr>
    </w:p>
    <w:p w14:paraId="248A3907">
      <w:pPr>
        <w:spacing w:line="360" w:lineRule="exact"/>
        <w:jc w:val="left"/>
        <w:rPr>
          <w:rFonts w:hint="eastAsia" w:ascii="宋体" w:hAnsi="宋体"/>
          <w:b/>
          <w:color w:val="auto"/>
          <w:highlight w:val="none"/>
        </w:rPr>
      </w:pPr>
      <w:r>
        <w:rPr>
          <w:rFonts w:hint="eastAsia" w:ascii="宋体" w:hAnsi="宋体"/>
          <w:b/>
          <w:color w:val="auto"/>
          <w:highlight w:val="none"/>
        </w:rPr>
        <w:t>附件1</w:t>
      </w:r>
    </w:p>
    <w:p w14:paraId="357799BB">
      <w:pPr>
        <w:spacing w:line="360" w:lineRule="exact"/>
        <w:jc w:val="center"/>
        <w:rPr>
          <w:rFonts w:ascii="宋体" w:hAnsi="宋体"/>
          <w:b/>
          <w:color w:val="auto"/>
          <w:sz w:val="32"/>
          <w:szCs w:val="32"/>
          <w:highlight w:val="none"/>
        </w:rPr>
      </w:pPr>
      <w:r>
        <w:rPr>
          <w:rFonts w:hint="eastAsia" w:ascii="宋体" w:hAnsi="宋体"/>
          <w:b/>
          <w:color w:val="auto"/>
          <w:sz w:val="32"/>
          <w:szCs w:val="32"/>
          <w:highlight w:val="none"/>
        </w:rPr>
        <w:t>中药饮片采购清单</w:t>
      </w:r>
    </w:p>
    <w:p w14:paraId="4B0689A6">
      <w:pPr>
        <w:spacing w:line="360" w:lineRule="exact"/>
        <w:jc w:val="center"/>
        <w:rPr>
          <w:rFonts w:hint="eastAsia" w:ascii="宋体" w:hAnsi="宋体"/>
          <w:color w:val="auto"/>
          <w:highlight w:val="none"/>
        </w:rPr>
      </w:pPr>
    </w:p>
    <w:p w14:paraId="16849EA1">
      <w:pPr>
        <w:spacing w:line="360" w:lineRule="exact"/>
        <w:rPr>
          <w:rFonts w:ascii="宋体" w:hAnsi="宋体"/>
          <w:b/>
          <w:bCs/>
          <w:color w:val="auto"/>
          <w:szCs w:val="21"/>
          <w:highlight w:val="none"/>
        </w:rPr>
      </w:pPr>
      <w:r>
        <w:rPr>
          <w:rFonts w:hint="eastAsia" w:ascii="宋体" w:hAnsi="宋体"/>
          <w:b/>
          <w:bCs/>
          <w:color w:val="auto"/>
          <w:szCs w:val="21"/>
          <w:highlight w:val="none"/>
        </w:rPr>
        <w:t>分标1：以下为每年预计采购量</w:t>
      </w:r>
    </w:p>
    <w:p w14:paraId="0A426CE5">
      <w:pPr>
        <w:spacing w:line="360" w:lineRule="exact"/>
        <w:rPr>
          <w:rFonts w:hint="eastAsia" w:ascii="宋体" w:hAnsi="宋体"/>
          <w:b/>
          <w:bCs/>
          <w:color w:val="auto"/>
          <w:szCs w:val="21"/>
          <w:highlight w:val="none"/>
        </w:rPr>
      </w:pPr>
      <w:r>
        <w:rPr>
          <w:rFonts w:hint="eastAsia" w:ascii="宋体" w:hAnsi="宋体"/>
          <w:b/>
          <w:bCs/>
          <w:color w:val="auto"/>
          <w:szCs w:val="21"/>
          <w:highlight w:val="none"/>
        </w:rPr>
        <w:t>调剂用中药饮片质量要求（备注：每个药品必须配备列出的所有包装规定，且不同规格每克单价一致。中药饮片包装按药品管理法和国家中医药管理局、国家药品监督管理局的相关规定执行）</w:t>
      </w:r>
    </w:p>
    <w:tbl>
      <w:tblPr>
        <w:tblStyle w:val="22"/>
        <w:tblW w:w="1459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2"/>
        <w:gridCol w:w="795"/>
        <w:gridCol w:w="1155"/>
        <w:gridCol w:w="720"/>
        <w:gridCol w:w="1020"/>
        <w:gridCol w:w="2902"/>
        <w:gridCol w:w="2903"/>
        <w:gridCol w:w="945"/>
        <w:gridCol w:w="675"/>
        <w:gridCol w:w="450"/>
        <w:gridCol w:w="1110"/>
        <w:gridCol w:w="1260"/>
      </w:tblGrid>
      <w:tr w14:paraId="3BB8D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05AFB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C5A13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药物名称</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97886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参考执行标准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239D9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炮制要求</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A4D12B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片型</w:t>
            </w:r>
          </w:p>
          <w:p w14:paraId="10A1ED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规格</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183A65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基源</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9BB11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质量要求</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537EB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包装规格（g/袋）</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69952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年拟采购量</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F580D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单位</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0586F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控制价（元）</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940D1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采购金额（元）</w:t>
            </w:r>
          </w:p>
        </w:tc>
      </w:tr>
      <w:tr w14:paraId="0E90F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6CC703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B93BF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阿胶</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A94AE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10E6B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固体胶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C2A35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1242099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本品为马科动物驴Equus asinus L. 的干燥皮或鲜皮经煎煮、浓缩制成的固体胶。</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5CD4AF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有国药准字，与现行《中国药典》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CD6C5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456BD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BEFAA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AC441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3088.47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60639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9265.41</w:t>
            </w:r>
          </w:p>
        </w:tc>
      </w:tr>
      <w:tr w14:paraId="2AA73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21F18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D7662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矮地茶</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9E565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9C798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C85DA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短段/（选货）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1D3B99B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本品为紫金牛科植物紫金牛Ardisia   japonica（Thunb.） Blume的干燥全草。</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8B3ED1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茎色红棕、叶色绿。其它应与现行《中国药典》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D9A4E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71240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26488A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7E886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57.99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C5874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289.95</w:t>
            </w:r>
          </w:p>
        </w:tc>
      </w:tr>
      <w:tr w14:paraId="168A6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6F1FE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B1350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艾叶</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A60A2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3FA85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C8A29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E61F4B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本品为菊科植物艾Artemisia argyi Levl.et Vant.的干燥叶。</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695C9E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新货：表面灰绿色或深黄绿色，气清香明显，无枯叶、枝梗。其它应与现行《中国药典》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60EBB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9E96D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96702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4D5CF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47.18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9D4A7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4246.2</w:t>
            </w:r>
          </w:p>
        </w:tc>
      </w:tr>
      <w:tr w14:paraId="7E502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6F00E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C07C9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艾叶炭</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35B04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42A64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炒炭</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EA113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4D64556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本品为艾叶的炮制加工品。</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3C5283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呈焦黑色，有存性。其它应与《广西中药饮片炮制规范》2022年版相符。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37BA1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7E350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9C856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6591D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73.20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B5348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73.2</w:t>
            </w:r>
          </w:p>
        </w:tc>
      </w:tr>
      <w:tr w14:paraId="4C103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F9674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283A4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菝葜</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8C0D2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8367D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876FC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FA87C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本品为百合科植物菝葜 Smilax china L. 的干燥根茎。秋末至次年春采挖，除去须根，洗净，晒干或趁鲜切片，干燥。</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E144C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本品为不规则块状或弯曲扁柱形，有结节状隆起，长 10～20cm，直径 2～4cm。</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E5951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1AF73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FD51C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FA167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37.53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8E296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37.53</w:t>
            </w:r>
          </w:p>
        </w:tc>
      </w:tr>
      <w:tr w14:paraId="34F54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0305C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6413C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白矾</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AE55B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7E360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C11E7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块状、颗粒或粉末/（选货）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E8FA2F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本品为硫酸盐类矿物明矾石族明矾石经加工提炼制成。主含含水硫酸铝钾〔KAl（SO4）2·12H2O〕。</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53BCBD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无色透明，无杂质，有玻璃样光泽，味酸、微甘而极涩。其它应与现行《中国药典》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2D694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A0C86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CA20F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4F1E0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34.44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2E935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206.64</w:t>
            </w:r>
          </w:p>
        </w:tc>
      </w:tr>
      <w:tr w14:paraId="0865B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386FD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7E031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白果仁</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179C8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45C9F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709E7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2CBBF81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本品为银杏科植物银杏Ginkgo biloba L.的干燥成熟种子的炮制加工品。</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A34CA3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粒大、种仁饱满、断面色淡黄。其它应与现行《中国药典》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34818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FA918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37F3E0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0B7A7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56.65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C69A2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56.65</w:t>
            </w:r>
          </w:p>
        </w:tc>
      </w:tr>
      <w:tr w14:paraId="1E679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026887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700FC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白花蛇舌草</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33D1F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《广西壮族自治区壮药质量标准》（第一卷）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08701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DAD07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短段/（选货）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F24AFA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本品为茜草科植物白花蛇舌草Hedyotis diffusa Willd.的干燥全草。</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D18686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无异味、无杂质。颜色黄绿色为佳。其它应与《广西壮族自治区壮药质量标准》第一卷相符。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F3D78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518ED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4ED2A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BC055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66.69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23DBA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2800.98</w:t>
            </w:r>
          </w:p>
        </w:tc>
      </w:tr>
      <w:tr w14:paraId="22816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9AA01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A9425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白及</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4B6F5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1C394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4AB3C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B8D756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本品为兰科植物白及Bletilla striata（Thunb.）Reichb.f.的干燥块茎。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729DCDF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大小均一，苦味明显，嚼之粘性大，长度大于3cm，其它应与现行《中国药典》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346CF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FAC3E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8BBEA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187FE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504.92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04362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6059.04</w:t>
            </w:r>
          </w:p>
        </w:tc>
      </w:tr>
      <w:tr w14:paraId="2CDCC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1DC82F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66DF8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白芥子</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5A8D6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C94B5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45B2F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0599B6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本品为十字花科植物白芥Sinapis alba L. 或芥Brassica juncea（L. ）Czern. et Coss. 的干燥成熟种子。</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02E25B1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无杂质，味辛辣。粒大，饱满。其它应与现行《中国药典》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A3499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09047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4CA28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D4942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50.93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3D37D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2291.85</w:t>
            </w:r>
          </w:p>
        </w:tc>
      </w:tr>
      <w:tr w14:paraId="1580C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C1DBB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04DCC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71C68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6420C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CCA87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2CD7997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本品为葡萄科植物白蔹Ampelopsis japonica（Thunb.）Makino的干燥块根。</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0FA32B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断面色白，粉性足。应与现行《中国药典》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08442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DCA0B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7BC06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AA718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190.66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E59F8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190.66</w:t>
            </w:r>
          </w:p>
        </w:tc>
      </w:tr>
      <w:tr w14:paraId="4B023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CC066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4E50E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白前</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797E4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140BE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304CA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D9D962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本品为萝藦科植物柳叶白前Cynanchum stauntonii（Decne.）Schltr.ex Lévl.或芫花叶白前Cynanchum glaucescens（Decne.）Hand.-Mazz.的干燥根茎和根。</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85ACFE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根茎粗，色黄白，无地上部分，无杂质其它应与现行《中国药典》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0B622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50B39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344962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FBF57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182.30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D1B43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546.9</w:t>
            </w:r>
          </w:p>
        </w:tc>
      </w:tr>
      <w:tr w14:paraId="517C4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1F8DF3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8954F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白首乌</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3024A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《河南省中药饮片炮制规范》2005版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3BE99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3F8D1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6C9161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萝藦科植物白首乌 Cynanchum bungei Decne. 的干燥块根。春初或秋季采挖，除去外皮，晒干或趁鲜切片，晒干。</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1BEFA3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本品呈纺锤形、葫芦形或不规则的团块状，长 3～10cm，直径 1.5～5cm，或为大小不一的块片。</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87417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2CF4F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992A8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EE80E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162.42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AA468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974.52</w:t>
            </w:r>
          </w:p>
        </w:tc>
      </w:tr>
      <w:tr w14:paraId="29A97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205C5F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D307F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白头翁</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21ABF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9C15D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19F8A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C2D9CD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本品为毛茛科植物白头翁Pulsatilla chinensis（Bge.）Regel的干燥根。</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758505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片大，外表灰黄色，根头有白色茸毛。质坚实。其它应与现行《中国药典》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4D8BC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08DF4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D2A58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4A600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676.15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A49AE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1352.3</w:t>
            </w:r>
          </w:p>
        </w:tc>
      </w:tr>
      <w:tr w14:paraId="5766B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0582C9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971A1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半边莲</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3C2EE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210AB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FF9A9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24FD42D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本品为桔梗科植物半边莲Lobelia chinensis Lour.的干燥全草。</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01038E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根占比大于15%。叶绿，根黄，无泥沙杂质。其它应与现行《中国药典》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B0073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DE61C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4699B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0680E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105.40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8A453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316.2</w:t>
            </w:r>
          </w:p>
        </w:tc>
      </w:tr>
      <w:tr w14:paraId="2C689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DD230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ED488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半枝莲</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22D89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B12DE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8CF08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7CC789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本品为唇形科植物半枝莲Scutellaria barbata D.Don的干燥全草。</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E92FAF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新货，色紫绿，带叶。其它应与现行《中国药典》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F7142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DCF42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3145BE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E9379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58.90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4463A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1060.2</w:t>
            </w:r>
          </w:p>
        </w:tc>
      </w:tr>
      <w:tr w14:paraId="74D94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050AF6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29989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薄荷脑</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CB424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20C1D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粉末</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CD96F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5E08581">
            <w:pPr>
              <w:jc w:val="left"/>
              <w:rPr>
                <w:rFonts w:hint="eastAsia" w:ascii="宋体" w:hAnsi="宋体" w:eastAsia="宋体" w:cs="宋体"/>
                <w:i w:val="0"/>
                <w:iCs w:val="0"/>
                <w:color w:val="auto"/>
                <w:sz w:val="22"/>
                <w:szCs w:val="22"/>
                <w:highlight w:val="none"/>
                <w:u w:val="none"/>
              </w:rPr>
            </w:pP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E19E3E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无色针状或棱柱状结晶或者白色结晶性粉末。</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3952A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753C3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3C47B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28488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826.60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84E28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9919.2</w:t>
            </w:r>
          </w:p>
        </w:tc>
      </w:tr>
      <w:tr w14:paraId="4F8B6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049341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F91B9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北沙参</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E2552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ABE3D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5A895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7E8F12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本品为伞形科植物珊瑚菜Glehnia littoralis Fr. Schmidt ex Miq.的干燥根。</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056FE5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直径大于0.8cm，无根头片，无空洞。其它应与现行《中国药典》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DD6C4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C9B83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812DF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CA62F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176.37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9BA42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10582.2</w:t>
            </w:r>
          </w:p>
        </w:tc>
      </w:tr>
      <w:tr w14:paraId="3C159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07F0A3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82DD5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萹蓄</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92593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0E176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65796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3E2AC6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本品为蓼科植物萹蓄Polygonum aviculare L.  的干燥地上部分。</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8BB815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色灰绿、叶多、质嫩。其它应与现行《中国药典》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04D6A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5B9F4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92DE1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B7CE8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54.82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7D310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109.64</w:t>
            </w:r>
          </w:p>
        </w:tc>
      </w:tr>
      <w:tr w14:paraId="3015C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231652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D5E54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槟榔</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D28EB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36A7B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E9241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EDF68D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本品为棕榈科植物槟榔Areca catechu L.的干燥成熟种子。</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5B31DFE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直径1.5〜3cm，大小均一，无碎渣。切面大理石花纹明显、无虫蛀。切薄片其它应与现行《中国药典》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DF1F7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B11E4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59E38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6B7F6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100.40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97C8F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2510</w:t>
            </w:r>
          </w:p>
        </w:tc>
      </w:tr>
      <w:tr w14:paraId="54AF5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DC2B6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50BCE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布渣叶</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AB235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95CFD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EA825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2091661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本品为椴树科植物破布叶Microcos paniculata L.的干燥叶。</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1CB7CB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叶片大而完整，色绿，少叶柄。其它应与现行《中国药典》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C044A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CBE79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4DADE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699DC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52.06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58656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156.18</w:t>
            </w:r>
          </w:p>
        </w:tc>
      </w:tr>
      <w:tr w14:paraId="53CD8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2BE0A8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85236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苍耳子</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8216D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E8847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DAFDF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74F23A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本品为菊科植物苍耳Xanthium sibiricum Patr. 的干燥成熟带总苞的果实的炮制加工品。</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5AE926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去刺，有刺痕。微有香气，粒大、饱满。其它应与现行《中国药典》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9C2AB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E4921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08143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5BB6C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57.39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24A58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4705.98</w:t>
            </w:r>
          </w:p>
        </w:tc>
      </w:tr>
      <w:tr w14:paraId="3BE07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2A0540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9C14B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侧柏叶</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FDBD5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C8129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7A724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5E5052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本品为柏科植物侧柏Platycladus orientalis（L.）Franco 的干燥枝梢和叶。</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1C404D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叶、枝嫩、色青绿 ，无碎末。其它应与现行《中国药典》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CD5E0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DE2C4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340D4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B2157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34.25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DDEF2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1541.25</w:t>
            </w:r>
          </w:p>
        </w:tc>
      </w:tr>
      <w:tr w14:paraId="4743D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663BA0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91728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燀苦杏仁</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57F05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F3140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燀法去皮</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E93D5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2D370D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本品为蔷薇科植物山杏Prunus armeniaca L.var.ansu Maxim.、西伯利亚杏Prunus sibirica L.、东北杏Prunus mandshurica（Maxim.）Koehne 或杏Prunus armeniaca L. 的干燥成熟种子。</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8DCDB8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颗粒饱满完整，大小均一，厚度大于0.5cm，碎粒不超过3%。其它应与现行《中国药典》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C08F7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0E65A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84239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88641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114.70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8E450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20646</w:t>
            </w:r>
          </w:p>
        </w:tc>
      </w:tr>
      <w:tr w14:paraId="4AEB1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43C2E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17BA2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炒谷芽（炒稻芽）</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BBB14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97BDD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CF104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A91D262">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本品为禾本科植物粟</w:t>
            </w:r>
            <w:r>
              <w:rPr>
                <w:rFonts w:hint="default" w:ascii="Times New Roman" w:hAnsi="Times New Roman" w:eastAsia="宋体" w:cs="Times New Roman"/>
                <w:i w:val="0"/>
                <w:iCs w:val="0"/>
                <w:color w:val="auto"/>
                <w:kern w:val="0"/>
                <w:sz w:val="22"/>
                <w:szCs w:val="22"/>
                <w:highlight w:val="none"/>
                <w:u w:val="none"/>
                <w:lang w:val="en-US" w:eastAsia="zh-CN" w:bidi="ar"/>
              </w:rPr>
              <w:t xml:space="preserve">Setaria italica </w:t>
            </w:r>
            <w:r>
              <w:rPr>
                <w:rFonts w:hint="eastAsia" w:ascii="宋体" w:hAnsi="宋体" w:eastAsia="宋体" w:cs="宋体"/>
                <w:i w:val="0"/>
                <w:iCs w:val="0"/>
                <w:color w:val="auto"/>
                <w:kern w:val="0"/>
                <w:sz w:val="22"/>
                <w:szCs w:val="22"/>
                <w:highlight w:val="none"/>
                <w:u w:val="none"/>
                <w:lang w:val="en-US" w:eastAsia="zh-CN" w:bidi="ar"/>
              </w:rPr>
              <w:t>（</w:t>
            </w:r>
            <w:r>
              <w:rPr>
                <w:rFonts w:hint="default" w:ascii="Times New Roman" w:hAnsi="Times New Roman" w:eastAsia="宋体" w:cs="Times New Roman"/>
                <w:i w:val="0"/>
                <w:iCs w:val="0"/>
                <w:color w:val="auto"/>
                <w:kern w:val="0"/>
                <w:sz w:val="22"/>
                <w:szCs w:val="22"/>
                <w:highlight w:val="none"/>
                <w:u w:val="none"/>
                <w:lang w:val="en-US" w:eastAsia="zh-CN" w:bidi="ar"/>
              </w:rPr>
              <w:t xml:space="preserve">L. </w:t>
            </w:r>
            <w:r>
              <w:rPr>
                <w:rFonts w:hint="eastAsia" w:ascii="宋体" w:hAnsi="宋体" w:eastAsia="宋体" w:cs="宋体"/>
                <w:i w:val="0"/>
                <w:iCs w:val="0"/>
                <w:color w:val="auto"/>
                <w:kern w:val="0"/>
                <w:sz w:val="22"/>
                <w:szCs w:val="22"/>
                <w:highlight w:val="none"/>
                <w:u w:val="none"/>
                <w:lang w:val="en-US" w:eastAsia="zh-CN" w:bidi="ar"/>
              </w:rPr>
              <w:t>）</w:t>
            </w:r>
            <w:r>
              <w:rPr>
                <w:rFonts w:hint="default" w:ascii="Times New Roman" w:hAnsi="Times New Roman" w:eastAsia="宋体" w:cs="Times New Roman"/>
                <w:i w:val="0"/>
                <w:iCs w:val="0"/>
                <w:color w:val="auto"/>
                <w:kern w:val="0"/>
                <w:sz w:val="22"/>
                <w:szCs w:val="22"/>
                <w:highlight w:val="none"/>
                <w:u w:val="none"/>
                <w:lang w:val="en-US" w:eastAsia="zh-CN" w:bidi="ar"/>
              </w:rPr>
              <w:t xml:space="preserve"> Beauv. </w:t>
            </w:r>
            <w:r>
              <w:rPr>
                <w:rFonts w:hint="eastAsia" w:ascii="宋体" w:hAnsi="宋体" w:eastAsia="宋体" w:cs="宋体"/>
                <w:i w:val="0"/>
                <w:iCs w:val="0"/>
                <w:color w:val="auto"/>
                <w:kern w:val="0"/>
                <w:sz w:val="22"/>
                <w:szCs w:val="22"/>
                <w:highlight w:val="none"/>
                <w:u w:val="none"/>
                <w:lang w:val="en-US" w:eastAsia="zh-CN" w:bidi="ar"/>
              </w:rPr>
              <w:t>的成熟果实经发芽干燥的炮制加工品。取净谷芽，照清炒法（通则</w:t>
            </w:r>
            <w:r>
              <w:rPr>
                <w:rFonts w:hint="default" w:ascii="Times New Roman" w:hAnsi="Times New Roman" w:eastAsia="宋体" w:cs="Times New Roman"/>
                <w:i w:val="0"/>
                <w:iCs w:val="0"/>
                <w:color w:val="auto"/>
                <w:kern w:val="0"/>
                <w:sz w:val="22"/>
                <w:szCs w:val="22"/>
                <w:highlight w:val="none"/>
                <w:u w:val="none"/>
                <w:lang w:val="en-US" w:eastAsia="zh-CN" w:bidi="ar"/>
              </w:rPr>
              <w:t>0213</w:t>
            </w:r>
            <w:r>
              <w:rPr>
                <w:rFonts w:hint="eastAsia" w:ascii="宋体" w:hAnsi="宋体" w:eastAsia="宋体" w:cs="宋体"/>
                <w:i w:val="0"/>
                <w:iCs w:val="0"/>
                <w:color w:val="auto"/>
                <w:kern w:val="0"/>
                <w:sz w:val="22"/>
                <w:szCs w:val="22"/>
                <w:highlight w:val="none"/>
                <w:u w:val="none"/>
                <w:lang w:val="en-US" w:eastAsia="zh-CN" w:bidi="ar"/>
              </w:rPr>
              <w:t>）炒至深黄色。</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707EE2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形如谷芽，表面深黄色。其它应与现行《中国药典》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05EEC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8D165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22EF33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68EF4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36.71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CF0F7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440.52</w:t>
            </w:r>
          </w:p>
        </w:tc>
      </w:tr>
      <w:tr w14:paraId="60C10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1450A7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39A83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炒僵蚕</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701F3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2B747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麸炒</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39A58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6E05ED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本品为蚕蛾科昆虫家蚕Bombyx mori Linnaeus 4～5龄的幼虫感染（或人工接种）白僵菌Beauveria bassiana（Bals.） Vuillant而致死的干燥体。</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0EFAB9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虫体饱满，大小均一，条粗、质硬、断面显光亮。其它应与现行《中国药典》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11203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A8D96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2CB7B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E94CE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483.91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E3D84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3387.37</w:t>
            </w:r>
          </w:p>
        </w:tc>
      </w:tr>
      <w:tr w14:paraId="5FE3F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296393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CF3B4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炒牛蒡子</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64995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0D4E2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08F69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个子/用时捣碎/（选货）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E12B2B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本品为菊科植物牛蒡Arctium lappa L. 的干燥成熟果实。</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5831822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颗粒饱满，色泽加深，略鼓起，无杂质。微有香气。其它应与现行《中国药典》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6BC88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73DDC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C3F7E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0A50E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94.86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C6B1E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1992.06</w:t>
            </w:r>
          </w:p>
        </w:tc>
      </w:tr>
      <w:tr w14:paraId="5A48F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793A7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3D91D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炒王不留行</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26405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F2417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38A69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BD9553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本品为石竹科植物麦蓝菜Vaccaria segetalis（Neck.）Garcke的干燥成熟种子。</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0FDB4FC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爆花率大于95%，无焦花。与现行《中国药典》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662F4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8FA4E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FA67C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CB860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55.73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25125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557.3</w:t>
            </w:r>
          </w:p>
        </w:tc>
      </w:tr>
      <w:tr w14:paraId="0772C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111ACE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72B03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炒栀子</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1F61B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D1A28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4EC20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碎块/（选货）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D5F850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本品为茜草科植物栀子Gardenia jasminoides Ellis的干燥成熟果实的炮制加工品。</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BA43CE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无杂质。黄褐色，大小均匀。其它应与现行《中国药典》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7C3F8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2F08C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30AE94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29A4A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177.38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8AE6D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886.9</w:t>
            </w:r>
          </w:p>
        </w:tc>
      </w:tr>
      <w:tr w14:paraId="6B1D0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134E91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5570D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赤芍</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E91C0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D038C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6B46A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DB0FE3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本品为毛茛科植物芍药Paeonia lactiflora Pall. 或川赤芍Paeonia veitchii Lynch的干燥根。</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86F594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直径大于1.0cm。其它应与现行《中国药典》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6EE02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D18DF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8AF3A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B0DFC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212.38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95F63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38228.4</w:t>
            </w:r>
          </w:p>
        </w:tc>
      </w:tr>
      <w:tr w14:paraId="4037B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12070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62BB4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赤小豆</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C518F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96578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A59DB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41E1EC4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本品为豆科植物赤小豆Vigna umbellata Ohwi et Ohashi或赤豆Vigna angularis Ohwi et Ohashi的干燥成熟种子。</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074F484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体实饱满，色紫红发暗。其它应与现行《中国药典》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13CA8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5836D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F66EB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81819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43.86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4E11D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87.72</w:t>
            </w:r>
          </w:p>
        </w:tc>
      </w:tr>
      <w:tr w14:paraId="32F61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365E5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A18D2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臭牡丹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CB501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湖南省中药材质量标准　2009年版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B97B4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B3758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6C7230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本品为马鞭草科植物臭牡丹 Clerodendrum bungei Steudel 的新鲜或干燥地上部分</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FC5913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本品茎呈圆柱形，长1～1.5 m，直径0.3～1.2 cm。</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EE4A0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B2AC7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99CE5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91D75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123.75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5BB12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123.75</w:t>
            </w:r>
          </w:p>
        </w:tc>
      </w:tr>
      <w:tr w14:paraId="414EF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21B01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3F624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穿破石</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75471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B133E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3CD77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27AC27E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本品为桑科植物构棘Cudrania cochinchinensis(Lour.)Kudo et  Masam 或柘树 Cudrania tri-cuspidata(Carr.)Bur.  的干燥根</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99165A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外皮橙黄色。其它应与《广西壮族自治区中药饮片炮制规范》2007年版相符。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DB694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61D5F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EBAA9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26678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55.78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CBBD8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55.78</w:t>
            </w:r>
          </w:p>
        </w:tc>
      </w:tr>
      <w:tr w14:paraId="3855A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0D983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7E892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垂盆草</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4EC83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9FB12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06A25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4BDF308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本品为景天科植物垂盆草Sedum sarmentosum Bunge 的干燥全草。</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7560441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叶多、色绿。无杂草。其它应与现行《中国药典》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651A5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5ED42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37095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BCBF5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105.72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F7516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528.6</w:t>
            </w:r>
          </w:p>
        </w:tc>
      </w:tr>
      <w:tr w14:paraId="340DD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A7F57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0B005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醋甘遂</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DF8A1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01865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醋炙</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84A4A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短段/（选货）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4DCA055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本品为大戟科植物甘遂Euphorbia kansui T.N.Liou ex T.P.Wang的干燥块根的炮制加工品。</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C17AFE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表面棕黄色，偶有焦斑，略有醋香味。其它应与现行《中国药典》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02760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B2E17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B5BB5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6E82A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493.24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BA57F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1479.72</w:t>
            </w:r>
          </w:p>
        </w:tc>
      </w:tr>
      <w:tr w14:paraId="5E9B0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76C20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90978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醋龟甲</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4035F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3AE4F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砂烫、醋淬</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84117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C48739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本品为龟科动物乌龟Chinemys reevesii （Gray） 的背甲及腹甲。</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17CE74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微有醋香气、无异味、无油板。大小均匀，颜色均匀。其它应与现行《中国药典》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D141B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C2FCB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BD9D3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65251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388.83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CF1F1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27218.1</w:t>
            </w:r>
          </w:p>
        </w:tc>
      </w:tr>
      <w:tr w14:paraId="4D12A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23A111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C2058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醋没药</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0224D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D8F1A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醋炙</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423E7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2CFC72C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本品为橄榄科植物地丁树Commiphora myrrha Engl. 或哈地丁树Commiphora molmol Engl. 的干燥树脂。</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7C97065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不含有木屑、杂质。其它应与现行《中国药典》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4D2CC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3A6DA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2F7BF4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75DE1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272.43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E78D7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22339.26</w:t>
            </w:r>
          </w:p>
        </w:tc>
      </w:tr>
      <w:tr w14:paraId="74BE1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EACB6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8FC1B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醋五灵脂</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AEC26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A681F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2290A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EECB03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本品为鼯鼠科动物复齿鼯鼠Trogopterus xanthipes的干燥。</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E63B4F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体轻，质松，易折断，纤维性，大小、颜色均匀，无碎裂，无杂质。其它应与《广西壮族自治区中药饮片炮制规范》2007版相符。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5A379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76205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78185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1408D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367.34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A7B15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36734</w:t>
            </w:r>
          </w:p>
        </w:tc>
      </w:tr>
      <w:tr w14:paraId="0269F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F2122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0BCDE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醋延胡索</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52975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59951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醋炙</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43C9D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22BBCB3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本品为罂粟科植物延胡索Corydalis yanhusuo W.T.Wang的干燥块茎。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018A299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类圆形的厚片，直径大于0.8cm，其它应与现行《中国药典》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DC9F3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B8536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B2ED7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36902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330.45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44290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66090</w:t>
            </w:r>
          </w:p>
        </w:tc>
      </w:tr>
      <w:tr w14:paraId="5D815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2EB235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62590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大腹皮</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86E0D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5FDFE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A3488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5D1BB8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本品为棕榈科植物槟榔Areca catechu L.的干燥果皮。</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F71124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无杂质， 色深褐，皱皮结实。（不用大腹毛）其它应与现行《中国药典》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4870C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D0365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BB859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D07E9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54.49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3E3BC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1743.68</w:t>
            </w:r>
          </w:p>
        </w:tc>
      </w:tr>
      <w:tr w14:paraId="47A09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106D67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68EAD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大黄炭</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0EB7E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9BAC1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炒炭</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68CE4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249BB13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本品为大黄的炮制加工品。</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EA4DC6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表面焦黑色，内部深棕色或焦褐色，具焦香气。其它应与现行《中国药典》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0722D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08B80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6B218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6CC3C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128.07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4ACAF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640.35</w:t>
            </w:r>
          </w:p>
        </w:tc>
      </w:tr>
      <w:tr w14:paraId="4774B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6914F7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1FA32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大青盐</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C943A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61CBD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结晶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7B3BB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701625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本品为卤化物类石盐族湖盐结晶体，主含氯化钠 (NaCl) </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021E340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本品为立方体、八面体或菱形的结晶，有的为歪晶，直径0.5～1.5cm。白色或灰白色，半透明，具玻璃样光泽。</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1452B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5C557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D8C39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8DBA7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21.11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DCF64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42.22</w:t>
            </w:r>
          </w:p>
        </w:tc>
      </w:tr>
      <w:tr w14:paraId="42E21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3A70F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E5B26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大青叶</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1C44A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D8516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F773D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2D25B0E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本品为十字花科植物菘蓝Isatis indigotica Fort.的干燥叶。</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5FFB19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叶片大，完整，色暗灰绿。其它应与现行《中国药典》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22AB3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D470E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40996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47C7D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49.56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E16FE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247.8</w:t>
            </w:r>
          </w:p>
        </w:tc>
      </w:tr>
      <w:tr w14:paraId="63471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60B1F9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4CEB3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大血藤</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362F4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10EEE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ADB3D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厚片/横切/（选货）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2E73EC4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本品为木通科植物大血藤Sargentodoxa cuneata （Oliv.） Rehd. et Wils.的干燥藤茎。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9660A9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片大、质坚、纹理清晰。其它应与现行《中国药典》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DBD28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19084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48BE5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CA924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52.27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8E589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104.54</w:t>
            </w:r>
          </w:p>
        </w:tc>
      </w:tr>
      <w:tr w14:paraId="341D5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39E22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0F800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大枣</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64DEB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DB276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D6D73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A76EE3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本品为鼠李科植物枣Ziziphus jujuba Mill.的干燥成熟果实。</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5CC19DA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大小均一，直径1.5~2.5cm，肉质肥厚，味甜，无破皮。应与现行《中国药典》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A6BF8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58D27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673A8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56DFA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46.69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468F7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3501.75</w:t>
            </w:r>
          </w:p>
        </w:tc>
      </w:tr>
      <w:tr w14:paraId="612FC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2AD72E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1DCF1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大钻</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C7333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《广西壮族自治区壮药质量标准》第二卷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8C866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734FE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483B6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本品为木兰科植物厚叶五味子Kadsura coccinea (Lem．) A．C．Smith的干燥根。</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726C29B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大小均匀。皮厚，表面黑褐色。无须根并香气浓。其它应与《广西壮族自治区壮药质量标准》第二卷相符。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2FEB4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15787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818FD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552EF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91.89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6B127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91.89</w:t>
            </w:r>
          </w:p>
        </w:tc>
      </w:tr>
      <w:tr w14:paraId="28086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1726A8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4ED94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淡竹叶</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06993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A5F69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8F94D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4E9F5B1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本品为禾本科植物淡竹叶Lophatherum gracile Brongn.  的干燥茎叶。</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EA9251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叶片浅绿色或黄绿色。其它应与现行《中国药典》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8DC78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5ACE8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5B49E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D60AF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63.94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BA7D4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2365.78</w:t>
            </w:r>
          </w:p>
        </w:tc>
      </w:tr>
      <w:tr w14:paraId="0722A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0580D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DBE35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当归藤</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92891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《广西壮族自治区壮药质量标准》第一卷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66A37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BBAFD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不规则段/（选货）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82AE8A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本品为紫金牛科植物当归藤Embelia parviflora Wall. 的干燥地上部分。</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5F768B4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有茎、叶。其它应与《广西壮族自治区壮药质量标准》第一卷相符。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EE12C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024F4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399B4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8B98B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87.11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40090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174.22</w:t>
            </w:r>
          </w:p>
        </w:tc>
      </w:tr>
      <w:tr w14:paraId="789B1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EABC3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98C0E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当归尾</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AFC82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《广西壮族自治区中药饮片炮制规范》2022年版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62DE6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F710E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884DB5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本品为伞形科植物当归Angelica sinensis（Oliv.）Diels的干燥支根。</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0F875B2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气香而浓。其它应与《广西壮族自治区中药饮片炮制规范》2022年版相符。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8BF96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4D1AD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B19E0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8C283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299.89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EFBBD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599.78</w:t>
            </w:r>
          </w:p>
        </w:tc>
      </w:tr>
      <w:tr w14:paraId="43EC4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35680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B92B6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地耳草(田基王)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32BCD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《广西壮族自治区壮药质量标准》第二卷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58563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5E4F6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713B8D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本品为金丝桃科植物地耳草Hypericum japonicum Thunb.的干燥全草。</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74348A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色黄绿，带花，无杂质。其它应与《广西壮族自治区壮药质量标准》第二卷相符。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FFA7F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380DC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D8525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426C5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120.17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AA6B8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841.19</w:t>
            </w:r>
          </w:p>
        </w:tc>
      </w:tr>
      <w:tr w14:paraId="3A04A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2506F1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26BB0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地龙</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3CD15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F3A2A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06935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42A13B3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本品为钜蚓科动物参环毛蚓Pheretima aspergillum(E.Perrier）、通俗环毛蚓Pheretima vulgaris Chen、威廉环毛蚓Pheretima guillelmi（Michaelsen）或栉盲环毛蚓Pheretima pectinifera Michaelsen的干燥体。</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270951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广地龙，段宽1.2cm以上，含圆柱形片不得超过2%。大小均一。无泥杂。其它应与现行《中国药典》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55E0B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12759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26CF8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43492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743.69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C3C9B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11155.35</w:t>
            </w:r>
          </w:p>
        </w:tc>
      </w:tr>
      <w:tr w14:paraId="2CF55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266C7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46DB6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地榆</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67CA0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69DB7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B74B4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F051EB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本品为蔷薇科植物地榆Sanguisorba officinalis L.或长叶地榆Sanguisorba officinalis L. var. longifolia（Bert.）Yü et Li的干燥根。</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5F59B56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直径大于0.7cm。其它应与现行《中国药典》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C145A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66646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3B686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F39FF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82.25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F4A0E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575.75</w:t>
            </w:r>
          </w:p>
        </w:tc>
      </w:tr>
      <w:tr w14:paraId="5D70F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6FCB6B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B4D70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地榆炭</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307CD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1B7F6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炒炭</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B66DE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FD530A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本品为蔷薇科植物地榆Sanguisorba officinalis L.或长叶地榆Sanguisorba officinalis L. var. longifolia（Bert.）Yü et Li的干燥根的加工炮制品。</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C655B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直径大于0.5cm。表面焦黑色，内部棕褐色。具焦香气，味微苦涩。其它应与现行《中国药典》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B3B40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2490F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2DB7E8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04F4D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104.15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F9FC6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624.9</w:t>
            </w:r>
          </w:p>
        </w:tc>
      </w:tr>
      <w:tr w14:paraId="4CDED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318CE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D9ADE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灯心草</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8947B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1AC28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BE774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16EB192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本品为灯心草科植物灯心草Juncus effusus L. 的干燥茎髓。</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08728B9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表面白色或淡黄白色，无杂质，体轻，质软，略有弹性，易拉断。其它应与现行《中国药典》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396FD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DB344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904C2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4A1E5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498.88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FC497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997.76</w:t>
            </w:r>
          </w:p>
        </w:tc>
      </w:tr>
      <w:tr w14:paraId="05E13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15EED3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A323D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豆蔻</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78238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5120E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43BD9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968B51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本品为姜科植物白豆蔻Amomum kravanh Pierre ex Gagnep.或爪哇白豆蔻 Amomum compactum Soland ex Maton 的干燥成熟果实。</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CBD696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直径大于1.2cm；杂质不得多于0.5%，瘪仁不得多于1%，大小均一，无瘪子及空壳。其它应与现行《中国药典》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A1E82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543EC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740C9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78E0D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211.84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D5808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4660.48</w:t>
            </w:r>
          </w:p>
        </w:tc>
      </w:tr>
      <w:tr w14:paraId="22159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AE5BF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35425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独活</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D409A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B0E0C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043C0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CB7682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本品为伞形科植物重齿毛当归Angelica pubescens Maxim.f. biserrata Shan et Yuan的干燥根。</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6F8FF2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质油润，无焦枯片，直径大于2.0cm。其它应与现行《中国药典》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4E048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5BAAC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12A23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A1433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118.77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E7A7C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3563.1</w:t>
            </w:r>
          </w:p>
        </w:tc>
      </w:tr>
      <w:tr w14:paraId="2875F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60A1F3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4319E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煅龙骨</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A7E43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66372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明煅</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E10EC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碎块状/（选货）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341044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本品为古代哺乳动物如三趾马、犀类、鹿类、牛类、象类等的骨骼化石或象类门齿的化石。</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8A6552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酥脆易碎，吸湿性强，质松，舐之粘舌。其它应与《广西壮族自治区中药饮片炮制规范》（2007年版）相符。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2EEA3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2413A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C0742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7357A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843.02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E5534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29505.7</w:t>
            </w:r>
          </w:p>
        </w:tc>
      </w:tr>
      <w:tr w14:paraId="0F213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F42E8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A7EE3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煅牡蛎</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1D3A2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89D8B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明煅</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6946F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49B97B0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本品为牡蛎科动物长牡蛎Ostrea gigas Thunberg、大连湾牡蛎 Ostrea talienwhanensis Crosse 或近江牡蛎 Ostrea rivularis Gould 的贝壳。</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CDB9B8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煅至酥脆，无臭气，无杂质，断面层状。其它应与现行《中国药典》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769A5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1724B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17DE5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41307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26.97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91D84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2697</w:t>
            </w:r>
          </w:p>
        </w:tc>
      </w:tr>
      <w:tr w14:paraId="6E9E8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52A1C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87E73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煅瓦楞子</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B5651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46342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明煅</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8569D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碎块或粉末/（选货）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88F952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本品为蚶科动物毛蚶Arca subcrenata Lischke、泥蚶Arca granosa Linnaeus或魁蚶Arca inflata Reeve的贝壳。</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612CBF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灰白色至深灰色，质酥脆，气微，味淡。其它应与现行《中国药典》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15DED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BAD0A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2FD738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92E4D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26.00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30061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78</w:t>
            </w:r>
          </w:p>
        </w:tc>
      </w:tr>
      <w:tr w14:paraId="29095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C9702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04D4E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煅自然铜</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1DE92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288E0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煅淬</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C8765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35FAB5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本品为硫化物类矿物黄铁矿族黄铁矿，主含二硫化铁（FeS2）。</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692ABD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无金属光泽，质地疏松，微有醋味。其它应与现行《中国药典》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C5E24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9DCF4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28BA9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902A9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54.63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E3926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409.725</w:t>
            </w:r>
          </w:p>
        </w:tc>
      </w:tr>
      <w:tr w14:paraId="2BD83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646622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40F4C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法半夏</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9CF64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5CEE7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生石灰、甘草制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24082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8546DA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本品为天南星科植物半夏Pinellia ternata（Thunb.） Breit.的干燥块茎。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7457622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饮片个子直径大于0.8cm，颜色均一，无杂质。其它应与现行《中国药典》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AD948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DBF21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2DDF78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3ECF0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262.42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5C4E2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15745.2</w:t>
            </w:r>
          </w:p>
        </w:tc>
      </w:tr>
      <w:tr w14:paraId="2ED9F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4AC01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93EFD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防己</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046C1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FC811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A5B87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4D119E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本品为防己科植物粉防己Stephania tetrandra S.Moore的干燥根。</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092C470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直径大于2.0cm，切面粉性足。其它应与现行《中国药典》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C5503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CA341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1AEDC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89598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829.64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A10D8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7466.76</w:t>
            </w:r>
          </w:p>
        </w:tc>
      </w:tr>
      <w:tr w14:paraId="7EFAC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1B967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839D5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飞龙掌血</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D3E1D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《广西中药材标准》第二册）</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BEBFC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8F089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46657BA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本品为芸香科植物飞龙掌血 Toddalia asiatica (Linnaeus) Lamarck 的干燥根及茎。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7645B8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本品呈圆柱形，略弯曲，直径 2～4 cm，有的根头部直径可达 8 cm。</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35B57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29273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56C49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02B6C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63.58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35C29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381.48</w:t>
            </w:r>
          </w:p>
        </w:tc>
      </w:tr>
      <w:tr w14:paraId="3F6D6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0110C6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C42B1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麸炒枳壳</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C2E9B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456CB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麸炒</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F32F1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1FFD961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本品为芸香科植物酸橙Citrus  aurantium L.及其栽培变种的干燥未成熟果实。</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703437B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中果皮厚度大于0.4cm，边片不超过5%。其它应与现行《中国药典》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DB77E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71495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2EBEA5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68F5C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85.50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A428D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1282.5</w:t>
            </w:r>
          </w:p>
        </w:tc>
      </w:tr>
      <w:tr w14:paraId="57675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4BC6B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5DECE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佛手</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0655A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512D7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6126F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4C57992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本品为芸香科植物佛手Citrus medica L. var. sarcodactylis Swingle 的干燥果实。</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9E9A38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片大，绿皮白肉，香气明显，无杂质，常有3～5个手指状的裂瓣，气香。其它应与现行《中国药典》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6B4B3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C65C1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3931A7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7F72F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152.69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66677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11451.75</w:t>
            </w:r>
          </w:p>
        </w:tc>
      </w:tr>
      <w:tr w14:paraId="66B8E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2EEE7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CD92D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茯苓皮</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A0851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05941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1D983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块或宽丝/（选货）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704268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本品为多孔菌科真菌茯苓Poria cocos（Schw.）Wolf 菌核的干燥外皮。</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0243AF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无异味。质较松软，略具弹性。其它应与现行《中国药典》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5BA55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0E507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5E536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C14E9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39.38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8D656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196.9</w:t>
            </w:r>
          </w:p>
        </w:tc>
      </w:tr>
      <w:tr w14:paraId="279E5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D9328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11444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茯神</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DCD96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《湖北省中药材质量标准》2018年版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D6791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D6B17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2E98AD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本品为多孔菌科真菌茯苓Poria cocos（Schw.）Wolf的干燥菌核。</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672FD2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质坚实，具粉质。可见切断的松根。其它应与《湖北省中药材质量标准》2018年版相符。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A98CA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9196B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1981E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04AB8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182.04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2446B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21844.8</w:t>
            </w:r>
          </w:p>
        </w:tc>
      </w:tr>
      <w:tr w14:paraId="1951B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1E83B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8CB68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浮石</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C7A92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《中国药典》1977年版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1C2E5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5E47A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41AB6C9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本品为鲍科动物脊突苔虫的干燥骨骼或火山喷出的岩浆凝固形成的多孔状石块。</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5B0180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体轻，色灰白。无杂质。其它应与《中国药典》1977年版相符。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96E2C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6DF15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C21F4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B92F5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33.88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45385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169.4</w:t>
            </w:r>
          </w:p>
        </w:tc>
      </w:tr>
      <w:tr w14:paraId="2E3A6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94760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CA5C4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浮小麦</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F7A12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036DB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A3B20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D6F6B8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本品为禾本科植物小麦Triticum aestivum L.的轻浮瘪瘦的果实。</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E9A9FF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呈瘪廋而轻浮，刚入水不下沉。其它应与《广西壮族自治区中药饮片炮制规范》2007年版相符。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9842C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E899D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B66F6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F9BEA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36.78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C3EF2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4413.6</w:t>
            </w:r>
          </w:p>
        </w:tc>
      </w:tr>
      <w:tr w14:paraId="3675F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E0012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1734D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覆盆子</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82951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CCC78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4031D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1FE88F9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本品为蔷薇科植物华东覆盆子Rubus chingii Hu 的干燥果实。</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0AE7D3B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完整，表面黄绿色或淡棕色，无果梗，直径大于0.8cm。其它应与现行《中国药典》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48C76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14FD5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A357A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58AD8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459.89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79AB6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9197.8</w:t>
            </w:r>
          </w:p>
        </w:tc>
      </w:tr>
      <w:tr w14:paraId="43056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DC97F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A5CB2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干姜</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88E39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59A7D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66110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5ABCE7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本品为姜科植物姜Zingiber officinale Rosc.的干燥根茎。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29111D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略具粉性，无边片，可见指状分枝。其它应与现行《中国药典》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08A03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2D329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C2DEA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78B8E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82.51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C4149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24753</w:t>
            </w:r>
          </w:p>
        </w:tc>
      </w:tr>
      <w:tr w14:paraId="5EB5F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26B4FF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C1952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干石斛</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DB90A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23DE9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BB630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938906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本品为兰科植物金钗石斛Dendrobium nobile Lindl.、霍山石斛Dendrobium huoshanense C.Z.Tang et S.J.Cheng、鼓槌石斛Dendrobium chrysotoxum Lindl.或流苏石斛Dendrobium fimbriatum Hook.的栽培品及其同属植物近似种的新鲜或干燥茎。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0F7D737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表面有光泽，嚼之有黏性。无碎渣。其它应与现行《中国药典》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3B437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070F2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16673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F3B96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395.57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79CC1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5933.55</w:t>
            </w:r>
          </w:p>
        </w:tc>
      </w:tr>
      <w:tr w14:paraId="06DBE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3CB36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5BAFF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干鱼腥草</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0FD76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32F51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17CA8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28F7FBC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本品为三白草科植物蕺菜Houttuynia cordata Thunb.的新鲜全草或干燥地上部分。</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D9DEFC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叶黄棕色至暗棕色，穗状花序黄棕色，搓碎具鱼腥气，茎叶完整，无杂质。其它应与现行《中国药典》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16B75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63717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69A40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154D8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51.70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6A890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1085.7</w:t>
            </w:r>
          </w:p>
        </w:tc>
      </w:tr>
      <w:tr w14:paraId="2CA70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BF970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A904D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高良姜</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97B7B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BF9C7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B8F35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B1BB6F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本品为姜科植物高良姜Alpinia officinarum Hance的干燥根茎。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70AB8E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色棕红，直径大于1.3cm，质坚实，味辛辣。其它应与现行《中国药典》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3E299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316E4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9FC84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56101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134.52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82396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22195.8</w:t>
            </w:r>
          </w:p>
        </w:tc>
      </w:tr>
      <w:tr w14:paraId="3B011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10FB6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CE00D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藁本片</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D2888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EC280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F6C7A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1DB0AA6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本品为伞形科植物藁本 Ligusticum sinense Oliv. 或辽藁本 Ligusticum jeholense Nakai et Kitag. 的干燥根茎和根。</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52FC2A1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切厚片。外表皮 色棕褐、切面黄色、香气浓。其它应与现行《中国药典》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AF327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640DD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05064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11638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347.51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B1B8A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10425.3</w:t>
            </w:r>
          </w:p>
        </w:tc>
      </w:tr>
      <w:tr w14:paraId="24DFA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744B3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066A6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葛根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78143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A7B86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4A152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厚片或小方块/（选货）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867192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本品为豆科植物野葛Pueraria lobata（Willd.）Ohwi 的干燥根。</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80E58E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呈边长为0.5～1.2cm的方块，切面黄白色至淡黄棕色，纤维性强。片型均匀，无碎屑。其它应与现行《中国药典》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75646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2E5E1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546F1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88CAF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57.66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DE499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21622.5</w:t>
            </w:r>
          </w:p>
        </w:tc>
      </w:tr>
      <w:tr w14:paraId="7721A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0811A1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C8977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葛花</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0E2E8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FF1E2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05C1E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10A8BE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本品为豆科植物野葛Pueraria lobata(Willd.)Ohwi或甘葛藤Pueraria thomsonii Benth.的干燥花。</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86B5A6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朵大，淡紫色，花未全开放，无杂质。其它应与《广西壮族自治区中药饮片炮制规范》2007年版相符。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E1A84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D42DD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C68C5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3D875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99.20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2319A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496</w:t>
            </w:r>
          </w:p>
        </w:tc>
      </w:tr>
      <w:tr w14:paraId="3EF88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6A17CD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78</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7C6A3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钩藤</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9E494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54274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59961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09BB68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本品为茜草科植物钩藤Uncaria rhynchophylla（Miq.）Miq. ex Havil.、大叶钩藤Uncaria macrophylla Wall.、毛钩藤Uncaria hirsuta Havil.、华钩藤Uncaria sinensis（Oliv.）Havil.或无柄果钩藤Uncaria sessilifructus Roxb.的干燥带钩茎枝。</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641A0A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无钩的光枝不超过10%。其它应与现行《中国药典》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37219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30DD3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1EA29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CA4AF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275.02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6D208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12375.9</w:t>
            </w:r>
          </w:p>
        </w:tc>
      </w:tr>
      <w:tr w14:paraId="4514A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ACCCA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79</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E0AC2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枸杞子</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A300B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671CF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9B9A7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343722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本品为茄科植物宁夏枸杞Lycium barbarum L.的干燥成熟果实。</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AA8CCF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产地宁夏，无黏连，破粒率小于1%。每50克250粒以内。其它应与现行《中国药典》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2C616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1153E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01027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53F95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143.82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584EE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25887.6</w:t>
            </w:r>
          </w:p>
        </w:tc>
      </w:tr>
      <w:tr w14:paraId="42EA0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0DA0F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55754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谷芽（稻芽）</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BF77D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3B819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06228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406DA2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本品为禾本科植物粟Setaria italica （L. ） Beauv. 的成熟果实经发芽干燥的炮制加工品。</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FA19D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呈类圆球形，直径约2mm，顶端钝圆，基部略尖。外壳为革质的稃片，淡黄色，具点状皱纹，下端有初生的细须根，长约3～6mm，剥去稃片，内含淡黄色或黄白色颖果（小米）1粒。气微，味微甘。。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C9484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B0752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307C32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B73E8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41.40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6F9D5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289.8</w:t>
            </w:r>
          </w:p>
        </w:tc>
      </w:tr>
      <w:tr w14:paraId="5D08B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8DC5B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23C1A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瓜蒌子</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5E8C6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2DE43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5C75F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个子/用时打碎/（选货）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4CD255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本品为葫芦科植物栝楼Trichosanthes kirilowii Maxim.或双边栝楼Trichosanthes rosthornii Harms的干燥成熟种子。</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1EB92B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粒大饱满，无干瘪，大小均一，表面浅棕色至棕褐色，平滑，沿边缘有1圈沟纹。其它应与现行《中国药典》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2EE85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5C3FE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21FA5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02872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99.00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E5CC4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1485</w:t>
            </w:r>
          </w:p>
        </w:tc>
      </w:tr>
      <w:tr w14:paraId="79692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62293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9A4C5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广藿香</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21275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5A3BD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E8DFA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940097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本品为唇形科植物广藿香Pogostemon cablin（Blanco）Benth.的干燥地上部分</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26E909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含叶量大于20%。其它应与现行《中国药典》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6E729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715C8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C8D0A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D1248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58.20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ACDEA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6111</w:t>
            </w:r>
          </w:p>
        </w:tc>
      </w:tr>
      <w:tr w14:paraId="7A713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930DD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7B7E2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龟甲胶</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71573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7AFAF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固体胶，国药准字</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6A4F0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扁块或丁状/（选货）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437220D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本品为龟甲经水煎煮、浓缩制成的固体胶。</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41A550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断面光亮，对光照视时呈半透明状。  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年版相符，符合野生动物管理，有国药准字。</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0C3BE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0956F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78C13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9E8CA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3950.03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D9DF7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3950.03</w:t>
            </w:r>
          </w:p>
        </w:tc>
      </w:tr>
      <w:tr w14:paraId="229F9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0EDDAC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6FA8D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海风藤</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DDA99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F2AB8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F780E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D36ECF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本品为胡椒科植物风藤Piper kadsura（Choisy）Ohwi 的干燥藤茎。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B04E8D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直径大于0.5cm，均匀、气香 。切厚片。其它应与现行《中国药典》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C9E12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D3AF4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E13AA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7B356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132.71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77E52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1194.39</w:t>
            </w:r>
          </w:p>
        </w:tc>
      </w:tr>
      <w:tr w14:paraId="478FA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A35A6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AE724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海金沙</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DCC70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A6FC6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9C01F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粉末状/（选货）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82ED56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本品为海金沙科植物海金沙Lygodium japonicum (Thunb.)Sw.的干燥成熟孢子。</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D73894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体轻，无掺杂。其它应与现行《中国药典》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6D9DB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C6620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A605E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4700E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468.31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72938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4214.79</w:t>
            </w:r>
          </w:p>
        </w:tc>
      </w:tr>
      <w:tr w14:paraId="0CD30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23CD37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9E57E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海桐皮</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1641A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E2D06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ED79E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4611506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本品为豆科植物刺桐Erythrina wariesata L. var.orientalis(L. )Merr. 或乔木刺桐Erychri- naarborescensRoxb. 的干燥树皮。</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7655F5A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外表面灰褐色，具纵裂纹，有的具乳头状的钉刺，断面粗糙，纤维性，呈层片状。其它应与《广西壮族自治区中药饮片炮制规范》2007年版相符。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0FB4A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A051E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C7A71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2B449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74.78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3227A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448.68</w:t>
            </w:r>
          </w:p>
        </w:tc>
      </w:tr>
      <w:tr w14:paraId="55C2E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EE62E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2A323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海藻</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9E587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DCE9A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ED0D7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1CEAD30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本品为马尾藻科植物海蒿子Sargassum pallidum（Turn.）C.Ag.或羊栖菜Sargassum fusiforme （Harv.）Setch.的干燥藻体。</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B956C8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来源仅限小叶海藻，色黑褐，白霜少。其它应与现行《中国药典》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1B787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E756D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1B1BC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C2570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102.37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710EA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3787.69</w:t>
            </w:r>
          </w:p>
        </w:tc>
      </w:tr>
      <w:tr w14:paraId="7EAF8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03482F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2A85A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诃子</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5684D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155BA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E75B6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2C8470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本品为使君子科植物诃子Terminalia chebula Retz. 或绒毛诃子Terminalia chebula Retz.var.tomentella Kurt. 的干燥成熟果实。</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2AB6D7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表面黄棕色，微皱，有光泽，肉厚。无虫蛀。其它应与现行《中国药典》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F3369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22E5C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DE64C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5F8C0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57.98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4CB1A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347.88</w:t>
            </w:r>
          </w:p>
        </w:tc>
      </w:tr>
      <w:tr w14:paraId="6CC23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F636D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E8BC6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黑顺片</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1D07C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66E89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胆巴水制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731BA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厚片/纵切/（选货）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17C7C7A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本品为毛茛科植物乌头Aconitum carmichaelii Debx. 的子根的加工品。</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30005B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产地四川江油，直径大于3.0cm。其它应与现行《中国药典》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0955A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1F019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FC184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94326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225.52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67BBE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101484</w:t>
            </w:r>
          </w:p>
        </w:tc>
      </w:tr>
      <w:tr w14:paraId="16ADE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E4031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E48C3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红杜仲</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70152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《广西壮族自治区壮药质量标准》第二卷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6FF32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0C820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7C54E2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本品为夹竹桃科植物红杜仲藤Parabarium chunianum Tsiang、毛杜仲藤Parabarium huaitingii Chun et Tsiang、杜仲藤Parabarium micranthun(A．DC．)Pierre的干燥树皮。</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8CA67D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皮厚，质硬而脆，易折断，断面有白色胶丝相连。其它应与《广西壮族自治区壮药质量标准》第二卷相符。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A340A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06FF7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E698F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642A6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90.50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4ED46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135.75</w:t>
            </w:r>
          </w:p>
        </w:tc>
      </w:tr>
      <w:tr w14:paraId="5624B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297169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510A6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红曲</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3B7CC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《浙江省中药饮片炮制规范》2015年版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EED9C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净制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2C5BE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121641A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本品为曲霉科真菌紫色红曲霉Monascus purpureus Went寄生在禾本科植物稻Oryza sativa L.的种仁上形成的红色米。</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097254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除去杂质。筛去灰屑。表面紫红色或暗红色，断面粉红色，无白心，气香、无异味。其它应与《浙江省中药饮片炮制规范》2015年版</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FBB62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C8023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B2763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79EED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252.00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192C0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756</w:t>
            </w:r>
          </w:p>
        </w:tc>
      </w:tr>
      <w:tr w14:paraId="54639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107108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2449A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厚朴</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4806C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1E843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B5EC5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74E78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本品为木兰科植物厚朴Magnolia officinalis Rehd.et Wils.或凹叶厚朴Magnolia officinalis Rehd.et Wils.var.biloba Rehd.et Wils.的干燥干皮、根皮及枝皮。</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C28C4E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厚薄均一，厚度大于0.3cm。其它应与现行《中国药典》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C50F8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9A98E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09843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F72E7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68.37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CD4A0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23929.5</w:t>
            </w:r>
          </w:p>
        </w:tc>
      </w:tr>
      <w:tr w14:paraId="7CD7F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161256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EC70D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胡黄连</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99DE5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3F4DC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BE3C0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61DB23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本品为玄参科植物胡黄连Picrorhiza scrophulariiflora Pennell的干燥根茎。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000277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直径大于0.5cm，切面灰黑色、味苦。筛去碎渣.其它应与现行《中国药典》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80AC8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C23A2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34C934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E00C7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1140.30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ABFBB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1140.3</w:t>
            </w:r>
          </w:p>
        </w:tc>
      </w:tr>
      <w:tr w14:paraId="248F5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297922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0D66B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花椒</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EE03E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ED36B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C0290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72EBDB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本品为芸香科植物青椒Zanthoxylum schinifolium Sieb. et Zucc. 或花椒Zanthoxylum bungeanum Maxim. 的干 燥成熟果皮。</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0DCCE97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紫红色，含种子不得超过2%。其它应与现行《中国药典》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05B45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E4261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2BCACF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3A1DA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178.03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21353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2314.39</w:t>
            </w:r>
          </w:p>
        </w:tc>
      </w:tr>
      <w:tr w14:paraId="0C9E4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77D8F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D68A0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滑石</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42EB5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C41AB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CC107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细粉/（选货）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AEC104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本品为硅酸盐类矿物滑石族滑石，主含含水硅酸镁[Mg3(Si4O10)(OH)2]。</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07E1297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色白、滑润。其它应与现行《中国药典》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34665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7777F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69F9C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48D91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27.18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EFE84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951.3</w:t>
            </w:r>
          </w:p>
        </w:tc>
      </w:tr>
      <w:tr w14:paraId="176BA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15A26C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D75B0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槐花</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E9538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98D1F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42046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2B1BC93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本品为豆科植物槐Sophora japonica L.的干燥花及花蕾。</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7963D6D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花蕾，黄绿色，杂质量小于1%，不得有色泽发黑的花蕾。其它应与现行《中国药典》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265B1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35A16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D3C04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BC2B8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101.48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C8AEE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710.36</w:t>
            </w:r>
          </w:p>
        </w:tc>
      </w:tr>
      <w:tr w14:paraId="0A233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6DD44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17254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黄连片</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E7884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CE796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32A43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CA5C57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本品为毛茛科植物黄连Coptis chinensis Franch.、三角叶黄连Coptis deltoidea C.Y.Cheng et Hsiao或云连Coptis teeta Wall.的干燥根茎。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00FBFC9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直径大于0.4cm，无碎屑，焦片不得过2%。其它应与现行《中国药典》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9AA6B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9B36F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01988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30084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1166.24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5FF1B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29156</w:t>
            </w:r>
          </w:p>
        </w:tc>
      </w:tr>
      <w:tr w14:paraId="5A02F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C23E9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CF391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火麻仁</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4D698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4455C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去壳</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F295C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92E496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本品为桑科植物大麻Cannabis sativa L.的干燥成熟果实。</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1093DB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颗粒饱满，乳白色，富油性。其它应与现行《中国药典》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32A76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66D21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56289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F569E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115.26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9D1AB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13831.2</w:t>
            </w:r>
          </w:p>
        </w:tc>
      </w:tr>
      <w:tr w14:paraId="1F4B1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85B26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5A35D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鸡血藤</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082D6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8FD2A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A2FB1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35BFAB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本品为豆科植物密花豆Spatholobus suberectus Dunn 的干燥藤茎。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704638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切面红棕色，树脂状分泌物明显。以树脂状分泌物多者为佳。其它应与现行《中国药典》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A641B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C77D2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FEB44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C9391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45.07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8FF2C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6760.5</w:t>
            </w:r>
          </w:p>
        </w:tc>
      </w:tr>
      <w:tr w14:paraId="4EE6B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36AB3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8676E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姜黄</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6D394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48FAB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C20FB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AB810C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本品为姜科植物姜黄Curcuma Longa L.的干燥根茎。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1DDC82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以质坚实、断面金黄色、气香者为佳。其它应与现行《中国药典》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97E4E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633FF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637DD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F7FF7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94.29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3F0BC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282.87</w:t>
            </w:r>
          </w:p>
        </w:tc>
      </w:tr>
      <w:tr w14:paraId="3F480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61C9D8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6E907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姜炭</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29FF2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4BF94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炒炭</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4D026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厚片或块/（选货）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A020A3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本品为姜科植物姜Zingiber officinale Rosc.的干燥根茎的炮制加工品。</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26031A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有存性，表面黑色，内部棕褐色，无杂质。其它应与现行《中国药典》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115FA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8D490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3ECA08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1CBEF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131.25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5CB23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262.5</w:t>
            </w:r>
          </w:p>
        </w:tc>
      </w:tr>
      <w:tr w14:paraId="164C9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14F8C0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B05A5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荆芥炭</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747C2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EFAA8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炒炭</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A0E30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DEF5F9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本品为荆芥的炮制加工品。</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5CBE9CC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黑褐色，存性。其它应与现行《中国药典》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56C10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097B0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3BBC33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812A6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70.28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E5788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210.84</w:t>
            </w:r>
          </w:p>
        </w:tc>
      </w:tr>
      <w:tr w14:paraId="1C8FE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DE9AE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3C6E1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韭菜子</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C3FB9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48B38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24D71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469B021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本品为百合科植物韭菜Allium tuberosum RottL.ex Spreng.的干燥成熟种子的炮制加工品。</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734E07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气特异而微香，粒大饱满、色黑、无果皮。其它应与现行《中国药典》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3311A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A58CC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35462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9A67E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178.54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7C489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535.62</w:t>
            </w:r>
          </w:p>
        </w:tc>
      </w:tr>
      <w:tr w14:paraId="270A9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7FEE2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D5C28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酒黄精</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B6AD8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C142B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照酒炖法或酒蒸法，炖透或蒸透</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305A9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A170E6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本品为百合科植物滇黄精Polygonatum kingianum Coll.et Hemsl.、黄精Polygonatum sibiricum Red.或多花黄精Polygonatum cyrtonema Hua的干燥根茎。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B29E2B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片型大小均匀，质油润，有光泽。其它应与现行《中国药典》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39054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16869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1759C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6FCAE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210.01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BB4E1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25201.2</w:t>
            </w:r>
          </w:p>
        </w:tc>
      </w:tr>
      <w:tr w14:paraId="51E29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D4BBF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BE079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卷柏</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6EE10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DF7B8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8259B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00E26E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本品为卷柏科植物卷柏Selaginella  tamariscina（Beauv.）  Spring或垫状卷柏Selaginella  pulvinata（Hook，etGrev.）Maxim.的干燥全草。</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59983D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色绿，叶多，完整。其它应与现行《中国药典》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658BE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589D7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5FEFD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D77FA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147.63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3AAD4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147.63</w:t>
            </w:r>
          </w:p>
        </w:tc>
      </w:tr>
      <w:tr w14:paraId="69D03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F4DBA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8362F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决明子</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38679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0176B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66A64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770152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本品为豆科植物钝叶决明Cassia obtusifolia L.或决明（小决明）Cassia tora L.的干燥成熟种子。</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B7471D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颗粒均匀、饱满、色绿棕。其它应与现行《中国药典》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6750C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58A86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3ABAD7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CC051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70.14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9239D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3156.3</w:t>
            </w:r>
          </w:p>
        </w:tc>
      </w:tr>
      <w:tr w14:paraId="557E2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93CD4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0D72F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苦参</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A5581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58CF7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05604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4908847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本品为豆科植物苦参Sophora flavescens Ait. 的干燥根。</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CCBDEB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大小均一，无异形片，除去根头，直径大于2.5cm。其它应与现行《中国药典》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0385F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23CA3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84A01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0B877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97.31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3744E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3113.92</w:t>
            </w:r>
          </w:p>
        </w:tc>
      </w:tr>
      <w:tr w14:paraId="0C589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351D0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ADC66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款冬花</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8AEE0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8C288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E2E3A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4BF66D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本品为菊科植物款冬Tussilago farfara L.  的干燥花蕾。</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FBA3FC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无花柄、无开头、枝杆。其它应与现行《中国药典》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C47FE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7AB4E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B7386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85524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580.18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9B1DE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23207.2</w:t>
            </w:r>
          </w:p>
        </w:tc>
      </w:tr>
      <w:tr w14:paraId="528D3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4E28A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D905E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莱菔子</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1F00A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174A0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7F349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558AD4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本品为十字花科植物萝卜Raphanus sativus L.的干燥成熟种子。</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8C790B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颗粒饱满，无杂质，瘪子率1%以下。其它应与现行《中国药典》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8FD71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B3B15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261ECB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4DD18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59.99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C9854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1799.7</w:t>
            </w:r>
          </w:p>
        </w:tc>
      </w:tr>
      <w:tr w14:paraId="1CFAF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0C95E5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47539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荔枝核</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C50F4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BF452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FFF11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76DFED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本品为无患子科植物荔枝 Litchi chinensis Sonn. 的干燥成熟种子。</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5DA671A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粒大、饱满、光亮。其它应与现行《中国药典》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5E589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50955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AFC21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29B99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49.30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5EFEE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246.5</w:t>
            </w:r>
          </w:p>
        </w:tc>
      </w:tr>
      <w:tr w14:paraId="0221F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031B3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E4426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莲子</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E2AC0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E0C77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去心、切开</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07EF1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4D6A3B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本品为睡莲科植物莲Nelumbo nucifera Gaertn.的干燥成熟种子。</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E20439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表面红棕色，直径大于1.0cm，纯两半，无碎粒。其它应与现行《中国药典》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04790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99E04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9ED3F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BF077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111.25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BE373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4116.25</w:t>
            </w:r>
          </w:p>
        </w:tc>
      </w:tr>
      <w:tr w14:paraId="72730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32A4F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2D73F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硫黄</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7DBE5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98587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D9861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BEAB6E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本品为自然元素类矿物硫族自然硫，采挖后，加热熔化，除去杂质；或用含硫矿物经加工制得。</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508288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色黄、光亮、质松脆。其它应与现行《中国药典》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229DF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8662E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D720B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10520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28.17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86871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28.17</w:t>
            </w:r>
          </w:p>
        </w:tc>
      </w:tr>
      <w:tr w14:paraId="0DEB2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FD742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E7C94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六棱菊</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69535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《广西中药材标准》1990版（第一册）</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60AA1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110C4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72DC95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本品为菊科植物六棱菊Laggera alata (D. Don) Sch. -Bip. ex Oliv.的干燥全草。</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3A6C47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茎枝幼嫩、未开花、叶多、绿黄色。其它应与《广西中药材标准1990版》第一册相符。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CE6FA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4E824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CB3E1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1739A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172.00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88B2E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1376</w:t>
            </w:r>
          </w:p>
        </w:tc>
      </w:tr>
      <w:tr w14:paraId="608CD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FB646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2CA76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龙胆</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A79FC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CC80C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9DF0D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6445CF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本品为龙胆科植物条叶龙胆Gentiana manshurica Kitag.、龙胆Gentiana scabra Bge.、三花龙胆Gentiana triflora Pall.或坚龙胆Gentiana rigescens Franch.的干燥根和根茎。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7238093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来源为龙胆。根茎占比小于15%，无杂质。味极苦。其它应与现行《中国药典》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BDB85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4FAC7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32D8D8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0F892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475.05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F0A19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5700.6</w:t>
            </w:r>
          </w:p>
        </w:tc>
      </w:tr>
      <w:tr w14:paraId="08DA8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3AD6D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1A9FA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龙骨</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5B78B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9D513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147C4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A15FB4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本品为古代哺乳动物如三趾马、犀类、鹿类、牛类、象类等的骨骼化石或象类门齿的化石。</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530524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质地重，部分有龙骨斑，吸湿性强。其它应与《广西壮族自治区中药饮片炮制规范》2007年版相符。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25F13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319A5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619F9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2DE76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799.53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AE689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391769.7</w:t>
            </w:r>
          </w:p>
        </w:tc>
      </w:tr>
      <w:tr w14:paraId="746E3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AE97C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466C8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龙血竭</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FEA14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77E18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国药准字</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9B4EF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细末/（选货）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19FAE17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本品为百合科植物剑叶龙血树Dracaenacochinchinensis(Lour.)S.C.Chen的含脂木材经提取得到的树脂。</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C58B18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无杂质，红棕色有光泽，嚼之有炭粒感并微粘齿。其它应与《广西壮族自治区中药饮片炮制规范》2007版相符。有国药准字。</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3F05D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F56C1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E9573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571F4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1519.45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7B4DD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1519.45</w:t>
            </w:r>
          </w:p>
        </w:tc>
      </w:tr>
      <w:tr w14:paraId="1A404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6AFE9E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7AE69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芦根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32D13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4A908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3DDA9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133855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本品为禾本科植物芦苇Phragmites communis Trin. 的新鲜或干燥根茎。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5FA9798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长短均一，表面黄白色，内面不发黑。直径大于1.5cm。含灰褐色不得超过2%。其它应与现行《中国药典》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B4A92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331ED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6FF0D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A96DF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74.47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1F90A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1117.05</w:t>
            </w:r>
          </w:p>
        </w:tc>
      </w:tr>
      <w:tr w14:paraId="421F8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12720C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118</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C3350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路路通</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B07AD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B6D5F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1F59A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2231338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本品为金缕梅科植物枫香树Liquidambar formosana Hance的干燥成熟果序。</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7F01AEA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直径大于2cm。无柄，无树脂。其它应与现行《中国药典》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8FF75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C1F40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52890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0ADFC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38.45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A5CBB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4575.55</w:t>
            </w:r>
          </w:p>
        </w:tc>
      </w:tr>
      <w:tr w14:paraId="6DA28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99D0D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ACC0F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麻黄</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F2529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43D19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D9397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3DBFCF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本品为麻黄科植物草麻黄Ephedra sinica Stapf、中麻黄Ephedra intermedia Schrenk et C.A.Mey.  或木贼麻黄Ephedra equisetina Bge.  的干燥草质茎。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7E45094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长短均一，表面淡绿色，玫瑰心明显，粗细均匀，木质茎不超过3%。其它应与现行《中国药典》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3A2B2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74F80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4466B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F41BB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66.00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9C277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4950</w:t>
            </w:r>
          </w:p>
        </w:tc>
      </w:tr>
      <w:tr w14:paraId="07A34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245F39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9D62E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麻黄根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C0B13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A1D67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064C2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8C206F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本品为麻黄科植物草麻黄Ephedra sinica Stapf 或中麻黄Ephedra intermedia Schrenk et C. A. Mey.  的干燥根和根茎。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7A5F3A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直径0.8〜1.5cm。无杂质，无地上部分。外皮色红棕，切面色黄白。其它应与现行《中国药典》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C5692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5DDDE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63CFA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E4E71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155.62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B7452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1089.34</w:t>
            </w:r>
          </w:p>
        </w:tc>
      </w:tr>
      <w:tr w14:paraId="6E564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6ACA17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FAB70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马鞭草</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22966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8EE80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26C24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15437CA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本品为马鞭草科植物马鞭草Verbena officinalis L.的干燥地上部分。</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A04AC8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色青绿，带花穗，无根及杂质。其它应与现行《中国药典》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56E1E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4E04D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A1112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5E4B0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58.15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6789A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58.15</w:t>
            </w:r>
          </w:p>
        </w:tc>
      </w:tr>
      <w:tr w14:paraId="7ADBD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1DABD2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6304F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马勃</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44031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C11C5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67EA2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C80F8B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灰包科真菌脱皮马勃Lasiosphaera  fenzlii  Reich.、大马勃Calvatia  gigantea（Batsch ex Pers.）Lloyd或紫色马勃Calvatia  lilacina（Mont. et Berk.）Lloyd的干燥子实体。</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F1EE56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呈不规则的小块，触之则孢子呈尘土样飞扬，臭似尘土。其它应与现行《中国药典》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AAF70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58FB8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7D7A3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B5E7A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2091.20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BECFF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2091.2</w:t>
            </w:r>
          </w:p>
        </w:tc>
      </w:tr>
      <w:tr w14:paraId="483F3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2CF6F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76373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玫瑰花</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69F12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EE1A3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D6EF7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1933653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本品为蔷薇科植物玫瑰Rosa rugosa Thunb. 的干燥花蕾。</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ECD7B6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色紫红，朵完整，香气浓。其它应与现行《中国药典》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9DA42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BC115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596B8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E795C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203.85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51A54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611.55</w:t>
            </w:r>
          </w:p>
        </w:tc>
      </w:tr>
      <w:tr w14:paraId="6A6F0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2B7BA3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026A5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密陀僧</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672F6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上海市中药饮片炮制规范 - 2018年版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3E7BB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结晶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BEE3C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998E33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本品为硝酸盐类矿物硝石经加工而成的结晶体，主含硝酸钾（KNO₃）。</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5B10066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本品为白色柱状结晶或结晶性粉末，具玻璃样光泽。质脆。气微，味苦而凉。</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FF92B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18679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9BD9B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DB451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143.53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468B9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143.53</w:t>
            </w:r>
          </w:p>
        </w:tc>
      </w:tr>
      <w:tr w14:paraId="1EC5A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78CD5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26B7F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绵萆薢</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06C42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31F9D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D0379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13EE509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本品为薯蓣科植物绵萆薢Dioscorea spongiosa J. Q. Xi，M. Mizuno et W. L.  Zhao或福州薯蓣Dioscorea futschauensis Uline ex R. Kunth的干燥根茎。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7E540D1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质疏松，略呈海绵状，切面灰白色至浅灰棕色，无黑片，无边片。其它应与现行《中国药典》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E998C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57455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D3FD8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ED350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88.02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23406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2376.54</w:t>
            </w:r>
          </w:p>
        </w:tc>
      </w:tr>
      <w:tr w14:paraId="1528F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0C21DA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0D4B7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绵马贯众</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66E22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EECFC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A5638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厚片/横切/（选货）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0FF7DF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本品为鳞毛蕨科植物粗茎鳞毛蕨Dryopteris crassirhizoma Nakai的干燥根茎和叶柄残基。</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70816F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切面棕色、须根少。其它应与现行《中国药典》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87EA0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68739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1415F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E8FC8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79.62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6526C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79.62</w:t>
            </w:r>
          </w:p>
        </w:tc>
      </w:tr>
      <w:tr w14:paraId="149FB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258A82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495EC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墨旱莲</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26260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696F9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2879E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1402492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本品为菊科植物鳢肠Eclipta prostrata L.的干燥地上部分。</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E028F1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色墨绿色，密生白毛。其它应与现行《中国药典》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527D6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969D0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350A0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A0AAD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65.69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BB783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4926.75</w:t>
            </w:r>
          </w:p>
        </w:tc>
      </w:tr>
      <w:tr w14:paraId="0EFDB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87044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128</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174A8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木棉花</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0BAFD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B9D67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43E8B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2D4F750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本品为木棉科植物木棉Gossampinus malabarica（DC.）Merr.的干燥花。</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7551A61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花朵大，完整，色棕黄。其它应与现行《中国药典》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E141A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09DAB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3640E9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96189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46.03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3A2AA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46.03</w:t>
            </w:r>
          </w:p>
        </w:tc>
      </w:tr>
      <w:tr w14:paraId="06A68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6993A9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E24BD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木通</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68FF0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F48C8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AB9FA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厚片/横切/（选货）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C275A4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本品为木通科植物木通Akebia quinata （Thunb.）Decne.、三叶木通Akebia trifoliata（Thunb.）Koidz.或白木通Akebia trifoliata（Thunb.）Koidz. var. australis（Diels）Rehd.的干燥藤茎。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F498EE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切面黄白色、具放射状纹。其它应与现行《中国药典》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509CF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D3FB5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8E20D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24A80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71.32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0C32B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356.6</w:t>
            </w:r>
          </w:p>
        </w:tc>
      </w:tr>
      <w:tr w14:paraId="2082F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FC56F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D8079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木香</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9C872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FFDA4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BB15C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4876885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本品为菊科植物木香Aucklandia lappa Decne.的干燥根。</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39C9B2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直径大于2.0cm,无芦头，不走油。其它应与现行《中国药典》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785EE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B9975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442E6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4565F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134.81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0547F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6470.88</w:t>
            </w:r>
          </w:p>
        </w:tc>
      </w:tr>
      <w:tr w14:paraId="206FE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1DE41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7B2A9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牛大力</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7CF1C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《广西壮族自治区壮药质量标准》（第一卷）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0BCC0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3139E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厚片/斜切/（选货）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2B56200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本品为豆科植物美丽崖豆藤Millettia speciosa Champ. 的干燥块根。</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75EC5C8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断面不平，有裂隙。味甘。其它与《广西壮族自治区壮药质量标准》（第一卷）。</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D4D7B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57BBA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7C52A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F77AD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195.56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6894D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1368.92</w:t>
            </w:r>
          </w:p>
        </w:tc>
      </w:tr>
      <w:tr w14:paraId="6FBFF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2B90B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1AB06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硼砂</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FEA5A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C796D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253AE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研成细粉</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B1C799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本品为四硼酸钠经精制而成的结晶。</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5BAA717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除去杂质，研成细粉</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BF9AD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0037F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2D84B3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D8F86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39.22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E13AA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39.22</w:t>
            </w:r>
          </w:p>
        </w:tc>
      </w:tr>
      <w:tr w14:paraId="39828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D3EDA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8FE23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枇杷叶</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E3B32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54B7C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24ECF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2836EDA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本品为蔷薇科植物枇杷Eriobotrya  japonica（Thunb.）Lindl. 的干燥叶。</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D0FC38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除去绒毛。叶大，色灰绿。其它应与现行《中国药典》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EADA6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4514A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26C63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5821C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39.94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A70DE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479.28</w:t>
            </w:r>
          </w:p>
        </w:tc>
      </w:tr>
      <w:tr w14:paraId="35C29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7C3E7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E77C8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蒲黄炭</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05271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BE1E9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炒炭</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E109F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粉末/（选货）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552B34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本品为香蒲科植物水烛香蒲Typha angustifolia L.、东方香蒲Typha orientalis Presl或同属植物的干燥花粉。</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061DE9D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具焦香气。其它应与现行《中国药典》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BB484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28187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ABA2B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2A9CD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238.84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02E17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1671.88</w:t>
            </w:r>
          </w:p>
        </w:tc>
      </w:tr>
      <w:tr w14:paraId="1EE37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150D31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D0E48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千斤拔</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C2694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《广西壮族自治区壮药质量标准》第一卷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DFEB3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F80E9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543801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本品为豆科植物蔓性千斤拔Flemingia philippinensisMerr.et Rolfe或大叶千斤拔 Flemingia macrophylla(Willd)Prain的干燥根 。</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72DF0C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外表面棕红色，或灰褐色，断面菊花心，皮部薄。与《广西壮族自治区壮药质量标准》第一卷相符。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E63CD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B2063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F6C1E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A335A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172.06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CD6AD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5161.8</w:t>
            </w:r>
          </w:p>
        </w:tc>
      </w:tr>
      <w:tr w14:paraId="3D6B9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2F3C6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0054E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千里光</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3A15D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31CE6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BD265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A2AC11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本品为菊科植物千里光Senecio scandens Buch.-Ham.的干燥地上部分。</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CE8300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茎叶表面灰绿色，叶两面有细柔毛。其它应与现行《中国药典》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7F0D2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0647F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5AEFC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AA122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46.64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185F5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1865.6</w:t>
            </w:r>
          </w:p>
        </w:tc>
      </w:tr>
      <w:tr w14:paraId="68EA7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2920C8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11AC3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千年健</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D287C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031C5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10BEF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24C1360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本品为天南星科植物千年健Homalomena occulta（Lour.）Schott的干燥根茎。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E0E626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直径1cm以上，断面可见深褐色具光泽的油点。香气浓。其它应与现行《中国药典》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E559A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3BF19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AC920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87A54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126.87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64641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126.87</w:t>
            </w:r>
          </w:p>
        </w:tc>
      </w:tr>
      <w:tr w14:paraId="2440C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49489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138</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347C6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芡实</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DC010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2261A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生品且半</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D7E28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65355E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本品为睡莲科植物芡Euryale ferox Salisb. 的干燥成熟种仁。</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C282A5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对开粒，直径大于0.6cm，粉性足，无变色。其它应与现行《中国药典》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EE31A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DA87F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0ACBC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E5040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121.20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9FF64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10908</w:t>
            </w:r>
          </w:p>
        </w:tc>
      </w:tr>
      <w:tr w14:paraId="1039D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44779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139</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380D9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茜草</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DD1C4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51CA2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1C3AF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厚片或段/ （选货）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1E8CB87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本品为茜草科植物茜草Rubia cordifolia L.的干燥根和根茎。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55A3F2A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直径大于0.3cm。根占比大于80%，无灰屑。无杂质。其它应与现行《中国药典》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67A0D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8BCB8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5E305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8779C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829.53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E04AE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6636.24</w:t>
            </w:r>
          </w:p>
        </w:tc>
      </w:tr>
      <w:tr w14:paraId="48111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1A8933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E73D0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秦艽</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04C0A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D9097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B874D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CDA0E2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本品为龙胆科植物秦艽Gentiana macrophylla Pall.、麻花秦艽Gentiana straminea Maxim.、粗茎秦艽Gentiana crassicaulis Duthie ex Burk.或小秦艽Gentiana dahurica Fisch.的干燥根。</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99CA8E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来源仅限秦艽，质硬而脆，易折断，断面略显油性。其它应与现行《中国药典》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68C0A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28BC6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66C0D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54C51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243.65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CDDDE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4385.7</w:t>
            </w:r>
          </w:p>
        </w:tc>
      </w:tr>
      <w:tr w14:paraId="55474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F5611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BEC4D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秦皮</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4F833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897E7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408EB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8B0C17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本品为木犀科植物苦枥白蜡树Fraxinus rhynchophylla Hance、白蜡树Fraxinus chinensis Roxb.、尖叶白蜡树Fraxinus szaboana Lingelsh.或宿柱白蜡树Fraxinus stylosa Lingelsh.的干燥枝皮或干皮。</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0EFCE6F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外表皮薄而光滑、色灰白、味苦。其它应与现行《中国药典》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E371D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E1F85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98622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C80EC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57.20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48AE9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57.2</w:t>
            </w:r>
          </w:p>
        </w:tc>
      </w:tr>
      <w:tr w14:paraId="14511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DA64C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F9285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青天葵</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B58DD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《广西壮族自治区壮药质量标准》（第二卷）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27C56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21685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E20A2B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本品为兰科植物毛唇芋兰Nervilia fordii(Hance)Schltr.的干燥叶。</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B5D1A9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干燥，叶小，有草菇香味，叶灰绿色或黄绿色。其它应与广西壮族自治区壮药质量标准（第二卷）相符。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76BF4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D0CCB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DE04A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4F717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936.06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9F368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936.06</w:t>
            </w:r>
          </w:p>
        </w:tc>
      </w:tr>
      <w:tr w14:paraId="672A4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9C16D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99CCF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瞿麦</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5B7FB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7E45E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E84FC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短段/（选货）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5C8186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本品为石竹科植物瞿麦 Dianthus superbus L. 或石竹 Dianthus chinensis L. 的干燥地上部分。</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76169F7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色黄绿、穗及叶多。其它应与现行《中国药典》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CD3DA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4486D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96CFB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97668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60.68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D920B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424.76</w:t>
            </w:r>
          </w:p>
        </w:tc>
      </w:tr>
      <w:tr w14:paraId="266D8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4ACA4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CE120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全蝎</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E6C7C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198D7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清水货</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06B44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4F3A44F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本品为钳蝎科动物东亚钳蝎Buthus martensii Karsch的干燥体。</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D4166F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完整且体长约6cm。其它应与现行《中国药典》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57516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B0CEB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23233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AC792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4702.26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0F050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4702.26</w:t>
            </w:r>
          </w:p>
        </w:tc>
      </w:tr>
      <w:tr w14:paraId="27F5D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1BEA11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26A7D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人参叶</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2224B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058D9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5DAE2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562315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本品为五加科植物人参Panax ginseng C. A. Mey. 的干燥叶。</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7A5FF4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干燥，色绿，完整气香。其它应与现行《中国药典》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4AB04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5B548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21E837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FB6DF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282.95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EA726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6224.9</w:t>
            </w:r>
          </w:p>
        </w:tc>
      </w:tr>
      <w:tr w14:paraId="26032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0EA0EE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C7534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忍冬藤</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B0725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8BF15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38072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2433E0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本品为忍冬科植物忍冬Lonicera japonica Thunb. 的干燥茎枝。</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0C55B7A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直径0.15～0.6cm，质嫩。无老茎，无残叶，无杂质。其它应与现行《中国药典》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70B25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B3016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28AF55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2EDD2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34.10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596C7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511.5</w:t>
            </w:r>
          </w:p>
        </w:tc>
      </w:tr>
      <w:tr w14:paraId="0F22D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587EF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41BD1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肉苁蓉</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7278B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967EA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7E6CA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D526D2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本品为列当科植物肉苁蓉Cistanche deserticola Y.C.Ma或管花肉苁蓉Cistanche tubulosa（Schenk）Wight的干燥带鳞叶的肉质茎。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A50EEF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来源仅限肉苁蓉，直径大于3.0cm，厚薄均匀。其它应与现行《中国药典》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73218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1300D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1ABC5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5D7B7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224.96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57E78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10123.2</w:t>
            </w:r>
          </w:p>
        </w:tc>
      </w:tr>
      <w:tr w14:paraId="20FD8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0C735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148</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EB9B2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三七花</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B9D0C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《广西壮族自治区壮药质量标准》第二卷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2909A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548EB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FBA685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本品为五加科植物三七 Panax notoginseng(Burk．)F．H．Chen的干燥花序。</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390E9C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黄绿色干燥的花，无杂质。其它应与《广西壮族自治区壮药质量标准》第二卷相符。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68045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4E42E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EC920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9A980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670.56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3B684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670.56</w:t>
            </w:r>
          </w:p>
        </w:tc>
      </w:tr>
      <w:tr w14:paraId="7E19C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D5955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62BE2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桑螵蛸</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444D7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DC1A8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蒸制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7C778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B267C7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本品为螳螂科昆虫大刀螂Tenodera sinensis Saussure、小刀螂Statilia maculata（Thunberg）或巨斧螳螂Hierodula patellifera（Serville）的干燥卵鞘。</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202B94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体轻，质松而韧。其它应与现行《中国药典》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C6453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514CB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75CF1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E13A6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2607.70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0872A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52154</w:t>
            </w:r>
          </w:p>
        </w:tc>
      </w:tr>
      <w:tr w14:paraId="7F1DD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61E43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DDBF4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4DC9F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4C009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AE85C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3A5268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本品为桑科植物桑Morus alba L.的干燥果穗。</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5F9625A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由多数小瘦果集合而成，大小均一，完整。其它应与现行《中国药典》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6760F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7A757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3E117E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C1895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73.25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C5255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2417.25</w:t>
            </w:r>
          </w:p>
        </w:tc>
      </w:tr>
      <w:tr w14:paraId="4B6B9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2CE3CE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26C54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桑叶</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EB5CE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CCFA2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A7EB7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A747CB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本品为桑科植物桑Morus alba L.的干燥叶。</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859764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上表面黄绿色或浅黄棕色，下表面颜色稍浅。其它应与现行《中国药典》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0A7EF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2CCF2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A984F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9957A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40.88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586D6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1226.4</w:t>
            </w:r>
          </w:p>
        </w:tc>
      </w:tr>
      <w:tr w14:paraId="6C457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1BD068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6683C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桑枝</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2DE1B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55FF7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A86D2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C669C4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本品为桑科植物桑Morus alba L.的干燥嫩枝。</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618F63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无异形片、黑片。质嫩、断面黄白色，直径小于1cm。其它应与现行《中国药典》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DB6E6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238D0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A863B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46521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26.51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E6D30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795.3</w:t>
            </w:r>
          </w:p>
        </w:tc>
      </w:tr>
      <w:tr w14:paraId="2CB2D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0F9A73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98F6C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沙苑子</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67116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CEBB6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B0E51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F0F7B3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本品为豆科植物扁茎黄芪Astragalus complanatus R. Br. 的干燥成熟种子。</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01649B6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略呈肾形而稍扁，嚼之有豆腥味。其它应与现行《中国药典》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288ED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D246F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928DF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A62B5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172.25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87D51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1033.5</w:t>
            </w:r>
          </w:p>
        </w:tc>
      </w:tr>
      <w:tr w14:paraId="42986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D6B5F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A1A03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砂仁</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8D051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EF968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3F987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FAB440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本品为姜科植物阳春砂Amomum villosum Lour.、绿壳砂Amomum villosum Lour.var.xanthioides T.L.Wu et Senjen或海南砂Amomum longiligulare T.L.Wu的干燥成熟果实。</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007366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来源仅限阳春砂，直径大于1cm，种子团饱满，无碎粒，无油籽。其它应与现行《中国药典》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A3FDD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A0D0C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32D486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14132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572.93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06B82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114586</w:t>
            </w:r>
          </w:p>
        </w:tc>
      </w:tr>
      <w:tr w14:paraId="18777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D133E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F43B3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山豆根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2E6D6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BC404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3D336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2BA9000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本品为豆科植物越南槐Sophora tonkinensis Gagnep.的干燥根和根茎。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89FCBC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横切面可出现“月饼边”。有豆腥气，味极苦。其它应与现行《中国药典》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9C27F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DBD1F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1B17C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8B715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541.91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9AE58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541.91</w:t>
            </w:r>
          </w:p>
        </w:tc>
      </w:tr>
      <w:tr w14:paraId="73255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4FEF6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D6CB1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山银花</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9998C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A2DE7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C9CBA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72610E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本品为忍冬科植物灰毡毛忍冬Lonicera macranthoides Hand.-Mazz.、红腺忍冬Lonicera hypoglauca Miq.、华南忍冬Lonicera confusa DC.或黄褐毛忍冬Lonicera fulvotomentosa  Hsu  et S.C.Cheng的干燥花蕾或带初开的花。</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9A9D97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气清香</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18579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48372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04DE8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73FB8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212.31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224D6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9553.95</w:t>
            </w:r>
          </w:p>
        </w:tc>
      </w:tr>
      <w:tr w14:paraId="2211D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D0D52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79C61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山楂炭</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68057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8EF16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炒炭</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D2E4A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9A5133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本品为蔷薇科植物山里红Crataegus pinnatifida Bge. var. major N. E. Br.或山楂Crataegus pinnatifida Bge.的干燥成熟果实的炮制加工品。</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1CC611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无杂质、无虫蛀。表面黑色，内部黄褐色，存性，无子粒。其它应与《广西壮族自治区中药饮片炮制规范》2007年版相符。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8010F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314D9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2673E2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89682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69.39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6F4A2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69.39</w:t>
            </w:r>
          </w:p>
        </w:tc>
      </w:tr>
      <w:tr w14:paraId="000CF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F0395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158</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193F5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山芝麻</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78DFC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B5F03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44B1D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厚片或段/（选货）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F3A96F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本品为梧桐科植物山芝麻Helicteres angustifolia L.的干燥根或全株。</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CBE14F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可见蒴果卵形,略似芝麻果实。其它应与《广西壮族自治区中药饮片炮制规范》2007年版相符。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7E6A9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4C7BB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29AC8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9506B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83.25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F4212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416.25</w:t>
            </w:r>
          </w:p>
        </w:tc>
      </w:tr>
      <w:tr w14:paraId="2748B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EA7AE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159</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AA8F9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蛇床子</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DF0EB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1BAC1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BF08D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679516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本品为伞形科植物蛇床Cnidium monnieri（L.）Cuss.  的干燥成熟果实。</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5C860A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直径约0.2cm，表面灰黄色或灰褐色，气清香无杂质，味辛凉，有麻舌感。其它应与现行《中国药典》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C71E4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6E8F7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11E36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9DA9A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120.20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F4613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1923.2</w:t>
            </w:r>
          </w:p>
        </w:tc>
      </w:tr>
      <w:tr w14:paraId="4CC3F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D8198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B03DD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蛇蜕</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A78CD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909CD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33F4B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A72893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本品为蛇蜕的炮制加工品。</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FA3CF4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皮膜完整，具有光泽。其它应与现行《中国药典》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51921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203A6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779FB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71A6C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368.20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E6A0D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4418.4</w:t>
            </w:r>
          </w:p>
        </w:tc>
      </w:tr>
      <w:tr w14:paraId="71346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102DF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41F00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射干</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5E3DB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AC2F5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3CB27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75C3BB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本品为鸢尾科植物射干Belamcanda chinensis（L.）DC.的干燥根茎。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B27A96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切面黄色，味苦，偶见细根，直径大于1.0cm。其它应与现行《中国药典》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A3CC3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766A4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7F60F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2F464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296.34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72F77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142243.2</w:t>
            </w:r>
          </w:p>
        </w:tc>
      </w:tr>
      <w:tr w14:paraId="08125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ED4CA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94AD9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伸筋草</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7D214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80B4F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335B0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9BC356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本品为石松科植物石松Lycopodium japonicum Thunb.  的干燥全草。</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62976F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黄绿色。灰屑率≤2%。其它应与现行《中国药典》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3153B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32228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F3320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89A9D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55.55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21529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333.3</w:t>
            </w:r>
          </w:p>
        </w:tc>
      </w:tr>
      <w:tr w14:paraId="01836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1EF7BB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B0ED0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生石膏</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9A208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ADDC1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A2437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粗粉/（选货）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1DA9946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本品为硫酸盐类矿物石膏族石膏，主含含水硫酸钙（CaSO4·2H2O）</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79BDAE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白色、半透明，纵断面有绢丝样光泽，无杂质。其它应与现行《中国药典》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50A5E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28EBF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2C661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C56A6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25.32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5BE95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2278.8</w:t>
            </w:r>
          </w:p>
        </w:tc>
      </w:tr>
      <w:tr w14:paraId="687A7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AD798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09050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石菖蒲</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0AF0C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63969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F9E42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2C0E101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本品为天南星科植物石菖蒲Acorus tatarinowii Schott的干燥根茎。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751B589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香气浓郁，直径大于0.5cm。其它应与现行《中国药典》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1931E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E25CD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D2E34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71170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274.90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4B6C7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21992</w:t>
            </w:r>
          </w:p>
        </w:tc>
      </w:tr>
      <w:tr w14:paraId="6D3EB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BCE02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EAAE6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石决明</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0FB4C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FECBB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7AC23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DFB7B3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本品为鲍科动物杂色鲍Haliotis diversicolor Reeve、皱纹盘鲍Haliotis discus hannai Ino、羊鲍Haliotis ovina Gmelin、澳洲鲍Haliotis ruber( Leach)、耳鲍Haliotis asinina Linnaeus或白鲍Haliotis laevigata(Donovan)的贝壳。</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8F3B2F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无臭气，味微咸。内面具有珍珠样光彩。其它应与现行《中国药典》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25C36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9085A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1CE1D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8B8E1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35.80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1DBC5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2148</w:t>
            </w:r>
          </w:p>
        </w:tc>
      </w:tr>
      <w:tr w14:paraId="5AEBD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1404AC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EFA52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首乌藤</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AC374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C8E98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F1378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EEFEE5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本品为蓼科植物何首乌Polygonum  multiflorum Thunb.的干燥藤茎。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790CC38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外表面紫红色或紫褐色。其它应与现行《中国药典》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8DB60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820B7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2F2355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86F7F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54.65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C93B1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16395</w:t>
            </w:r>
          </w:p>
        </w:tc>
      </w:tr>
      <w:tr w14:paraId="6F9BA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F838C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AADF3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熟大黄</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86C51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E2E28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酒炖或酒蒸法</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B0AB8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厚片或块/（选货）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FAF9B9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本品为蓼科植物掌叶大黄Rheum palmatum L.、唐古特大黄 Rheum tanguticum Maxim. ex Balf.或药用大黄 Rheum officinale Baill.的干燥根和根茎。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7A9E5A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内外均呈黑色，切面平整，星点片占比大于60%，无空心片。碎屑率小于5%。质坚硬，气微香。其它应与现行《中国药典》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51396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B9F60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45E2A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50DBD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112.92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A5DE5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903.36</w:t>
            </w:r>
          </w:p>
        </w:tc>
      </w:tr>
      <w:tr w14:paraId="328E4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676C42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168</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70513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熟地黄</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4BADA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C139B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蒸法或酒炖法</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2E3DC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552A08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本品为玄参科植物地黄Rehmannia glutinosa Libosch.的新鲜或干燥块根。</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78BAFE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质柔韧，直径大于2.0cm。其它应与现行《中国药典》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C58A9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A0F0E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2946C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D324D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76.65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131D7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17246.25</w:t>
            </w:r>
          </w:p>
        </w:tc>
      </w:tr>
      <w:tr w14:paraId="4492B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05D68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169</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49C01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水牛角</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9476C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18DCF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5BD76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镑片/（选货）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8A443F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本品为牛科动物水牛Bubalus bubalis Linnaeus 的角。</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B2FC57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气微腥，味淡。有纹理。角质坚韧。其它应与现行《中国药典》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AE99A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AEAB6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209865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76CA8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165.14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70C6F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165.14</w:t>
            </w:r>
          </w:p>
        </w:tc>
      </w:tr>
      <w:tr w14:paraId="78B52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FE0A0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45871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松子仁</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BF07A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天津市中药饮片炮制规范　2012年版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0BB06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种仁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4DB23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7CD9A8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品为松科植物红松 Pinus koraiensis Sieb. et Zucc.、华山松 Pinus armandii Franch. 或白皮松 Pinus bungeana Zucc. 的干燥成熟的种仁</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05B3A8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本品呈倒卵三角形，长0.8-1.2 cm，直径0.4-0.7 cm，表面类白色或淡黄色，外包红棕色至棕褐色的膜质内种皮。</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5F8E0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CB12A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3F0C83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5EC2D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430.13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263FC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430.13</w:t>
            </w:r>
          </w:p>
        </w:tc>
      </w:tr>
      <w:tr w14:paraId="41856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074808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91D94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酸枣仁</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46795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0B281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B5402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7928CD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本品为鼠李科植物酸枣Ziziphus jujuba Mill. var. spinosa（Bunge）Hu ex H. F. Chou的干燥成熟种子。</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12A5F6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呈扁圆形或扁椭圆形，瘪子率3%以下。其它应与现行《中国药典》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98CE5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0EF51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3396D3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D5346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1374.46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F9D3E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41233.8</w:t>
            </w:r>
          </w:p>
        </w:tc>
      </w:tr>
      <w:tr w14:paraId="12494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02B551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DB07A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烫水蛭</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0D081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42280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滑石粉烫</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32473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8457D1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本品为水蛭科动物蚂蟥Whitmania pigra Whitman、水蛭Hirudo nipponica Whitman或柳叶蚂蟥Whitmania acranulata Whitman的干燥全体。</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4789A9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宽0.8～2cm，略鼓起，断面松泡，气微腥。其它应与现行《中国药典》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35218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00349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B0712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1A570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3093.47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B0670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9280.41</w:t>
            </w:r>
          </w:p>
        </w:tc>
      </w:tr>
      <w:tr w14:paraId="5C467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0D35F2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AA2AB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田七须(三七须)</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ADEBC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云南省中药材标准2005年版　第一册</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07199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A59A6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41689FE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五加科植物三七 Panax notoginseng (Burk.) F. H. Chen 的干燥须根</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4DEF28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常缠绕成疏松团状。表面灰褐色或灰黄色，断面灰绿色、黄绿色或灰白色。</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15E5A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DC2D0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35AB1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0454B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456.00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1CF96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13680</w:t>
            </w:r>
          </w:p>
        </w:tc>
      </w:tr>
      <w:tr w14:paraId="24E02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092A56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A834F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铁皮石斛</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C7A84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2D5F1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精制饮片</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51936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408D8F7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本品为兰科植物铁皮石斛Dendrobium officinale Kimura et Migo的干燥茎。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A2DE44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直径大于0.2cm。表面黄绿色或略带金黄色，略角质状。气微，味淡，嚼之有黏性。其它应与现行《中国药典》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28E84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001D3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52E8A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F5DE1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2606.27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57DCB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7818.81</w:t>
            </w:r>
          </w:p>
        </w:tc>
      </w:tr>
      <w:tr w14:paraId="6F26D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061FA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F739E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葶苈子</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F7BA3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DA1BC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56550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A1A459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本品为十字花科植物播娘蒿Descurainia sophia（L.）Webb. ex Prantl.  或独行菜Lepidium apetalum Willd.  的干燥成熟种子。</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BDE8A3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颗粒饱满、棕色。无杂质。其它应与现行《中国药典》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BBB96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2684E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87F48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A07FB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58.17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082FB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349.02</w:t>
            </w:r>
          </w:p>
        </w:tc>
      </w:tr>
      <w:tr w14:paraId="061A5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0B104B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9E4B3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土鳖虫</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D191B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1E8A2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310DA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B056D3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本品为鳖蠊科昆虫地鳖Eupolyphaga sinensis Walker 或冀地鳖Steleophaga plancyi （Boleny）的雌虫干燥体。</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0C6F940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虫体完整，大小均一，具光泽，无翅。其它应与现行《中国药典》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30781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B2078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D331D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64372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232.77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17359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3491.55</w:t>
            </w:r>
          </w:p>
        </w:tc>
      </w:tr>
      <w:tr w14:paraId="350DA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6D3C36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CC583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土茯苓</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C6D54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635BF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6FB0C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B044DF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本品为百合科植物光叶菝葜Smilax glabra Roxb.的干燥根茎。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157CC1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水湿润后有明显粘滑感，粉性足，直径大于3cm。其它应与现行《中国药典》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7DA21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8DF48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C8627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7DAA2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120.67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4332E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5430.15</w:t>
            </w:r>
          </w:p>
        </w:tc>
      </w:tr>
      <w:tr w14:paraId="7C1DA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294074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178</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1551A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土荆皮</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B08B4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3B08C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110D6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条片状或卷筒状/（选货）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73B7C4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本品为松科植物金钱松Pseudolarix amabilis （Nelson） Rehd.的干燥根皮或近根树皮。</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0DA01E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外表面可见灰白色横向皮孔样突起。其它应与现行《中国药典》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81F40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5052D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8A237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340DB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214.26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2D994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1714.08</w:t>
            </w:r>
          </w:p>
        </w:tc>
      </w:tr>
      <w:tr w14:paraId="648FA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A183F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179</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29ECC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威灵仙</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A5A26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43134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9614E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9D60F0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本品为毛茛科植物威灵仙Clematis chinensis Osbeck、棉团铁线莲Clematis hexapetala Pall.或东北铁线莲Clematis manshurica Rupr.的干燥根和根茎。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03B8368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无根茎，根粗细均匀，无碎屑。其它应与现行《中国药典》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D8CCB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00A51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24516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4DA04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339.57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62B48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5093.55</w:t>
            </w:r>
          </w:p>
        </w:tc>
      </w:tr>
      <w:tr w14:paraId="38621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53E45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7BEFF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乌梅</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8DCD5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40A5C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闷至色变黑</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D5B40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4043BFD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本品为蔷薇科植物梅Prunus mume（Sieb.）Sieb.etZucc.的干燥近成熟果实。</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57BCB7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直径大于1.5cm，个大，肉厚，质润。其它应与现行《中国药典》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3D371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5BACB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39E11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961CC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67.81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69C4E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8137.2</w:t>
            </w:r>
          </w:p>
        </w:tc>
      </w:tr>
      <w:tr w14:paraId="25551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156207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7A3F0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吴茱萸</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930E7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7FF4E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96E0D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B293ED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本品为芸香科植物吴茱萸Euodia rutaecarpa （Juss.） Benth.、石虎 Euodia rutaecarpa （ Juss. ） Benth. var. officinalis （Dode） Huang 或疏毛吴茱萸 Euodia rutaecarpa （Juss. ） Benth. var. bodinieri （Dode） Huang 的干燥近成熟果实。</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7B15FCB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小花：直径0.2~0.5cm，含开花、梗不得超过2%，果实未开裂，大小均一，色绿为佳。其它应与现行《中国药典》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4C512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E6A6F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A80D6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71BBE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158.62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61F30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7137.9</w:t>
            </w:r>
          </w:p>
        </w:tc>
      </w:tr>
      <w:tr w14:paraId="367D1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6CC5A7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7B7BF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五倍子</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5F593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77802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FF5BB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个子/捣碎/（选货）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96692A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本品为漆树科植物盐肤木Rhus chinensis Mill.、青麸杨Rhus potaninii Maxim.或红麸杨Rhus punjabensis Stew. var. sinica（Diels）Rehd. et Wils.叶上的虫瘿，主要由五倍子蚜Melaphis chinensis（Bell）Baker寄生而形成。</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D59DF1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表面微有柔毛，断面角质样，有光泽。其它应与现行《中国药典》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F2FE2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60394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F7C42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968A6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293.86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8A1CB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13223.7</w:t>
            </w:r>
          </w:p>
        </w:tc>
      </w:tr>
      <w:tr w14:paraId="04C66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62AAE5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FF4B3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五加皮</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AB290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B5EE3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3DCAB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厚片/横切/（选货）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D2C6D5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本品为五加科植物细柱五加Acanthopanax gracilistylus W. W. Smith的干燥根皮。</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89BD20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不规则卷筒状，气微香，味微辣而苦。其它应与现行《中国药典》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58735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0DD12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3807A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20A3D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324.93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A69A3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324.93</w:t>
            </w:r>
          </w:p>
        </w:tc>
      </w:tr>
      <w:tr w14:paraId="645AB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A9163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93E40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五味子</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22341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B0215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A0FF3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EE89D0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本品为木兰科植物五味子Schisandra chinensis（Turcz.）Baill.的干燥成熟果实。</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0543DDF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果肉柔软，味酸；干瘪粒不超过2%。其它应与现行《中国药典》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6D4DF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5B0D5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5EDA0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37C27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159.50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EE465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23925</w:t>
            </w:r>
          </w:p>
        </w:tc>
      </w:tr>
      <w:tr w14:paraId="52C82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64F306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7C851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西红花</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D5EA2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C075F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D913A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589FD0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本品为鸢尾科植物番红花Crocus sativus L.的干燥柱头。</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4B7F01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身长，色紫红，味辛凉。其它应与现行《中国药典》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1383B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83AB2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CB3BB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BE81A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35724.72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7BDB0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10717.416</w:t>
            </w:r>
          </w:p>
        </w:tc>
      </w:tr>
      <w:tr w14:paraId="25C5C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91C80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1CB83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香附</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949A7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F3389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醋炙</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A356A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1E36E4E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本品为莎草科植物莎草Cyperus rotundus L.的干燥根茎。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2178D15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除去毛须及杂质，直径0.6cm以上的片占比大于80%。表面颜色均匀。其它应与现行《中国药典》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300E8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40B68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6A122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B0499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58.93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08A7D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8839.5</w:t>
            </w:r>
          </w:p>
        </w:tc>
      </w:tr>
      <w:tr w14:paraId="73B36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0ECBCD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58DBA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小麦</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F622C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《广东省中药材标准》2011年版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33B9F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249E6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BF7CDA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本品为禾本科植物小麦Triticum aestivum L.的干燥成熟果实。</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AFBA6C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身干、粒大小均匀、无杂质，断面微有粉性。其它应与《广东省中药材标准》2011年版相符。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09668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61ED9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5918F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E475A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24.33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9000D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48.66</w:t>
            </w:r>
          </w:p>
        </w:tc>
      </w:tr>
      <w:tr w14:paraId="4C827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384EC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188</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30B4B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熊胆粉</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96E99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新药转正标准第11册</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AD7BB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u w:val="none"/>
                <w:lang w:val="en-US" w:eastAsia="zh-CN" w:bidi="ar"/>
              </w:rPr>
              <w:t>精制饮片</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6CDFE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A7CED8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本品为熊科动物黑熊Selenarctos thibetanus Cuvier或棕熊Ursus arctos Linnaeus经胆囊手术引流胆汁而得的干燥品。</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D1F91F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本品为不规则碎片、颗粒或粉末。</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5045A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1000、500、0.1</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B347A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0.015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5FB32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5F256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216066</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8A89E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3240.99</w:t>
            </w:r>
          </w:p>
        </w:tc>
      </w:tr>
      <w:tr w14:paraId="6CF27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6E5208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189</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5892E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旋覆花</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E17E9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E29D5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BB6D0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5013BB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本品为菊科植物旋覆花Inula japonica Thunb.  或欧亚旋覆花Inula britannica L.  的干燥头状花序。</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72689C2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体轻，易散碎，无杂质。其它应与现行《中国药典》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AA164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6DA52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201296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60C9D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175.03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E1075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875.15</w:t>
            </w:r>
          </w:p>
        </w:tc>
      </w:tr>
      <w:tr w14:paraId="6DDF6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6793E6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4F423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盐菟丝子</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BEE5A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F1854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盐炙</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93BE3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357F42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本品为旋花科植物南方菟丝子Cuscuta australis R.Br.或菟丝子Cuscuta chinensis Lam.的干燥成熟种子。</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500E5B1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直径1～2mm，颗粒饱满，大小色泽均一，无灰屑，裂开，略有香气。其它应与现行《中国药典》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DDFAD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95DE2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AD2FD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812F7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99.60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2E969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22410</w:t>
            </w:r>
          </w:p>
        </w:tc>
      </w:tr>
      <w:tr w14:paraId="7F56D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26CB7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FE419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阳起石</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0CC6C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4CF28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3D897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颗粒或纤维状粉末/(选货)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2F836F9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本品为硅酸盐类角闪石族矿物透闪石Tremolite及其异种透闪石石棉，主含碱性硅酸镁钙。</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7FB771B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色灰白、有光 泽、质松软。其它应与《广西壮族自治区中药饮片炮制规范》2007年版相符。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1F257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A019B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FD3B3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7D900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34.18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DC56C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1025.4</w:t>
            </w:r>
          </w:p>
        </w:tc>
      </w:tr>
      <w:tr w14:paraId="356FA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009260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EEE16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野菊花</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894EA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DD6EB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87660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3CE82C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本品为菊科植物野菊Chrysanthemum indicum L.  的干燥头状花序。</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447CF6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呈类球形，体轻，花序完整。气芳香。其它应与现行《中国药典》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13111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E2EBE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C644D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974C4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175.55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439E4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2633.25</w:t>
            </w:r>
          </w:p>
        </w:tc>
      </w:tr>
      <w:tr w14:paraId="7590E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1131B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6BDFC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叶下珠</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81FAA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《广西壮族自治区壮药质量标准》第二卷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50FCA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E3817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AB4371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本品为大戟科植物叶下珠Phyllanthus urinaria Linn.的干燥全草。</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E52FE7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去杂质，筛去灰屑。叶多，色绿。其它应与《广西壮族自治区壮药质量标准》第二卷相符。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E14EE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F54F7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A1BCE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DB492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67.37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56866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67.37</w:t>
            </w:r>
          </w:p>
        </w:tc>
      </w:tr>
      <w:tr w14:paraId="756AF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B674B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70B7B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银柴胡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B535F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43D4C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5EFD5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DBC0A0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本品为石竹科植物银柴胡Stellaria dichotoma L. var.lanceolata Bge.的干燥根。</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0E9D1E1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直径大于0.6cm，均匀。其它应与现行《中国药典》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55B14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23211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2AC06C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684C6C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652.65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6949F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19579.5</w:t>
            </w:r>
          </w:p>
        </w:tc>
      </w:tr>
      <w:tr w14:paraId="44AAD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2C01F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D4FAB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玉米须</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8BB3A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D612D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AF2B0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须状/（选货）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87FE74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本品为禾本科植物玉蜀黍Zea mays L.的干燥花柱。</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7518BAE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疏松团簇，花柱线状或须状，有光泽、无霉味、无杂质。其它应与现行《中国药典》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4A9FC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002E0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3FCBD3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DDBB2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65.77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61995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65.77</w:t>
            </w:r>
          </w:p>
        </w:tc>
      </w:tr>
      <w:tr w14:paraId="5EE84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2C2D1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C69F4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玉竹</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974CF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C52A4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C5F4C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31173D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本品为百合科植物玉竹Polygonatum odoratum（Mill.）Druce的干燥根茎。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8B044F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直径大于0.6cm，大小均一，黄白色无油片。其它应与现行《中国药典》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D43D8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1C3BB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23E8D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3408D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191.67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F492A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8625.15</w:t>
            </w:r>
          </w:p>
        </w:tc>
      </w:tr>
      <w:tr w14:paraId="57EB7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1A7260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0EDD9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郁李仁</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746D5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C5F21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F574C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E4378B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本品为蔷薇科植物欧李Prunus humilis Bge.、郁李Prunus japonica Thunb. 或长柄扁桃Prunus pedunculata Maxim. 的干燥成熟种子。</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787D6CE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种仁饱满，无油粒，自合点处向上具多条纵向维管束脉纹。其它应与现行《中国药典》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0273E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9F54C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6F97F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D7EA0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306.29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89601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1837.74</w:t>
            </w:r>
          </w:p>
        </w:tc>
      </w:tr>
      <w:tr w14:paraId="761EE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1281A1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198</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FA67D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泽兰</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F1E40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7E1F5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42887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66A6B56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本品为唇形科植物毛叶地瓜儿苗Lycopus  lucidus  Turcz. var. hirtus  Regel的干燥地上部分。</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0562735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茎方柱形，叶边缘有锯齿。其它应与现行《中国药典》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154D8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54612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D6427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14A0D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42.32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C5145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296.24</w:t>
            </w:r>
          </w:p>
        </w:tc>
      </w:tr>
      <w:tr w14:paraId="67E57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682024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199</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AD437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制白附子</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C9386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D1FC4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生姜、白矾制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90CF1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厚片/横切/（选货）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2BC8CA6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本品为天南星科独角莲Typhonium giganteum Engl.的干燥块茎的炮制加工品。</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6FF345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片大，长2.5cm以上，直径1.5cm以上。外表皮淡棕色，切面黄色，角质。微有麻舌感。其它应与现行《中国药典》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ED509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90A93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DD5D1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692DE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248.74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114FF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248.74</w:t>
            </w:r>
          </w:p>
        </w:tc>
      </w:tr>
      <w:tr w14:paraId="75FF0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88BEC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D5F32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制草乌</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70013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67338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水煮至内无白心、口尝微有麻感。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D3AE8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55D175B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本品为毛茛科植物北乌头Aconitum kusnezoffii Reichb.的干燥块根。</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B156F4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炮制到位。片大。质坚实，表面黑褐色，气微，味微辛辣，稍有麻舌感。其它应与现行《中国药典》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B9560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C5B82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3EBCAD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B9063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417.53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AC898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417.53</w:t>
            </w:r>
          </w:p>
        </w:tc>
      </w:tr>
      <w:tr w14:paraId="56899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10C00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ADE9B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制蜂房</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15791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769E5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甘草制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B7B85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16A4D0A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本品为胡蜂科昆虫果马蜂Polistes　olivaceous（DeGeer），日本长脚胡蜂Polistes　japonicus　Saussure或异腹胡蜂Parapolybia　varia　Fabricius的巢。</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DA218A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体轻，质韧，味甘。略有弹性，质酥脆或坚硬者不可供药用，无虫串，灰屑率小于2%。其它应与《广西壮族自治区中药饮片炮制规范》2007年版相符。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FE0FB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23346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B0FDA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73C60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4977.45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6FF6E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14932.35</w:t>
            </w:r>
          </w:p>
        </w:tc>
      </w:tr>
      <w:tr w14:paraId="63273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282B8D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B0DE6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制何首乌</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82074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EBEEE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黑豆制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75A30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1552D5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本品为蓼科植物何首乌Polygonum multiflorum Thunb.  的干燥块根。</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510193E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大小均匀，体重，质坚，折断面有的可见光泽，无碎渣。其它应与现行《中国药典》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373B1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12DFF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1B65B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162E0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147.09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20B2E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15444.45</w:t>
            </w:r>
          </w:p>
        </w:tc>
      </w:tr>
      <w:tr w14:paraId="670AD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C2D3F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A8BFB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制天南星</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7CEB6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9D978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生姜、白矾制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B531C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16CEB8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本品为天南星的炮制加工品。</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787CAC5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无黑片及白心片。片大，黄色或淡棕色，质脆易碎，断面角质状。味涩，微麻。其它应与现行《中国药典》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D4691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45A28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81DAC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5751B0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204.24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25656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204.24</w:t>
            </w:r>
          </w:p>
        </w:tc>
      </w:tr>
      <w:tr w14:paraId="1990D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D2C88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BAA93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制远志</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CC78B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AAA11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甘草制、去心</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37625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3F16C7D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本品为远志科植物远志Polygala tenuifolia Willd. 或卵叶远志Polygala sibirica L. 的干燥根。</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CE44E7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直径大于0.4cm，含未抽芯不得超过5%。其它应与现行《中国药典》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3E634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AD391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E3C3E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0FB69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816.01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E7159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65280.8</w:t>
            </w:r>
          </w:p>
        </w:tc>
      </w:tr>
      <w:tr w14:paraId="44232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528C57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D741E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猪苓</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635192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89FDE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A1B4E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15FCCC6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本品为多孔菌科真菌猪苓Polyporus umbellatus（Pers.） Fries  的干燥菌核。</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E77D6A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直径大于3.0cm，大小均匀，无菌斑片。其它应与现行《中国药典》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F046A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DBC4D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03C3E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BA764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509.37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E459B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40749.6</w:t>
            </w:r>
          </w:p>
        </w:tc>
      </w:tr>
      <w:tr w14:paraId="63311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5018C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C8EDE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紫河车</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20EBE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0CAB1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生品（极细粉）</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9B547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5664CE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本品为健康人的干燥胎盘。</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C9AD50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饮片为细粉状。其它应与现行《中国药典》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CB0AB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D3F21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E368D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89494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6175.65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80DE1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18526.95</w:t>
            </w:r>
          </w:p>
        </w:tc>
      </w:tr>
      <w:tr w14:paraId="531D8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719BAE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6B338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紫花地丁</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5E4C7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EA571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DCF44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51B7A9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本品为堇菜科植物紫花地丁Viola yedoensis Makino  的干燥全草。</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0D408A8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叶绿，带根，无杂质，叶基生，两面有毛。其它应与现行《中国药典》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F4A25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DD6A7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1C08F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44C073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87.54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B4C43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7878.6</w:t>
            </w:r>
          </w:p>
        </w:tc>
      </w:tr>
      <w:tr w14:paraId="7F31A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22F956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15C52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紫石英</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852A3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F1075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60868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02CCA18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本品为氟化物类矿物萤石族萤石，主含氟化钙（CaF2）。</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E7C843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夹杂的不透明块状物(杂石)比例小于1%。色紫，质坚，半透明至透明，具玻璃光泽。其它应与现行《中国药典》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39AF4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B2677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C1125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B851A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39.64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9DB47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792.8</w:t>
            </w:r>
          </w:p>
        </w:tc>
      </w:tr>
      <w:tr w14:paraId="67C3A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15736A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209</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98034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紫苏梗</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38FD9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53978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DB029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73E481B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本品为唇形科植物紫苏Perilla frutescens（L.）Britt.的干燥茎。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4109109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直径小于1cm，表面紫棕色或暗紫色，气微香。其它应与现行《中国药典》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5B088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C4D73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E43E5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A43CA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58.33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65835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6999.6</w:t>
            </w:r>
          </w:p>
        </w:tc>
      </w:tr>
      <w:tr w14:paraId="77CC8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603376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C94D0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紫苏叶</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781453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BF6EA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79169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2F1BC5E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本品为唇形科植物紫苏Perilla frutescens（L.）Britt.的干燥叶（或带嫩枝）。</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19A267F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两面紫色或上表面绿色，下表面紫色，气清香，味微辛。其它应与现行《中国药典》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2D43B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64374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25335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79260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76.17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6773C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3046.8</w:t>
            </w:r>
          </w:p>
        </w:tc>
      </w:tr>
      <w:tr w14:paraId="3BBFE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3B3F8A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2BAB4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紫菀</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91635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316F1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3BCB7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短段/（选货）</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4677CA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本品为菊科植物紫菀Aster tataricus L. f. 的干燥根和根茎。</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321ABF3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纯根，粗细均匀，无1mm以下的细根，色紫，质柔韧。其它应与现行《中国药典》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EB1BA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79D24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3F537B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147A71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171.79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57D2B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12884.25</w:t>
            </w:r>
          </w:p>
        </w:tc>
      </w:tr>
      <w:tr w14:paraId="274DF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0"/>
            <w:vAlign w:val="center"/>
          </w:tcPr>
          <w:p w14:paraId="403686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9A43E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鲜竹沥</w:t>
            </w:r>
          </w:p>
        </w:tc>
        <w:tc>
          <w:tcPr>
            <w:tcW w:w="1155" w:type="dxa"/>
            <w:tcBorders>
              <w:top w:val="single" w:color="000000" w:sz="4" w:space="0"/>
              <w:left w:val="single" w:color="000000" w:sz="4" w:space="0"/>
              <w:bottom w:val="single" w:color="000000" w:sz="4" w:space="0"/>
              <w:right w:val="single" w:color="000000" w:sz="4" w:space="0"/>
            </w:tcBorders>
            <w:noWrap/>
            <w:vAlign w:val="center"/>
          </w:tcPr>
          <w:p w14:paraId="34C9A1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《江西省中药饮片炮制规范》2008年版</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674E58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u w:val="none"/>
                <w:lang w:val="en-US" w:eastAsia="zh-CN" w:bidi="ar"/>
              </w:rPr>
              <w:t>精制饮片</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15C3A1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液体</w:t>
            </w:r>
          </w:p>
        </w:tc>
        <w:tc>
          <w:tcPr>
            <w:tcW w:w="2902" w:type="dxa"/>
            <w:tcBorders>
              <w:top w:val="single" w:color="000000" w:sz="4" w:space="0"/>
              <w:left w:val="single" w:color="000000" w:sz="4" w:space="0"/>
              <w:bottom w:val="single" w:color="000000" w:sz="4" w:space="0"/>
              <w:right w:val="single" w:color="000000" w:sz="4" w:space="0"/>
            </w:tcBorders>
            <w:noWrap w:val="0"/>
            <w:vAlign w:val="center"/>
          </w:tcPr>
          <w:p w14:paraId="43972A4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本品为禾科植物淡竹 Phyllostachys glauca McCiure，净竹 Phyllostachys nuda McCiure及其同属数种植物的鲜杆经加热后自然沥出的液体，煮沸之后，加适量防腐剂。</w:t>
            </w:r>
          </w:p>
        </w:tc>
        <w:tc>
          <w:tcPr>
            <w:tcW w:w="2903" w:type="dxa"/>
            <w:tcBorders>
              <w:top w:val="single" w:color="000000" w:sz="4" w:space="0"/>
              <w:left w:val="single" w:color="000000" w:sz="4" w:space="0"/>
              <w:bottom w:val="single" w:color="000000" w:sz="4" w:space="0"/>
              <w:right w:val="single" w:color="000000" w:sz="4" w:space="0"/>
            </w:tcBorders>
            <w:noWrap w:val="0"/>
            <w:vAlign w:val="center"/>
          </w:tcPr>
          <w:p w14:paraId="622ECA4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本品为淡黄色至红色液体。具竹香气，味微甘。</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18FE6B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30ml</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6A729E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62C7C4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30B077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28.63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A7A6C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5726</w:t>
            </w:r>
          </w:p>
        </w:tc>
      </w:tr>
      <w:tr w14:paraId="2C7E0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noWrap/>
            <w:vAlign w:val="center"/>
          </w:tcPr>
          <w:p w14:paraId="081777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2675" w:type="dxa"/>
            <w:gridSpan w:val="10"/>
            <w:tcBorders>
              <w:top w:val="single" w:color="000000" w:sz="4" w:space="0"/>
              <w:left w:val="single" w:color="000000" w:sz="4" w:space="0"/>
              <w:bottom w:val="single" w:color="000000" w:sz="4" w:space="0"/>
              <w:right w:val="single" w:color="000000" w:sz="4" w:space="0"/>
            </w:tcBorders>
            <w:noWrap w:val="0"/>
            <w:vAlign w:val="center"/>
          </w:tcPr>
          <w:p w14:paraId="6C9A6D7C">
            <w:pPr>
              <w:jc w:val="center"/>
              <w:rPr>
                <w:rFonts w:hint="eastAsia" w:ascii="宋体" w:hAnsi="宋体" w:eastAsia="宋体" w:cs="宋体"/>
                <w:i w:val="0"/>
                <w:iCs w:val="0"/>
                <w:color w:val="auto"/>
                <w:sz w:val="22"/>
                <w:szCs w:val="22"/>
                <w:highlight w:val="none"/>
                <w:u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3FA76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2100000</w:t>
            </w:r>
          </w:p>
        </w:tc>
      </w:tr>
    </w:tbl>
    <w:p w14:paraId="073C4506">
      <w:pPr>
        <w:rPr>
          <w:rFonts w:hint="eastAsia" w:ascii="宋体" w:hAnsi="宋体" w:cs="宋体"/>
          <w:b/>
          <w:color w:val="auto"/>
          <w:szCs w:val="21"/>
          <w:highlight w:val="none"/>
        </w:rPr>
      </w:pPr>
      <w:r>
        <w:rPr>
          <w:rFonts w:hint="eastAsia" w:ascii="宋体" w:hAnsi="宋体" w:cs="宋体"/>
          <w:b/>
          <w:color w:val="auto"/>
          <w:szCs w:val="21"/>
          <w:highlight w:val="none"/>
        </w:rPr>
        <w:br w:type="page"/>
      </w:r>
    </w:p>
    <w:p w14:paraId="617615DF">
      <w:pPr>
        <w:spacing w:line="360" w:lineRule="exact"/>
        <w:rPr>
          <w:rFonts w:hint="eastAsia" w:ascii="宋体" w:hAnsi="宋体"/>
          <w:b/>
          <w:bCs/>
          <w:color w:val="auto"/>
          <w:szCs w:val="21"/>
          <w:highlight w:val="none"/>
        </w:rPr>
      </w:pPr>
      <w:r>
        <w:rPr>
          <w:rFonts w:hint="eastAsia" w:ascii="宋体" w:hAnsi="宋体"/>
          <w:b/>
          <w:bCs/>
          <w:color w:val="auto"/>
          <w:szCs w:val="21"/>
          <w:highlight w:val="none"/>
        </w:rPr>
        <w:t>分标2：以下为每年预计采购量</w:t>
      </w:r>
    </w:p>
    <w:p w14:paraId="58D40294">
      <w:pPr>
        <w:spacing w:line="360" w:lineRule="exact"/>
        <w:rPr>
          <w:rFonts w:hint="eastAsia" w:ascii="宋体" w:hAnsi="宋体"/>
          <w:b/>
          <w:bCs/>
          <w:color w:val="auto"/>
          <w:highlight w:val="none"/>
        </w:rPr>
      </w:pPr>
      <w:r>
        <w:rPr>
          <w:rFonts w:hint="eastAsia" w:ascii="宋体" w:hAnsi="宋体"/>
          <w:b/>
          <w:bCs/>
          <w:color w:val="auto"/>
          <w:szCs w:val="21"/>
          <w:highlight w:val="none"/>
        </w:rPr>
        <w:t>调剂用中药饮片质量要求 （备注：每个药品必须配备列出的所有包装规格，且不同规格每克单价一致。中药饮片包装按药品管理法和国家中医药管理局、国家药品监督管理局的相关规定执行）</w:t>
      </w:r>
    </w:p>
    <w:tbl>
      <w:tblPr>
        <w:tblStyle w:val="22"/>
        <w:tblW w:w="14612"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7"/>
        <w:gridCol w:w="810"/>
        <w:gridCol w:w="1125"/>
        <w:gridCol w:w="720"/>
        <w:gridCol w:w="1020"/>
        <w:gridCol w:w="2895"/>
        <w:gridCol w:w="2910"/>
        <w:gridCol w:w="960"/>
        <w:gridCol w:w="660"/>
        <w:gridCol w:w="465"/>
        <w:gridCol w:w="1125"/>
        <w:gridCol w:w="1245"/>
      </w:tblGrid>
      <w:tr w14:paraId="6E291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7905538">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序号</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FF2C9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药物名称</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D35CF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参考执行标准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4FD12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炮制要求</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A193F6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片型</w:t>
            </w:r>
          </w:p>
          <w:p w14:paraId="02C2EC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规格</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D6B9F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1501F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质量要求</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435D9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包装规格 （g/袋）</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53D1B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年拟采购量</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B6EE4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单位</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0549D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控制价（元）</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52AE6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采购金额（元）</w:t>
            </w:r>
          </w:p>
        </w:tc>
      </w:tr>
      <w:tr w14:paraId="4D227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41982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C9326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巴戟天</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2FF5B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5F1AB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72070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短段或块状/（选货）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964450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本品为茜草科植物巴戟天Morinda officinalis How的干燥根。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F78C7B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直径大于1.0cm。其它应与现行《中国药典》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089D6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B4918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468D7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E8E6B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283.75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7C948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15038.75</w:t>
            </w:r>
          </w:p>
        </w:tc>
      </w:tr>
      <w:tr w14:paraId="3BCE7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AA93C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C5B87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白扁豆</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3E037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3A9AF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62AF4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个子/用时捣碎/（选货）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EDCF58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本品为豆科植物扁豆Dolichos lablab L.的干燥成熟种子。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27D0F1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粒大饱满，无破粒，瘪子率5%以下。其它应与现行《中国药典》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F4F22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537DC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F3A52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FE761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77.83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E825D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933.96</w:t>
            </w:r>
          </w:p>
        </w:tc>
      </w:tr>
      <w:tr w14:paraId="70608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1374F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08CED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白茅根</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71CC1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0ACAF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C7661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A08FF8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本品为禾本科植物白茅Imperata cylindrica Beauv.var.major（Nees）C.E.Hubb.的干燥根茎。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35B5CD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粗细均匀，色黄白，味甜，表面微有光泽，节明显，稍突起，体轻，无杂质。其它应与现行《中国药典》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E2CAF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DE14C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D12FA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4466C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62.51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18483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2312.87</w:t>
            </w:r>
          </w:p>
        </w:tc>
      </w:tr>
      <w:tr w14:paraId="613AC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A5AE9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6CE20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D3B4B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ADF24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F43DD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2337B9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本品为萝藦科植物白薇Cynanchum atratum Bge.或蔓生白薇Cynanchum versicolor Bge.的干燥根和根茎。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6390B5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断面色白粉性足。应与现行《中国药典》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E7ED9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56C2F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3ED42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BEEF7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140.40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CC5DF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140.4</w:t>
            </w:r>
          </w:p>
        </w:tc>
      </w:tr>
      <w:tr w14:paraId="3B252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FD8BB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B2FD5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白鲜皮</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CD8A5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7F0A4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86531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AFF28A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本品为芸香科植物白鲜Dictamnus dasycarpus Turcz.的干燥根皮。</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AFFA3A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断面直径大于1.2cm ，厚度大于0.3cm。抽心率大于99%。其它应与现行《中国药典》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F0CE4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B9686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19EFF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9ED6C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679.52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F4A7F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27180.8</w:t>
            </w:r>
          </w:p>
        </w:tc>
      </w:tr>
      <w:tr w14:paraId="71405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46396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B465D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百部</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4DF7E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99938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238EB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9E73B8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本品为百部科植物直立百部Stemona sessilifolia（Miq.）Miq.、蔓生百部Stemona japonica（Bl.）Miq.或对叶百部Stemona tuberosa Lour.的干燥块根。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3773FE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大小均一，无黑片，直径大于0.6cm。其它应与现行《中国药典》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D9976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2181A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0F535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0AB9E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279.52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271D2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20964</w:t>
            </w:r>
          </w:p>
        </w:tc>
      </w:tr>
      <w:tr w14:paraId="6E58C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228DC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70CB5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柏子仁</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817C7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64A0E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95B83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7503B1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本品为柏科植物侧柏Platycladus orientalis（L.）Franco的干燥成熟种仁。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9EB503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饱满，颜色一致，无杂质，无碎仁。其它应与现行《中国药典》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F47D6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57952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31256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9F718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356.16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26BE9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10684.8</w:t>
            </w:r>
          </w:p>
        </w:tc>
      </w:tr>
      <w:tr w14:paraId="739C2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82FB8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65291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败酱草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EA391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74FA0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86D2A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D50B15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本品为败酱科植物白花败酱Patrinia villosa Juss.或黄花败酱Patrinia scabiosae folia Fisch.的干燥全草。</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901B61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无木化老茎，无杂草，叶片薄，有陈腐的豆酱气味，特异性气味明显。其它应与《广西壮族自治区中药饮片炮制规范》2007年版相符。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FE8CD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41E52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3EBD2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54BD8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47.48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37058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1756.76</w:t>
            </w:r>
          </w:p>
        </w:tc>
      </w:tr>
      <w:tr w14:paraId="594CE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69CE5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7A692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板蓝根</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DF39C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F29C0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BDE26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14D24C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本品为十字花科植物菘蓝Isatis  indigotica  Fort. 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F38CB3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切面皮部黄白色，木部黄色，无变色，无根头。其它应与现行《中国药典》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41DF2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8C763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53AE5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29852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92.10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3B271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4789.2</w:t>
            </w:r>
          </w:p>
        </w:tc>
      </w:tr>
      <w:tr w14:paraId="1DF51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A6DE0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63CF3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薄荷</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D5860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F2720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20A32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F9BEB1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本品为唇形科植物薄荷Mentha haplocalyx Briq. 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385E9D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叶上表面深绿色，下表面灰绿色，揉搓后有浓郁的特殊清凉香气，叶占比大于30%，叶深绿色，段均匀。其它应与现行《中国药典》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780B4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5F907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8041E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73F1A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48.73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3D192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2339.04</w:t>
            </w:r>
          </w:p>
        </w:tc>
      </w:tr>
      <w:tr w14:paraId="00C49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0AAAF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F09B2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北柴胡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4ECD1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776F1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27176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E1E68D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本品为伞形科植物柴胡Bupleurum chinense DC.或狭叶柴胡Bupleurum scorzonerifolium Willd.的干燥根。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F9B453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直径大于0.4cm，切段较均匀，地上茎不超过3%。其它应与现行《中国药典》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951E6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5EF3F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20893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0DA22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468.70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B177C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224976</w:t>
            </w:r>
          </w:p>
        </w:tc>
      </w:tr>
      <w:tr w14:paraId="2D576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C43BF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807FD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扁豆花</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F2FDD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944DA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A20FF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77F964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本品为豆科植物扁豆Dolichos lablab L.的干燥花。</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5B3C69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花完整，色黄白，无杂质，未完全开放。其它应与《广西壮族自治区中药饮片炮制规范》2007年版相符。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A7C92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74D02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3CA54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E9DF9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294.33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0842B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4414.95</w:t>
            </w:r>
          </w:p>
        </w:tc>
      </w:tr>
      <w:tr w14:paraId="7DC8B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E31EF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3641E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鳖甲</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E18BC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D339B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8D03F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C86718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本品为鳖科动物鳖 Trionyx sinensis Wiegmann 的背甲。</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574B1D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质坚硬。气微腥，味淡。其它应与现行《中国药典》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E8754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68998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AEDD0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C6D71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358.53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F3EF4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5377.95</w:t>
            </w:r>
          </w:p>
        </w:tc>
      </w:tr>
      <w:tr w14:paraId="1AD2E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6B7E7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76913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冰片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37977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99578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片状结晶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1A108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粉末或片状结晶/（选货）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F48329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本品为松节油和樟脑等原料经化学方法合成所得的制品，主含消旋龙脑。</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969220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合成龙脑，无色透明或白色半透明的片状松脆结晶，无杂质。其它应与现行《中国药典》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年版相符。有国药准字。</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98712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7275A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5E73A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8B75A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922.90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A9A62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9229</w:t>
            </w:r>
          </w:p>
        </w:tc>
      </w:tr>
      <w:tr w14:paraId="65542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55C28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71B65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补骨脂</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45F50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0D3A0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C2B41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803ED0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本品为豆科植物补骨脂Psoralea corylifolia L.的干燥成熟果实。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5F4213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颗粒饱满，大小均一，表面黑色或黑褐色。其它应与现行《中国药典》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DB1AC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A69B0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25C33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EA891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69.31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C65C8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3812.05</w:t>
            </w:r>
          </w:p>
        </w:tc>
      </w:tr>
      <w:tr w14:paraId="43A89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ABBF4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9FA0A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蚕沙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F0EB1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51634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5B8FC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488D26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本品为蚕蛾科昆虫家蚕 Bombyx mori Linnaeus 幼虫的干燥粪便。</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9DC8D4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干燥、色黑、坚实。色泽均匀、无杂质。无碎粒。其它应与《广西壮族自治区中药饮片炮制规范》2007年版相符。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892EA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C8FE1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50D9C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27F6E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47.49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46188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284.94</w:t>
            </w:r>
          </w:p>
        </w:tc>
      </w:tr>
      <w:tr w14:paraId="08C84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43CBB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3DFA2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苍术</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9AB2D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9CB83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763B8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78F479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本品为菊科植物茅苍术Atractylodes lancea（Thunb.）DC. 或北苍术Atractylodes chinensis（DC.）Koidz. 的干燥根茎。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193DDB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茅苍术优先。饮片平均直径大于1.2cm，朱砂点明显，质地疏松。无残留茎基及碎屑。其它应与现行《中国药典》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39269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D126F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93F3C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480DC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184.44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9BDC2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8299.8</w:t>
            </w:r>
          </w:p>
        </w:tc>
      </w:tr>
      <w:tr w14:paraId="674CA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39648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E0CF8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草果</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67C4F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8D8BE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D84DE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842B27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本品为姜科植物草果 Amomum tsao-ko Crevost et Lemarie 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61264E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个大，颗粒均匀，内部饱满，无破裂。其它应与广西壮族自治区中药饮片炮制规范（2007年版）相符。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4A31A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0625F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DD289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92160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149.89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E4D9D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449.67</w:t>
            </w:r>
          </w:p>
        </w:tc>
      </w:tr>
      <w:tr w14:paraId="6DF8B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6A165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1D710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蝉蜕</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FCF18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06D81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C2A1B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84B9D7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本品为蝉科昆虫黑蚱Cryptotympana pustulata Fabricius的若虫羽化时脱落的皮壳。</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CC1C35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破碎率5%以下，洁净无土屑。。其它应与现行《中国药典》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12BA6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71744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5E2E6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69147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2948.66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F1203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29486.6</w:t>
            </w:r>
          </w:p>
        </w:tc>
      </w:tr>
      <w:tr w14:paraId="60604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92F54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4D137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燀桃仁</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0BD5C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6534E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燀制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2853E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6D852E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本品为蔷薇科植物桃Prunus persica（L.）Batsch或山桃Prunus davidiana（Carr.）Franch.的干燥种仁。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D70E27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种仁饱满，大小均一，破碎仁不超过2%。其它应与现行《中国药典》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3F4A8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1D1DF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11197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48A76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192.24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4BDFD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23068.8</w:t>
            </w:r>
          </w:p>
        </w:tc>
      </w:tr>
      <w:tr w14:paraId="1D36E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68D4D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84F30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炒白扁豆</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8D64B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4349D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9C6F8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个子/用时捣碎/（选货）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4C2206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本品为豆科植物扁豆Dolichos lablab L.的干燥成熟种子。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4F3540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粒大饱满，无破粒，瘪子率5%以下。其它应与现行《中国药典》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4B270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4D4FB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0BBD2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93E38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88.20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B4506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882</w:t>
            </w:r>
          </w:p>
        </w:tc>
      </w:tr>
      <w:tr w14:paraId="63723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A33CF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4146C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炒蒺藜</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263A0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3DFB3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FBAA9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093ECC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本品为蒺藜科植物蒺藜Tribulus terrestris L.的干燥成熟果实。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E5D2F7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无尖刺，色泽均一，无败油味，无黑果无杂质，分果瓣呈斧状；瘪子率2%以下。其它应与现行《中国药典》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55712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20A88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BDEDE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7E3CC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134.58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2BE69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10093.5</w:t>
            </w:r>
          </w:p>
        </w:tc>
      </w:tr>
      <w:tr w14:paraId="3D81E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45C8C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8FAC3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炒神曲</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3E6B3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D996F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2DF5A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0F2C8A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本品为辣蓼、青蒂、苦杏仁等药味与小麦面粉或麸皮混合后，经发酵而成的曲剂。</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F92212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形同生六神曲，呈黄色，有香气。其它应与《广西壮族自治区中药饮片炮制规范》2007年版相符。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CE60C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DDC8F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EE3AE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5D815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48.85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44EC1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48.85</w:t>
            </w:r>
          </w:p>
        </w:tc>
      </w:tr>
      <w:tr w14:paraId="145D9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00F42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0FBCB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炒紫苏子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8768B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8859F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79E57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2B9A41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本品为唇形科植物紫苏Perilla frutescens(L.) Britt.的干燥成熟果实。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EB03EB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表面灰棕色或灰褐色，颗粒饱满，大小均一，无杂质，味微辛，有焦香气。其它应与现行《中国药典》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091AE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7CE2E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64618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E14A7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83.26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9A6AD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3080.62</w:t>
            </w:r>
          </w:p>
        </w:tc>
      </w:tr>
      <w:tr w14:paraId="10FAA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22CE5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C8233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车前草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D151D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0F69F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E2AF5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不规则的段/（选货）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94D691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本品为车前科植物车前Plantago asiatica L.或平车前Plantago depressa Willd.的干燥全草。</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7272B8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色绿，无杂草，无泥土。其它应与现行《中国药典》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0361E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3F5C1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95235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84A78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61.63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A2944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369.78</w:t>
            </w:r>
          </w:p>
        </w:tc>
      </w:tr>
      <w:tr w14:paraId="3AA4E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2DD17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37A25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车前子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1F90C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24F56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5F5A8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6FD19E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本品为车前科植物车前Plantago asiatica L.或平车前Plantago depressa Willd.的干燥成熟种子。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481759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颗粒饱满，质硬，气微香。其它应与现行《中国药典》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F4D8E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19E6E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41EED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9BF33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92.67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2E7D6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11120.4</w:t>
            </w:r>
          </w:p>
        </w:tc>
      </w:tr>
      <w:tr w14:paraId="4D0B7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F498E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D41EB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赤石脂</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623D0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A8044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DE8D0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碎或细粉/（选货）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DBC763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本品为赤石脂的加工炮制品。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6D3071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为土红色，细颗粒或细粉，质酥松，无光泽。其它应与现行《中国药典》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14F1C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1800E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FBF1F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E63D1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30.80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75260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30.8</w:t>
            </w:r>
          </w:p>
        </w:tc>
      </w:tr>
      <w:tr w14:paraId="3E56C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3159B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471A9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茺蔚子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DDA63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42C60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BCD5A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6C0E80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本品为唇形科植物益母草Leonurus  japonicus  Houtt.的干燥成熟果实。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B0FAB7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三棱形，粒大，饱满，质脆，断面淡黄色或黄色，富油性。其它应与现行《中国药典》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CE5F5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0C36C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6C5B5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6103E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149.25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FB975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447.75</w:t>
            </w:r>
          </w:p>
        </w:tc>
      </w:tr>
      <w:tr w14:paraId="6C678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F7497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FD18D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川楝子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C79BF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3F95E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25B45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厚片或 碎块/（选货）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167F12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本品为楝科植物川楝Melia toosendan Sieb.et Zucc.的干燥成熟果实的炮制加工品。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BB3AF5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呈半球状，个大、饱满。其它应与现行《中国药典》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F5B70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0D9A7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05F28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AEE74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39.24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49530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1294.92</w:t>
            </w:r>
          </w:p>
        </w:tc>
      </w:tr>
      <w:tr w14:paraId="08814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EAEB7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B0D1D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磁石</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43766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956A2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7A8B4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0B0FD2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本品为氧化物类矿物尖晶石族磁铁矿，主含四氧化三铁（Fe3O4）。</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BA21A6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色灰黑、有光泽、能吸铁。其它应与现行《中国药典》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26293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0F6A2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49B14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81511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25.40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5C0C9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2286</w:t>
            </w:r>
          </w:p>
        </w:tc>
      </w:tr>
      <w:tr w14:paraId="192D4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5CD3A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EC33B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醋乳香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FB6D2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A0E5D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醋炙</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748DD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颗粒或块状/（选货）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6CB005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本品为橄榄科植物乳香树Boswellia carterii Birdw.及同属植物Boswellia bhaw-dajiana Birdw.树皮渗出的树脂。</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9984BE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表面深黄色，显油亮，不含有木屑、杂质。其它应与现行《中国药典》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5ECBB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F5820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A4691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A8DD2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213.81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8C488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4703.82</w:t>
            </w:r>
          </w:p>
        </w:tc>
      </w:tr>
      <w:tr w14:paraId="6299E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2C661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D0707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醋三棱</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11ADE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774A6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醋炙</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72C9C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4C0F05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本品为黑三棱科植物黑三棱Sparganium stoloniferum Buch.-Ham.的干燥块茎。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CA7CDC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大小均一，直径大于2.5cm。其它应与现行《中国药典》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D07D3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05176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DB88B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0C8AD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80.89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DF5F9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1617.8</w:t>
            </w:r>
          </w:p>
        </w:tc>
      </w:tr>
      <w:tr w14:paraId="1759B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E5DD5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0BAF5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大豆黄卷</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0D35F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55FFF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发芽</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C5B9E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257E98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本品为豆科植物大豆Glycine max（L. ）Merr. 的成熟种子经发芽干燥的炮制加工品。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B17B80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粒饱满，显皱纹，皮色黑或色黄，有短芽。其它应与现行《中国药典》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C7615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64F32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02349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75040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64.78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115D0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64.78</w:t>
            </w:r>
          </w:p>
        </w:tc>
      </w:tr>
      <w:tr w14:paraId="71CF4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9FE05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34527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大黄</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A1266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F6C0D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生品 </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E96DA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厚片或块/（选货）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FE87AD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本品为蓼科植物掌叶大黄Rheum palmatum L.、唐古特大黄 Rheum tanguticum Maxim. ex Balf.或药用大黄 Rheum officinale Baill.的干燥根和根茎。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F06751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除去外皮。切面平整，星点片，无空心片，无水根，直径大于4cm，无糠黄。其它应与现行《中国药典》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DFBBF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5AA24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671BA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0D326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107.91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A0481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2374.02</w:t>
            </w:r>
          </w:p>
        </w:tc>
      </w:tr>
      <w:tr w14:paraId="0C6DD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7C4FC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9CC7B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大蓟</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2630F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F8AF1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512FA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D6EE0F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本品为菊科植物蓟Cirsium japonicum Fisch. ex DC.的 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676F10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色绿，叶多。其它应与现行《中国药典》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02427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F9041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31827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E4C72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67.30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739FE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1480.6</w:t>
            </w:r>
          </w:p>
        </w:tc>
      </w:tr>
      <w:tr w14:paraId="4CD9A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12758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8C60B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胆南星</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A7802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9E89D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发酵品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DB48D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89D489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本品为制天南星的细粉与牛、羊或猪胆汁经加工而成，或为生天南星细粉与牛、羊或猪胆汁经发酵加工而成。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05548B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大小颜色均一，无碎屑，棕黄色、灰棕色或棕黑色，质硬。其它应与现行《中国药典》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年版相符。有国药准字。</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8803A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671BD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7BE76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7C3A9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124.60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886B3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623</w:t>
            </w:r>
          </w:p>
        </w:tc>
      </w:tr>
      <w:tr w14:paraId="39824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DAC48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A2D4A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淡豆豉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5451D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06869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发酵品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834E3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D36DD8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本品为豆科植物大豆Glycine max (L.) Merr.  的干燥成熟种子（黑豆）的发酵加工品。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D731E3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发表面黑色，断面棕黑色，发酵后衣膜均匀。其它应与现行《中国药典》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年版相符，需有发酵资质。</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ECB4C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66ACA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FAF3F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045F4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83.40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BD7E8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417</w:t>
            </w:r>
          </w:p>
        </w:tc>
      </w:tr>
      <w:tr w14:paraId="1899D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BCAC7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6DF7C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地肤子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DBD51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0CDB1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9E589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69BBAD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本品为藜科植物地肤Kochia scoparia（L.）Schrad.的干燥成熟果实。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43A3E8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扁球状五角星形，无灰屑、杂质。其它应与现行《中国药典》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79195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17B29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4C7E4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E4C17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73.23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F654A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8787.6</w:t>
            </w:r>
          </w:p>
        </w:tc>
      </w:tr>
      <w:tr w14:paraId="6B47C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8065D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479FA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地骨皮</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2ED4F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61327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B8AA7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FD4436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本品为茄科植物枸杞Lycium chinense Mill.或宁夏枸杞Lycium barbarum L.的干燥根皮。</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F92CD4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厚度大于0.1cm，含木心不得超过2%。其它应与现行《中国药典》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6F632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37FB4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97E57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52281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376.90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8A04D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5653.5</w:t>
            </w:r>
          </w:p>
        </w:tc>
      </w:tr>
      <w:tr w14:paraId="23BEC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4ED11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58DAF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丁香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908FD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6F3E1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5B29B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89103F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本品为桃金娘科植物丁香Eugenia caryophyllata Thunb.的干燥花蕾。</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52DE6D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新货：萼筒红棕色。入水一段时间后，下沉。其它应与现行《中国药典》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412FB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3BC42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7F088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02B42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213.54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96D2C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4697.88</w:t>
            </w:r>
          </w:p>
        </w:tc>
      </w:tr>
      <w:tr w14:paraId="312B3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3A4E2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055E7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冬瓜子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21CFB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E85AA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3C150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8E13E8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本品为葫芦科植物冬瓜Berincasw Aiapida(Thunb.)Cogn.的干燥成熟种子。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97C0A4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饱满，大小均一，色黄白。其它应与《广西壮族自治区中药饮片炮制规范》2007年版相符。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CE3C1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84EF7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56ECD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67691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337.00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72924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674</w:t>
            </w:r>
          </w:p>
        </w:tc>
      </w:tr>
      <w:tr w14:paraId="40700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10979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CC8BC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冬葵子（茼麻子）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D7C71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B77EC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AF03A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DBF036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本品为锦葵科植物苘麻Abutilon theophrasti Medic.的干燥成熟种子。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722648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本品呈三角状肾形，长3.5～6mm，宽2.5～4.5mm，厚1～2mm。表面灰黑色或暗褐色，有白色稀疏绒毛，凹陷处有类椭圆状种脐，淡棕色，四周有放射状细纹。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70077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A5711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8811F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71F41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123.31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69EA4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246.62</w:t>
            </w:r>
          </w:p>
        </w:tc>
      </w:tr>
      <w:tr w14:paraId="48A43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3A823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476E0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冬凌草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65AED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100C3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A585C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8ED6EC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本品为唇形科植物碎米桠Rabdosia rubescens（Hemsl.）Hara的干燥地上部分。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D311EC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叶多，色绿，气微香，味苦、甘。其它应与现行《中国药典》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CCF4E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1BF57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70B8D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D6915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171.12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4B1C9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171.12</w:t>
            </w:r>
          </w:p>
        </w:tc>
      </w:tr>
      <w:tr w14:paraId="16A7E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812B4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FB5B4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煅蛤壳</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4893A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6FEB5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明煅</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3D1F6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碎片或粗粉/(选货)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AD8D67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本品为蛤壳的炮制加工品。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A161E0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呈灰白色碎块或粉末状，质地疏脆，无臭味。其它应与现行《中国药典》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3B5FA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589EF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D7E28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D6B72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27.31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D92BB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27.31</w:t>
            </w:r>
          </w:p>
        </w:tc>
      </w:tr>
      <w:tr w14:paraId="1928A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DE69B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AAC5B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煅钟乳石</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DED47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FE6B6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明煅</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C105F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5CF463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本品为钟乳石的炮制加工品。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62132C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呈灰白色或灰黄色，质酥松。其它应与现行《中国药典》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C34D9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FE555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43477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50A9A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66.11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B38D9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330.55</w:t>
            </w:r>
          </w:p>
        </w:tc>
      </w:tr>
      <w:tr w14:paraId="00868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964E8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59FFB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莪术</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6D9CA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38B53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FFF2E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058E5A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本品为姜科植物蓬莪术Curcuma phaeocaulis Val.、广西莪术Curcuma kwangsiensis S.G.Lee et C.F.Liang或温郁金Curcuma wenyujin Y.H.ChenetC.Ling的干燥根茎。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111B09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透心，无边片，无须根，直径大于2cm。其它应与现行《中国药典》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46972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85BED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BD59B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52C0D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67.32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FBE63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4510.44</w:t>
            </w:r>
          </w:p>
        </w:tc>
      </w:tr>
      <w:tr w14:paraId="5492D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B7567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1A9CD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鹅不食草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77ECA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F1C6D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3BBBC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3034DC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本品为菊科植物鹅不食草Centipeda minima（L.）A. Br. et Aschers.的干燥全草。</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1B5220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无杂质、色灰绿，刺激性气强。其它应与现行《中国药典》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139FD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AE8F0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E7271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8D250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113.26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D2C4F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792.82</w:t>
            </w:r>
          </w:p>
        </w:tc>
      </w:tr>
      <w:tr w14:paraId="41241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51745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06DE7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番泻叶</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C5A0A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8CFB7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D2542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A5C530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本品为豆科植物狭叶番泻Cassia angustifolia Vahl或尖叶番泻Cassia acutifolia Delile的干燥小叶。</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51C778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叶完整、色绿。其它应与现行《中国药典》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A21F5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8FA03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D5085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1CE38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55.11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4AE30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55.11</w:t>
            </w:r>
          </w:p>
        </w:tc>
      </w:tr>
      <w:tr w14:paraId="44835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33DC9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A0CE5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防风</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C32A2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BA9E7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F20A7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30128B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本品为伞形科植物防风Saposhnikovia divaricata （Turcz.）Schischk. 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26DEDF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直径大于0.7cm。裂隙明显，根头占比小于10%。其它应与现行《中国药典》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E98EE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D9D23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301B0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6882C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585.50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4DEDB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40985</w:t>
            </w:r>
          </w:p>
        </w:tc>
      </w:tr>
      <w:tr w14:paraId="57A27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9CAF7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3DCED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飞扬草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33493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FF589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4D11C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短段/（选货）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2947DA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本品为大戟科植物飞扬草Euphorbia hirta L.的干燥全草。</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A2717E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叶多、色绿。无霉味。其它应与现行《中国药典》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2AB18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151E3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0EAB9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DF062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73.64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FA203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957.32</w:t>
            </w:r>
          </w:p>
        </w:tc>
      </w:tr>
      <w:tr w14:paraId="0E8C6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20972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CE513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麸炒白术</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50889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23DEA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麸炒</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E0FC5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330828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本品为菊科植物白术Atractylodes macrocephala Koidz.的干燥根茎。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40C1D6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直径大于2.5cm，切面获炒至深 黄色，色均匀，无残留茎，无空泡、 无泛油、无炭化，两年生以上。其它应与现行《中国药典》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D6D01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9CAEB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47551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C096C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472.70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3BB36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132356</w:t>
            </w:r>
          </w:p>
        </w:tc>
      </w:tr>
      <w:tr w14:paraId="7D00C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40BEC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7D3B3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浮萍</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8BE9B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06207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EC73B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扁平叶状体/（选货）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3A609B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本品为浮萍科植物紫萍Spirodela polyrrhiza（L.）Schleid.的干燥全草。</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AE228C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干爽，无泥沙杂质。无异味，其它应与现行《中国药典》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84DC5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874DE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A7F7D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6B3DF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54.61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1E5FA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546.1</w:t>
            </w:r>
          </w:p>
        </w:tc>
      </w:tr>
      <w:tr w14:paraId="39753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35B2D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C4487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甘草片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8F389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8D208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18708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838B53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本品为豆科植物甘草Glycyrrhiza uralensis Fisch.、胀果甘草Glycyrrhiza inflata Bat.或光果甘草Glycyrrhiza glabra L.的干燥根和根茎。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CD7A72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直径大于1.0cm，大小均一，外表皮红棕色，粉性足。不规则片不得超过5%。其它应与现行《中国药典》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19409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9FD43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565E2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B750B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112.76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481A8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21988.2</w:t>
            </w:r>
          </w:p>
        </w:tc>
      </w:tr>
      <w:tr w14:paraId="6E44D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74E33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E674C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甘松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88C01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F4082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1BD28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8342D0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本品为败酱科植物甘松Nardostachys jatamansi DC.的干燥根及根茎。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F5773C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主根肥壮、 芳香气浓。根占比大于60%。无泥沙杂质，其它应与现行《中国药典》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B571A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E38B3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366A8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19220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421.76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2C65C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421.76</w:t>
            </w:r>
          </w:p>
        </w:tc>
      </w:tr>
      <w:tr w14:paraId="3FA38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8E032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BF8C8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干益母草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32F54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4F066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7F285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短段/（选货）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22390F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本品为唇形科植物益母草Leonurus japonicus Houtt.的新鲜或干燥地上部分。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12ACF5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茎灰绿色，叶多，花序少，无老茎，颜色均匀。其它应与现行《中国药典》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AFE14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DE193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CDFC7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D74F5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33.42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1E29F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2506.5</w:t>
            </w:r>
          </w:p>
        </w:tc>
      </w:tr>
      <w:tr w14:paraId="18FCB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79E1D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4A894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岗梅</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F291B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42A59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9E72C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5FE7CE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本品为冬⻘科植物岗梅Ilex asprella(Hook.et Arn. )Champ.ex Benth. 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5BE633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以质坚、色白者为佳。其它应与现行《中国药典》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89A5A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C2D67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F34AB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0B96D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44.14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23B72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132.42</w:t>
            </w:r>
          </w:p>
        </w:tc>
      </w:tr>
      <w:tr w14:paraId="416F3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97683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FD3DC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杠板归</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4B2F2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65D36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688D3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短段/（选货）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B6BF00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本品为蓼科植物扛板归Polygonum perfoliatum L. 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81126E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叶多。其它应与《广西壮族自治区中药饮片炮制规范》2007年版相符。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36DF2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D595A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B00AC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BAE27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53.58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A90CE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428.64</w:t>
            </w:r>
          </w:p>
        </w:tc>
      </w:tr>
      <w:tr w14:paraId="3C05C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D5577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39290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功劳木</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113D0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3DA95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C92AC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厚片/斜切/（选货）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82E7FE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本品为小檗科植物阔叶十大功劳Mahonia bealei（Fort.）Carr.或细叶十大功劳Mahonia fortunei（Lindl.）Fedde的干燥茎。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D968F8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不规则块片，筛去碎渣，质硬，木部黄色。其它应与现行《中国药典》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CBF57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AEA31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E37B9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3AA83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36.58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29DA6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109.74</w:t>
            </w:r>
          </w:p>
        </w:tc>
      </w:tr>
      <w:tr w14:paraId="75307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097EB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2C1BF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狗脊</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2F3CB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71161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21CD6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487A8F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本品为蚌壳蕨科植物金毛狗脊Cibotium barometz（L.）J.Sm.的干燥根茎。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03233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直径3～10cm，片厚薄均匀、坚实、无毛。其它应与现行《中国药典》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3F26C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470FB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A3B5F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01346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186.08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35C9E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12467.36</w:t>
            </w:r>
          </w:p>
        </w:tc>
      </w:tr>
      <w:tr w14:paraId="43E35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85D4C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4272B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谷精草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C5FDD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038AD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8CED3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B29C09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本品为谷精草科植物谷精草Eriocaulon buergerianum Koern. 的干燥带花茎的头状花序。</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220EEA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头状花序呈半球形。质柔软。其它应与现行《中国药典》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9B753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2C59C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A7FD9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305F3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221.83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15473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665.49</w:t>
            </w:r>
          </w:p>
        </w:tc>
      </w:tr>
      <w:tr w14:paraId="1306A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B81A6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73E8F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骨碎补</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3792A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5D2E4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燎去茸毛(鳞片)</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40CD3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9ABC4A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本品为水龙骨科植物槲蕨Drynaria fortunei（Kunze）J.Sm.的干燥根茎。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5E6E21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饱满，质轻，残留细小棕色的鱗片不超过10%。薄厚均匀。其它应与现行《中国药典》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D5700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5A8A3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FA4F3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D1BA8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195.86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65285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5875.8</w:t>
            </w:r>
          </w:p>
        </w:tc>
      </w:tr>
      <w:tr w14:paraId="129E2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76180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E6C99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瓜蒌皮</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2A14E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4E8CE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除去果瓤及种子</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12DC0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2997CA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本品为葫芦科植物栝楼Trichosanthes kirilowii Maxim.或双边栝楼Trichosanthes rosthornii Harms的干燥成熟果皮。</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2356BC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外表面橙红色或橙黄色，皱缩，质较脆，易折断。其它应与现行《中国药典》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2E880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7184A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701E8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4ED89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66.42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58763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6974.1</w:t>
            </w:r>
          </w:p>
        </w:tc>
      </w:tr>
      <w:tr w14:paraId="421F2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CD15D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DC853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广金钱草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7BD2E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D0CFC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57FD3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5ACCF0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本品为豆科植物广金钱草Desmodium styracifolium（Osb.）Merr.的干燥地上部分。 </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4EDD6B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叶片上表面黄绿色或灰绿色，密被黄色伸展的短柔毛，含叶的重量不少于50%。其它应与现行《中国药典》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4B918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6C2C7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F897F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249C0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48.49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527E2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1818.375</w:t>
            </w:r>
          </w:p>
        </w:tc>
      </w:tr>
      <w:tr w14:paraId="1A1F8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30778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F838F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广山楂叶</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F4960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《广西壮族自治区壮药质量标准》第二卷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CB42E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8312C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850C92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本品为蔷薇科植物台湾林檎Malus doumeri(Bois．)Chev．或光萼林檎Malus leiocalyca S．Z．Huang的干燥叶。</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3C68F9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上表面棕黄色至棕绿色，有光泽，下表面色较浅。其它应与《广西壮族自治区壮药质量标准》第二卷相符。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EAF9C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D71C6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FEE53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6EF59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65.95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5FA1D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65.95</w:t>
            </w:r>
          </w:p>
        </w:tc>
      </w:tr>
      <w:tr w14:paraId="2AF6F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972E4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DAAC9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海螵蛸</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BA485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42D9E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967C6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8CC0F7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本品为乌贼科动物无针乌贼Sepiella maindroni de Rochebrune或金乌贼Sepia esculenta Hoyle的干燥内壳。</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2D3223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不规则块状，类白色或微黄色，体轻，质松。其它应与现行《中国药典》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7657C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D723E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68794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7A8FB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201.07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7B332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23927.33</w:t>
            </w:r>
          </w:p>
        </w:tc>
      </w:tr>
      <w:tr w14:paraId="658E7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42808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88257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荷叶</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D9C90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ACD39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E8B46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E45793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本品为睡莲科植物莲Nelumbo nucifera Gaertn.的干燥叶。</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CCADF0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叶上表面深绿色或黄绿色，下表面淡灰棕色，无锈斑，稍有清香气。其它应与现行《中国药典》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4899E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AC3B7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21F7E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A17D1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57.02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A1DE5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570.2</w:t>
            </w:r>
          </w:p>
        </w:tc>
      </w:tr>
      <w:tr w14:paraId="31575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7BE12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42867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黑蚂蚁</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13F97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《广西中药材标准》第二册）</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F5C9E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53518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20E993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本品为蚁科动物双齿多刺蚁Polyrhachis dives Smith的干燥体</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008C4C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除去杂质</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C51CC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28955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80EAB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D097B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631.17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C5B95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631.17</w:t>
            </w:r>
          </w:p>
        </w:tc>
      </w:tr>
      <w:tr w14:paraId="4AE84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90A60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D6509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红参片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3AD8E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EE861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蒸制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99CDB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6663FD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本品为五加科植物人参Panax ginseng C.A.Mey. 的栽培品经蒸制后的干燥根和根茎。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E71D08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表面半透明，红棕色，切面平坦，角质样，质硬而脆，斜切片宽大于2cm，圆片直径大于1.6cm。其它应与现行《中国药典》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2BF6D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C3E98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41291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D0B14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1229.85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7EC1B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1229.85</w:t>
            </w:r>
          </w:p>
        </w:tc>
      </w:tr>
      <w:tr w14:paraId="2173B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C63E2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18797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红豆杉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020AD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《新疆维吾尔族自治区中药维药饮片炮制规范》2010年版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19FA8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精制饮片</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DF218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短段/（精选）</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953502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本品为红豆杉科植物喜马拉雅红豆杉Taxuswallichiana Zuee.的干燥细枝及叶。</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390CCE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叶多、线形, 除去老枝及杂质。其它应与《新疆维吾尔族自治区中药维药饮片炮制规范》2010年版相符。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1CA25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A66FA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D0C3A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AD273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252.00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D6FDA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252</w:t>
            </w:r>
          </w:p>
        </w:tc>
      </w:tr>
      <w:tr w14:paraId="62E78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BA2EA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FB451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虎杖</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79A5F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A17C1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565BA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37529F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本品为蓼科植物虎杖Polygonum cuspidatum Sieb. et Zucc. 的干燥根茎和根。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FEAD4A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厚片，粗壮（直径大于1cm），切面色鲜黄。其它应与现行《中国药典》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6C5C9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B59A8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D3D25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9AB8C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51.34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86369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1026.8</w:t>
            </w:r>
          </w:p>
        </w:tc>
      </w:tr>
      <w:tr w14:paraId="4D710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FEA48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774E8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琥珀</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58631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38254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58DDE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细粉/（选货）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DCF4B1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本品为古代松科松属植物的树脂埋藏地下经年久转化而成。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9C65E5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无杂质。未粉碎前明亮、块整齐、质松脆、易碎。其它应与《广西壮族自治区中药饮片炮制规范》2007年版相符。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66A1E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C393F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0297D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23BF3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196.60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AFDB3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983</w:t>
            </w:r>
          </w:p>
        </w:tc>
      </w:tr>
      <w:tr w14:paraId="55596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1246A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3088F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黄柏</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FFE4C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0FD18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779B1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6B7753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本品为芸香科植物黄皮树Phellodendron chinense Schneid.的干燥树皮。</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F20CF7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厚薄均一，无栓皮，厚度大于0.3cm。无带粗皮，碎屑不超过2%。其它应与现行《中国药典》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BD766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2F31D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EF092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8555B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251.46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ABAAB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25146</w:t>
            </w:r>
          </w:p>
        </w:tc>
      </w:tr>
      <w:tr w14:paraId="166D3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C8C58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12BA0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黄花倒水莲</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DB699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《广西壮族自治区瑶药材质量标准》第一卷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6EAF4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D9511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BBE640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本品为远志科植物黄花倒水莲Polygala fallax Hemsl. 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2DB44D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表面灰黄色或灰棕色，具明显的纵皱纹，质坚韧。其它应与《广西壮族自治区瑶药材质量标准》第一卷相符。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41AD1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7E45B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229B5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3459C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114.28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A1A4F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228.56</w:t>
            </w:r>
          </w:p>
        </w:tc>
      </w:tr>
      <w:tr w14:paraId="0D53C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F5301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FAEA3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黄芩片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C563A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B2282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CA0FD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106F2C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本品为唇形科植物黄芩Scutellaria baicalensis Georgi的干燥根。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A730B7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直径大于1.2cm。大小均一，无破碎片。其它应与现行《中国药典》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0F2E4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93DC4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16F44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45A91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185.81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6E92C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27871.5</w:t>
            </w:r>
          </w:p>
        </w:tc>
      </w:tr>
      <w:tr w14:paraId="7DD54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59E48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00376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黄药子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978C2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AA2A5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405FD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C3454E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本品为薯蓣科植物黄独Dioscorea bulbifera L. 的于燥块茎。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71BEBF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片大、外皮灰黑、断面黄白色。其它应与《广西壮族自治区中药饮片炮制规范》2007年版相符。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1EC7D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0BA8D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F6354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FC712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45.14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6B3E9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45.14</w:t>
            </w:r>
          </w:p>
        </w:tc>
      </w:tr>
      <w:tr w14:paraId="23C94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DD67F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FDB76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鸡骨草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A1506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98C08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9E19C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4375E5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本品为豆科植物广州相思子Abrus cantoniensis Hance 的干燥全株。</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D129D2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切段。根、茎、叶全。其它应与现行《中国药典》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233AB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358CD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C1E4E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6FBB7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267.47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F5F44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10431.33</w:t>
            </w:r>
          </w:p>
        </w:tc>
      </w:tr>
      <w:tr w14:paraId="0E542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2074E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51D1D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鸡内金</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AD6FC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168F9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清炒或烫法</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C47A7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610BB0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本品为雉科动物家鸡Gallus gallus domesticus Brisson 的干燥沙囊内壁。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A88AF4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无焦黑片，无黄绿色，无碎渣。其它应与现行《中国药典》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5C30F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7E1EF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6DF61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0FD12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60.88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3BD20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7731.76</w:t>
            </w:r>
          </w:p>
        </w:tc>
      </w:tr>
      <w:tr w14:paraId="37B11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600B0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0872A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鸡矢藤</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0E518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《广西壮族自治区壮药质量标准》第一卷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9AEA2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10CA1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239B0C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本品为茜草科植物鸡矢藤Puederia scandensLour.)Merr.的干燥地上部分。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4919F0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以叶多、气浓者为佳。其它应与广西壮族自治区壮药质量标准（第一卷）相符。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089E2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76C8A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C7541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56084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49.06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E5681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98.12</w:t>
            </w:r>
          </w:p>
        </w:tc>
      </w:tr>
      <w:tr w14:paraId="4F691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14634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1259C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姜半夏</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006EF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6A1E3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生姜、白矾制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030BF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ADB6C7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本品为天南星科植物半夏Pinellia ternata（Thunb.） Breit.的干燥块茎。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168232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饮片个子直径大于1cm。其它应与现行《中国药典》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44FF6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A9B35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81B12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747CC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268.68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974F3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102098.4</w:t>
            </w:r>
          </w:p>
        </w:tc>
      </w:tr>
      <w:tr w14:paraId="41E3A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FDD21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F90D4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降香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AA4AC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0F07F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452F4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不规则块状/（选货）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EA0AAC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本品为豆科植物降香檀Dalbergia odorifera T. Chen树干和根的干燥心材。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90D00E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色紫红、质坚实、富油性、香气浓。其它应与现行《中国药典》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72C25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62B2E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6A815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CBA45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604.56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395F9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604.56</w:t>
            </w:r>
          </w:p>
        </w:tc>
      </w:tr>
      <w:tr w14:paraId="3706E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ED742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4D0B7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绞股蓝</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4BF1F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《广西壮族自治区壮药质量标准》第三卷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6B8E9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46A93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A42963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本品为葫芦科植物绞股蓝Gymostenma penta phyllom(Thunb.)Makino的干燥全草。</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865908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杂质少于3%。叶多、气香。其它应与《广西壮族自治区壮药质量标准》第三卷相符。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AB595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1DE98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B551B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1D80F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104.50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ECA83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209</w:t>
            </w:r>
          </w:p>
        </w:tc>
      </w:tr>
      <w:tr w14:paraId="25203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F9E14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F2E71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金樱子肉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E89EF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B08A1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41307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8F4F6B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本品为蔷薇科植物金樱子Rosa laevigata Michx. 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70A48C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直径大于1.2cm，无残存的种子。其它应与现行《中国药典》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646D6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527D0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C004F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A84D1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147.56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CA8A8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6640.2</w:t>
            </w:r>
          </w:p>
        </w:tc>
      </w:tr>
      <w:tr w14:paraId="6BCAC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F58E7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E0DF8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荆芥穗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3EC7B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E0182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05498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花穗/（选货）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3DA113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本品为唇形科植物荆芥Schizonepeta tenuisfolia Briq.的干燥花穗。</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7904CC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气芳香 ，味辛凉。其它应与现行《中国药典》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31E3E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61651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AE8EA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8064B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180.33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C8742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540.99</w:t>
            </w:r>
          </w:p>
        </w:tc>
      </w:tr>
      <w:tr w14:paraId="56402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8F716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F1986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酒乌梢蛇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C74DB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995E9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酒炙</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4523B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寸段/（选货）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0F999F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本品为游蛇科动物乌梢蛇Zaocys dhumnades（Cantor）的干燥体。</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F158DF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长段均一，其他应与现行《中国药典》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年版相符。符合野生动物管理（有绿标）</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DEF99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22901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5D14A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E426C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2185.82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0619E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2185.82</w:t>
            </w:r>
          </w:p>
        </w:tc>
      </w:tr>
      <w:tr w14:paraId="7B888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49163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33619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救必应</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3BAAF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991E5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4882F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1D1AEC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本品为冬青科植物铁冬青Ilex rotunda Thunb. 的干燥树皮。</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8A7A0A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皮厚0.3cm以上，苦味浓。其它应与现行《中国药典》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13335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C7693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646CA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4F541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96.45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60286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578.7</w:t>
            </w:r>
          </w:p>
        </w:tc>
      </w:tr>
      <w:tr w14:paraId="35A34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9E556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E298A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菊花</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14307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68419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945E4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67B690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本品为菊科植物菊Chrysanthemum morifolium Ramat.的干燥头状花序。</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3F778C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无枝叶、杂质、虫蛀、霉变。其它应与现行《中国药典》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E55B9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99A06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A9925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364F2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170.79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98F30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5123.7</w:t>
            </w:r>
          </w:p>
        </w:tc>
      </w:tr>
      <w:tr w14:paraId="15369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632CB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A17C3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橘核</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4E5A2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973FB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655C1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CCD0C6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本品为芸香科植物橘Citrus reticulata Blanco 及其栽培变种的干燥成熟种子。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BA15C6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颗粒均匀，饱满，色黄白。应与现行《中国药典》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CB421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1F462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53756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E7806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59.83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08BEB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8974.5</w:t>
            </w:r>
          </w:p>
        </w:tc>
      </w:tr>
      <w:tr w14:paraId="57223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DB03F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04B78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橘红</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90797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CE1FB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BD2DD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5F119C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本品为芸香科植物橘 Citrus reticulata Blanco 及其栽培变种的干燥外层果皮。</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E6F49B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外表面黄棕色或橙红色。其它应与现行《中国药典》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E4F60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401E8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B47E5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7070B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153.83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77109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10306.61</w:t>
            </w:r>
          </w:p>
        </w:tc>
      </w:tr>
      <w:tr w14:paraId="1660D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675E5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7059E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枯矾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6CE28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DA070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明煅</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D230E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块状、颗粒或粉末/（选货）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A030E9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本品为白矾的炮制加工品。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FFC345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呈蜂窝状或细粉。表面白色，有光泽，体轻，质疏松而脆。其它应与现行《中国药典》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F54AB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7287D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61C26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77484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82.64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1EE35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247.92</w:t>
            </w:r>
          </w:p>
        </w:tc>
      </w:tr>
      <w:tr w14:paraId="63FCC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A8CB3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59AB4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宽筋藤</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7586B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A3E36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418D2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0598B8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本品为防己科植物中华青牛胆Tinospora sinensis (Lour.) Merr.的干燥藤茎。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02A4DA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身干、外表面有突起，断面呈菊花纹，有较多针孔（导管）。其他应与《广西壮族自治区中药饮片炮制规范》2007年版相符。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2BE1D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202D2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151C6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DE344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48.03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F2BBF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48.03</w:t>
            </w:r>
          </w:p>
        </w:tc>
      </w:tr>
      <w:tr w14:paraId="25B37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E4C29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5DD80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昆布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C4444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6E54A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漂净</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A510B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FE524B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本品为海带科植物海带Laminaria japonica Aresch. 或翅藻科植物昆布Ecklonia kurome Okam. 的干燥叶状体。</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91199A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呈黑色扁平的叶状。其它应与现行《中国药典》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62B4B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780E6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6860B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3F7D8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100.23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1B1C4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3708.51</w:t>
            </w:r>
          </w:p>
        </w:tc>
      </w:tr>
      <w:tr w14:paraId="40034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5E880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209E3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狼毒</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4F54E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54928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F416B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2DC55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本品为大戟科植物月腺大戟Euphorbia ebracteolata Hayata或狼毒大戟Euphorbia fischeriana Steud的干燥根。春、秋二季采挖，洗净，切片，晒干。</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46A73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月腺大戟  为类圆形或长圆形块片，直径1.5～8cm，厚0.3～4cm。</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B3225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A5F64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174B2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5BF10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185.50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78414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185.5</w:t>
            </w:r>
          </w:p>
        </w:tc>
      </w:tr>
      <w:tr w14:paraId="4D29D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1C99A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072F6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老鹳草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A63E7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2B3C1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02570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D578B8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本品为牻牛儿苗科植物牻牛儿苗Erodium stephanianum Willd.、老鹳草Geranium wilfordii Maxim.或野老鹳草Geranium carolinianum L.的干燥地上部分。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D147D6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色灰绿，叶多、果多，无泥，无根。其它应与现行《中国药典》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827AF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06577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45597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BACD9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52.57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1926E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262.85</w:t>
            </w:r>
          </w:p>
        </w:tc>
      </w:tr>
      <w:tr w14:paraId="15035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E96C9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8D35B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连钱草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8C780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DE662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7341F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225E9C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本品为唇形科植物活血丹Glechoma longituba （Nakai） Kupr. 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CD17C7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叶多，色绿，香气浓。其它应与现行《中国药典》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F7D7F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D58D1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72DCB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53CD3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90.78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9D7D9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90.78</w:t>
            </w:r>
          </w:p>
        </w:tc>
      </w:tr>
      <w:tr w14:paraId="6EB62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04630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4AAC1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两面针</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C4C49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64C45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6C496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厚片或短段/（选货）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68FD57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本品为芸香科植物两面针Zanthoxylum nitidum （Roxb.） DC. 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6B9179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片型均匀，无杂质，其它应与现行《中国药典》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09E76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71350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2A0AB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F4D19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114.70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2B0BF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1720.5</w:t>
            </w:r>
          </w:p>
        </w:tc>
      </w:tr>
      <w:tr w14:paraId="030E3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37373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5C4C7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灵芝片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5287C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C6E50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C443E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03D4AC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本品为多孔菌科真菌赤芝Ganoderma lucidum（Leyss.ex Fr.）Karst.或紫芝Ganoderma sinense Zhao，Xu et Zhang 的干燥子实体。</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4FC26A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皮壳坚硬，有漆样光泽。其它应与现行《中国药典》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1F2F2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1D8F3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EA847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21AC5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195.42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EE45B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195.42</w:t>
            </w:r>
          </w:p>
        </w:tc>
      </w:tr>
      <w:tr w14:paraId="71169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8315D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81A89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羚羊角粉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2C7A4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B8E1D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u w:val="none"/>
                <w:lang w:val="en-US" w:eastAsia="zh-CN" w:bidi="ar"/>
              </w:rPr>
              <w:t>精制饮片</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60613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533A68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本品为牛科动物赛加羚羊Saiga tatarica Linnaeus的角</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93B11D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本品呈长圆锥形，略呈弓形弯曲，长15～33cm；类白色或黄白色，基部稍呈青灰色。</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B2898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42F55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6BB81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65B65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146098.42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C6CCB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1460.9842</w:t>
            </w:r>
          </w:p>
        </w:tc>
      </w:tr>
      <w:tr w14:paraId="3413B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71FB6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ECBEA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刘寄奴</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4EAC1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5233F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4ADDA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B96DF0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本品为菊科植物奇蒿Artemisia anomala S.Moore 的干燥全草。</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DCC000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青绿色短段，应与《广西壮族自治区中药饮片炮制规范》2007年版相符。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24F54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FDA88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0BBC0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8B59F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71.93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13144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71.93</w:t>
            </w:r>
          </w:p>
        </w:tc>
      </w:tr>
      <w:tr w14:paraId="74C9E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5C60B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56668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六神曲</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AC468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86B2C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发酵品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71894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B2F6D5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本品为辣蓼、青蒂、苦杏仁等药味与小麦面粉或麸皮混合后，经发酵而成的曲剂。</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AB27EF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有发酵的特异香气。其它应与《广西壮族自治区中药饮片炮制规范》2007年版相符。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E3DC3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EF136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C2F36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3EC2D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41.86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3D782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4395.3</w:t>
            </w:r>
          </w:p>
        </w:tc>
      </w:tr>
      <w:tr w14:paraId="4F6BE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A91FF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D31C4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龙齿</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8BA72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2849A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9D984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92E5AE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本品为古代哺乳动物如象类、犀牛类、三趾马类等的牙齿化石。</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106ED7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可见具光泽的釉质层，有吸湿性。无臭无味。其它《广西壮族自治区中药饮片炮制规范》2007年版相符。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1E1CC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2D8AD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48939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085C1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2163.01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672C8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21630.1</w:t>
            </w:r>
          </w:p>
        </w:tc>
      </w:tr>
      <w:tr w14:paraId="138EE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DD504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13292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龙眼肉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38178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2FB7A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73C21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038BCD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本品为无患子科植物龙眼Dimocarpus longan Lour.的假种皮。</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BBE0CD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呈囊状或薄片，半透明。味甜。其它应与现行《中国药典》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0C2D0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D0145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9B21D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1EF89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190.16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4119A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1521.28</w:t>
            </w:r>
          </w:p>
        </w:tc>
      </w:tr>
      <w:tr w14:paraId="672CA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3BB8E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66635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芦荟</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93246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46814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8AF86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不规则的块状/(选货)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9EF6CC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本品为百合科植物库拉索芦荟Aloe barbadensis Miller、好望角芦荟Aloe ferox Miller或其他同属近缘植物叶的汁液浓缩干燥物。</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569D6D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色墨绿，质脆，有光泽，苦味，气味浓香。其它应与现行《中国药典》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3A1D5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EE1FB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0000E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4C7E9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239.17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AF70B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717.51</w:t>
            </w:r>
          </w:p>
        </w:tc>
      </w:tr>
      <w:tr w14:paraId="58C9D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FBCE1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6D16C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炉甘石</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E8249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B8F5D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0B79B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617390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本品为碳酸盐类矿物方解石族菱锌矿，主含碳酸锌（ZnCO3）。</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E1E630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本品为块状集合体，呈不规则的块状。</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E9EAC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74F80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7A74B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40E22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167.13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D84E1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167.13</w:t>
            </w:r>
          </w:p>
        </w:tc>
      </w:tr>
      <w:tr w14:paraId="5C849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E05E0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CAC1B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鹿角胶</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003B4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2AE68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固体胶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3607C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方形块或丁状/（选货）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A13B99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本品为鹿角经水煎煮、浓缩制成的固体胶。</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D8E45B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有国药准字，黄棕色或红棕色，半透明。其它应与现行《中国药典》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FD773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4AE94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107AB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E4A9A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4017.03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0C194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4017.03</w:t>
            </w:r>
          </w:p>
        </w:tc>
      </w:tr>
      <w:tr w14:paraId="63F30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BD8B9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BDDE5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鹿角霜</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E9A6D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A84B4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去胶质的角块</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BDC77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EFFEE6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本品为鹿科动物马鹿Cervus elaphus Linnaeus  或梅花鹿Cervus Nippon Temminck  去胶质的角块。</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CE3B83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体轻，质酥，内层有蜂窝状小孔。其它应与现行《中国药典》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820FA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A4638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DE3EA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FA5F3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379.04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2FCFA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11371.2</w:t>
            </w:r>
          </w:p>
        </w:tc>
      </w:tr>
      <w:tr w14:paraId="3F38F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AA387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23A67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鹿茸片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867D9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18050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燎去茸毛</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0F331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A3BB62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本品为鹿科动物梅花鹿Cervus nippon Temminck 或马鹿Cervus elaphus Linnaeus 的雄鹿未骨化密生茸毛的幼角。</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F23C2F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红粉片。质嫩、油润。其它应与现行《中国药典》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BB5C6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95F18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2F78A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20C63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7034.82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65B44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7034.82</w:t>
            </w:r>
          </w:p>
        </w:tc>
      </w:tr>
      <w:tr w14:paraId="3EA09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E8A05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6DF19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鹿衔草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3DC5A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0735A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29E44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段或碎片/（选货）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5116CD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本品为鹿蹄草科植物鹿蹄草Pyrola calliantha H.Andres  或普通鹿蹄草Pyrola decorata H.Andres  的干燥全草。</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05A2B6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叶片紫褐色，无杂质。其它应与现行《中国药典》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61112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D0631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5FEEA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B83D3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146.06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0E548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146.06</w:t>
            </w:r>
          </w:p>
        </w:tc>
      </w:tr>
      <w:tr w14:paraId="74AAC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67635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CD05D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罗布麻叶</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A7452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BBF0D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D56BA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ACB9B4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本品为夹竹桃科植物罗布麻Apocynum venetum L.的干燥叶。</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6E03AC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淡绿色或灰绿色，先端钝，有小芒尖，基部钝圆或楔形，边缘具细齿，常反卷，两面无毛，叶脉于下表面突起；叶柄细，长约4mm。质脆。气微，味淡。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6E9E7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2F8E9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62ECC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BC754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91.76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1B6F7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2936.32</w:t>
            </w:r>
          </w:p>
        </w:tc>
      </w:tr>
      <w:tr w14:paraId="39241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BD55A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FE621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络石藤</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0EA48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03487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F8C7E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AE0364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本品为夹竹桃科植物络石Trachelospermum jasminoides（Lindl.）Lem.的干燥带叶藤茎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9171B3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叶多，色绿。其它应与现行《中国药典》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7A3D7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9982D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E7B5B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B1644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43.49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B0ACE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869.8</w:t>
            </w:r>
          </w:p>
        </w:tc>
      </w:tr>
      <w:tr w14:paraId="70174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35FB9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4D6E1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马齿苋</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71A3F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10B77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D7D9B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8710B6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本品为马齿苋科植物马齿苋Portulaca oleracea  L.的干燥地上部分。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08CDD5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棵小，枝嫩，无老茎叶多色青绿。叶倒卵形，全缘味微酸。其它应与现行《中国药典》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B6971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B6AC9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4524D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A2144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56.41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52A27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56.41</w:t>
            </w:r>
          </w:p>
        </w:tc>
      </w:tr>
      <w:tr w14:paraId="29FB8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349D5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9ACE5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麦芽</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96222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2AEBF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发芽</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325CE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B8BD04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本品为禾本科植物大麦Hordeum vulgare L. 的成熟果实经发芽干燥的炮制加工品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30AC55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色泽均一，出芽率大于85%。其它应与现行《中国药典》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EB2F1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F42C3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C4DA9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307BF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30.66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2857E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4599</w:t>
            </w:r>
          </w:p>
        </w:tc>
      </w:tr>
      <w:tr w14:paraId="39EDB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482AB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11A34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蔓荆子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12E9B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A97CB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3341A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161465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本品为马鞭草科植物单叶蔓荆Vitex trifolia L. var. simplicifolia Cham.或蔓荆Vitex trifolia L.的干燥成熟果实。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D3DAB1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果实饱满，大小均一，香气浓郁。直径0.5~0.6cm。其它应与现行《中国药典》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72077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9D002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4D272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AA4B8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270.30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F6B6A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8109</w:t>
            </w:r>
          </w:p>
        </w:tc>
      </w:tr>
      <w:tr w14:paraId="21325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61124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49CEE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芒硝</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CD2F6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71068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A49CF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块状或颗粒/（选货）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AB58EA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本品为硫酸盐类矿物芒硝族芒硝，经加工精制而成的结晶体。</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4BB6E3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质脆，易碎，断面呈玻璃样光泽。其它应与现行《中国药典》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6E03B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B4A16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F1F95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A4F53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53.52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11747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481.68</w:t>
            </w:r>
          </w:p>
        </w:tc>
      </w:tr>
      <w:tr w14:paraId="71387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72471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E5B95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猫爪草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0025B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B0CC1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AD0E4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E9411E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本品为毛茛科植物小毛茛Ranunculus ternatus Thunb.  的干燥块根。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ABEA11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直径大于0.6cm。杂质不超过2%，无碎爪。其它应与现行《中国药典》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81B11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64837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C786A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76B35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1209.89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DC110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6049.45</w:t>
            </w:r>
          </w:p>
        </w:tc>
      </w:tr>
      <w:tr w14:paraId="26175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67CA7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C4A81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毛冬青</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035EF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《广西壮族自治区壮药质量标准》第二卷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DD5C7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0A496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6C9EA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本品为冬青科植物毛冬青Ilex pubescens Hook．et Arn．的干燥根。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BB08B2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根粗大，黄白色或淡黄棕色。其它应与《广西壮族自治区壮药质量标准》第二卷相符。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41C4D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989DC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67365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D47A9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38.84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AAB06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38.84</w:t>
            </w:r>
          </w:p>
        </w:tc>
      </w:tr>
      <w:tr w14:paraId="73E48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9362B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7C172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密蒙花</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E09B6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E2ECF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806F0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7AB9E7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本品为马钱科植物密蒙花Buddleja officinalis Maxim.  的干燥花蕾和花序。</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CEF9D2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味微苦、辛。色灰 黄、花蕾密聚、茸毛多。其它应与现行《中国药典》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0E28F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387CF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79909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3BDC1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124.79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B8C33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1871.85</w:t>
            </w:r>
          </w:p>
        </w:tc>
      </w:tr>
      <w:tr w14:paraId="51EE4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2AE44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B3FDD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蜜麻黄</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CF22B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68B7B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蜜炙</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E3FF0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844F90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本品为麻黄科植物草麻黄Ephedra sinica Stapf、中麻黄Ephedra intermedia Schrenk et C.A.Mey.  或木贼麻黄Ephedra equisetina Bge.  的干燥草质茎。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124916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粗细均匀，切段长短均匀，木质茎不超过3%。表面微有光泽。有蜜香气，味甜。其它应与现行《中国药典》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1B137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5109C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3108C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58EAC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69.10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2E26D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4146</w:t>
            </w:r>
          </w:p>
        </w:tc>
      </w:tr>
      <w:tr w14:paraId="1127D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5C882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34E5A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磨盘草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A6B09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《广西中药饮片炮制规范》2022年版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A0508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01751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73BEC9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本品为锦葵科植物磨盘草Abutilon indicum (Linn．) Sweet 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BFA5C3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色绿，无杂质、无霉变。其它应与《广西中药饮片炮制规范》2022年版相符。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05326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4B505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A28F9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9143F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68.83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ECC0E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206.49</w:t>
            </w:r>
          </w:p>
        </w:tc>
      </w:tr>
      <w:tr w14:paraId="2CC25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8ACE9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37D83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牡蛎</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5C5F9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5DE44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6BF5C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EF4304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本品为牡蛎科动物长牡蛎Ostrea gigas Thunberg、大连湾牡蛎 Ostrea talienwhanensis Crosse 或近江牡蛎 Ostrea rivularis Gould 的贝壳。</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CF7890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无臭气，无杂质，质硬，断面层状。其它应与现行《中国药典》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E452D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61542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599</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8E708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3C4D6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21.77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8B055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13040.23</w:t>
            </w:r>
          </w:p>
        </w:tc>
      </w:tr>
      <w:tr w14:paraId="5063C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84D10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31F41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木鳖子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CF68B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8849B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2CF85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2EE242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本品为葫芦科植物木鳖Momordica cochinchinensis（Lour.）Spreng. 的干燥成熟种子。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EE7F4B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饱满，外壳无破裂，种仁色黄白。其它应与现行《中国药典》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93A26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FFC2A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990A6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13388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203.72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4C462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203.72</w:t>
            </w:r>
          </w:p>
        </w:tc>
      </w:tr>
      <w:tr w14:paraId="5CFB3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57869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7F397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木蝴蝶</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D0261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CD227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2521C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7F32A9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本品为紫葳科植物木蝴蝶Oroxylum indicum（ L.）Vent.的干燥成熟种子。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2D004D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为蝶形薄片，体轻，表面浅黄白色，翅半透明，有绢丝样光泽。其它应与现行《中国药典》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2EB7F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18D0F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F3986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998A4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176.86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00888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2122.32</w:t>
            </w:r>
          </w:p>
        </w:tc>
      </w:tr>
      <w:tr w14:paraId="76577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73CA5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B065C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木贼</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0BA2B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7DF22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55926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短段/（选货）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B20EDA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本品为木贼科植物木贼Equisetum hyemale L.的干燥地上部分。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8888C4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茎粗、色绿、质厚、不脱节。其它应与现行《中国药典》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2A063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ACBEC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F4F84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2FE97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52.61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E6DCC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157.83</w:t>
            </w:r>
          </w:p>
        </w:tc>
      </w:tr>
      <w:tr w14:paraId="42DCC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6EAAA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4D73C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墓头回</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12F6D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山东省中药材标准　2012年版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D701D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04409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7C84E4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本品为败酱科植物糙叶败酱 Patrinia scabra Bunge 或异叶败酱 Patrinia heterophylla Bunge 的干燥根。秋季采挖，除去残茎，晒干。</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BE8886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糙叶败酱 呈不规则圆柱形，长短不一，常弯曲，直径 0.4～5cm。</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FB2E3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6A53F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0C650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6DB01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186.50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58BD5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1492</w:t>
            </w:r>
          </w:p>
        </w:tc>
      </w:tr>
      <w:tr w14:paraId="66681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607AA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219FF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糯稻根</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CC5C6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350A9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B31CD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40459F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本品为禾本科植物糯稻Oryza sativa L.var.glutinosa Matsum的干燥根及茎基。</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517410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无残茎、无泥沙。根长，体轻，质软。其它应与《广西壮族自治区中药饮片炮制规范》2007年版相符。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5F1E7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602B7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1EDFC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17E9B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83.83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7A30A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83.83</w:t>
            </w:r>
          </w:p>
        </w:tc>
      </w:tr>
      <w:tr w14:paraId="79962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C2B47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CFDED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女贞子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63CC5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DBC2A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F2CA7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1C5E44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本品为木犀科植物女贞Ligustrum lucidum Ait.的干燥成熟果实。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742749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果椭圆形，直径大于0.4cm，饱满、完整。无杂质。其它应与现行《中国药典》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EAECF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D49A4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ED73D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547C8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26.15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B1B93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1359.8</w:t>
            </w:r>
          </w:p>
        </w:tc>
      </w:tr>
      <w:tr w14:paraId="44B0D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3B345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44A14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胖大海</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4F37B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F2908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BA5DE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F6C46E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本品为梧桐科植物胖大海Sterculia lychnophora Hance的干燥成熟种子。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C3F2C2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大小均一，无破粒。其它应与现行《中国药典》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9A898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D041C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FAD68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C5269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538.96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B8157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2694.8</w:t>
            </w:r>
          </w:p>
        </w:tc>
      </w:tr>
      <w:tr w14:paraId="04764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9C16F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4E74D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炮姜</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E45F4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87F06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照炒法用砂烫至鼓起</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5241D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246060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本品为干姜的炮制加工品。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0FF2F7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表面棕黑色或棕褐色，质轻泡，呈不规则膨胀的块状，具指状分枝。其它应与现行《中国药典》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95162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39859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B60B3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78CB7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107.13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F5956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4927.98</w:t>
            </w:r>
          </w:p>
        </w:tc>
      </w:tr>
      <w:tr w14:paraId="6A1A7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C46F4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20BAC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佩兰</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14013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E58D3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6A9D9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D177C0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本品为菊科植物佩兰Eupatorium fortunei Turcz. 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44BA95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叶多、色绿、质嫩、 香气浓。无杂质。其它应与现行《中国药典》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3E0A2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CDAE3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CA72C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6E749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50.76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4C311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1116.72</w:t>
            </w:r>
          </w:p>
        </w:tc>
      </w:tr>
      <w:tr w14:paraId="7FDC2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6D16F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F5103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平贝母</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8BE61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1F44C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29C6D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4C2275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本品为百合科植物平贝母Fritillaria ussuriensis Maxim.的干燥鳞茎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0FCFA5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本品呈扁球形，高0.5～1cm，直径0.6～2cm。表面黄白色至浅棕色。</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6DC79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13AB2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E33BF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43667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355.30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41593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1065.9</w:t>
            </w:r>
          </w:p>
        </w:tc>
      </w:tr>
      <w:tr w14:paraId="6575D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19224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F4ED4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前胡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31F72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D8E04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30A03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6B30A0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本品为伞形科植物白花前胡Peucedanum praeruptorum Dunn的干燥根。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F0F48C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直径大于1.2cm，不规则片不超过5%。其它应与现行《中国药典》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75142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09E06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2CE4D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BCC47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439.19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DF203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6587.85</w:t>
            </w:r>
          </w:p>
        </w:tc>
      </w:tr>
      <w:tr w14:paraId="24442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86430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0C5CC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羌活</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B4E76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2C9A7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07FD5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B858BD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本品为伞形科植物羌活Notopterygium incisum Ting ex H. T. Chang 或宽叶羌活 Notopterygium franchetii H. de Boiss.  的干燥根茎和根。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E9BC78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根茎直径大于1.0cm。香气浓郁。无变色，不走油。其它应与现行《中国药典》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0D88E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4FD30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5FB43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1B1CD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763.71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3B313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19092.75</w:t>
            </w:r>
          </w:p>
        </w:tc>
      </w:tr>
      <w:tr w14:paraId="01D3D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542DC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2980B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青黛</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DD711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27EAB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A2F5C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细粉/（选货）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04D7E9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本品为爵床科植物马蓝Baphicacanthus cusia（Nees）Bremek.、蓼科植物蓼蓝Polygonum tinctorium Ait. 或十字花科植物菘蓝Isatis indigotica Fort. 的叶或茎叶经加工制得的干燥粉末、团块或颗粒。</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04B702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微有草腥气，有国药准字。火烧之呈紫红色火焰。其它应与现行《中国药典》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AC399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F2021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783A0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9D564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346.93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F4338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346.93</w:t>
            </w:r>
          </w:p>
        </w:tc>
      </w:tr>
      <w:tr w14:paraId="7EF83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DC959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EBE99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青蒿</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7AE67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9C6B8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85339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ACAF7D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本品为菊科植物黄花蒿Artemisia annua L. 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AC882B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色绿、质嫩、叶多、香气 浓郁。其它应与现行《中国药典》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0E74C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96802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73D1A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C5827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34.87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2AFBC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523.05</w:t>
            </w:r>
          </w:p>
        </w:tc>
      </w:tr>
      <w:tr w14:paraId="1A68C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D3DA0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E1BC9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青皮</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1AABD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8B157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6493C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细丝/（选货）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D81FC7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本品为芸香科植物橘Citrus reticulata Blanco 及其栽培变种的干燥幼果或未成熟果实的果皮。</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05E1A6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皮黑绿色、内面黄白色、香气浓.切丝。其它应与现行《中国药典》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C9982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A910E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3B84D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D554D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51.02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EC155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1122.44</w:t>
            </w:r>
          </w:p>
        </w:tc>
      </w:tr>
      <w:tr w14:paraId="19C31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FE886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968C5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青葙子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2F105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99A1B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03064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C73FA2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本品为苋科植物青葙Celosia argentea L. 的干燥成熟种子。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F43D8C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粒饱满、色 黑、光亮。其它应与现行《中国药典》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31D32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87D1E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F0198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FEFA8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242.21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7958E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1695.47</w:t>
            </w:r>
          </w:p>
        </w:tc>
      </w:tr>
      <w:tr w14:paraId="3D33A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AB0D0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6CF36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人参片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5FB75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B523C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25F4C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9C089A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本品为五加科植物人参Panax ginseng C. A. Mey. 的干燥根和根茎。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5994D2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直径大于1.2cm，厚薄均匀，特异性香气明显。其它应与现行《中国药典》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7EAC8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13A35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2101C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100D5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1221.56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C92B5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6107.8</w:t>
            </w:r>
          </w:p>
        </w:tc>
      </w:tr>
      <w:tr w14:paraId="360D3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5BF20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EE5CF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肉豆蔻</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5647C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5F238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D2AD9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FB67E2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本品为肉豆蔻科植物肉豆蔻Myristica fragrans Houtt.的干燥种仁。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2C0F97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形如肉豆蔻，表面为棕褐色，有裂隙。气香，味辛。其它应与现行《中国药典》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00DEA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471D0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58E53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F5F91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245.63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FEAE6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7368.9</w:t>
            </w:r>
          </w:p>
        </w:tc>
      </w:tr>
      <w:tr w14:paraId="58530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163F8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44EA6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肉桂</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0EE2A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98F9A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E4665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89291D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本品为樟科植物肉桂Cinnamomum cassia Presl的干燥树皮。</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07EB8C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刮去粗皮，气香浓烈，味甜、辣。厚度大于0.4cm。其它应与现行《中国药典》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653F9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B1E16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C82F0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EF72D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90.52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BE2F7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16293.6</w:t>
            </w:r>
          </w:p>
        </w:tc>
      </w:tr>
      <w:tr w14:paraId="5E886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E3695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A374A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1E6A6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13D6C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9B908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2BCAEB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本品为五加科植物三七Panax notoginseng （ Burk.） F. H. Chen的干燥根和根茎。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263756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（500克）60~69个三七。色偏灰白，特异性香气明显。《广西壮族自治区中药饮片炮制规范》2007版相符。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1AD2F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5B684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C41BB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28E1A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533.05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6760D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533.05</w:t>
            </w:r>
          </w:p>
        </w:tc>
      </w:tr>
      <w:tr w14:paraId="2A5E8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6F138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75092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三七粉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F6A83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4AA68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870F8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细粉</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921E82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本品为五加科植物三七Panax notoginseng （ Burk.） F. H. Chen的干燥根和根茎的炮制加工品。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97A632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灰白色或灰黄色粉末，气微，味苦回甜。其它应与现行《中国药典》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5A514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EE5BC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6D350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CD6CA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505.12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5B07B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505.12</w:t>
            </w:r>
          </w:p>
        </w:tc>
      </w:tr>
      <w:tr w14:paraId="5146A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B7219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1E644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桑白皮</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F5E39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35617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0F697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C7AA1D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本品为桑科植物桑Morus alba L.的干燥根皮。</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114C2C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内表面黄白色或灰黄色，质柔韧，无棕黄色鳞片状粗皮，异形片不超过5%。其它应与现行《中国药典》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683E5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0FBED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79928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5F563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149.12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3C658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3280.64</w:t>
            </w:r>
          </w:p>
        </w:tc>
      </w:tr>
      <w:tr w14:paraId="4B54E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BDD98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A04B3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桑寄生</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89394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74D9B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50E83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77E801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本品为桑寄生科植物桑寄生Taxillus chinensis（DC.）Danser的干燥带叶茎枝。</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302DAA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枝细质嫩、色红褐、叶多者为佳。其余应与现行《中国药典》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98EC2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62572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AB710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6BC14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63.37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37D8C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5703.3</w:t>
            </w:r>
          </w:p>
        </w:tc>
      </w:tr>
      <w:tr w14:paraId="55072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4D97D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E8358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山慈菇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A9FBC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20089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6CC75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C56865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本品为兰科植物杜鹃兰Cremastra appendiculata（D.Don）Makino、独蒜兰Pleione bulbocodioides（Franch.）Rolfe或云南独蒜兰Pleione yunnanensis Rolfe的干燥假鳞茎。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C4B97A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体饱满，无干瘪，嚼之粘性大，膨大部直径大于1.2cm。其它应与现行《中国药典》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 xml:space="preserve">年版相符。             </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7D22C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AE752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ED790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07A19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7842.35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0038E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7842.35</w:t>
            </w:r>
          </w:p>
        </w:tc>
      </w:tr>
      <w:tr w14:paraId="54F00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3B446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19E48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肾茶</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49F67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《广西壮族自治区壮药质量标准》第二卷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3EB3B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533DB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0769D5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本品为唇形科植物肾茶Clerodendranthus spicatus (Thunb．) C．Y．Wu ex H．W．Li 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69B17A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叶片黄绿色，无杂质。其它应与《广西壮族自治区壮药质量标准》第二卷相符。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34EDC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83F83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7D5F6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A128A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60.83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FA0B8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547.47</w:t>
            </w:r>
          </w:p>
        </w:tc>
      </w:tr>
      <w:tr w14:paraId="119CE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EB273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68A7B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升麻</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96BA3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C4098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8DD35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5E60D7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本品为毛茛科植物大三叶升麻Cimicifuga heracleifolia Kom.、兴安升麻Cimicifuga dahurica（Turcz.）Maxim.或升麻Cimicifuga foetida L.的干燥根茎。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25E9A0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饮片中径大于2.5cm。其它应与现行《中国药典》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87B5F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38613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B8156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3BD2E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339.28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ED892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25446</w:t>
            </w:r>
          </w:p>
        </w:tc>
      </w:tr>
      <w:tr w14:paraId="653F0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87F85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4483D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生蒲黄</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6B8CD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F48A4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3E858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细粉/（选货）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C8433E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本品为香蒲科植物水烛香蒲Typha angustifolia L.、东方香蒲Typha orientalis Presl或同属植物的干燥花粉。</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BF5C6D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色鲜黄，粉细，有滑腻感，体轻，放水中则飘浮水面。其它应与现行《中国药典》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444EF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0C466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4E6B2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7AB09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195.00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D2D9E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23400</w:t>
            </w:r>
          </w:p>
        </w:tc>
      </w:tr>
      <w:tr w14:paraId="75B9B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13443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6294B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生晒参</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DDE97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14CD4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2A3C3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976F13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本品为五加科植物人参Panax ginseng C. A. Mey. 的干燥根和根茎。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5C819E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直径大于1.2cm，厚薄均匀，特异性香气明显。其它应与现行《中国药典》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F1222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0AEDE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AD6FF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B1083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1137.89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BAE7B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38688.26</w:t>
            </w:r>
          </w:p>
        </w:tc>
      </w:tr>
      <w:tr w14:paraId="2B21B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9C91E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CCC6E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石榴皮</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90F78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DBB48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43E85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宽丝或块状/（选货）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B81AA6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本品为石榴科植物石榴Punica granatum L.的干燥果皮。</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5C77D9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皮厚，色红棕、整洁，内表面黄色，含红棕色不超过2%。其它应与现行《中国药典》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8526F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FE84F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3910B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55A08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50.48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96CF9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2624.96</w:t>
            </w:r>
          </w:p>
        </w:tc>
      </w:tr>
      <w:tr w14:paraId="37A22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37D79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EF982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石韦</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30C66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5360F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2CBA1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E92FF6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本品为水龙骨科植物庐山石韦Pyrrosia sheareri (Bak.）Ching、石韦Pyrrosia lingua（Thunb.）Farwell或有柄石韦Pyrrosia petiolosa（Christ）Ching的干燥叶。</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B27EE1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杂质 不得过3%。叶 厚布有孢子囊群。其它应与现行《中国药典》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D1E0C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C333C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C33CF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229BD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109.80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18743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768.6</w:t>
            </w:r>
          </w:p>
        </w:tc>
      </w:tr>
      <w:tr w14:paraId="2194E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124F0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35880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水飞蓟</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01121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8C130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813AD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B6EDD5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本品为菊科植物水飞蓟Silybum marianum（L.）Gaertn.的干燥成熟果实。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2635A8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粒大饱满，色黑褐。其它应与现行《中国药典》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97B88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6F28A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8C483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9D4E1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106.60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0EC1B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106.6</w:t>
            </w:r>
          </w:p>
        </w:tc>
      </w:tr>
      <w:tr w14:paraId="102FC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FC46E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6BBDC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水杨梅</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4D8A9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《北京中药材标准》1998年版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08F3F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FF4DE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F44DF2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本品为蔷薇科植物水杨梅Geum aleppicum Jacq的干燥地上部分。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1AFBBD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茎扁圆柱形，中空，表面淡绿色或棕黄色，具稀疏的灰白色绒毛，羽状复叶多破碎。其它应与《北京中药材标准》1998年版相符。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227CB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52EEA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6BA1C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0B360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126.00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412ED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w:t>
            </w:r>
          </w:p>
        </w:tc>
      </w:tr>
      <w:tr w14:paraId="6AD18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CAD8C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2209C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丝瓜络</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6C416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85B6D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除去残留种子及外皮</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A797C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6EF3EB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本品为葫芦科植物丝瓜Luffa cylindrica（L.）Roem.的干燥成熟果实的维管束。</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F2AB76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表面黄白色，色泽均一，横切面可见子房3室，呈空洞状。其它应与现行《中国药典》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596F5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39AA2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8037B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D174B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235.97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97FEF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3539.55</w:t>
            </w:r>
          </w:p>
        </w:tc>
      </w:tr>
      <w:tr w14:paraId="75B4E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43FAE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CE14A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苏木</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81A41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9FB2C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093F9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74C80D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本品为豆科植物苏木Caesalpinia sappan L. 的干燥心材。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AB60C6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心材，呈长片状，表面黄红色至棕红色，质坚硬。其它应与现行《中国药典》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28D59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BB1F6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9AA14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E1ADB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63.78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A6EB2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318.9</w:t>
            </w:r>
          </w:p>
        </w:tc>
      </w:tr>
      <w:tr w14:paraId="35620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36579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93D48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素馨花</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D8BC2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608C0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96D15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547E90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本品为木犀科植物素馨花JasminmofficinaleL.var.grandiflorua (L)Stokes的干燥花蕾。</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0506F8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表面金黄色或淡黄褐色，质稍脆，遇潮变软。气香。其它应与《广西壮族自治区中药饮片炮制规范》2007年版相符。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4BDD6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2E46B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23B4F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9AF07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3108.45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4469A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15542.25</w:t>
            </w:r>
          </w:p>
        </w:tc>
      </w:tr>
      <w:tr w14:paraId="3ADFE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516B2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E7176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锁阳</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A646F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32456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BE376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AB0B9E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本品为锁阳科植物锁阳Cynomorium songaricum Rupr.的干燥肉质茎。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C39A4B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直径大于1.5cm，片形较均匀，无碎片。其它应与现行《中国药典》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03AD0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995CA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11245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16999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357.91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2A655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6442.38</w:t>
            </w:r>
          </w:p>
        </w:tc>
      </w:tr>
      <w:tr w14:paraId="2D65A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55CDE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C2153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藤梨根</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6EDC6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《北京市中药饮片炮制规范》2008年版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E94CC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EBBAF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38FD59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猕猴桃科中华猕猴桃 Actinidia chinensis Planch. 或硬毛猕猴桃 Actinidia chinensis Planch.var. hispida C. F. Liang. 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02380F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本品呈圆柱形，略弯曲，长短不一，直径 1.5～4cm。表面黄棕色或棕褐色，具纵沟和横裂纹，皮部常断裂而露出木部，粗糙，偶见残留侧根。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0710E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3421D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3B956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82FF3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67.43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8D9C9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67.43</w:t>
            </w:r>
          </w:p>
        </w:tc>
      </w:tr>
      <w:tr w14:paraId="31F28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7E460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B77A4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天冬</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AEE37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3467C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988E3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77E842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本品为百合科植物天冬Asparagus cochinchinensis（Lour.）Merr.的干燥块根。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DC65DE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饮片中茎大于0.8cm，大小均一，无外皮残留，无白心。其它应与现行《中国药典》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9F491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C6883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153DD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86A42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285.72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DAF92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4285.8</w:t>
            </w:r>
          </w:p>
        </w:tc>
      </w:tr>
      <w:tr w14:paraId="41B17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845E5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87E41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天麻</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FD195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7A08A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900C0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0875B5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本品为兰科植物天麻Gastrodia elata Bl.的干燥块茎。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185BFA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冬麻，1~2毫米半透明薄片，大小均一，点状环纹明显，切面无白心无残茎无黑片，横切片，最窄直径大于1.5cm。其它应与《广西壮族自治区中药饮片炮制规范》2007版相符。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6516E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D592F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57771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B064D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612.86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75138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24514.4</w:t>
            </w:r>
          </w:p>
        </w:tc>
      </w:tr>
      <w:tr w14:paraId="5ABB1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38CCD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55A4E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通草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13472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DA33F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43223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6B8108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本品为五加科植物通脱木Tetrapanax papyrifer（Hook.）K. Koch的干燥茎髓。</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1FC64A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直径大于1.5cm，色白，无碎片。其它应与现行《中国药典》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F1CE6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F5193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D23DE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179C6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1747.70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A6C56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3495.4</w:t>
            </w:r>
          </w:p>
        </w:tc>
      </w:tr>
      <w:tr w14:paraId="6FA1B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9B225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054E0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透骨草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AA93A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广西中药材标准第二册</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B0EA1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58407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20A02C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本品为毛茛科植物黄花铁线莲Clematis intricata Bunge的干燥全草。</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3EDCAB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无杂质，灰绿色，气微。</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594A7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34FA0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4E70C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2C245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77.53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39610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387.65</w:t>
            </w:r>
          </w:p>
        </w:tc>
      </w:tr>
      <w:tr w14:paraId="3199E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9788A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A7922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瓦楞子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847B6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11AC5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5CED0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碎块或粉末/（选货）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EDCB90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本品为蚶科动物毛蚶Arca subcrenata Lischke、泥蚶Arca granosa Linnaeus或魁蚶Arca inflata Reeve的贝壳。</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1E5665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无臭味，放射肋线明显。其它应与现行《中国药典》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5C24A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88D92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BE55F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52A7C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20.61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AC178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1854.9</w:t>
            </w:r>
          </w:p>
        </w:tc>
      </w:tr>
      <w:tr w14:paraId="726F2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4EBEF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31787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乌药</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38D45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89FE3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B2CCE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3B9D4B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本品为樟科植物乌药Lindera aggregata（Sims）Kos-term.的干燥块根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34382F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粉质片大于80%。大小均一，气香，有清凉感。直径小于2cm。其它应与现行《中国药典》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722D3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87745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97FB3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DE070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91.69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DA1CC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9627.45</w:t>
            </w:r>
          </w:p>
        </w:tc>
      </w:tr>
      <w:tr w14:paraId="429FF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76812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0508E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无名异</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92D0B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8F6DA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1FD20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碎块或粉末/（选货）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1CF780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本品为氧化物类矿物软锰矿Pyrolusite的矿石，主含二氧化锰(MnO₂)。</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1C50CD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粒大，形圆，色黑，无杂质。其它应与《广西壮族自治区中药饮片炮制规范》2007年版相符。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86FC0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7ABA3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3B36B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08CD2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73.33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70DA3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73.33</w:t>
            </w:r>
          </w:p>
        </w:tc>
      </w:tr>
      <w:tr w14:paraId="2CEE0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DEFB5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8F370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蜈蚣</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FE412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EEDD9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58D9B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47C398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本品为蜈蚣科动物少棘巨蜈蚣Scolopendra subspinipes mutilans L. Koch的干燥体。</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DC11B3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扁平长条形，体长约15cm，其它应与现行《中国药典》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4722F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75099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93C2D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0BF33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13.20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E13B6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3168</w:t>
            </w:r>
          </w:p>
        </w:tc>
      </w:tr>
      <w:tr w14:paraId="0665E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3D7E3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6302A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五指毛桃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597C9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《广西壮族自治区壮药质量标准》第二</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0F715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863FA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厚片/横切/（选货）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D85270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本品为桑科植物粗叶榕Ficus hirta Vahl的干燥根。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BA3DCB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气微香特异，味微甘。其它应与《广西壮族自治区壮药质量标准》第二卷相符。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D7A82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B031D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C2295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7B11E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183.34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23F58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22000.8</w:t>
            </w:r>
          </w:p>
        </w:tc>
      </w:tr>
      <w:tr w14:paraId="7D30A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EB626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AFEFA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西青果</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7E019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37D4F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B655B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AB9E76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本品为使君子科植物诃子Terminalia chebula Retz.的干燥幼果。</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EC0E9E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个均匀，质坚实，断面无空心,有胶质样光泽，。其它应与现行《中国药典》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F2414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044CD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F59D5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D6385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116.65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C87FC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349.95</w:t>
            </w:r>
          </w:p>
        </w:tc>
      </w:tr>
      <w:tr w14:paraId="36AB1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6001B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D8DD4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豨莶草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4BD5E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92F06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09481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9FE353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本品为菊科植物豨莶Sigesbeckia orientalis L.、腺梗豨莶Sigesbeckia pubescens Makino或毛梗豨莶Sigesbeckia glabrescens Makino的干燥地上部分。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EDB115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叶多、枝嫩、色深绿。无杂质。其它应与现行《中国药典》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45FF3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2FCCA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4960B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5E9CA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41.72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59940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41.72</w:t>
            </w:r>
          </w:p>
        </w:tc>
      </w:tr>
      <w:tr w14:paraId="3262C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94AA6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FC144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细辛</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918A2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B0658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D6295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E5E874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本品为马兜铃科植物北细辛Asarum heterotropoides Fr. Schmidt var. mandshuricum (Maxim.)Kitag.、汉城细辛Asarum sieboldii Miq.var.seoulense Nakai或华细辛Asarum sieboldii Miq.的干燥根和根茎。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F1322A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根茎直径0.1~0.3cm，根茎占比小于10%，与现行《中国药典》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DF746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27788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DD320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3AB50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1428.06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17412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92823.9</w:t>
            </w:r>
          </w:p>
        </w:tc>
      </w:tr>
      <w:tr w14:paraId="7B9A6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A1A7F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A8CBF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仙茅</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9B371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2411B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99081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1E7198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本品为石蒜科植物仙茅Curculigo orchioides Gaertn.的干燥根茎。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DE1D75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气微香，味微苦、辛。其它应与现行《中国药典》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390CD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69517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7B110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B5449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456.47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84955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13694.1</w:t>
            </w:r>
          </w:p>
        </w:tc>
      </w:tr>
      <w:tr w14:paraId="7FC9D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6C746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B525D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香薷</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4B1E9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F8B3B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E40F4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94537B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本品为唇形科植物石香薷Mosla chinensis Maxim.或江香薷Mosla chinensis‘Jiangxiangru’的干燥地上部分。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793FC2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穗多、质嫩、叶青绿色、香气浓。其它应与现行《中国药典》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C1650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5B44B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48E31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B2510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51.44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E621B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51.44</w:t>
            </w:r>
          </w:p>
        </w:tc>
      </w:tr>
      <w:tr w14:paraId="439A8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1C5AF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B3D01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硝石</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C67CF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湖北省中药材质量标准　2018年版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6E3A7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晶体</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A6261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B19491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斜方晶系矿物硝石经加工炼制而成的结晶体，主含硝酸钾（KNO₃）</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8FE375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不规则的柱状晶体或晶状粉末，白色或类白色，较透明。质脆，碎断面具玻璃样光泽。</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F2818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D29AC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E7B42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D2746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174.25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2D25B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348.5</w:t>
            </w:r>
          </w:p>
        </w:tc>
      </w:tr>
      <w:tr w14:paraId="4080F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1ECFA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1516B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小茴香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77A6F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E34C9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072E8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9D5179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本品为伞形科植物茴香Foeniculum vulgare Mill.的干燥成熟果实。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551A60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表面黄绿色或淡黄色颗粒均匀、饱满。其它应与现行《中国药典》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6DBD1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092D0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28168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88CCE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63.63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9FE7B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9544.5</w:t>
            </w:r>
          </w:p>
        </w:tc>
      </w:tr>
      <w:tr w14:paraId="1C9AB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B200C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13B62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小蓟</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B5894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5C70D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6EEAD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642585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菊科植物刺儿菜 Cirsium setosum（Willd.）MB. 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45D958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本品茎呈圆柱形，有的上部分枝，长 5～30cm，直径 0.2～0.5cm；表面灰绿色或带紫色，具纵棱及白色柔毛；质脆，易折断，断面中空。</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682B3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919E8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38F27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F864E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38.81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D53BA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1047.87</w:t>
            </w:r>
          </w:p>
        </w:tc>
      </w:tr>
      <w:tr w14:paraId="475B3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2D5A8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4B97E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小叶金花草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B5B50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《广西中药材标准》第二册</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69975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2B6A7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6FDF09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本品为中国厥科植物野鸡尾Onychium japonlcum (Thunb.)Kze.的干燥全草。</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49661A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叶淡黄绿色。其它应与《广西中药材标准》第二册相符。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A632A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535B5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18B3F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A1818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152.80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F295B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1222.4</w:t>
            </w:r>
          </w:p>
        </w:tc>
      </w:tr>
      <w:tr w14:paraId="058FB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35528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66009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薤白</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87D38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84C96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3F554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C84DAB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本品为百合科植物小根蒜Allium macrostemon Bge.或薤Allium chinense G. Don的干燥鳞茎。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3F8649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直径大于1.0cm，颜色均匀，大小均一，蒜臭味明显，无杂质。其它应与现行《中国药典》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92D4B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AFBFA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C628E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FC046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174.32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3C9E4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14294.24</w:t>
            </w:r>
          </w:p>
        </w:tc>
      </w:tr>
      <w:tr w14:paraId="7AA7F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1EDA0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86BE2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辛夷</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994AC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12788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CEA50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2BC702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本品为木兰科植物望春花Magnolia biondii Pamp.、玉兰 Magnolia denudata Desr. 或武当玉兰 Magnolia sprengeri Pamp. 的干燥花蕾。</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F66FF7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直径大于1.0cm，完整无破碎，灰绿色，无花梗。其它应与现行《中国药典》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B78D5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798AB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DEEDF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11F82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387.43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4B22A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34868.7</w:t>
            </w:r>
          </w:p>
        </w:tc>
      </w:tr>
      <w:tr w14:paraId="23F99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97F04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485B7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新疆紫草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6D7E3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F86DA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B1E1E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厚片或段/（选货）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9448C2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本品为紫草科植物新疆紫草Arnebia euchroma（Royle） Johnst.的干燥根。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C6B6D4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新疆紫草，色紫红，质松软。无毛头，无杂质碎屑。其它应与现行《中国药典》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3A1E2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328D9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CE5F3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6764A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1415.08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5A021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4245.24</w:t>
            </w:r>
          </w:p>
        </w:tc>
      </w:tr>
      <w:tr w14:paraId="1E5A2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C7A0F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7957F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雄蚕蛾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81871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B14B9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EA4F4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F47DF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本品为蚕蛾科昆虫家蚕 Bombyx mori L的雄性成虫干燥虫体，捕捉成虫后，置沸水中烫死，除去翅、足和鳞毛，干燥。</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A54B8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本品略呈圆柱形或圆锥形，多数弯曲皱缩。长12~20mm,直径3~6mm。</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2A2EE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FF75B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1A7B5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E9F78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149.33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048D6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149.33</w:t>
            </w:r>
          </w:p>
        </w:tc>
      </w:tr>
      <w:tr w14:paraId="1E0BC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28F65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9C893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徐长卿</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07568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8A3A7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31D52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60EEA1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本品为萝藦科植物徐长卿Cynanchum paniculatum（Bge.）Kitag.的干燥根和根茎。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B71EF7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质脆，气香，味微辛凉。其它应与现行《中国药典》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4B5DF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79530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50B2A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1B0A2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181.20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5EB25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1087.2</w:t>
            </w:r>
          </w:p>
        </w:tc>
      </w:tr>
      <w:tr w14:paraId="42AB6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6EFCA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49717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血竭</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893CC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043A3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A6E43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细末/（选货）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F2A2D3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本品为棕榈科植物麒麟竭Daemonorops draco Bl.果实渗出的树脂经加工制成。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48F05F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无杂质，研粉为砖红色。其它应与现行《中国药典》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9EDA2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4325B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03FDD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01AE3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2747.28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9A040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2747.28</w:t>
            </w:r>
          </w:p>
        </w:tc>
      </w:tr>
      <w:tr w14:paraId="30818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84605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FBE50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血余炭</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BBBF0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A9227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煅炭</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0A646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9D1394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本品为人发制成的炭化物。</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44A34B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体轻、色黑、光亮。其它应与现行《中国药典》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1D6B0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2FDB5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5D923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8289E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134.39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6F27A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806.34</w:t>
            </w:r>
          </w:p>
        </w:tc>
      </w:tr>
      <w:tr w14:paraId="35373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884DF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18D8B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盐续断</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ADC7C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C75C8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盐炙</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1D568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99A13C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本品为川续断科植物川续断Dipsacus asper Wall. ex Henry的干燥根。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7CD844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直径大于0.8cm，表面黑褐色、味微咸。其它应与现行《中国药典》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577FD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6EA1E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77B9B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03903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109.74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1731C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16461</w:t>
            </w:r>
          </w:p>
        </w:tc>
      </w:tr>
      <w:tr w14:paraId="24381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CADC5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0245F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盐益智仁</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B9DB9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A39EA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盐炙</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207F2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D05B9F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本品为姜科植物益智Alpinia oxyphylla Miq.的干燥成熟果实。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736EAC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种仁饱满，无瘪子，无走油，杂质即壳不超过2%。其它应与现行《中国药典》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628F1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0920D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6026E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8A059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405.97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4EBED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20298.5</w:t>
            </w:r>
          </w:p>
        </w:tc>
      </w:tr>
      <w:tr w14:paraId="69469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B8DA4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7E83C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夜明砂</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A8DA9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山东省中药材标准　2012年版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9D467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1C318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A00ABC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蝙蝠科动物蝙蝠 Vespertilio superans Thomas 等多种蝙蝠的干燥粪便</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22431A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长椭圆形颗粒，两头微尖，长 5~7mm，直径约 2mm。</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A0173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F6E29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9547D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35017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78.83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F7083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78.83</w:t>
            </w:r>
          </w:p>
        </w:tc>
      </w:tr>
      <w:tr w14:paraId="63A14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AA3DF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EA8C0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一枝黄花</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37A01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0ADE5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1C8CD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DEE7E4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菊科植物一枝黄花 Solidago decurrens Lour. 的干燥全草。秋季花果期采挖，除去泥沙，晒干。</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761912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本品长 30～100cm。根茎短粗，簇生淡黄色细根。茎圆柱形，直径 0.2～0.5cm；</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BF069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6A568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1F5AF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0F470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189.17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D3147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945.85</w:t>
            </w:r>
          </w:p>
        </w:tc>
      </w:tr>
      <w:tr w14:paraId="5FFDD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E7FDE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F797F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茵陈</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F7FD5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CE349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搓碎或切碎</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3E371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9F95C1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本品为菊科植物滨蒿Artemisia scoparia Waldst.et Kit.或茵陈蒿Artemisia capillaris Thunb.的干燥地上部分。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7CB53D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绵茵陈。无残根，无灰尘，无杂质，气清香。其它应与现行《中国药典》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EAE55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26143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C1DE8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017AF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80.04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90B72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2401.2</w:t>
            </w:r>
          </w:p>
        </w:tc>
      </w:tr>
      <w:tr w14:paraId="3D265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F1422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B6D8E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银杏叶</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D5FEB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DBAB7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D87C7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C7D088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本品为银杏科植物银杏Ginkgo biloba L.  的干燥叶。</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959BF3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叶片完整，色黄绿，质厚。其它应与现行《中国药典》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F1FD7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15FF1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B2ECD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68110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68.56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43565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411.36</w:t>
            </w:r>
          </w:p>
        </w:tc>
      </w:tr>
      <w:tr w14:paraId="30379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43B1E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CBEA5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淫羊藿</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A0257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A7146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5C808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丝片状/（选货）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CC566F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本品为小檗科植物淫羊藿Epimedium brevicornu Maxim. 、箭叶淫羊藿Epimedium sagittatum（Sieb. et Zucc.）Maxim. 、柔毛淫羊藿Epimedium pubescens Maxim.  或朝鲜淫羊藿Epimedium koreanum Nakai的干燥叶。</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28EDD6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叶色绿，茎、柄不超过3%。其它应与现行《中国药典》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A7C16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B9797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1EAB0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1430F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537.96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37232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37657.2</w:t>
            </w:r>
          </w:p>
        </w:tc>
      </w:tr>
      <w:tr w14:paraId="0262B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D28F9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FC37F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郁金</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CDC88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39C7F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AE9E4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395C74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本品为姜科植物温郁金Curcuma wenyujin  Y. H. Chen et C. Ling、姜黄Curcuma Longa L. 、广西莪术Curcuma kwangsiensis  S. G. Lee et C. F. Liang 或蓬莪术Curcuma phaeocaulis  Val. 的干燥块根。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D1807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直径大于1.2cm，中心片，偶有边片，破碎率不超过5%。其它应与现行《中国药典》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AFC10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E2BC3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443A5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0F309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90.57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21EEB8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10868.4</w:t>
            </w:r>
          </w:p>
        </w:tc>
      </w:tr>
      <w:tr w14:paraId="3DF9D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BE715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CFE0B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皂角刺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D8072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0EA9A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064E2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D183AE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本品为豆科植物皂荚Gleditsia sinensis Lam. 的干燥棘刺。</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B38B6C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直径大于0.4cm。粗细均匀。其它应与现行《中国药典》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F5518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75C8C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09C0A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01E8B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163.40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F8674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12255</w:t>
            </w:r>
          </w:p>
        </w:tc>
      </w:tr>
      <w:tr w14:paraId="00B79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DDC5C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38721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樟脑</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E79FC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版二部</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341D1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天然白色结晶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26301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粉末、块/（选货）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5B730D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本品为（1RS，4RS）-1，7，7-三甲基二环[2.2.1]庚烷-2-酮，用化学合成法制得。含C10H16O不少于96.0%。</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35588C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白色结晶性粉末。其它应与现行《中国药典》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年版二部相符。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A844F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B3470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DE59C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A9F81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380.83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6FA28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1142.49</w:t>
            </w:r>
          </w:p>
        </w:tc>
      </w:tr>
      <w:tr w14:paraId="179D1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4D57F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A3AC3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赭石</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067B7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9A4C1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80C2D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碎块/（优货）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B98391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本品为氧化物类矿物刚玉族赤铁矿，主含三氧化二铁（Fe2O3）。</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11E050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色棕红，断面呈叠状，有钉头。其它应与现行《中国药典》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3FB81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3A1E6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EA7B1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20645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26.97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83F70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2022.75</w:t>
            </w:r>
          </w:p>
        </w:tc>
      </w:tr>
      <w:tr w14:paraId="083D1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BA7A6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A29C3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浙贝母</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DF25C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80F36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8EFBA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628692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本品为百合科植物浙贝母Fritillaria thunbergii Miq.的干燥鳞茎。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3C2966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长大于2.0cm，宽大于1.2cm；颜色较均匀，无黑片，无碎片。其它应与现行《中国药典》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85BFA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5A9C5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5CA98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7BF24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451.29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898CE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45129</w:t>
            </w:r>
          </w:p>
        </w:tc>
      </w:tr>
      <w:tr w14:paraId="1BBAF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16BBB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FAD2C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珍珠粉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62C40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12615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粉末</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3B917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88833C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本品为珍珠贝科动物马氏珍珠贝Pteria martensii（Dunker）、蚌科动物三角帆蚌Hyriopsis cumingii（Lea）或褶纹冠蚌Cristaria plicata（Leach）等双壳类动物受刺激形成的珍珠</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C864BB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本品呈类球形、长圆形、卵圆形或棒形，直径1.5～8mm。表面类白色、浅粉红色、浅黄绿色或浅蓝色，半透明，光滑或微有凹凸，具特有的彩色光泽。质坚硬，破碎面显层纹。气微，味淡。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6FEE6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2D178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11210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A4597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897.78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DB575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897.78</w:t>
            </w:r>
          </w:p>
        </w:tc>
      </w:tr>
      <w:tr w14:paraId="7CF32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2120E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28D46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珍珠母</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77F00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786B5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CB55A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706388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本品为蚌科动物三角帆蚌Hyriopsis  cumingii（Lea）、褶纹冠蚌Cristaria  p1icata（leach）或珍珠贝科动物马氏珍珠贝Pteria  martensii（Dunker）的贝壳。</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39D390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色白、内面有光泽。无异味。其它应与现行《中国药典》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48EC0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C5695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58CEA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A4626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29.31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253C7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439.65</w:t>
            </w:r>
          </w:p>
        </w:tc>
      </w:tr>
      <w:tr w14:paraId="42831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0BFD7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0FB44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知母</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279EB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EFA18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54623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F26A0A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本品为百合科植物知母Anemarrhena asphodeloides Bge. 的干燥根茎。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387FDA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大小均一，无须根，毛屑。直径大于1.2cm；碎片不得超过3%。其它应与现行《中国药典》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EF16D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FF3AA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05F6A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38EA9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112.90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456CA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5080.5</w:t>
            </w:r>
          </w:p>
        </w:tc>
      </w:tr>
      <w:tr w14:paraId="5E7A4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95758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D3679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栀子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938E5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53E0B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818D6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个子/碾碎/（选货）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B9DA74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本品为茜草科植物栀子Gardenia jasminoides Ellis的干燥成熟果实。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7B834A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大小均匀，饱满、完整，表面红色。其它应与现行《中国药典》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8D2EC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BD6FA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F795C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9EBC9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171.84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CA0DE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6186.24</w:t>
            </w:r>
          </w:p>
        </w:tc>
      </w:tr>
      <w:tr w14:paraId="6484C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C70FC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73680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枳壳</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D72D4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6AD20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B5AA7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687CB6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本品为芸香科植物酸橙Citrus  aurantium L.及其栽培变种的干燥未成熟果实。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65A8AE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中果皮厚度大于0.4cm，边片不超过5%。其它应与现行《中国药典》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42C9C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888EB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5FA27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E3B61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73.24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1ADFD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17577.6</w:t>
            </w:r>
          </w:p>
        </w:tc>
      </w:tr>
      <w:tr w14:paraId="4165A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43FF0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677A8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枳实</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4BE85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C7C2A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3066C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55AEF7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本品为芸香科植物酸橙Citrus aurantium L.及其栽培变种或甜橙Citrus sinensis Osbeck的干燥幼果。</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818133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来源仅限酸橙，直径0.6~1.2cm，圆个不超过10%，其它应与现行《中国药典》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18C21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C58C5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97F27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40DE5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123.71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C4955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9278.25</w:t>
            </w:r>
          </w:p>
        </w:tc>
      </w:tr>
      <w:tr w14:paraId="4BA20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C994B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EEBCB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制马钱子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0B992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38846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砂炒</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50545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369981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本品为马钱科植物马钱Strychnos nux-vomica  L.的干燥成熟种子的炮制加工品。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E36F32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大小均匀，饱满，表面鼓起棕色，断面棕褐色，质酥松。其它应与现行《中国药典》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DFAB6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B880A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6EE41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0C8E8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306.45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A6EF0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306.45</w:t>
            </w:r>
          </w:p>
        </w:tc>
      </w:tr>
      <w:tr w14:paraId="04FFF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9A936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CC7FE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肿节风</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74567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863E0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28DDA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C25EE8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本品为金粟兰科植物草珊瑚Sarcandra glabra（Thunb.）Nakai的干燥全草。</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8B53B4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叶色绿，无杂质。其它应与现行《中国药典》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A248B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2258C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9A517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08806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56.79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1EB89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1022.22</w:t>
            </w:r>
          </w:p>
        </w:tc>
      </w:tr>
      <w:tr w14:paraId="2DBF2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18A94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4AAE7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重楼</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CB4C1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0BF53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E855B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C1AB6A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本品为百合科植物云南重楼Paris polyphylla Smith var.yunnanensis(Franch.)Hand.-Mazz.或七叶一枝花Paris polyphylla Smith var.chinensis(Franch.)Hara的干燥根茎。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A789AF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饮片最窄方向直径大于2.0cm。大小均一。体实，色白，粉性足。其它应与现行《中国药典》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24858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EB251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01C1A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AEE6E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627.08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6D128B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3135.4</w:t>
            </w:r>
          </w:p>
        </w:tc>
      </w:tr>
      <w:tr w14:paraId="51837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5373B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85650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朱砂粉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B6493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8F45E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水飞</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4CF12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极细粉/（选货）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F08930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本品为硫化物类矿物辰砂族辰砂，主含硫化汞（HgS）。</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0471AE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色鲜红，手搓无颗粒感，无铁末。其它应与现行《中国药典》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E8007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AF42C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B6F82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3BF03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3441.28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337F8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3441.28</w:t>
            </w:r>
          </w:p>
        </w:tc>
      </w:tr>
      <w:tr w14:paraId="7637F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400AB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EB46C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棕榈炭</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DB192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C4544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煅炭</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6BC4B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0BFB55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本品为棕榈的炮制加工品。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329731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表面黑褐色至黑色，有光泽，触之有黑色炭粉。其它应与现行《中国药典》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F68DE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4E86F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5B14E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AA2EC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68.59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06B774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1371.8</w:t>
            </w:r>
          </w:p>
        </w:tc>
      </w:tr>
      <w:tr w14:paraId="2CBBF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ACC64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49301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炒薏苡仁</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4394C2E">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《江西省中药饮片炮制规范》2008年版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7C8A3D2">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炒制、精制饮片</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9425C25">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个子/（精选）</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DCBFE1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本品为禾本科植物薏苡Coix lachryma-jobi var. mayuen的干燥成熟种仁。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D4C81D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类球形爆花状，表面白色，质松脆。其它应与《江西省中药饮片炮制规范》（2008年版）相符。</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107409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399ABB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noWrap/>
            <w:vAlign w:val="center"/>
          </w:tcPr>
          <w:p w14:paraId="78AC68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24B64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972.00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4009B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1944</w:t>
            </w:r>
          </w:p>
        </w:tc>
      </w:tr>
      <w:tr w14:paraId="546E0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D5FAC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409F1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川贝母</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07347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97D71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67889D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95D7BA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本品为百合科植物川贝母Fritillaria cirrhosa D.Don、暗紫贝母Fritillaria unibracteata Hsiao et K.C.Hsia、甘肃贝母Fritillaria przewalskii Maxim.、梭砂贝母Fritillaria delavayi Franch.、太白贝母Fritillaria taipaiensis P. Y. Li或瓦布贝母Fritillaria unibracteata Hsiao et K. C. Hsiavar. wabuensis（S. Y. Tanget S. C. Yue）Z. D. Liu，S. Wang et S. C. Chen的干燥鳞茎。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D4B85C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有“怀中抱月”，大小均一，无碎粒油粒。过圆孔筛的孔径4~6mm，来源仅限松贝和青贝。其它应与现行《中国药典》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1A0CEA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1000、3、5</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71BE6A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ign w:val="center"/>
          </w:tcPr>
          <w:p w14:paraId="3992D8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79E37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13515.37 </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327FF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13515.37</w:t>
            </w:r>
          </w:p>
        </w:tc>
      </w:tr>
      <w:tr w14:paraId="37BB8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ign w:val="center"/>
          </w:tcPr>
          <w:p w14:paraId="150602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2690" w:type="dxa"/>
            <w:gridSpan w:val="10"/>
            <w:tcBorders>
              <w:top w:val="single" w:color="000000" w:sz="4" w:space="0"/>
              <w:left w:val="single" w:color="000000" w:sz="4" w:space="0"/>
              <w:bottom w:val="single" w:color="000000" w:sz="4" w:space="0"/>
              <w:right w:val="single" w:color="000000" w:sz="4" w:space="0"/>
            </w:tcBorders>
            <w:noWrap w:val="0"/>
            <w:vAlign w:val="center"/>
          </w:tcPr>
          <w:p w14:paraId="26A4D776">
            <w:pPr>
              <w:jc w:val="center"/>
              <w:rPr>
                <w:rFonts w:hint="eastAsia" w:ascii="宋体" w:hAnsi="宋体" w:eastAsia="宋体" w:cs="宋体"/>
                <w:i w:val="0"/>
                <w:iCs w:val="0"/>
                <w:color w:val="auto"/>
                <w:sz w:val="22"/>
                <w:szCs w:val="22"/>
                <w:highlight w:val="none"/>
                <w:u w:val="none"/>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88BC108">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1700000</w:t>
            </w:r>
          </w:p>
        </w:tc>
      </w:tr>
    </w:tbl>
    <w:p w14:paraId="760677A2">
      <w:pPr>
        <w:rPr>
          <w:rFonts w:hint="eastAsia" w:ascii="宋体" w:hAnsi="宋体" w:cs="宋体"/>
          <w:b/>
          <w:color w:val="auto"/>
          <w:szCs w:val="21"/>
          <w:highlight w:val="none"/>
        </w:rPr>
        <w:sectPr>
          <w:pgSz w:w="16838" w:h="11906" w:orient="landscape"/>
          <w:pgMar w:top="1134" w:right="1134" w:bottom="1134" w:left="1020" w:header="851" w:footer="567" w:gutter="0"/>
          <w:pgNumType w:start="1"/>
          <w:cols w:space="720" w:num="1"/>
          <w:titlePg/>
          <w:docGrid w:linePitch="312" w:charSpace="0"/>
        </w:sectPr>
      </w:pPr>
    </w:p>
    <w:p w14:paraId="429E307C">
      <w:pPr>
        <w:spacing w:line="240" w:lineRule="auto"/>
        <w:rPr>
          <w:rFonts w:ascii="宋体" w:hAnsi="宋体" w:cs="宋体"/>
          <w:color w:val="auto"/>
          <w:sz w:val="32"/>
          <w:szCs w:val="32"/>
          <w:highlight w:val="none"/>
        </w:rPr>
      </w:pPr>
      <w:r>
        <w:rPr>
          <w:rFonts w:hint="eastAsia" w:ascii="宋体" w:hAnsi="宋体" w:cs="宋体"/>
          <w:color w:val="auto"/>
          <w:sz w:val="32"/>
          <w:szCs w:val="32"/>
          <w:highlight w:val="none"/>
        </w:rPr>
        <w:t>附件1：</w:t>
      </w:r>
    </w:p>
    <w:p w14:paraId="20B88C7A">
      <w:pPr>
        <w:spacing w:line="528" w:lineRule="exact"/>
        <w:ind w:left="1871"/>
        <w:rPr>
          <w:rFonts w:ascii="宋体" w:hAnsi="宋体" w:cs="宋体"/>
          <w:color w:val="auto"/>
          <w:sz w:val="40"/>
          <w:szCs w:val="40"/>
          <w:highlight w:val="none"/>
        </w:rPr>
      </w:pPr>
      <w:r>
        <w:rPr>
          <w:rFonts w:hint="eastAsia" w:ascii="宋体" w:hAnsi="宋体" w:cs="宋体"/>
          <w:color w:val="auto"/>
          <w:sz w:val="40"/>
          <w:szCs w:val="40"/>
          <w:highlight w:val="none"/>
        </w:rPr>
        <w:t>节能产品政府采购品目清单</w:t>
      </w:r>
    </w:p>
    <w:tbl>
      <w:tblPr>
        <w:tblStyle w:val="22"/>
        <w:tblW w:w="4994"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736"/>
        <w:gridCol w:w="1278"/>
        <w:gridCol w:w="1654"/>
        <w:gridCol w:w="1628"/>
        <w:gridCol w:w="4546"/>
      </w:tblGrid>
      <w:tr w14:paraId="49BE33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5" w:hRule="atLeast"/>
        </w:trPr>
        <w:tc>
          <w:tcPr>
            <w:tcW w:w="374" w:type="pct"/>
          </w:tcPr>
          <w:p w14:paraId="35E56820">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品目序号</w:t>
            </w:r>
          </w:p>
        </w:tc>
        <w:tc>
          <w:tcPr>
            <w:tcW w:w="2316" w:type="pct"/>
            <w:gridSpan w:val="3"/>
            <w:vAlign w:val="center"/>
          </w:tcPr>
          <w:p w14:paraId="3CF69678">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名称</w:t>
            </w:r>
          </w:p>
        </w:tc>
        <w:tc>
          <w:tcPr>
            <w:tcW w:w="2309" w:type="pct"/>
            <w:vAlign w:val="center"/>
          </w:tcPr>
          <w:p w14:paraId="3F5E7310">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依据的标准</w:t>
            </w:r>
          </w:p>
        </w:tc>
      </w:tr>
      <w:tr w14:paraId="3828BE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Merge w:val="restart"/>
            <w:vAlign w:val="center"/>
          </w:tcPr>
          <w:p w14:paraId="2CC6D34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649" w:type="pct"/>
            <w:vMerge w:val="restart"/>
            <w:vAlign w:val="center"/>
          </w:tcPr>
          <w:p w14:paraId="170244D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A020101计算机设备</w:t>
            </w:r>
          </w:p>
        </w:tc>
        <w:tc>
          <w:tcPr>
            <w:tcW w:w="840" w:type="pct"/>
            <w:vAlign w:val="center"/>
          </w:tcPr>
          <w:p w14:paraId="58C6328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★A02010104台式计算机</w:t>
            </w:r>
          </w:p>
        </w:tc>
        <w:tc>
          <w:tcPr>
            <w:tcW w:w="826" w:type="pct"/>
            <w:vAlign w:val="center"/>
          </w:tcPr>
          <w:p w14:paraId="52C4F63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09" w:type="pct"/>
            <w:vAlign w:val="center"/>
          </w:tcPr>
          <w:p w14:paraId="63CCEBF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4C0D0F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Merge w:val="continue"/>
            <w:vAlign w:val="center"/>
          </w:tcPr>
          <w:p w14:paraId="56499629">
            <w:pPr>
              <w:widowControl/>
              <w:jc w:val="left"/>
              <w:rPr>
                <w:rFonts w:ascii="宋体" w:hAnsi="宋体" w:cs="宋体"/>
                <w:color w:val="auto"/>
                <w:kern w:val="0"/>
                <w:sz w:val="20"/>
                <w:szCs w:val="20"/>
                <w:highlight w:val="none"/>
              </w:rPr>
            </w:pPr>
          </w:p>
        </w:tc>
        <w:tc>
          <w:tcPr>
            <w:tcW w:w="649" w:type="pct"/>
            <w:vMerge w:val="continue"/>
            <w:vAlign w:val="center"/>
          </w:tcPr>
          <w:p w14:paraId="57C44142">
            <w:pPr>
              <w:widowControl/>
              <w:jc w:val="left"/>
              <w:rPr>
                <w:rFonts w:ascii="宋体" w:hAnsi="宋体" w:cs="宋体"/>
                <w:color w:val="auto"/>
                <w:kern w:val="0"/>
                <w:sz w:val="20"/>
                <w:szCs w:val="20"/>
                <w:highlight w:val="none"/>
              </w:rPr>
            </w:pPr>
          </w:p>
        </w:tc>
        <w:tc>
          <w:tcPr>
            <w:tcW w:w="840" w:type="pct"/>
            <w:vAlign w:val="center"/>
          </w:tcPr>
          <w:p w14:paraId="73F8016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★A02010105便携式计算机</w:t>
            </w:r>
          </w:p>
        </w:tc>
        <w:tc>
          <w:tcPr>
            <w:tcW w:w="826" w:type="pct"/>
            <w:vAlign w:val="center"/>
          </w:tcPr>
          <w:p w14:paraId="36E1F46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09" w:type="pct"/>
            <w:vAlign w:val="center"/>
          </w:tcPr>
          <w:p w14:paraId="7650024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61A753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374" w:type="pct"/>
            <w:vMerge w:val="continue"/>
            <w:vAlign w:val="center"/>
          </w:tcPr>
          <w:p w14:paraId="3FB6C4F4">
            <w:pPr>
              <w:widowControl/>
              <w:jc w:val="left"/>
              <w:rPr>
                <w:rFonts w:ascii="宋体" w:hAnsi="宋体" w:cs="宋体"/>
                <w:color w:val="auto"/>
                <w:kern w:val="0"/>
                <w:sz w:val="20"/>
                <w:szCs w:val="20"/>
                <w:highlight w:val="none"/>
              </w:rPr>
            </w:pPr>
          </w:p>
        </w:tc>
        <w:tc>
          <w:tcPr>
            <w:tcW w:w="649" w:type="pct"/>
            <w:vMerge w:val="continue"/>
            <w:vAlign w:val="center"/>
          </w:tcPr>
          <w:p w14:paraId="5BFDAA6C">
            <w:pPr>
              <w:widowControl/>
              <w:jc w:val="left"/>
              <w:rPr>
                <w:rFonts w:ascii="宋体" w:hAnsi="宋体" w:cs="宋体"/>
                <w:color w:val="auto"/>
                <w:kern w:val="0"/>
                <w:sz w:val="20"/>
                <w:szCs w:val="20"/>
                <w:highlight w:val="none"/>
              </w:rPr>
            </w:pPr>
          </w:p>
        </w:tc>
        <w:tc>
          <w:tcPr>
            <w:tcW w:w="840" w:type="pct"/>
            <w:vAlign w:val="center"/>
          </w:tcPr>
          <w:p w14:paraId="6A0E961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★A02010107平板式微型计算机</w:t>
            </w:r>
          </w:p>
        </w:tc>
        <w:tc>
          <w:tcPr>
            <w:tcW w:w="826" w:type="pct"/>
            <w:vAlign w:val="center"/>
          </w:tcPr>
          <w:p w14:paraId="0F7E228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09" w:type="pct"/>
            <w:vAlign w:val="center"/>
          </w:tcPr>
          <w:p w14:paraId="76E5DE6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727085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Merge w:val="restart"/>
            <w:vAlign w:val="center"/>
          </w:tcPr>
          <w:p w14:paraId="4E07ECB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649" w:type="pct"/>
            <w:vMerge w:val="restart"/>
            <w:vAlign w:val="center"/>
          </w:tcPr>
          <w:p w14:paraId="2474E6A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A020106输入输出设备</w:t>
            </w:r>
          </w:p>
        </w:tc>
        <w:tc>
          <w:tcPr>
            <w:tcW w:w="840" w:type="pct"/>
            <w:vMerge w:val="restart"/>
            <w:vAlign w:val="center"/>
          </w:tcPr>
          <w:p w14:paraId="6EB02AC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A02010601打印设备</w:t>
            </w:r>
          </w:p>
        </w:tc>
        <w:tc>
          <w:tcPr>
            <w:tcW w:w="826" w:type="pct"/>
            <w:vAlign w:val="center"/>
          </w:tcPr>
          <w:p w14:paraId="22DB71C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A0201060101喷墨打印机</w:t>
            </w:r>
          </w:p>
        </w:tc>
        <w:tc>
          <w:tcPr>
            <w:tcW w:w="2309" w:type="pct"/>
            <w:vAlign w:val="center"/>
          </w:tcPr>
          <w:p w14:paraId="602A385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54EF0E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Merge w:val="continue"/>
            <w:vAlign w:val="center"/>
          </w:tcPr>
          <w:p w14:paraId="76A9B8B2">
            <w:pPr>
              <w:widowControl/>
              <w:jc w:val="left"/>
              <w:rPr>
                <w:rFonts w:ascii="宋体" w:hAnsi="宋体" w:cs="宋体"/>
                <w:color w:val="auto"/>
                <w:kern w:val="0"/>
                <w:sz w:val="20"/>
                <w:szCs w:val="20"/>
                <w:highlight w:val="none"/>
              </w:rPr>
            </w:pPr>
          </w:p>
        </w:tc>
        <w:tc>
          <w:tcPr>
            <w:tcW w:w="649" w:type="pct"/>
            <w:vMerge w:val="continue"/>
            <w:vAlign w:val="center"/>
          </w:tcPr>
          <w:p w14:paraId="358FF7E7">
            <w:pPr>
              <w:widowControl/>
              <w:jc w:val="left"/>
              <w:rPr>
                <w:rFonts w:ascii="宋体" w:hAnsi="宋体" w:cs="宋体"/>
                <w:color w:val="auto"/>
                <w:kern w:val="0"/>
                <w:sz w:val="20"/>
                <w:szCs w:val="20"/>
                <w:highlight w:val="none"/>
              </w:rPr>
            </w:pPr>
          </w:p>
        </w:tc>
        <w:tc>
          <w:tcPr>
            <w:tcW w:w="840" w:type="pct"/>
            <w:vMerge w:val="continue"/>
            <w:vAlign w:val="center"/>
          </w:tcPr>
          <w:p w14:paraId="37864F9B">
            <w:pPr>
              <w:widowControl/>
              <w:jc w:val="left"/>
              <w:rPr>
                <w:rFonts w:ascii="宋体" w:hAnsi="宋体" w:cs="宋体"/>
                <w:color w:val="auto"/>
                <w:kern w:val="0"/>
                <w:sz w:val="20"/>
                <w:szCs w:val="20"/>
                <w:highlight w:val="none"/>
              </w:rPr>
            </w:pPr>
          </w:p>
        </w:tc>
        <w:tc>
          <w:tcPr>
            <w:tcW w:w="826" w:type="pct"/>
            <w:vAlign w:val="center"/>
          </w:tcPr>
          <w:p w14:paraId="49E739F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★A0201060102激光打印机</w:t>
            </w:r>
          </w:p>
        </w:tc>
        <w:tc>
          <w:tcPr>
            <w:tcW w:w="2309" w:type="pct"/>
            <w:vAlign w:val="center"/>
          </w:tcPr>
          <w:p w14:paraId="113DAA7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1C7FD2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Merge w:val="continue"/>
            <w:vAlign w:val="center"/>
          </w:tcPr>
          <w:p w14:paraId="1C75215A">
            <w:pPr>
              <w:widowControl/>
              <w:jc w:val="left"/>
              <w:rPr>
                <w:rFonts w:ascii="宋体" w:hAnsi="宋体" w:cs="宋体"/>
                <w:color w:val="auto"/>
                <w:kern w:val="0"/>
                <w:sz w:val="20"/>
                <w:szCs w:val="20"/>
                <w:highlight w:val="none"/>
              </w:rPr>
            </w:pPr>
          </w:p>
        </w:tc>
        <w:tc>
          <w:tcPr>
            <w:tcW w:w="649" w:type="pct"/>
            <w:vMerge w:val="continue"/>
            <w:vAlign w:val="center"/>
          </w:tcPr>
          <w:p w14:paraId="5DDB0D32">
            <w:pPr>
              <w:widowControl/>
              <w:jc w:val="left"/>
              <w:rPr>
                <w:rFonts w:ascii="宋体" w:hAnsi="宋体" w:cs="宋体"/>
                <w:color w:val="auto"/>
                <w:kern w:val="0"/>
                <w:sz w:val="20"/>
                <w:szCs w:val="20"/>
                <w:highlight w:val="none"/>
              </w:rPr>
            </w:pPr>
          </w:p>
        </w:tc>
        <w:tc>
          <w:tcPr>
            <w:tcW w:w="840" w:type="pct"/>
            <w:vMerge w:val="continue"/>
            <w:vAlign w:val="center"/>
          </w:tcPr>
          <w:p w14:paraId="690EC31D">
            <w:pPr>
              <w:widowControl/>
              <w:jc w:val="left"/>
              <w:rPr>
                <w:rFonts w:ascii="宋体" w:hAnsi="宋体" w:cs="宋体"/>
                <w:color w:val="auto"/>
                <w:kern w:val="0"/>
                <w:sz w:val="20"/>
                <w:szCs w:val="20"/>
                <w:highlight w:val="none"/>
              </w:rPr>
            </w:pPr>
          </w:p>
        </w:tc>
        <w:tc>
          <w:tcPr>
            <w:tcW w:w="826" w:type="pct"/>
            <w:vAlign w:val="center"/>
          </w:tcPr>
          <w:p w14:paraId="5AF252B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★A0201060104针式打印机</w:t>
            </w:r>
          </w:p>
        </w:tc>
        <w:tc>
          <w:tcPr>
            <w:tcW w:w="2309" w:type="pct"/>
            <w:vAlign w:val="center"/>
          </w:tcPr>
          <w:p w14:paraId="3FBF9D1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678160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Merge w:val="continue"/>
            <w:vAlign w:val="center"/>
          </w:tcPr>
          <w:p w14:paraId="11DEA468">
            <w:pPr>
              <w:widowControl/>
              <w:jc w:val="left"/>
              <w:rPr>
                <w:rFonts w:ascii="宋体" w:hAnsi="宋体" w:cs="宋体"/>
                <w:color w:val="auto"/>
                <w:kern w:val="0"/>
                <w:sz w:val="20"/>
                <w:szCs w:val="20"/>
                <w:highlight w:val="none"/>
              </w:rPr>
            </w:pPr>
          </w:p>
        </w:tc>
        <w:tc>
          <w:tcPr>
            <w:tcW w:w="649" w:type="pct"/>
            <w:vMerge w:val="continue"/>
            <w:vAlign w:val="center"/>
          </w:tcPr>
          <w:p w14:paraId="0F56E45E">
            <w:pPr>
              <w:widowControl/>
              <w:jc w:val="left"/>
              <w:rPr>
                <w:rFonts w:ascii="宋体" w:hAnsi="宋体" w:cs="宋体"/>
                <w:color w:val="auto"/>
                <w:kern w:val="0"/>
                <w:sz w:val="20"/>
                <w:szCs w:val="20"/>
                <w:highlight w:val="none"/>
              </w:rPr>
            </w:pPr>
          </w:p>
        </w:tc>
        <w:tc>
          <w:tcPr>
            <w:tcW w:w="840" w:type="pct"/>
            <w:vAlign w:val="center"/>
          </w:tcPr>
          <w:p w14:paraId="65218B0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A02010604显示设备</w:t>
            </w:r>
          </w:p>
        </w:tc>
        <w:tc>
          <w:tcPr>
            <w:tcW w:w="826" w:type="pct"/>
            <w:vAlign w:val="center"/>
          </w:tcPr>
          <w:p w14:paraId="1C7B05B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★A0201060401液晶显示器</w:t>
            </w:r>
          </w:p>
        </w:tc>
        <w:tc>
          <w:tcPr>
            <w:tcW w:w="2309" w:type="pct"/>
            <w:vAlign w:val="center"/>
          </w:tcPr>
          <w:p w14:paraId="08A5B04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《计算机显示器能效限定值及能效等级》（GB21520）</w:t>
            </w:r>
          </w:p>
        </w:tc>
      </w:tr>
      <w:tr w14:paraId="67CF4E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75" w:hRule="atLeast"/>
        </w:trPr>
        <w:tc>
          <w:tcPr>
            <w:tcW w:w="374" w:type="pct"/>
            <w:vMerge w:val="continue"/>
            <w:vAlign w:val="center"/>
          </w:tcPr>
          <w:p w14:paraId="658641EA">
            <w:pPr>
              <w:widowControl/>
              <w:jc w:val="left"/>
              <w:rPr>
                <w:rFonts w:ascii="宋体" w:hAnsi="宋体" w:cs="宋体"/>
                <w:color w:val="auto"/>
                <w:kern w:val="0"/>
                <w:sz w:val="20"/>
                <w:szCs w:val="20"/>
                <w:highlight w:val="none"/>
              </w:rPr>
            </w:pPr>
          </w:p>
        </w:tc>
        <w:tc>
          <w:tcPr>
            <w:tcW w:w="649" w:type="pct"/>
            <w:vMerge w:val="continue"/>
            <w:vAlign w:val="center"/>
          </w:tcPr>
          <w:p w14:paraId="5810A271">
            <w:pPr>
              <w:widowControl/>
              <w:jc w:val="left"/>
              <w:rPr>
                <w:rFonts w:ascii="宋体" w:hAnsi="宋体" w:cs="宋体"/>
                <w:color w:val="auto"/>
                <w:kern w:val="0"/>
                <w:sz w:val="20"/>
                <w:szCs w:val="20"/>
                <w:highlight w:val="none"/>
              </w:rPr>
            </w:pPr>
          </w:p>
        </w:tc>
        <w:tc>
          <w:tcPr>
            <w:tcW w:w="840" w:type="pct"/>
            <w:vAlign w:val="center"/>
          </w:tcPr>
          <w:p w14:paraId="7919F65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A02010609图形图像输入设备</w:t>
            </w:r>
          </w:p>
        </w:tc>
        <w:tc>
          <w:tcPr>
            <w:tcW w:w="826" w:type="pct"/>
            <w:vAlign w:val="center"/>
          </w:tcPr>
          <w:p w14:paraId="237DE90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A0201060901扫描仪</w:t>
            </w:r>
          </w:p>
        </w:tc>
        <w:tc>
          <w:tcPr>
            <w:tcW w:w="2309" w:type="pct"/>
            <w:vAlign w:val="center"/>
          </w:tcPr>
          <w:p w14:paraId="1C28A94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044932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Align w:val="center"/>
          </w:tcPr>
          <w:p w14:paraId="3A2A6BA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649" w:type="pct"/>
            <w:vAlign w:val="center"/>
          </w:tcPr>
          <w:p w14:paraId="3DFB708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A020202投影仪</w:t>
            </w:r>
          </w:p>
        </w:tc>
        <w:tc>
          <w:tcPr>
            <w:tcW w:w="840" w:type="pct"/>
            <w:vAlign w:val="center"/>
          </w:tcPr>
          <w:p w14:paraId="6A64C06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826" w:type="pct"/>
            <w:vAlign w:val="center"/>
          </w:tcPr>
          <w:p w14:paraId="2498AC1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09" w:type="pct"/>
            <w:vAlign w:val="center"/>
          </w:tcPr>
          <w:p w14:paraId="559D892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《投影机能效限定值及能效等级》（GB32028）</w:t>
            </w:r>
          </w:p>
        </w:tc>
      </w:tr>
      <w:tr w14:paraId="232E52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Align w:val="center"/>
          </w:tcPr>
          <w:p w14:paraId="2248A82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649" w:type="pct"/>
            <w:vAlign w:val="center"/>
          </w:tcPr>
          <w:p w14:paraId="532EB76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A020204多功能一体机</w:t>
            </w:r>
          </w:p>
        </w:tc>
        <w:tc>
          <w:tcPr>
            <w:tcW w:w="840" w:type="pct"/>
            <w:vAlign w:val="center"/>
          </w:tcPr>
          <w:p w14:paraId="24BECC7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826" w:type="pct"/>
            <w:vAlign w:val="center"/>
          </w:tcPr>
          <w:p w14:paraId="718A281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09" w:type="pct"/>
            <w:vAlign w:val="center"/>
          </w:tcPr>
          <w:p w14:paraId="7DE37F0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2B9606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Align w:val="center"/>
          </w:tcPr>
          <w:p w14:paraId="363ED86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649" w:type="pct"/>
            <w:vAlign w:val="center"/>
          </w:tcPr>
          <w:p w14:paraId="4FB0072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A020519泵</w:t>
            </w:r>
          </w:p>
        </w:tc>
        <w:tc>
          <w:tcPr>
            <w:tcW w:w="840" w:type="pct"/>
            <w:vAlign w:val="center"/>
          </w:tcPr>
          <w:p w14:paraId="5987EF1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A02051901离心泵</w:t>
            </w:r>
          </w:p>
        </w:tc>
        <w:tc>
          <w:tcPr>
            <w:tcW w:w="826" w:type="pct"/>
            <w:vAlign w:val="center"/>
          </w:tcPr>
          <w:p w14:paraId="774CDD0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09" w:type="pct"/>
            <w:vAlign w:val="center"/>
          </w:tcPr>
          <w:p w14:paraId="7F54DF6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《清水离心泵能效限定值及节能评价值》（GB19762）</w:t>
            </w:r>
          </w:p>
        </w:tc>
      </w:tr>
      <w:tr w14:paraId="3670A0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374" w:type="pct"/>
            <w:vMerge w:val="restart"/>
            <w:vAlign w:val="center"/>
          </w:tcPr>
          <w:p w14:paraId="2021826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649" w:type="pct"/>
            <w:vMerge w:val="restart"/>
            <w:vAlign w:val="center"/>
          </w:tcPr>
          <w:p w14:paraId="2A840E9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A020523制冷空调设备</w:t>
            </w:r>
          </w:p>
        </w:tc>
        <w:tc>
          <w:tcPr>
            <w:tcW w:w="840" w:type="pct"/>
            <w:vMerge w:val="restart"/>
            <w:vAlign w:val="center"/>
          </w:tcPr>
          <w:p w14:paraId="1C57140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★A02052301制冷压缩机</w:t>
            </w:r>
          </w:p>
        </w:tc>
        <w:tc>
          <w:tcPr>
            <w:tcW w:w="826" w:type="pct"/>
            <w:vAlign w:val="center"/>
          </w:tcPr>
          <w:p w14:paraId="468346A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冷水机组</w:t>
            </w:r>
          </w:p>
        </w:tc>
        <w:tc>
          <w:tcPr>
            <w:tcW w:w="2309" w:type="pct"/>
            <w:vAlign w:val="center"/>
          </w:tcPr>
          <w:p w14:paraId="572A996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《冷水机组能效限定值及能效等级》（GB19577），《低环境温度空气源热泵（冷水）机组能效限定值及能效等级》（GB37480）</w:t>
            </w:r>
          </w:p>
        </w:tc>
      </w:tr>
      <w:tr w14:paraId="07273E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Merge w:val="continue"/>
            <w:vAlign w:val="center"/>
          </w:tcPr>
          <w:p w14:paraId="07B13B53">
            <w:pPr>
              <w:widowControl/>
              <w:jc w:val="left"/>
              <w:rPr>
                <w:rFonts w:ascii="宋体" w:hAnsi="宋体" w:cs="宋体"/>
                <w:color w:val="auto"/>
                <w:kern w:val="0"/>
                <w:sz w:val="20"/>
                <w:szCs w:val="20"/>
                <w:highlight w:val="none"/>
              </w:rPr>
            </w:pPr>
          </w:p>
        </w:tc>
        <w:tc>
          <w:tcPr>
            <w:tcW w:w="649" w:type="pct"/>
            <w:vMerge w:val="continue"/>
            <w:vAlign w:val="center"/>
          </w:tcPr>
          <w:p w14:paraId="669B215A">
            <w:pPr>
              <w:widowControl/>
              <w:jc w:val="left"/>
              <w:rPr>
                <w:rFonts w:ascii="宋体" w:hAnsi="宋体" w:cs="宋体"/>
                <w:color w:val="auto"/>
                <w:kern w:val="0"/>
                <w:sz w:val="20"/>
                <w:szCs w:val="20"/>
                <w:highlight w:val="none"/>
              </w:rPr>
            </w:pPr>
          </w:p>
        </w:tc>
        <w:tc>
          <w:tcPr>
            <w:tcW w:w="840" w:type="pct"/>
            <w:vMerge w:val="continue"/>
            <w:vAlign w:val="center"/>
          </w:tcPr>
          <w:p w14:paraId="01202F90">
            <w:pPr>
              <w:widowControl/>
              <w:jc w:val="left"/>
              <w:rPr>
                <w:rFonts w:ascii="宋体" w:hAnsi="宋体" w:cs="宋体"/>
                <w:color w:val="auto"/>
                <w:kern w:val="0"/>
                <w:sz w:val="20"/>
                <w:szCs w:val="20"/>
                <w:highlight w:val="none"/>
              </w:rPr>
            </w:pPr>
          </w:p>
        </w:tc>
        <w:tc>
          <w:tcPr>
            <w:tcW w:w="826" w:type="pct"/>
            <w:vAlign w:val="center"/>
          </w:tcPr>
          <w:p w14:paraId="44E64E8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水源热泵机组</w:t>
            </w:r>
          </w:p>
        </w:tc>
        <w:tc>
          <w:tcPr>
            <w:tcW w:w="2309" w:type="pct"/>
            <w:vAlign w:val="center"/>
          </w:tcPr>
          <w:p w14:paraId="44D635B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《水（地）源热泵机组能效限定值及能效等级》（GB30721）</w:t>
            </w:r>
          </w:p>
        </w:tc>
      </w:tr>
      <w:tr w14:paraId="66B679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Merge w:val="continue"/>
            <w:vAlign w:val="center"/>
          </w:tcPr>
          <w:p w14:paraId="636F680C">
            <w:pPr>
              <w:widowControl/>
              <w:jc w:val="left"/>
              <w:rPr>
                <w:rFonts w:ascii="宋体" w:hAnsi="宋体" w:cs="宋体"/>
                <w:color w:val="auto"/>
                <w:kern w:val="0"/>
                <w:sz w:val="20"/>
                <w:szCs w:val="20"/>
                <w:highlight w:val="none"/>
              </w:rPr>
            </w:pPr>
          </w:p>
        </w:tc>
        <w:tc>
          <w:tcPr>
            <w:tcW w:w="649" w:type="pct"/>
            <w:vMerge w:val="continue"/>
            <w:vAlign w:val="center"/>
          </w:tcPr>
          <w:p w14:paraId="7F714546">
            <w:pPr>
              <w:widowControl/>
              <w:jc w:val="left"/>
              <w:rPr>
                <w:rFonts w:ascii="宋体" w:hAnsi="宋体" w:cs="宋体"/>
                <w:color w:val="auto"/>
                <w:kern w:val="0"/>
                <w:sz w:val="20"/>
                <w:szCs w:val="20"/>
                <w:highlight w:val="none"/>
              </w:rPr>
            </w:pPr>
          </w:p>
        </w:tc>
        <w:tc>
          <w:tcPr>
            <w:tcW w:w="840" w:type="pct"/>
            <w:vMerge w:val="continue"/>
            <w:vAlign w:val="center"/>
          </w:tcPr>
          <w:p w14:paraId="6BCDEFFA">
            <w:pPr>
              <w:widowControl/>
              <w:jc w:val="left"/>
              <w:rPr>
                <w:rFonts w:ascii="宋体" w:hAnsi="宋体" w:cs="宋体"/>
                <w:color w:val="auto"/>
                <w:kern w:val="0"/>
                <w:sz w:val="20"/>
                <w:szCs w:val="20"/>
                <w:highlight w:val="none"/>
              </w:rPr>
            </w:pPr>
          </w:p>
        </w:tc>
        <w:tc>
          <w:tcPr>
            <w:tcW w:w="826" w:type="pct"/>
            <w:vAlign w:val="center"/>
          </w:tcPr>
          <w:p w14:paraId="7061B29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w:t>
            </w:r>
          </w:p>
        </w:tc>
        <w:tc>
          <w:tcPr>
            <w:tcW w:w="2309" w:type="pct"/>
            <w:vAlign w:val="center"/>
          </w:tcPr>
          <w:p w14:paraId="7C1557F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《溴化锂吸收式冷水机组能效限定值及能效等级》（GB29540）</w:t>
            </w:r>
          </w:p>
        </w:tc>
      </w:tr>
      <w:tr w14:paraId="6FBB62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374" w:type="pct"/>
            <w:vMerge w:val="continue"/>
            <w:vAlign w:val="center"/>
          </w:tcPr>
          <w:p w14:paraId="33699C38">
            <w:pPr>
              <w:widowControl/>
              <w:jc w:val="left"/>
              <w:rPr>
                <w:rFonts w:ascii="宋体" w:hAnsi="宋体" w:cs="宋体"/>
                <w:color w:val="auto"/>
                <w:kern w:val="0"/>
                <w:sz w:val="20"/>
                <w:szCs w:val="20"/>
                <w:highlight w:val="none"/>
              </w:rPr>
            </w:pPr>
          </w:p>
        </w:tc>
        <w:tc>
          <w:tcPr>
            <w:tcW w:w="649" w:type="pct"/>
            <w:vMerge w:val="continue"/>
            <w:vAlign w:val="center"/>
          </w:tcPr>
          <w:p w14:paraId="1D9506F4">
            <w:pPr>
              <w:widowControl/>
              <w:jc w:val="left"/>
              <w:rPr>
                <w:rFonts w:ascii="宋体" w:hAnsi="宋体" w:cs="宋体"/>
                <w:color w:val="auto"/>
                <w:kern w:val="0"/>
                <w:sz w:val="20"/>
                <w:szCs w:val="20"/>
                <w:highlight w:val="none"/>
              </w:rPr>
            </w:pPr>
          </w:p>
        </w:tc>
        <w:tc>
          <w:tcPr>
            <w:tcW w:w="840" w:type="pct"/>
            <w:vMerge w:val="restart"/>
            <w:vAlign w:val="center"/>
          </w:tcPr>
          <w:p w14:paraId="7ECE4BA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★A02052305空调机组</w:t>
            </w:r>
          </w:p>
        </w:tc>
        <w:tc>
          <w:tcPr>
            <w:tcW w:w="826" w:type="pct"/>
            <w:vAlign w:val="center"/>
          </w:tcPr>
          <w:p w14:paraId="1A6C98E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多联式空调（热泵）机组(制冷量＞14000W)</w:t>
            </w:r>
          </w:p>
        </w:tc>
        <w:tc>
          <w:tcPr>
            <w:tcW w:w="2309" w:type="pct"/>
            <w:vAlign w:val="center"/>
          </w:tcPr>
          <w:p w14:paraId="0A9A010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5F64ED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374" w:type="pct"/>
            <w:vMerge w:val="continue"/>
            <w:vAlign w:val="center"/>
          </w:tcPr>
          <w:p w14:paraId="7801D30C">
            <w:pPr>
              <w:widowControl/>
              <w:jc w:val="left"/>
              <w:rPr>
                <w:rFonts w:ascii="宋体" w:hAnsi="宋体" w:cs="宋体"/>
                <w:color w:val="auto"/>
                <w:kern w:val="0"/>
                <w:sz w:val="20"/>
                <w:szCs w:val="20"/>
                <w:highlight w:val="none"/>
              </w:rPr>
            </w:pPr>
          </w:p>
        </w:tc>
        <w:tc>
          <w:tcPr>
            <w:tcW w:w="649" w:type="pct"/>
            <w:vMerge w:val="continue"/>
            <w:vAlign w:val="center"/>
          </w:tcPr>
          <w:p w14:paraId="1DBA20D5">
            <w:pPr>
              <w:widowControl/>
              <w:jc w:val="left"/>
              <w:rPr>
                <w:rFonts w:ascii="宋体" w:hAnsi="宋体" w:cs="宋体"/>
                <w:color w:val="auto"/>
                <w:kern w:val="0"/>
                <w:sz w:val="20"/>
                <w:szCs w:val="20"/>
                <w:highlight w:val="none"/>
              </w:rPr>
            </w:pPr>
          </w:p>
        </w:tc>
        <w:tc>
          <w:tcPr>
            <w:tcW w:w="840" w:type="pct"/>
            <w:vMerge w:val="continue"/>
            <w:vAlign w:val="center"/>
          </w:tcPr>
          <w:p w14:paraId="08D5734A">
            <w:pPr>
              <w:widowControl/>
              <w:jc w:val="left"/>
              <w:rPr>
                <w:rFonts w:ascii="宋体" w:hAnsi="宋体" w:cs="宋体"/>
                <w:color w:val="auto"/>
                <w:kern w:val="0"/>
                <w:sz w:val="20"/>
                <w:szCs w:val="20"/>
                <w:highlight w:val="none"/>
              </w:rPr>
            </w:pPr>
          </w:p>
        </w:tc>
        <w:tc>
          <w:tcPr>
            <w:tcW w:w="826" w:type="pct"/>
            <w:vAlign w:val="center"/>
          </w:tcPr>
          <w:p w14:paraId="304C39F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单元式空气调节机(制冷量＞14000W</w:t>
            </w:r>
          </w:p>
        </w:tc>
        <w:tc>
          <w:tcPr>
            <w:tcW w:w="2309" w:type="pct"/>
            <w:vAlign w:val="center"/>
          </w:tcPr>
          <w:p w14:paraId="40B72C9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《单元式空气调节机能效限定值及能效等级》（GB19576）《风管送风式空调机组能效限定值及能效等级》（GB37479）</w:t>
            </w:r>
          </w:p>
        </w:tc>
      </w:tr>
      <w:tr w14:paraId="4FFC08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374" w:type="pct"/>
            <w:vMerge w:val="continue"/>
            <w:vAlign w:val="center"/>
          </w:tcPr>
          <w:p w14:paraId="41F34D2C">
            <w:pPr>
              <w:widowControl/>
              <w:jc w:val="left"/>
              <w:rPr>
                <w:rFonts w:ascii="宋体" w:hAnsi="宋体" w:cs="宋体"/>
                <w:color w:val="auto"/>
                <w:kern w:val="0"/>
                <w:sz w:val="20"/>
                <w:szCs w:val="20"/>
                <w:highlight w:val="none"/>
              </w:rPr>
            </w:pPr>
          </w:p>
        </w:tc>
        <w:tc>
          <w:tcPr>
            <w:tcW w:w="649" w:type="pct"/>
            <w:vMerge w:val="continue"/>
            <w:vAlign w:val="center"/>
          </w:tcPr>
          <w:p w14:paraId="39046F63">
            <w:pPr>
              <w:widowControl/>
              <w:jc w:val="left"/>
              <w:rPr>
                <w:rFonts w:ascii="宋体" w:hAnsi="宋体" w:cs="宋体"/>
                <w:color w:val="auto"/>
                <w:kern w:val="0"/>
                <w:sz w:val="20"/>
                <w:szCs w:val="20"/>
                <w:highlight w:val="none"/>
              </w:rPr>
            </w:pPr>
          </w:p>
        </w:tc>
        <w:tc>
          <w:tcPr>
            <w:tcW w:w="840" w:type="pct"/>
            <w:vAlign w:val="center"/>
          </w:tcPr>
          <w:p w14:paraId="017EBD7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★A02052309专用制冷、空调设备</w:t>
            </w:r>
          </w:p>
        </w:tc>
        <w:tc>
          <w:tcPr>
            <w:tcW w:w="826" w:type="pct"/>
            <w:vAlign w:val="center"/>
          </w:tcPr>
          <w:p w14:paraId="3F5CD37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机房空调</w:t>
            </w:r>
          </w:p>
        </w:tc>
        <w:tc>
          <w:tcPr>
            <w:tcW w:w="2309" w:type="pct"/>
            <w:vAlign w:val="center"/>
          </w:tcPr>
          <w:p w14:paraId="206AB3F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w:t>
            </w:r>
          </w:p>
        </w:tc>
      </w:tr>
      <w:tr w14:paraId="4C2E09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374" w:type="pct"/>
            <w:vMerge w:val="continue"/>
            <w:vAlign w:val="center"/>
          </w:tcPr>
          <w:p w14:paraId="2AD8D78D">
            <w:pPr>
              <w:widowControl/>
              <w:jc w:val="left"/>
              <w:rPr>
                <w:rFonts w:ascii="宋体" w:hAnsi="宋体" w:cs="宋体"/>
                <w:color w:val="auto"/>
                <w:kern w:val="0"/>
                <w:sz w:val="20"/>
                <w:szCs w:val="20"/>
                <w:highlight w:val="none"/>
              </w:rPr>
            </w:pPr>
          </w:p>
        </w:tc>
        <w:tc>
          <w:tcPr>
            <w:tcW w:w="649" w:type="pct"/>
            <w:vMerge w:val="continue"/>
            <w:vAlign w:val="center"/>
          </w:tcPr>
          <w:p w14:paraId="028ED658">
            <w:pPr>
              <w:widowControl/>
              <w:jc w:val="left"/>
              <w:rPr>
                <w:rFonts w:ascii="宋体" w:hAnsi="宋体" w:cs="宋体"/>
                <w:color w:val="auto"/>
                <w:kern w:val="0"/>
                <w:sz w:val="20"/>
                <w:szCs w:val="20"/>
                <w:highlight w:val="none"/>
              </w:rPr>
            </w:pPr>
          </w:p>
        </w:tc>
        <w:tc>
          <w:tcPr>
            <w:tcW w:w="840" w:type="pct"/>
            <w:vAlign w:val="center"/>
          </w:tcPr>
          <w:p w14:paraId="144BA6D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A02052399其他制冷空调设备</w:t>
            </w:r>
          </w:p>
        </w:tc>
        <w:tc>
          <w:tcPr>
            <w:tcW w:w="826" w:type="pct"/>
            <w:vAlign w:val="center"/>
          </w:tcPr>
          <w:p w14:paraId="70615AB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冷却塔</w:t>
            </w:r>
          </w:p>
        </w:tc>
        <w:tc>
          <w:tcPr>
            <w:tcW w:w="2309" w:type="pct"/>
            <w:vAlign w:val="center"/>
          </w:tcPr>
          <w:p w14:paraId="3D31333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《机械通风冷却塔第1部分：中小型开式冷却塔》（GB/T7190.1）；《机械通风冷却塔第2部分：大型开式冷却塔》（GB/T7190.2）</w:t>
            </w:r>
          </w:p>
        </w:tc>
      </w:tr>
      <w:tr w14:paraId="238EFC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Align w:val="center"/>
          </w:tcPr>
          <w:p w14:paraId="697CB5F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649" w:type="pct"/>
            <w:vAlign w:val="center"/>
          </w:tcPr>
          <w:p w14:paraId="638F652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A020601电机</w:t>
            </w:r>
          </w:p>
        </w:tc>
        <w:tc>
          <w:tcPr>
            <w:tcW w:w="840" w:type="pct"/>
            <w:vAlign w:val="center"/>
          </w:tcPr>
          <w:p w14:paraId="66AE864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826" w:type="pct"/>
            <w:vAlign w:val="center"/>
          </w:tcPr>
          <w:p w14:paraId="3FFECE7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09" w:type="pct"/>
            <w:vAlign w:val="center"/>
          </w:tcPr>
          <w:p w14:paraId="7B42686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《中小型三相异步电动机能效限定值及能效等级》（GB18613）</w:t>
            </w:r>
          </w:p>
        </w:tc>
      </w:tr>
      <w:tr w14:paraId="7DF2CE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Align w:val="center"/>
          </w:tcPr>
          <w:p w14:paraId="3DDDA19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649" w:type="pct"/>
            <w:vAlign w:val="center"/>
          </w:tcPr>
          <w:p w14:paraId="12E154C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A020602变压器</w:t>
            </w:r>
          </w:p>
        </w:tc>
        <w:tc>
          <w:tcPr>
            <w:tcW w:w="840" w:type="pct"/>
            <w:vAlign w:val="center"/>
          </w:tcPr>
          <w:p w14:paraId="1EC7DD5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配电变压器</w:t>
            </w:r>
          </w:p>
        </w:tc>
        <w:tc>
          <w:tcPr>
            <w:tcW w:w="826" w:type="pct"/>
            <w:vAlign w:val="center"/>
          </w:tcPr>
          <w:p w14:paraId="71EB8B9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09" w:type="pct"/>
            <w:vAlign w:val="center"/>
          </w:tcPr>
          <w:p w14:paraId="3D6E37E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《三相配电变压器能效限定值及能效等级》（GB20052）</w:t>
            </w:r>
          </w:p>
        </w:tc>
      </w:tr>
      <w:tr w14:paraId="52B69E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Align w:val="center"/>
          </w:tcPr>
          <w:p w14:paraId="15FDBE4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649" w:type="pct"/>
            <w:vAlign w:val="center"/>
          </w:tcPr>
          <w:p w14:paraId="568227E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★A020609镇流器</w:t>
            </w:r>
          </w:p>
        </w:tc>
        <w:tc>
          <w:tcPr>
            <w:tcW w:w="840" w:type="pct"/>
            <w:vAlign w:val="center"/>
          </w:tcPr>
          <w:p w14:paraId="5B2CE93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管型荧光灯镇流器</w:t>
            </w:r>
          </w:p>
        </w:tc>
        <w:tc>
          <w:tcPr>
            <w:tcW w:w="826" w:type="pct"/>
            <w:vAlign w:val="center"/>
          </w:tcPr>
          <w:p w14:paraId="6C20F81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09" w:type="pct"/>
            <w:vAlign w:val="center"/>
          </w:tcPr>
          <w:p w14:paraId="5ADBF41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《管形荧光灯镇流器能效限定值及能效等级》（GB17896）</w:t>
            </w:r>
          </w:p>
        </w:tc>
      </w:tr>
      <w:tr w14:paraId="17FD9F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Merge w:val="restart"/>
            <w:vAlign w:val="center"/>
          </w:tcPr>
          <w:p w14:paraId="3E580E2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649" w:type="pct"/>
            <w:vMerge w:val="restart"/>
            <w:vAlign w:val="center"/>
          </w:tcPr>
          <w:p w14:paraId="47F87BD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A020618生活用电器</w:t>
            </w:r>
          </w:p>
        </w:tc>
        <w:tc>
          <w:tcPr>
            <w:tcW w:w="840" w:type="pct"/>
            <w:vAlign w:val="center"/>
          </w:tcPr>
          <w:p w14:paraId="42BBBB0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A0206180101电冰箱</w:t>
            </w:r>
          </w:p>
        </w:tc>
        <w:tc>
          <w:tcPr>
            <w:tcW w:w="826" w:type="pct"/>
            <w:vAlign w:val="center"/>
          </w:tcPr>
          <w:p w14:paraId="3C7D392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09" w:type="pct"/>
            <w:vAlign w:val="center"/>
          </w:tcPr>
          <w:p w14:paraId="698A51B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《家用电冰箱耗电量限定值及能效等级》（GB 12021.2）</w:t>
            </w:r>
          </w:p>
        </w:tc>
      </w:tr>
      <w:tr w14:paraId="42A530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75" w:hRule="atLeast"/>
        </w:trPr>
        <w:tc>
          <w:tcPr>
            <w:tcW w:w="374" w:type="pct"/>
            <w:vMerge w:val="continue"/>
            <w:vAlign w:val="center"/>
          </w:tcPr>
          <w:p w14:paraId="00AB270B">
            <w:pPr>
              <w:widowControl/>
              <w:jc w:val="left"/>
              <w:rPr>
                <w:rFonts w:ascii="宋体" w:hAnsi="宋体" w:cs="宋体"/>
                <w:color w:val="auto"/>
                <w:kern w:val="0"/>
                <w:sz w:val="20"/>
                <w:szCs w:val="20"/>
                <w:highlight w:val="none"/>
              </w:rPr>
            </w:pPr>
          </w:p>
        </w:tc>
        <w:tc>
          <w:tcPr>
            <w:tcW w:w="649" w:type="pct"/>
            <w:vMerge w:val="continue"/>
            <w:vAlign w:val="center"/>
          </w:tcPr>
          <w:p w14:paraId="656F1461">
            <w:pPr>
              <w:widowControl/>
              <w:jc w:val="left"/>
              <w:rPr>
                <w:rFonts w:ascii="宋体" w:hAnsi="宋体" w:cs="宋体"/>
                <w:color w:val="auto"/>
                <w:kern w:val="0"/>
                <w:sz w:val="20"/>
                <w:szCs w:val="20"/>
                <w:highlight w:val="none"/>
              </w:rPr>
            </w:pPr>
          </w:p>
        </w:tc>
        <w:tc>
          <w:tcPr>
            <w:tcW w:w="840" w:type="pct"/>
            <w:vMerge w:val="restart"/>
            <w:vAlign w:val="center"/>
          </w:tcPr>
          <w:p w14:paraId="1FFA404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★A0206180203空调机</w:t>
            </w:r>
          </w:p>
        </w:tc>
        <w:tc>
          <w:tcPr>
            <w:tcW w:w="826" w:type="pct"/>
            <w:vAlign w:val="center"/>
          </w:tcPr>
          <w:p w14:paraId="4B6E29D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房间空气调节器</w:t>
            </w:r>
          </w:p>
        </w:tc>
        <w:tc>
          <w:tcPr>
            <w:tcW w:w="2309" w:type="pct"/>
            <w:vAlign w:val="center"/>
          </w:tcPr>
          <w:p w14:paraId="7A14B6B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5E8005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374" w:type="pct"/>
            <w:vMerge w:val="continue"/>
            <w:vAlign w:val="center"/>
          </w:tcPr>
          <w:p w14:paraId="05F84452">
            <w:pPr>
              <w:widowControl/>
              <w:jc w:val="left"/>
              <w:rPr>
                <w:rFonts w:ascii="宋体" w:hAnsi="宋体" w:cs="宋体"/>
                <w:color w:val="auto"/>
                <w:kern w:val="0"/>
                <w:sz w:val="20"/>
                <w:szCs w:val="20"/>
                <w:highlight w:val="none"/>
              </w:rPr>
            </w:pPr>
          </w:p>
        </w:tc>
        <w:tc>
          <w:tcPr>
            <w:tcW w:w="649" w:type="pct"/>
            <w:vMerge w:val="continue"/>
            <w:vAlign w:val="center"/>
          </w:tcPr>
          <w:p w14:paraId="59499B44">
            <w:pPr>
              <w:widowControl/>
              <w:jc w:val="left"/>
              <w:rPr>
                <w:rFonts w:ascii="宋体" w:hAnsi="宋体" w:cs="宋体"/>
                <w:color w:val="auto"/>
                <w:kern w:val="0"/>
                <w:sz w:val="20"/>
                <w:szCs w:val="20"/>
                <w:highlight w:val="none"/>
              </w:rPr>
            </w:pPr>
          </w:p>
        </w:tc>
        <w:tc>
          <w:tcPr>
            <w:tcW w:w="840" w:type="pct"/>
            <w:vMerge w:val="continue"/>
            <w:vAlign w:val="center"/>
          </w:tcPr>
          <w:p w14:paraId="09DBF93E">
            <w:pPr>
              <w:widowControl/>
              <w:jc w:val="left"/>
              <w:rPr>
                <w:rFonts w:ascii="宋体" w:hAnsi="宋体" w:cs="宋体"/>
                <w:color w:val="auto"/>
                <w:kern w:val="0"/>
                <w:sz w:val="20"/>
                <w:szCs w:val="20"/>
                <w:highlight w:val="none"/>
              </w:rPr>
            </w:pPr>
          </w:p>
        </w:tc>
        <w:tc>
          <w:tcPr>
            <w:tcW w:w="826" w:type="pct"/>
            <w:vAlign w:val="center"/>
          </w:tcPr>
          <w:p w14:paraId="377C664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 14000W）</w:t>
            </w:r>
          </w:p>
        </w:tc>
        <w:tc>
          <w:tcPr>
            <w:tcW w:w="2309" w:type="pct"/>
            <w:vAlign w:val="center"/>
          </w:tcPr>
          <w:p w14:paraId="6D16E78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71CDC2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374" w:type="pct"/>
            <w:vMerge w:val="continue"/>
            <w:vAlign w:val="center"/>
          </w:tcPr>
          <w:p w14:paraId="40B31E5D">
            <w:pPr>
              <w:widowControl/>
              <w:jc w:val="left"/>
              <w:rPr>
                <w:rFonts w:ascii="宋体" w:hAnsi="宋体" w:cs="宋体"/>
                <w:color w:val="auto"/>
                <w:kern w:val="0"/>
                <w:sz w:val="20"/>
                <w:szCs w:val="20"/>
                <w:highlight w:val="none"/>
              </w:rPr>
            </w:pPr>
          </w:p>
        </w:tc>
        <w:tc>
          <w:tcPr>
            <w:tcW w:w="649" w:type="pct"/>
            <w:vMerge w:val="continue"/>
            <w:vAlign w:val="center"/>
          </w:tcPr>
          <w:p w14:paraId="3B1A6B51">
            <w:pPr>
              <w:widowControl/>
              <w:jc w:val="left"/>
              <w:rPr>
                <w:rFonts w:ascii="宋体" w:hAnsi="宋体" w:cs="宋体"/>
                <w:color w:val="auto"/>
                <w:kern w:val="0"/>
                <w:sz w:val="20"/>
                <w:szCs w:val="20"/>
                <w:highlight w:val="none"/>
              </w:rPr>
            </w:pPr>
          </w:p>
        </w:tc>
        <w:tc>
          <w:tcPr>
            <w:tcW w:w="840" w:type="pct"/>
            <w:vMerge w:val="continue"/>
            <w:vAlign w:val="center"/>
          </w:tcPr>
          <w:p w14:paraId="64EC0463">
            <w:pPr>
              <w:widowControl/>
              <w:jc w:val="left"/>
              <w:rPr>
                <w:rFonts w:ascii="宋体" w:hAnsi="宋体" w:cs="宋体"/>
                <w:color w:val="auto"/>
                <w:kern w:val="0"/>
                <w:sz w:val="20"/>
                <w:szCs w:val="20"/>
                <w:highlight w:val="none"/>
              </w:rPr>
            </w:pPr>
          </w:p>
        </w:tc>
        <w:tc>
          <w:tcPr>
            <w:tcW w:w="826" w:type="pct"/>
            <w:vAlign w:val="center"/>
          </w:tcPr>
          <w:p w14:paraId="4BD6328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单元式空气调节机(制冷量≤14000W)</w:t>
            </w:r>
          </w:p>
        </w:tc>
        <w:tc>
          <w:tcPr>
            <w:tcW w:w="2309" w:type="pct"/>
            <w:vAlign w:val="center"/>
          </w:tcPr>
          <w:p w14:paraId="23C4DC6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《单元式空气调节机能效限定值及能源效率等级》（GB19576）《风管送风式空调机组能效限定值及能效等级》（GB37479）</w:t>
            </w:r>
          </w:p>
        </w:tc>
      </w:tr>
      <w:tr w14:paraId="0AEC40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Merge w:val="continue"/>
            <w:vAlign w:val="center"/>
          </w:tcPr>
          <w:p w14:paraId="2353606D">
            <w:pPr>
              <w:widowControl/>
              <w:jc w:val="left"/>
              <w:rPr>
                <w:rFonts w:ascii="宋体" w:hAnsi="宋体" w:cs="宋体"/>
                <w:color w:val="auto"/>
                <w:kern w:val="0"/>
                <w:sz w:val="20"/>
                <w:szCs w:val="20"/>
                <w:highlight w:val="none"/>
              </w:rPr>
            </w:pPr>
          </w:p>
        </w:tc>
        <w:tc>
          <w:tcPr>
            <w:tcW w:w="649" w:type="pct"/>
            <w:vMerge w:val="continue"/>
            <w:vAlign w:val="center"/>
          </w:tcPr>
          <w:p w14:paraId="54DCCA42">
            <w:pPr>
              <w:widowControl/>
              <w:jc w:val="left"/>
              <w:rPr>
                <w:rFonts w:ascii="宋体" w:hAnsi="宋体" w:cs="宋体"/>
                <w:color w:val="auto"/>
                <w:kern w:val="0"/>
                <w:sz w:val="20"/>
                <w:szCs w:val="20"/>
                <w:highlight w:val="none"/>
              </w:rPr>
            </w:pPr>
          </w:p>
        </w:tc>
        <w:tc>
          <w:tcPr>
            <w:tcW w:w="840" w:type="pct"/>
            <w:vAlign w:val="center"/>
          </w:tcPr>
          <w:p w14:paraId="481B17E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A0206180301洗衣机</w:t>
            </w:r>
          </w:p>
        </w:tc>
        <w:tc>
          <w:tcPr>
            <w:tcW w:w="826" w:type="pct"/>
            <w:vAlign w:val="center"/>
          </w:tcPr>
          <w:p w14:paraId="3E22595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09" w:type="pct"/>
            <w:vAlign w:val="center"/>
          </w:tcPr>
          <w:p w14:paraId="74B7398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《电动洗衣机能效水效限定值及等级》（GB12021.4）</w:t>
            </w:r>
          </w:p>
        </w:tc>
      </w:tr>
      <w:tr w14:paraId="445AD8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Merge w:val="continue"/>
            <w:vAlign w:val="center"/>
          </w:tcPr>
          <w:p w14:paraId="6E24FA38">
            <w:pPr>
              <w:widowControl/>
              <w:jc w:val="left"/>
              <w:rPr>
                <w:rFonts w:ascii="宋体" w:hAnsi="宋体" w:cs="宋体"/>
                <w:color w:val="auto"/>
                <w:kern w:val="0"/>
                <w:sz w:val="20"/>
                <w:szCs w:val="20"/>
                <w:highlight w:val="none"/>
              </w:rPr>
            </w:pPr>
          </w:p>
        </w:tc>
        <w:tc>
          <w:tcPr>
            <w:tcW w:w="649" w:type="pct"/>
            <w:vMerge w:val="continue"/>
            <w:vAlign w:val="center"/>
          </w:tcPr>
          <w:p w14:paraId="13933722">
            <w:pPr>
              <w:widowControl/>
              <w:jc w:val="left"/>
              <w:rPr>
                <w:rFonts w:ascii="宋体" w:hAnsi="宋体" w:cs="宋体"/>
                <w:color w:val="auto"/>
                <w:kern w:val="0"/>
                <w:sz w:val="20"/>
                <w:szCs w:val="20"/>
                <w:highlight w:val="none"/>
              </w:rPr>
            </w:pPr>
          </w:p>
        </w:tc>
        <w:tc>
          <w:tcPr>
            <w:tcW w:w="840" w:type="pct"/>
            <w:vMerge w:val="restart"/>
            <w:vAlign w:val="center"/>
          </w:tcPr>
          <w:p w14:paraId="31B89BF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A02061808热水器</w:t>
            </w:r>
          </w:p>
        </w:tc>
        <w:tc>
          <w:tcPr>
            <w:tcW w:w="826" w:type="pct"/>
            <w:vAlign w:val="center"/>
          </w:tcPr>
          <w:p w14:paraId="319B5E4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★电热水器</w:t>
            </w:r>
          </w:p>
        </w:tc>
        <w:tc>
          <w:tcPr>
            <w:tcW w:w="2309" w:type="pct"/>
            <w:vAlign w:val="center"/>
          </w:tcPr>
          <w:p w14:paraId="2E8336F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《储水式电热水器能效限定值及能效等级》（GB21519）</w:t>
            </w:r>
          </w:p>
        </w:tc>
      </w:tr>
      <w:tr w14:paraId="6B8CF8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Merge w:val="continue"/>
            <w:vAlign w:val="center"/>
          </w:tcPr>
          <w:p w14:paraId="153DBC7E">
            <w:pPr>
              <w:widowControl/>
              <w:jc w:val="left"/>
              <w:rPr>
                <w:rFonts w:ascii="宋体" w:hAnsi="宋体" w:cs="宋体"/>
                <w:color w:val="auto"/>
                <w:kern w:val="0"/>
                <w:sz w:val="20"/>
                <w:szCs w:val="20"/>
                <w:highlight w:val="none"/>
              </w:rPr>
            </w:pPr>
          </w:p>
        </w:tc>
        <w:tc>
          <w:tcPr>
            <w:tcW w:w="649" w:type="pct"/>
            <w:vMerge w:val="continue"/>
            <w:vAlign w:val="center"/>
          </w:tcPr>
          <w:p w14:paraId="0D180690">
            <w:pPr>
              <w:widowControl/>
              <w:jc w:val="left"/>
              <w:rPr>
                <w:rFonts w:ascii="宋体" w:hAnsi="宋体" w:cs="宋体"/>
                <w:color w:val="auto"/>
                <w:kern w:val="0"/>
                <w:sz w:val="20"/>
                <w:szCs w:val="20"/>
                <w:highlight w:val="none"/>
              </w:rPr>
            </w:pPr>
          </w:p>
        </w:tc>
        <w:tc>
          <w:tcPr>
            <w:tcW w:w="840" w:type="pct"/>
            <w:vMerge w:val="continue"/>
            <w:vAlign w:val="center"/>
          </w:tcPr>
          <w:p w14:paraId="3BA74E00">
            <w:pPr>
              <w:widowControl/>
              <w:jc w:val="left"/>
              <w:rPr>
                <w:rFonts w:ascii="宋体" w:hAnsi="宋体" w:cs="宋体"/>
                <w:color w:val="auto"/>
                <w:kern w:val="0"/>
                <w:sz w:val="20"/>
                <w:szCs w:val="20"/>
                <w:highlight w:val="none"/>
              </w:rPr>
            </w:pPr>
          </w:p>
        </w:tc>
        <w:tc>
          <w:tcPr>
            <w:tcW w:w="826" w:type="pct"/>
            <w:vAlign w:val="center"/>
          </w:tcPr>
          <w:p w14:paraId="7BCE604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燃气热水器</w:t>
            </w:r>
          </w:p>
        </w:tc>
        <w:tc>
          <w:tcPr>
            <w:tcW w:w="2309" w:type="pct"/>
            <w:vAlign w:val="center"/>
          </w:tcPr>
          <w:p w14:paraId="5F2B999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《家用燃气快速热水器和燃气采暖热水炉能效限定值及能效等级》（GB20665）</w:t>
            </w:r>
          </w:p>
        </w:tc>
      </w:tr>
      <w:tr w14:paraId="6C5EC9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Merge w:val="continue"/>
            <w:vAlign w:val="center"/>
          </w:tcPr>
          <w:p w14:paraId="4CC4C1E9">
            <w:pPr>
              <w:widowControl/>
              <w:jc w:val="left"/>
              <w:rPr>
                <w:rFonts w:ascii="宋体" w:hAnsi="宋体" w:cs="宋体"/>
                <w:color w:val="auto"/>
                <w:kern w:val="0"/>
                <w:sz w:val="20"/>
                <w:szCs w:val="20"/>
                <w:highlight w:val="none"/>
              </w:rPr>
            </w:pPr>
          </w:p>
        </w:tc>
        <w:tc>
          <w:tcPr>
            <w:tcW w:w="649" w:type="pct"/>
            <w:vMerge w:val="continue"/>
            <w:vAlign w:val="center"/>
          </w:tcPr>
          <w:p w14:paraId="1EDA777B">
            <w:pPr>
              <w:widowControl/>
              <w:jc w:val="left"/>
              <w:rPr>
                <w:rFonts w:ascii="宋体" w:hAnsi="宋体" w:cs="宋体"/>
                <w:color w:val="auto"/>
                <w:kern w:val="0"/>
                <w:sz w:val="20"/>
                <w:szCs w:val="20"/>
                <w:highlight w:val="none"/>
              </w:rPr>
            </w:pPr>
          </w:p>
        </w:tc>
        <w:tc>
          <w:tcPr>
            <w:tcW w:w="840" w:type="pct"/>
            <w:vMerge w:val="continue"/>
            <w:vAlign w:val="center"/>
          </w:tcPr>
          <w:p w14:paraId="1CE952F5">
            <w:pPr>
              <w:widowControl/>
              <w:jc w:val="left"/>
              <w:rPr>
                <w:rFonts w:ascii="宋体" w:hAnsi="宋体" w:cs="宋体"/>
                <w:color w:val="auto"/>
                <w:kern w:val="0"/>
                <w:sz w:val="20"/>
                <w:szCs w:val="20"/>
                <w:highlight w:val="none"/>
              </w:rPr>
            </w:pPr>
          </w:p>
        </w:tc>
        <w:tc>
          <w:tcPr>
            <w:tcW w:w="826" w:type="pct"/>
            <w:vAlign w:val="center"/>
          </w:tcPr>
          <w:p w14:paraId="161860D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热泵热水器</w:t>
            </w:r>
          </w:p>
        </w:tc>
        <w:tc>
          <w:tcPr>
            <w:tcW w:w="2309" w:type="pct"/>
            <w:vAlign w:val="center"/>
          </w:tcPr>
          <w:p w14:paraId="4D0A44D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《热泵热水机（器）能效限定值及能效等级》（GB29541）</w:t>
            </w:r>
          </w:p>
        </w:tc>
      </w:tr>
      <w:tr w14:paraId="0AA24B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Merge w:val="continue"/>
            <w:vAlign w:val="center"/>
          </w:tcPr>
          <w:p w14:paraId="234E2688">
            <w:pPr>
              <w:widowControl/>
              <w:jc w:val="left"/>
              <w:rPr>
                <w:rFonts w:ascii="宋体" w:hAnsi="宋体" w:cs="宋体"/>
                <w:color w:val="auto"/>
                <w:kern w:val="0"/>
                <w:sz w:val="20"/>
                <w:szCs w:val="20"/>
                <w:highlight w:val="none"/>
              </w:rPr>
            </w:pPr>
          </w:p>
        </w:tc>
        <w:tc>
          <w:tcPr>
            <w:tcW w:w="649" w:type="pct"/>
            <w:vMerge w:val="continue"/>
            <w:vAlign w:val="center"/>
          </w:tcPr>
          <w:p w14:paraId="75263E71">
            <w:pPr>
              <w:widowControl/>
              <w:jc w:val="left"/>
              <w:rPr>
                <w:rFonts w:ascii="宋体" w:hAnsi="宋体" w:cs="宋体"/>
                <w:color w:val="auto"/>
                <w:kern w:val="0"/>
                <w:sz w:val="20"/>
                <w:szCs w:val="20"/>
                <w:highlight w:val="none"/>
              </w:rPr>
            </w:pPr>
          </w:p>
        </w:tc>
        <w:tc>
          <w:tcPr>
            <w:tcW w:w="840" w:type="pct"/>
            <w:vMerge w:val="continue"/>
            <w:vAlign w:val="center"/>
          </w:tcPr>
          <w:p w14:paraId="5BF860FE">
            <w:pPr>
              <w:widowControl/>
              <w:jc w:val="left"/>
              <w:rPr>
                <w:rFonts w:ascii="宋体" w:hAnsi="宋体" w:cs="宋体"/>
                <w:color w:val="auto"/>
                <w:kern w:val="0"/>
                <w:sz w:val="20"/>
                <w:szCs w:val="20"/>
                <w:highlight w:val="none"/>
              </w:rPr>
            </w:pPr>
          </w:p>
        </w:tc>
        <w:tc>
          <w:tcPr>
            <w:tcW w:w="826" w:type="pct"/>
            <w:vAlign w:val="center"/>
          </w:tcPr>
          <w:p w14:paraId="6187AED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太阳能热水系统</w:t>
            </w:r>
          </w:p>
        </w:tc>
        <w:tc>
          <w:tcPr>
            <w:tcW w:w="2309" w:type="pct"/>
            <w:vAlign w:val="center"/>
          </w:tcPr>
          <w:p w14:paraId="7BF5F26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《家用太阳能热水系统能效限定值及能效等级》（GB26969）</w:t>
            </w:r>
          </w:p>
        </w:tc>
      </w:tr>
      <w:tr w14:paraId="7A7B03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Merge w:val="restart"/>
            <w:vAlign w:val="center"/>
          </w:tcPr>
          <w:p w14:paraId="083AE15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649" w:type="pct"/>
            <w:vMerge w:val="restart"/>
            <w:vAlign w:val="center"/>
          </w:tcPr>
          <w:p w14:paraId="315D51A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A020619照明设备</w:t>
            </w:r>
          </w:p>
        </w:tc>
        <w:tc>
          <w:tcPr>
            <w:tcW w:w="840" w:type="pct"/>
            <w:vAlign w:val="center"/>
          </w:tcPr>
          <w:p w14:paraId="2EC1334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w:t>
            </w:r>
          </w:p>
        </w:tc>
        <w:tc>
          <w:tcPr>
            <w:tcW w:w="826" w:type="pct"/>
            <w:vAlign w:val="center"/>
          </w:tcPr>
          <w:p w14:paraId="70860C5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09" w:type="pct"/>
            <w:vAlign w:val="center"/>
          </w:tcPr>
          <w:p w14:paraId="15401CD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《普通照明用双端荧光灯能效限定值及能效等级》（GB19043）</w:t>
            </w:r>
          </w:p>
        </w:tc>
      </w:tr>
      <w:tr w14:paraId="28B5AF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Merge w:val="continue"/>
            <w:vAlign w:val="center"/>
          </w:tcPr>
          <w:p w14:paraId="5AD45FD7">
            <w:pPr>
              <w:widowControl/>
              <w:jc w:val="left"/>
              <w:rPr>
                <w:rFonts w:ascii="宋体" w:hAnsi="宋体" w:cs="宋体"/>
                <w:color w:val="auto"/>
                <w:kern w:val="0"/>
                <w:sz w:val="20"/>
                <w:szCs w:val="20"/>
                <w:highlight w:val="none"/>
              </w:rPr>
            </w:pPr>
          </w:p>
        </w:tc>
        <w:tc>
          <w:tcPr>
            <w:tcW w:w="649" w:type="pct"/>
            <w:vMerge w:val="continue"/>
            <w:vAlign w:val="center"/>
          </w:tcPr>
          <w:p w14:paraId="09020DA6">
            <w:pPr>
              <w:widowControl/>
              <w:jc w:val="left"/>
              <w:rPr>
                <w:rFonts w:ascii="宋体" w:hAnsi="宋体" w:cs="宋体"/>
                <w:color w:val="auto"/>
                <w:kern w:val="0"/>
                <w:sz w:val="20"/>
                <w:szCs w:val="20"/>
                <w:highlight w:val="none"/>
              </w:rPr>
            </w:pPr>
          </w:p>
        </w:tc>
        <w:tc>
          <w:tcPr>
            <w:tcW w:w="840" w:type="pct"/>
            <w:vAlign w:val="center"/>
          </w:tcPr>
          <w:p w14:paraId="225172F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LED道路/隧道照明产品</w:t>
            </w:r>
          </w:p>
        </w:tc>
        <w:tc>
          <w:tcPr>
            <w:tcW w:w="826" w:type="pct"/>
            <w:vAlign w:val="center"/>
          </w:tcPr>
          <w:p w14:paraId="48ACB5A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09" w:type="pct"/>
            <w:vAlign w:val="center"/>
          </w:tcPr>
          <w:p w14:paraId="5348E1B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《道路和隧道照明用LED灯具能效限定值及能效等级》（GB37478）</w:t>
            </w:r>
          </w:p>
        </w:tc>
      </w:tr>
      <w:tr w14:paraId="285FCF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Merge w:val="continue"/>
            <w:vAlign w:val="center"/>
          </w:tcPr>
          <w:p w14:paraId="4260129C">
            <w:pPr>
              <w:widowControl/>
              <w:jc w:val="left"/>
              <w:rPr>
                <w:rFonts w:ascii="宋体" w:hAnsi="宋体" w:cs="宋体"/>
                <w:color w:val="auto"/>
                <w:kern w:val="0"/>
                <w:sz w:val="20"/>
                <w:szCs w:val="20"/>
                <w:highlight w:val="none"/>
              </w:rPr>
            </w:pPr>
          </w:p>
        </w:tc>
        <w:tc>
          <w:tcPr>
            <w:tcW w:w="649" w:type="pct"/>
            <w:vMerge w:val="continue"/>
            <w:vAlign w:val="center"/>
          </w:tcPr>
          <w:p w14:paraId="4DD36A8A">
            <w:pPr>
              <w:widowControl/>
              <w:jc w:val="left"/>
              <w:rPr>
                <w:rFonts w:ascii="宋体" w:hAnsi="宋体" w:cs="宋体"/>
                <w:color w:val="auto"/>
                <w:kern w:val="0"/>
                <w:sz w:val="20"/>
                <w:szCs w:val="20"/>
                <w:highlight w:val="none"/>
              </w:rPr>
            </w:pPr>
          </w:p>
        </w:tc>
        <w:tc>
          <w:tcPr>
            <w:tcW w:w="840" w:type="pct"/>
            <w:vAlign w:val="center"/>
          </w:tcPr>
          <w:p w14:paraId="4B74981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LED筒灯</w:t>
            </w:r>
          </w:p>
        </w:tc>
        <w:tc>
          <w:tcPr>
            <w:tcW w:w="826" w:type="pct"/>
            <w:vAlign w:val="center"/>
          </w:tcPr>
          <w:p w14:paraId="3621BA3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09" w:type="pct"/>
            <w:vAlign w:val="center"/>
          </w:tcPr>
          <w:p w14:paraId="19D710F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4046D8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374" w:type="pct"/>
            <w:vMerge w:val="continue"/>
            <w:vAlign w:val="center"/>
          </w:tcPr>
          <w:p w14:paraId="21C30B1D">
            <w:pPr>
              <w:widowControl/>
              <w:jc w:val="left"/>
              <w:rPr>
                <w:rFonts w:ascii="宋体" w:hAnsi="宋体" w:cs="宋体"/>
                <w:color w:val="auto"/>
                <w:kern w:val="0"/>
                <w:sz w:val="20"/>
                <w:szCs w:val="20"/>
                <w:highlight w:val="none"/>
              </w:rPr>
            </w:pPr>
          </w:p>
        </w:tc>
        <w:tc>
          <w:tcPr>
            <w:tcW w:w="649" w:type="pct"/>
            <w:vMerge w:val="continue"/>
            <w:vAlign w:val="center"/>
          </w:tcPr>
          <w:p w14:paraId="6C5A84D3">
            <w:pPr>
              <w:widowControl/>
              <w:jc w:val="left"/>
              <w:rPr>
                <w:rFonts w:ascii="宋体" w:hAnsi="宋体" w:cs="宋体"/>
                <w:color w:val="auto"/>
                <w:kern w:val="0"/>
                <w:sz w:val="20"/>
                <w:szCs w:val="20"/>
                <w:highlight w:val="none"/>
              </w:rPr>
            </w:pPr>
          </w:p>
        </w:tc>
        <w:tc>
          <w:tcPr>
            <w:tcW w:w="840" w:type="pct"/>
            <w:vAlign w:val="center"/>
          </w:tcPr>
          <w:p w14:paraId="0F26A84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普通照明用非定向自镇流LED灯</w:t>
            </w:r>
          </w:p>
        </w:tc>
        <w:tc>
          <w:tcPr>
            <w:tcW w:w="826" w:type="pct"/>
            <w:vAlign w:val="center"/>
          </w:tcPr>
          <w:p w14:paraId="464CC28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09" w:type="pct"/>
            <w:vAlign w:val="center"/>
          </w:tcPr>
          <w:p w14:paraId="0D44A7B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0CC476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374" w:type="pct"/>
            <w:vAlign w:val="center"/>
          </w:tcPr>
          <w:p w14:paraId="11BDD3B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649" w:type="pct"/>
            <w:vAlign w:val="center"/>
          </w:tcPr>
          <w:p w14:paraId="286BE77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★A020910电视设备</w:t>
            </w:r>
          </w:p>
        </w:tc>
        <w:tc>
          <w:tcPr>
            <w:tcW w:w="840" w:type="pct"/>
            <w:vAlign w:val="center"/>
          </w:tcPr>
          <w:p w14:paraId="073CB50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A02091001普通电视设备（电视机）</w:t>
            </w:r>
          </w:p>
        </w:tc>
        <w:tc>
          <w:tcPr>
            <w:tcW w:w="826" w:type="pct"/>
            <w:vAlign w:val="center"/>
          </w:tcPr>
          <w:p w14:paraId="6507020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09" w:type="pct"/>
            <w:vAlign w:val="center"/>
          </w:tcPr>
          <w:p w14:paraId="52AED52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《平板电视能效限定值及能效等级》（GB24850）</w:t>
            </w:r>
          </w:p>
        </w:tc>
      </w:tr>
      <w:tr w14:paraId="50AFD1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75" w:hRule="atLeast"/>
        </w:trPr>
        <w:tc>
          <w:tcPr>
            <w:tcW w:w="374" w:type="pct"/>
            <w:vAlign w:val="center"/>
          </w:tcPr>
          <w:p w14:paraId="6CF18C7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649" w:type="pct"/>
            <w:vAlign w:val="center"/>
          </w:tcPr>
          <w:p w14:paraId="4226A0C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★A020911视频设备</w:t>
            </w:r>
          </w:p>
        </w:tc>
        <w:tc>
          <w:tcPr>
            <w:tcW w:w="840" w:type="pct"/>
            <w:vAlign w:val="center"/>
          </w:tcPr>
          <w:p w14:paraId="4A761C9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A02091107视频监控设备</w:t>
            </w:r>
          </w:p>
        </w:tc>
        <w:tc>
          <w:tcPr>
            <w:tcW w:w="826" w:type="pct"/>
            <w:vAlign w:val="center"/>
          </w:tcPr>
          <w:p w14:paraId="1767800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监视器</w:t>
            </w:r>
          </w:p>
        </w:tc>
        <w:tc>
          <w:tcPr>
            <w:tcW w:w="2309" w:type="pct"/>
            <w:vAlign w:val="center"/>
          </w:tcPr>
          <w:p w14:paraId="0AF26E1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66BF8E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Align w:val="center"/>
          </w:tcPr>
          <w:p w14:paraId="4CF237F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649" w:type="pct"/>
            <w:vAlign w:val="center"/>
          </w:tcPr>
          <w:p w14:paraId="79E058A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A031210饮食炊事机械</w:t>
            </w:r>
          </w:p>
        </w:tc>
        <w:tc>
          <w:tcPr>
            <w:tcW w:w="840" w:type="pct"/>
            <w:vAlign w:val="center"/>
          </w:tcPr>
          <w:p w14:paraId="5EA4CBA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w:t>
            </w:r>
          </w:p>
        </w:tc>
        <w:tc>
          <w:tcPr>
            <w:tcW w:w="826" w:type="pct"/>
            <w:vAlign w:val="center"/>
          </w:tcPr>
          <w:p w14:paraId="3612CE1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09" w:type="pct"/>
            <w:vAlign w:val="center"/>
          </w:tcPr>
          <w:p w14:paraId="22A85A2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《商用燃气灶具能效限定值及能效等级》（GB30531）</w:t>
            </w:r>
          </w:p>
        </w:tc>
      </w:tr>
      <w:tr w14:paraId="2C6233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374" w:type="pct"/>
            <w:vMerge w:val="restart"/>
            <w:vAlign w:val="center"/>
          </w:tcPr>
          <w:p w14:paraId="0964369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649" w:type="pct"/>
            <w:vMerge w:val="restart"/>
            <w:vAlign w:val="center"/>
          </w:tcPr>
          <w:p w14:paraId="77048F7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★A060805便器</w:t>
            </w:r>
          </w:p>
        </w:tc>
        <w:tc>
          <w:tcPr>
            <w:tcW w:w="840" w:type="pct"/>
            <w:vAlign w:val="center"/>
          </w:tcPr>
          <w:p w14:paraId="0B8DAD4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坐便器</w:t>
            </w:r>
          </w:p>
        </w:tc>
        <w:tc>
          <w:tcPr>
            <w:tcW w:w="826" w:type="pct"/>
            <w:vAlign w:val="center"/>
          </w:tcPr>
          <w:p w14:paraId="677859B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09" w:type="pct"/>
            <w:vAlign w:val="center"/>
          </w:tcPr>
          <w:p w14:paraId="3CC7924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《坐便器水效限定值及水效等级》（GB25502）</w:t>
            </w:r>
          </w:p>
        </w:tc>
      </w:tr>
      <w:tr w14:paraId="1AC3B2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Merge w:val="continue"/>
            <w:vAlign w:val="center"/>
          </w:tcPr>
          <w:p w14:paraId="385BFB43">
            <w:pPr>
              <w:widowControl/>
              <w:jc w:val="left"/>
              <w:rPr>
                <w:rFonts w:ascii="宋体" w:hAnsi="宋体" w:cs="宋体"/>
                <w:color w:val="auto"/>
                <w:kern w:val="0"/>
                <w:sz w:val="20"/>
                <w:szCs w:val="20"/>
                <w:highlight w:val="none"/>
              </w:rPr>
            </w:pPr>
          </w:p>
        </w:tc>
        <w:tc>
          <w:tcPr>
            <w:tcW w:w="649" w:type="pct"/>
            <w:vMerge w:val="continue"/>
            <w:vAlign w:val="center"/>
          </w:tcPr>
          <w:p w14:paraId="330283AA">
            <w:pPr>
              <w:widowControl/>
              <w:jc w:val="left"/>
              <w:rPr>
                <w:rFonts w:ascii="宋体" w:hAnsi="宋体" w:cs="宋体"/>
                <w:color w:val="auto"/>
                <w:kern w:val="0"/>
                <w:sz w:val="20"/>
                <w:szCs w:val="20"/>
                <w:highlight w:val="none"/>
              </w:rPr>
            </w:pPr>
          </w:p>
        </w:tc>
        <w:tc>
          <w:tcPr>
            <w:tcW w:w="840" w:type="pct"/>
            <w:vAlign w:val="center"/>
          </w:tcPr>
          <w:p w14:paraId="323EE05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蹲便器</w:t>
            </w:r>
          </w:p>
        </w:tc>
        <w:tc>
          <w:tcPr>
            <w:tcW w:w="826" w:type="pct"/>
            <w:vAlign w:val="center"/>
          </w:tcPr>
          <w:p w14:paraId="2F6337A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09" w:type="pct"/>
            <w:vAlign w:val="center"/>
          </w:tcPr>
          <w:p w14:paraId="4B1B32A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《蹲便器用水效率限定值及用水效率等级》（GB30717）</w:t>
            </w:r>
          </w:p>
        </w:tc>
      </w:tr>
      <w:tr w14:paraId="464D57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Merge w:val="continue"/>
            <w:vAlign w:val="center"/>
          </w:tcPr>
          <w:p w14:paraId="23C32789">
            <w:pPr>
              <w:widowControl/>
              <w:jc w:val="left"/>
              <w:rPr>
                <w:rFonts w:ascii="宋体" w:hAnsi="宋体" w:cs="宋体"/>
                <w:color w:val="auto"/>
                <w:kern w:val="0"/>
                <w:sz w:val="20"/>
                <w:szCs w:val="20"/>
                <w:highlight w:val="none"/>
              </w:rPr>
            </w:pPr>
          </w:p>
        </w:tc>
        <w:tc>
          <w:tcPr>
            <w:tcW w:w="649" w:type="pct"/>
            <w:vMerge w:val="continue"/>
            <w:vAlign w:val="center"/>
          </w:tcPr>
          <w:p w14:paraId="1A1DBB3F">
            <w:pPr>
              <w:widowControl/>
              <w:jc w:val="left"/>
              <w:rPr>
                <w:rFonts w:ascii="宋体" w:hAnsi="宋体" w:cs="宋体"/>
                <w:color w:val="auto"/>
                <w:kern w:val="0"/>
                <w:sz w:val="20"/>
                <w:szCs w:val="20"/>
                <w:highlight w:val="none"/>
              </w:rPr>
            </w:pPr>
          </w:p>
        </w:tc>
        <w:tc>
          <w:tcPr>
            <w:tcW w:w="840" w:type="pct"/>
            <w:vAlign w:val="center"/>
          </w:tcPr>
          <w:p w14:paraId="1295231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小便器</w:t>
            </w:r>
          </w:p>
        </w:tc>
        <w:tc>
          <w:tcPr>
            <w:tcW w:w="826" w:type="pct"/>
            <w:vAlign w:val="center"/>
          </w:tcPr>
          <w:p w14:paraId="76C93C8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09" w:type="pct"/>
            <w:vAlign w:val="center"/>
          </w:tcPr>
          <w:p w14:paraId="6D6DDC4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《小便器用水效率限定值及用水效率等级》（GB28377）</w:t>
            </w:r>
          </w:p>
        </w:tc>
      </w:tr>
      <w:tr w14:paraId="2612A8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Align w:val="center"/>
          </w:tcPr>
          <w:p w14:paraId="01699F6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649" w:type="pct"/>
            <w:vAlign w:val="center"/>
          </w:tcPr>
          <w:p w14:paraId="700DCBB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★A060806水嘴</w:t>
            </w:r>
          </w:p>
        </w:tc>
        <w:tc>
          <w:tcPr>
            <w:tcW w:w="840" w:type="pct"/>
            <w:vAlign w:val="center"/>
          </w:tcPr>
          <w:p w14:paraId="6F94623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826" w:type="pct"/>
            <w:vAlign w:val="center"/>
          </w:tcPr>
          <w:p w14:paraId="7CB5C12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09" w:type="pct"/>
            <w:vAlign w:val="center"/>
          </w:tcPr>
          <w:p w14:paraId="7F17669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《水嘴用水效率限定值及用水效率等级》（GB 25501）</w:t>
            </w:r>
          </w:p>
        </w:tc>
      </w:tr>
      <w:tr w14:paraId="5972F6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Align w:val="center"/>
          </w:tcPr>
          <w:p w14:paraId="471438A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649" w:type="pct"/>
            <w:vAlign w:val="center"/>
          </w:tcPr>
          <w:p w14:paraId="0F892E0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A060807便器冲洗阀</w:t>
            </w:r>
          </w:p>
        </w:tc>
        <w:tc>
          <w:tcPr>
            <w:tcW w:w="840" w:type="pct"/>
            <w:vAlign w:val="center"/>
          </w:tcPr>
          <w:p w14:paraId="4A9A732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826" w:type="pct"/>
            <w:vAlign w:val="center"/>
          </w:tcPr>
          <w:p w14:paraId="16CE594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09" w:type="pct"/>
            <w:vAlign w:val="center"/>
          </w:tcPr>
          <w:p w14:paraId="7B08BDC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《便器冲洗阀用水效率限定值及用水效率等级》（GB28379）</w:t>
            </w:r>
          </w:p>
        </w:tc>
      </w:tr>
      <w:tr w14:paraId="614BF9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374" w:type="pct"/>
            <w:vAlign w:val="center"/>
          </w:tcPr>
          <w:p w14:paraId="4D1C561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649" w:type="pct"/>
            <w:vAlign w:val="center"/>
          </w:tcPr>
          <w:p w14:paraId="505F00F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A060810淋浴器</w:t>
            </w:r>
          </w:p>
        </w:tc>
        <w:tc>
          <w:tcPr>
            <w:tcW w:w="840" w:type="pct"/>
            <w:vAlign w:val="center"/>
          </w:tcPr>
          <w:p w14:paraId="52C350C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826" w:type="pct"/>
            <w:vAlign w:val="center"/>
          </w:tcPr>
          <w:p w14:paraId="08FA392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309" w:type="pct"/>
            <w:vAlign w:val="center"/>
          </w:tcPr>
          <w:p w14:paraId="215FE6F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《淋浴器用水效率限定值及用水效率等级》（GB28378）</w:t>
            </w:r>
          </w:p>
        </w:tc>
      </w:tr>
    </w:tbl>
    <w:p w14:paraId="7584020D">
      <w:pPr>
        <w:pStyle w:val="9"/>
        <w:spacing w:line="360" w:lineRule="auto"/>
        <w:rPr>
          <w:rFonts w:ascii="宋体" w:hAnsi="宋体" w:cs="宋体"/>
          <w:color w:val="auto"/>
          <w:sz w:val="21"/>
          <w:szCs w:val="21"/>
          <w:highlight w:val="none"/>
        </w:rPr>
      </w:pPr>
      <w:r>
        <w:rPr>
          <w:rFonts w:hint="eastAsia" w:ascii="宋体" w:hAnsi="宋体" w:cs="宋体"/>
          <w:color w:val="auto"/>
          <w:spacing w:val="-3"/>
          <w:sz w:val="21"/>
          <w:szCs w:val="21"/>
          <w:highlight w:val="none"/>
        </w:rPr>
        <w:t>注：1.节能产品认证应依据相关国家标准的最新版本，依据国家标准中二级能效（水效）</w:t>
      </w:r>
      <w:r>
        <w:rPr>
          <w:rFonts w:hint="eastAsia" w:ascii="宋体" w:hAnsi="宋体" w:cs="宋体"/>
          <w:color w:val="auto"/>
          <w:sz w:val="21"/>
          <w:szCs w:val="21"/>
          <w:highlight w:val="none"/>
        </w:rPr>
        <w:t>指标。</w:t>
      </w:r>
    </w:p>
    <w:p w14:paraId="6A59D522">
      <w:pPr>
        <w:pStyle w:val="9"/>
        <w:spacing w:line="360" w:lineRule="auto"/>
        <w:rPr>
          <w:rFonts w:ascii="宋体" w:hAnsi="宋体" w:cs="宋体"/>
          <w:b/>
          <w:bCs/>
          <w:color w:val="auto"/>
          <w:sz w:val="21"/>
          <w:szCs w:val="21"/>
          <w:highlight w:val="none"/>
        </w:rPr>
      </w:pPr>
      <w:r>
        <w:rPr>
          <w:rFonts w:hint="eastAsia" w:ascii="宋体" w:hAnsi="宋体" w:cs="宋体"/>
          <w:color w:val="auto"/>
          <w:sz w:val="21"/>
          <w:szCs w:val="21"/>
          <w:highlight w:val="none"/>
        </w:rPr>
        <w:t xml:space="preserve">    2</w:t>
      </w:r>
      <w:r>
        <w:rPr>
          <w:rFonts w:hint="eastAsia" w:ascii="宋体" w:hAnsi="宋体" w:cs="宋体"/>
          <w:b/>
          <w:bCs/>
          <w:color w:val="auto"/>
          <w:sz w:val="21"/>
          <w:szCs w:val="21"/>
          <w:highlight w:val="none"/>
        </w:rPr>
        <w:t>.以“★”标注的为政府强制采购产品。</w:t>
      </w:r>
    </w:p>
    <w:p w14:paraId="742A6BDC">
      <w:pPr>
        <w:pStyle w:val="13"/>
        <w:jc w:val="left"/>
        <w:rPr>
          <w:rFonts w:hAnsi="宋体" w:cs="宋体"/>
          <w:color w:val="auto"/>
          <w:sz w:val="32"/>
          <w:szCs w:val="32"/>
          <w:highlight w:val="none"/>
        </w:rPr>
      </w:pPr>
    </w:p>
    <w:p w14:paraId="3106CD8C">
      <w:pPr>
        <w:pStyle w:val="13"/>
        <w:jc w:val="left"/>
        <w:rPr>
          <w:rFonts w:hAnsi="宋体" w:cs="宋体"/>
          <w:color w:val="auto"/>
          <w:sz w:val="32"/>
          <w:szCs w:val="32"/>
          <w:highlight w:val="none"/>
        </w:rPr>
      </w:pPr>
    </w:p>
    <w:p w14:paraId="230CD40A">
      <w:pPr>
        <w:pStyle w:val="13"/>
        <w:jc w:val="left"/>
        <w:rPr>
          <w:rFonts w:hint="eastAsia" w:hAnsi="宋体" w:cs="宋体"/>
          <w:color w:val="auto"/>
          <w:sz w:val="32"/>
          <w:szCs w:val="32"/>
          <w:highlight w:val="none"/>
        </w:rPr>
      </w:pPr>
    </w:p>
    <w:p w14:paraId="656E187C">
      <w:pPr>
        <w:pStyle w:val="13"/>
        <w:jc w:val="left"/>
        <w:rPr>
          <w:rFonts w:hAnsi="宋体" w:cs="宋体"/>
          <w:color w:val="auto"/>
          <w:sz w:val="32"/>
          <w:szCs w:val="32"/>
          <w:highlight w:val="none"/>
        </w:rPr>
      </w:pPr>
      <w:r>
        <w:rPr>
          <w:rFonts w:hint="eastAsia" w:hAnsi="宋体" w:cs="宋体"/>
          <w:color w:val="auto"/>
          <w:sz w:val="32"/>
          <w:szCs w:val="32"/>
          <w:highlight w:val="none"/>
        </w:rPr>
        <w:t>附件2：</w:t>
      </w:r>
    </w:p>
    <w:p w14:paraId="4DA54ED9">
      <w:pPr>
        <w:jc w:val="center"/>
        <w:rPr>
          <w:rFonts w:ascii="宋体" w:hAnsi="宋体" w:cs="宋体"/>
          <w:color w:val="auto"/>
          <w:sz w:val="44"/>
          <w:szCs w:val="44"/>
          <w:highlight w:val="none"/>
        </w:rPr>
      </w:pPr>
      <w:r>
        <w:rPr>
          <w:rFonts w:hint="eastAsia" w:ascii="宋体" w:hAnsi="宋体" w:cs="宋体"/>
          <w:color w:val="auto"/>
          <w:sz w:val="44"/>
          <w:szCs w:val="44"/>
          <w:highlight w:val="none"/>
        </w:rPr>
        <w:t>中小微企业划型标准</w:t>
      </w:r>
    </w:p>
    <w:p w14:paraId="5EF894C5">
      <w:pPr>
        <w:ind w:left="1871"/>
        <w:rPr>
          <w:rFonts w:ascii="宋体" w:hAnsi="宋体" w:cs="宋体"/>
          <w:color w:val="auto"/>
          <w:szCs w:val="21"/>
          <w:highlight w:val="none"/>
        </w:rPr>
      </w:pPr>
    </w:p>
    <w:tbl>
      <w:tblPr>
        <w:tblStyle w:val="22"/>
        <w:tblW w:w="4997" w:type="pct"/>
        <w:tblInd w:w="0" w:type="dxa"/>
        <w:tblLayout w:type="autofit"/>
        <w:tblCellMar>
          <w:top w:w="0" w:type="dxa"/>
          <w:left w:w="108" w:type="dxa"/>
          <w:bottom w:w="0" w:type="dxa"/>
          <w:right w:w="108" w:type="dxa"/>
        </w:tblCellMar>
      </w:tblPr>
      <w:tblGrid>
        <w:gridCol w:w="2098"/>
        <w:gridCol w:w="1708"/>
        <w:gridCol w:w="1125"/>
        <w:gridCol w:w="1998"/>
        <w:gridCol w:w="1777"/>
        <w:gridCol w:w="1142"/>
      </w:tblGrid>
      <w:tr w14:paraId="40A8B88E">
        <w:tblPrEx>
          <w:tblCellMar>
            <w:top w:w="0" w:type="dxa"/>
            <w:left w:w="108" w:type="dxa"/>
            <w:bottom w:w="0" w:type="dxa"/>
            <w:right w:w="108" w:type="dxa"/>
          </w:tblCellMar>
        </w:tblPrEx>
        <w:trPr>
          <w:trHeight w:val="285" w:hRule="atLeast"/>
        </w:trPr>
        <w:tc>
          <w:tcPr>
            <w:tcW w:w="1065" w:type="pct"/>
            <w:tcBorders>
              <w:top w:val="single" w:color="auto" w:sz="4" w:space="0"/>
              <w:left w:val="single" w:color="auto" w:sz="4" w:space="0"/>
              <w:bottom w:val="single" w:color="auto" w:sz="4" w:space="0"/>
              <w:right w:val="single" w:color="auto" w:sz="4" w:space="0"/>
            </w:tcBorders>
            <w:vAlign w:val="center"/>
          </w:tcPr>
          <w:p w14:paraId="61676A5A">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867" w:type="pct"/>
            <w:tcBorders>
              <w:top w:val="single" w:color="auto" w:sz="4" w:space="0"/>
              <w:left w:val="nil"/>
              <w:bottom w:val="single" w:color="auto" w:sz="4" w:space="0"/>
              <w:right w:val="single" w:color="auto" w:sz="4" w:space="0"/>
            </w:tcBorders>
            <w:vAlign w:val="center"/>
          </w:tcPr>
          <w:p w14:paraId="130DA04B">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571" w:type="pct"/>
            <w:tcBorders>
              <w:top w:val="single" w:color="auto" w:sz="4" w:space="0"/>
              <w:left w:val="nil"/>
              <w:bottom w:val="single" w:color="auto" w:sz="4" w:space="0"/>
              <w:right w:val="single" w:color="auto" w:sz="4" w:space="0"/>
            </w:tcBorders>
            <w:vAlign w:val="center"/>
          </w:tcPr>
          <w:p w14:paraId="21A4E213">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014" w:type="pct"/>
            <w:tcBorders>
              <w:top w:val="single" w:color="auto" w:sz="4" w:space="0"/>
              <w:left w:val="nil"/>
              <w:bottom w:val="single" w:color="auto" w:sz="4" w:space="0"/>
              <w:right w:val="single" w:color="auto" w:sz="4" w:space="0"/>
            </w:tcBorders>
            <w:vAlign w:val="center"/>
          </w:tcPr>
          <w:p w14:paraId="3671641A">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902" w:type="pct"/>
            <w:tcBorders>
              <w:top w:val="single" w:color="auto" w:sz="4" w:space="0"/>
              <w:left w:val="nil"/>
              <w:bottom w:val="single" w:color="auto" w:sz="4" w:space="0"/>
              <w:right w:val="single" w:color="auto" w:sz="4" w:space="0"/>
            </w:tcBorders>
            <w:vAlign w:val="center"/>
          </w:tcPr>
          <w:p w14:paraId="107E4149">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579" w:type="pct"/>
            <w:tcBorders>
              <w:top w:val="single" w:color="auto" w:sz="4" w:space="0"/>
              <w:left w:val="nil"/>
              <w:bottom w:val="single" w:color="auto" w:sz="4" w:space="0"/>
              <w:right w:val="single" w:color="auto" w:sz="4" w:space="0"/>
            </w:tcBorders>
            <w:vAlign w:val="center"/>
          </w:tcPr>
          <w:p w14:paraId="31057F4F">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72B7C37F">
        <w:tblPrEx>
          <w:tblCellMar>
            <w:top w:w="0" w:type="dxa"/>
            <w:left w:w="108" w:type="dxa"/>
            <w:bottom w:w="0" w:type="dxa"/>
            <w:right w:w="108" w:type="dxa"/>
          </w:tblCellMar>
        </w:tblPrEx>
        <w:trPr>
          <w:trHeight w:val="225" w:hRule="atLeast"/>
        </w:trPr>
        <w:tc>
          <w:tcPr>
            <w:tcW w:w="1065" w:type="pct"/>
            <w:tcBorders>
              <w:top w:val="nil"/>
              <w:left w:val="single" w:color="auto" w:sz="4" w:space="0"/>
              <w:bottom w:val="single" w:color="auto" w:sz="4" w:space="0"/>
              <w:right w:val="single" w:color="auto" w:sz="4" w:space="0"/>
            </w:tcBorders>
            <w:vAlign w:val="bottom"/>
          </w:tcPr>
          <w:p w14:paraId="434A6227">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867" w:type="pct"/>
            <w:tcBorders>
              <w:top w:val="nil"/>
              <w:left w:val="nil"/>
              <w:bottom w:val="single" w:color="auto" w:sz="4" w:space="0"/>
              <w:right w:val="single" w:color="auto" w:sz="4" w:space="0"/>
            </w:tcBorders>
            <w:vAlign w:val="center"/>
          </w:tcPr>
          <w:p w14:paraId="075EBF6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571" w:type="pct"/>
            <w:tcBorders>
              <w:top w:val="nil"/>
              <w:left w:val="nil"/>
              <w:bottom w:val="single" w:color="auto" w:sz="4" w:space="0"/>
              <w:right w:val="single" w:color="auto" w:sz="4" w:space="0"/>
            </w:tcBorders>
            <w:vAlign w:val="center"/>
          </w:tcPr>
          <w:p w14:paraId="1492AA5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7AD2626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902" w:type="pct"/>
            <w:tcBorders>
              <w:top w:val="nil"/>
              <w:left w:val="nil"/>
              <w:bottom w:val="single" w:color="auto" w:sz="4" w:space="0"/>
              <w:right w:val="single" w:color="auto" w:sz="4" w:space="0"/>
            </w:tcBorders>
            <w:vAlign w:val="center"/>
          </w:tcPr>
          <w:p w14:paraId="47C522D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579" w:type="pct"/>
            <w:tcBorders>
              <w:top w:val="nil"/>
              <w:left w:val="nil"/>
              <w:bottom w:val="single" w:color="auto" w:sz="4" w:space="0"/>
              <w:right w:val="single" w:color="auto" w:sz="4" w:space="0"/>
            </w:tcBorders>
            <w:vAlign w:val="center"/>
          </w:tcPr>
          <w:p w14:paraId="2C3358C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76A4DA04">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vAlign w:val="bottom"/>
          </w:tcPr>
          <w:p w14:paraId="22F6BC66">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867" w:type="pct"/>
            <w:tcBorders>
              <w:top w:val="nil"/>
              <w:left w:val="nil"/>
              <w:bottom w:val="single" w:color="auto" w:sz="4" w:space="0"/>
              <w:right w:val="single" w:color="auto" w:sz="4" w:space="0"/>
            </w:tcBorders>
            <w:vAlign w:val="center"/>
          </w:tcPr>
          <w:p w14:paraId="0A68C3C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571" w:type="pct"/>
            <w:tcBorders>
              <w:top w:val="nil"/>
              <w:left w:val="nil"/>
              <w:bottom w:val="single" w:color="auto" w:sz="4" w:space="0"/>
              <w:right w:val="single" w:color="auto" w:sz="4" w:space="0"/>
            </w:tcBorders>
            <w:vAlign w:val="center"/>
          </w:tcPr>
          <w:p w14:paraId="341FFDC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014" w:type="pct"/>
            <w:tcBorders>
              <w:top w:val="nil"/>
              <w:left w:val="nil"/>
              <w:bottom w:val="single" w:color="auto" w:sz="4" w:space="0"/>
              <w:right w:val="single" w:color="auto" w:sz="4" w:space="0"/>
            </w:tcBorders>
            <w:vAlign w:val="center"/>
          </w:tcPr>
          <w:p w14:paraId="3403E56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902" w:type="pct"/>
            <w:tcBorders>
              <w:top w:val="nil"/>
              <w:left w:val="nil"/>
              <w:bottom w:val="single" w:color="auto" w:sz="4" w:space="0"/>
              <w:right w:val="single" w:color="auto" w:sz="4" w:space="0"/>
            </w:tcBorders>
            <w:vAlign w:val="center"/>
          </w:tcPr>
          <w:p w14:paraId="742CDFA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579" w:type="pct"/>
            <w:tcBorders>
              <w:top w:val="nil"/>
              <w:left w:val="nil"/>
              <w:bottom w:val="single" w:color="auto" w:sz="4" w:space="0"/>
              <w:right w:val="single" w:color="auto" w:sz="4" w:space="0"/>
            </w:tcBorders>
            <w:vAlign w:val="center"/>
          </w:tcPr>
          <w:p w14:paraId="09611CC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B77181E">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vAlign w:val="center"/>
          </w:tcPr>
          <w:p w14:paraId="76711491">
            <w:pPr>
              <w:widowControl/>
              <w:jc w:val="left"/>
              <w:rPr>
                <w:rFonts w:ascii="宋体" w:hAnsi="宋体" w:cs="宋体"/>
                <w:b/>
                <w:bCs/>
                <w:color w:val="auto"/>
                <w:kern w:val="0"/>
                <w:sz w:val="18"/>
                <w:szCs w:val="18"/>
                <w:highlight w:val="none"/>
              </w:rPr>
            </w:pPr>
          </w:p>
        </w:tc>
        <w:tc>
          <w:tcPr>
            <w:tcW w:w="867" w:type="pct"/>
            <w:tcBorders>
              <w:top w:val="nil"/>
              <w:left w:val="nil"/>
              <w:bottom w:val="single" w:color="auto" w:sz="4" w:space="0"/>
              <w:right w:val="single" w:color="auto" w:sz="4" w:space="0"/>
            </w:tcBorders>
            <w:vAlign w:val="center"/>
          </w:tcPr>
          <w:p w14:paraId="1C4C1E4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571" w:type="pct"/>
            <w:tcBorders>
              <w:top w:val="nil"/>
              <w:left w:val="nil"/>
              <w:bottom w:val="single" w:color="auto" w:sz="4" w:space="0"/>
              <w:right w:val="single" w:color="auto" w:sz="4" w:space="0"/>
            </w:tcBorders>
            <w:vAlign w:val="center"/>
          </w:tcPr>
          <w:p w14:paraId="1E7C28E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4FB979B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902" w:type="pct"/>
            <w:tcBorders>
              <w:top w:val="nil"/>
              <w:left w:val="nil"/>
              <w:bottom w:val="single" w:color="auto" w:sz="4" w:space="0"/>
              <w:right w:val="single" w:color="auto" w:sz="4" w:space="0"/>
            </w:tcBorders>
            <w:vAlign w:val="center"/>
          </w:tcPr>
          <w:p w14:paraId="11D17A6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579" w:type="pct"/>
            <w:tcBorders>
              <w:top w:val="nil"/>
              <w:left w:val="nil"/>
              <w:bottom w:val="single" w:color="auto" w:sz="4" w:space="0"/>
              <w:right w:val="single" w:color="auto" w:sz="4" w:space="0"/>
            </w:tcBorders>
            <w:vAlign w:val="center"/>
          </w:tcPr>
          <w:p w14:paraId="38F643E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641E5BEA">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vAlign w:val="bottom"/>
          </w:tcPr>
          <w:p w14:paraId="2DDA8B1E">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867" w:type="pct"/>
            <w:tcBorders>
              <w:top w:val="nil"/>
              <w:left w:val="nil"/>
              <w:bottom w:val="single" w:color="auto" w:sz="4" w:space="0"/>
              <w:right w:val="single" w:color="auto" w:sz="4" w:space="0"/>
            </w:tcBorders>
            <w:vAlign w:val="center"/>
          </w:tcPr>
          <w:p w14:paraId="1B0D4A8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571" w:type="pct"/>
            <w:tcBorders>
              <w:top w:val="nil"/>
              <w:left w:val="nil"/>
              <w:bottom w:val="single" w:color="auto" w:sz="4" w:space="0"/>
              <w:right w:val="single" w:color="auto" w:sz="4" w:space="0"/>
            </w:tcBorders>
            <w:vAlign w:val="center"/>
          </w:tcPr>
          <w:p w14:paraId="1A9FAC6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1257612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902" w:type="pct"/>
            <w:tcBorders>
              <w:top w:val="nil"/>
              <w:left w:val="nil"/>
              <w:bottom w:val="single" w:color="auto" w:sz="4" w:space="0"/>
              <w:right w:val="single" w:color="auto" w:sz="4" w:space="0"/>
            </w:tcBorders>
            <w:vAlign w:val="center"/>
          </w:tcPr>
          <w:p w14:paraId="3EBE718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579" w:type="pct"/>
            <w:tcBorders>
              <w:top w:val="nil"/>
              <w:left w:val="nil"/>
              <w:bottom w:val="single" w:color="auto" w:sz="4" w:space="0"/>
              <w:right w:val="single" w:color="auto" w:sz="4" w:space="0"/>
            </w:tcBorders>
            <w:vAlign w:val="center"/>
          </w:tcPr>
          <w:p w14:paraId="2768ABC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30CFD7D4">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vAlign w:val="center"/>
          </w:tcPr>
          <w:p w14:paraId="6FEA2A6D">
            <w:pPr>
              <w:widowControl/>
              <w:jc w:val="left"/>
              <w:rPr>
                <w:rFonts w:ascii="宋体" w:hAnsi="宋体" w:cs="宋体"/>
                <w:b/>
                <w:bCs/>
                <w:color w:val="auto"/>
                <w:kern w:val="0"/>
                <w:sz w:val="18"/>
                <w:szCs w:val="18"/>
                <w:highlight w:val="none"/>
              </w:rPr>
            </w:pPr>
          </w:p>
        </w:tc>
        <w:tc>
          <w:tcPr>
            <w:tcW w:w="867" w:type="pct"/>
            <w:tcBorders>
              <w:top w:val="nil"/>
              <w:left w:val="nil"/>
              <w:bottom w:val="single" w:color="auto" w:sz="4" w:space="0"/>
              <w:right w:val="single" w:color="auto" w:sz="4" w:space="0"/>
            </w:tcBorders>
            <w:vAlign w:val="center"/>
          </w:tcPr>
          <w:p w14:paraId="5C51BE0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571" w:type="pct"/>
            <w:tcBorders>
              <w:top w:val="nil"/>
              <w:left w:val="nil"/>
              <w:bottom w:val="single" w:color="auto" w:sz="4" w:space="0"/>
              <w:right w:val="single" w:color="auto" w:sz="4" w:space="0"/>
            </w:tcBorders>
            <w:vAlign w:val="center"/>
          </w:tcPr>
          <w:p w14:paraId="41DE754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5200EB6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902" w:type="pct"/>
            <w:tcBorders>
              <w:top w:val="nil"/>
              <w:left w:val="nil"/>
              <w:bottom w:val="single" w:color="auto" w:sz="4" w:space="0"/>
              <w:right w:val="single" w:color="auto" w:sz="4" w:space="0"/>
            </w:tcBorders>
            <w:vAlign w:val="center"/>
          </w:tcPr>
          <w:p w14:paraId="1C9419E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579" w:type="pct"/>
            <w:tcBorders>
              <w:top w:val="nil"/>
              <w:left w:val="nil"/>
              <w:bottom w:val="single" w:color="auto" w:sz="4" w:space="0"/>
              <w:right w:val="single" w:color="auto" w:sz="4" w:space="0"/>
            </w:tcBorders>
            <w:vAlign w:val="center"/>
          </w:tcPr>
          <w:p w14:paraId="7BB3F96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19780B20">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vAlign w:val="bottom"/>
          </w:tcPr>
          <w:p w14:paraId="697E60B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867" w:type="pct"/>
            <w:tcBorders>
              <w:top w:val="nil"/>
              <w:left w:val="nil"/>
              <w:bottom w:val="single" w:color="auto" w:sz="4" w:space="0"/>
              <w:right w:val="single" w:color="auto" w:sz="4" w:space="0"/>
            </w:tcBorders>
            <w:vAlign w:val="center"/>
          </w:tcPr>
          <w:p w14:paraId="495E042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571" w:type="pct"/>
            <w:tcBorders>
              <w:top w:val="nil"/>
              <w:left w:val="nil"/>
              <w:bottom w:val="single" w:color="auto" w:sz="4" w:space="0"/>
              <w:right w:val="single" w:color="auto" w:sz="4" w:space="0"/>
            </w:tcBorders>
            <w:vAlign w:val="center"/>
          </w:tcPr>
          <w:p w14:paraId="62F7602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014" w:type="pct"/>
            <w:tcBorders>
              <w:top w:val="nil"/>
              <w:left w:val="nil"/>
              <w:bottom w:val="single" w:color="auto" w:sz="4" w:space="0"/>
              <w:right w:val="single" w:color="auto" w:sz="4" w:space="0"/>
            </w:tcBorders>
            <w:vAlign w:val="center"/>
          </w:tcPr>
          <w:p w14:paraId="5FA1D85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902" w:type="pct"/>
            <w:tcBorders>
              <w:top w:val="nil"/>
              <w:left w:val="nil"/>
              <w:bottom w:val="single" w:color="auto" w:sz="4" w:space="0"/>
              <w:right w:val="single" w:color="auto" w:sz="4" w:space="0"/>
            </w:tcBorders>
            <w:vAlign w:val="center"/>
          </w:tcPr>
          <w:p w14:paraId="243C3A6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579" w:type="pct"/>
            <w:tcBorders>
              <w:top w:val="nil"/>
              <w:left w:val="nil"/>
              <w:bottom w:val="single" w:color="auto" w:sz="4" w:space="0"/>
              <w:right w:val="single" w:color="auto" w:sz="4" w:space="0"/>
            </w:tcBorders>
            <w:vAlign w:val="center"/>
          </w:tcPr>
          <w:p w14:paraId="44723BB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4E730E22">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vAlign w:val="center"/>
          </w:tcPr>
          <w:p w14:paraId="0E53B336">
            <w:pPr>
              <w:widowControl/>
              <w:jc w:val="left"/>
              <w:rPr>
                <w:rFonts w:ascii="宋体" w:hAnsi="宋体" w:cs="宋体"/>
                <w:b/>
                <w:bCs/>
                <w:color w:val="auto"/>
                <w:kern w:val="0"/>
                <w:sz w:val="18"/>
                <w:szCs w:val="18"/>
                <w:highlight w:val="none"/>
              </w:rPr>
            </w:pPr>
          </w:p>
        </w:tc>
        <w:tc>
          <w:tcPr>
            <w:tcW w:w="867" w:type="pct"/>
            <w:tcBorders>
              <w:top w:val="nil"/>
              <w:left w:val="nil"/>
              <w:bottom w:val="single" w:color="auto" w:sz="4" w:space="0"/>
              <w:right w:val="single" w:color="auto" w:sz="4" w:space="0"/>
            </w:tcBorders>
            <w:vAlign w:val="center"/>
          </w:tcPr>
          <w:p w14:paraId="6382FCA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571" w:type="pct"/>
            <w:tcBorders>
              <w:top w:val="nil"/>
              <w:left w:val="nil"/>
              <w:bottom w:val="single" w:color="auto" w:sz="4" w:space="0"/>
              <w:right w:val="single" w:color="auto" w:sz="4" w:space="0"/>
            </w:tcBorders>
            <w:vAlign w:val="center"/>
          </w:tcPr>
          <w:p w14:paraId="1398A60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2D93BED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902" w:type="pct"/>
            <w:tcBorders>
              <w:top w:val="nil"/>
              <w:left w:val="nil"/>
              <w:bottom w:val="single" w:color="auto" w:sz="4" w:space="0"/>
              <w:right w:val="single" w:color="auto" w:sz="4" w:space="0"/>
            </w:tcBorders>
            <w:vAlign w:val="center"/>
          </w:tcPr>
          <w:p w14:paraId="0C19AC3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579" w:type="pct"/>
            <w:tcBorders>
              <w:top w:val="nil"/>
              <w:left w:val="nil"/>
              <w:bottom w:val="single" w:color="auto" w:sz="4" w:space="0"/>
              <w:right w:val="single" w:color="auto" w:sz="4" w:space="0"/>
            </w:tcBorders>
            <w:vAlign w:val="center"/>
          </w:tcPr>
          <w:p w14:paraId="6716A06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3A33719E">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vAlign w:val="bottom"/>
          </w:tcPr>
          <w:p w14:paraId="7F31194E">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867" w:type="pct"/>
            <w:tcBorders>
              <w:top w:val="nil"/>
              <w:left w:val="nil"/>
              <w:bottom w:val="single" w:color="auto" w:sz="4" w:space="0"/>
              <w:right w:val="single" w:color="auto" w:sz="4" w:space="0"/>
            </w:tcBorders>
            <w:vAlign w:val="center"/>
          </w:tcPr>
          <w:p w14:paraId="4DFCB9B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571" w:type="pct"/>
            <w:tcBorders>
              <w:top w:val="nil"/>
              <w:left w:val="nil"/>
              <w:bottom w:val="single" w:color="auto" w:sz="4" w:space="0"/>
              <w:right w:val="single" w:color="auto" w:sz="4" w:space="0"/>
            </w:tcBorders>
            <w:vAlign w:val="center"/>
          </w:tcPr>
          <w:p w14:paraId="0174EEC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014" w:type="pct"/>
            <w:tcBorders>
              <w:top w:val="nil"/>
              <w:left w:val="nil"/>
              <w:bottom w:val="single" w:color="auto" w:sz="4" w:space="0"/>
              <w:right w:val="single" w:color="auto" w:sz="4" w:space="0"/>
            </w:tcBorders>
            <w:vAlign w:val="center"/>
          </w:tcPr>
          <w:p w14:paraId="6AC9E33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902" w:type="pct"/>
            <w:tcBorders>
              <w:top w:val="nil"/>
              <w:left w:val="nil"/>
              <w:bottom w:val="single" w:color="auto" w:sz="4" w:space="0"/>
              <w:right w:val="single" w:color="auto" w:sz="4" w:space="0"/>
            </w:tcBorders>
            <w:vAlign w:val="center"/>
          </w:tcPr>
          <w:p w14:paraId="69FD9D8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579" w:type="pct"/>
            <w:tcBorders>
              <w:top w:val="nil"/>
              <w:left w:val="nil"/>
              <w:bottom w:val="single" w:color="auto" w:sz="4" w:space="0"/>
              <w:right w:val="single" w:color="auto" w:sz="4" w:space="0"/>
            </w:tcBorders>
            <w:vAlign w:val="center"/>
          </w:tcPr>
          <w:p w14:paraId="63AA33D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1168895">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vAlign w:val="center"/>
          </w:tcPr>
          <w:p w14:paraId="4F60B56A">
            <w:pPr>
              <w:widowControl/>
              <w:jc w:val="left"/>
              <w:rPr>
                <w:rFonts w:ascii="宋体" w:hAnsi="宋体" w:cs="宋体"/>
                <w:b/>
                <w:bCs/>
                <w:color w:val="auto"/>
                <w:kern w:val="0"/>
                <w:sz w:val="18"/>
                <w:szCs w:val="18"/>
                <w:highlight w:val="none"/>
              </w:rPr>
            </w:pPr>
          </w:p>
        </w:tc>
        <w:tc>
          <w:tcPr>
            <w:tcW w:w="867" w:type="pct"/>
            <w:tcBorders>
              <w:top w:val="nil"/>
              <w:left w:val="nil"/>
              <w:bottom w:val="single" w:color="auto" w:sz="4" w:space="0"/>
              <w:right w:val="single" w:color="auto" w:sz="4" w:space="0"/>
            </w:tcBorders>
            <w:vAlign w:val="center"/>
          </w:tcPr>
          <w:p w14:paraId="459B49A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571" w:type="pct"/>
            <w:tcBorders>
              <w:top w:val="nil"/>
              <w:left w:val="nil"/>
              <w:bottom w:val="single" w:color="auto" w:sz="4" w:space="0"/>
              <w:right w:val="single" w:color="auto" w:sz="4" w:space="0"/>
            </w:tcBorders>
            <w:vAlign w:val="center"/>
          </w:tcPr>
          <w:p w14:paraId="30270ED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57B5DC1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902" w:type="pct"/>
            <w:tcBorders>
              <w:top w:val="nil"/>
              <w:left w:val="nil"/>
              <w:bottom w:val="single" w:color="auto" w:sz="4" w:space="0"/>
              <w:right w:val="single" w:color="auto" w:sz="4" w:space="0"/>
            </w:tcBorders>
            <w:vAlign w:val="center"/>
          </w:tcPr>
          <w:p w14:paraId="09522A4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579" w:type="pct"/>
            <w:tcBorders>
              <w:top w:val="nil"/>
              <w:left w:val="nil"/>
              <w:bottom w:val="single" w:color="auto" w:sz="4" w:space="0"/>
              <w:right w:val="single" w:color="auto" w:sz="4" w:space="0"/>
            </w:tcBorders>
            <w:vAlign w:val="center"/>
          </w:tcPr>
          <w:p w14:paraId="43492F2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5A7CD16">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vAlign w:val="bottom"/>
          </w:tcPr>
          <w:p w14:paraId="6276E33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867" w:type="pct"/>
            <w:tcBorders>
              <w:top w:val="nil"/>
              <w:left w:val="nil"/>
              <w:bottom w:val="single" w:color="auto" w:sz="4" w:space="0"/>
              <w:right w:val="single" w:color="auto" w:sz="4" w:space="0"/>
            </w:tcBorders>
            <w:vAlign w:val="center"/>
          </w:tcPr>
          <w:p w14:paraId="411A7C1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571" w:type="pct"/>
            <w:tcBorders>
              <w:top w:val="nil"/>
              <w:left w:val="nil"/>
              <w:bottom w:val="single" w:color="auto" w:sz="4" w:space="0"/>
              <w:right w:val="single" w:color="auto" w:sz="4" w:space="0"/>
            </w:tcBorders>
            <w:vAlign w:val="center"/>
          </w:tcPr>
          <w:p w14:paraId="6413570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014" w:type="pct"/>
            <w:tcBorders>
              <w:top w:val="nil"/>
              <w:left w:val="nil"/>
              <w:bottom w:val="single" w:color="auto" w:sz="4" w:space="0"/>
              <w:right w:val="single" w:color="auto" w:sz="4" w:space="0"/>
            </w:tcBorders>
            <w:vAlign w:val="center"/>
          </w:tcPr>
          <w:p w14:paraId="2313C83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902" w:type="pct"/>
            <w:tcBorders>
              <w:top w:val="nil"/>
              <w:left w:val="nil"/>
              <w:bottom w:val="single" w:color="auto" w:sz="4" w:space="0"/>
              <w:right w:val="single" w:color="auto" w:sz="4" w:space="0"/>
            </w:tcBorders>
            <w:vAlign w:val="center"/>
          </w:tcPr>
          <w:p w14:paraId="38B657B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579" w:type="pct"/>
            <w:tcBorders>
              <w:top w:val="nil"/>
              <w:left w:val="nil"/>
              <w:bottom w:val="single" w:color="auto" w:sz="4" w:space="0"/>
              <w:right w:val="single" w:color="auto" w:sz="4" w:space="0"/>
            </w:tcBorders>
            <w:vAlign w:val="center"/>
          </w:tcPr>
          <w:p w14:paraId="2B6E063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97BDD1A">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vAlign w:val="center"/>
          </w:tcPr>
          <w:p w14:paraId="4A41261F">
            <w:pPr>
              <w:widowControl/>
              <w:jc w:val="left"/>
              <w:rPr>
                <w:rFonts w:ascii="宋体" w:hAnsi="宋体" w:cs="宋体"/>
                <w:b/>
                <w:bCs/>
                <w:color w:val="auto"/>
                <w:kern w:val="0"/>
                <w:sz w:val="18"/>
                <w:szCs w:val="18"/>
                <w:highlight w:val="none"/>
              </w:rPr>
            </w:pPr>
          </w:p>
        </w:tc>
        <w:tc>
          <w:tcPr>
            <w:tcW w:w="867" w:type="pct"/>
            <w:tcBorders>
              <w:top w:val="nil"/>
              <w:left w:val="nil"/>
              <w:bottom w:val="single" w:color="auto" w:sz="4" w:space="0"/>
              <w:right w:val="single" w:color="auto" w:sz="4" w:space="0"/>
            </w:tcBorders>
            <w:vAlign w:val="center"/>
          </w:tcPr>
          <w:p w14:paraId="0F02BEE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571" w:type="pct"/>
            <w:tcBorders>
              <w:top w:val="nil"/>
              <w:left w:val="nil"/>
              <w:bottom w:val="single" w:color="auto" w:sz="4" w:space="0"/>
              <w:right w:val="single" w:color="auto" w:sz="4" w:space="0"/>
            </w:tcBorders>
            <w:vAlign w:val="center"/>
          </w:tcPr>
          <w:p w14:paraId="5F0810A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66DD3EC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902" w:type="pct"/>
            <w:tcBorders>
              <w:top w:val="nil"/>
              <w:left w:val="nil"/>
              <w:bottom w:val="single" w:color="auto" w:sz="4" w:space="0"/>
              <w:right w:val="single" w:color="auto" w:sz="4" w:space="0"/>
            </w:tcBorders>
            <w:vAlign w:val="center"/>
          </w:tcPr>
          <w:p w14:paraId="663FE75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579" w:type="pct"/>
            <w:tcBorders>
              <w:top w:val="nil"/>
              <w:left w:val="nil"/>
              <w:bottom w:val="single" w:color="auto" w:sz="4" w:space="0"/>
              <w:right w:val="single" w:color="auto" w:sz="4" w:space="0"/>
            </w:tcBorders>
            <w:vAlign w:val="center"/>
          </w:tcPr>
          <w:p w14:paraId="6886008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6D5DF67D">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vAlign w:val="bottom"/>
          </w:tcPr>
          <w:p w14:paraId="0FC4A099">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867" w:type="pct"/>
            <w:tcBorders>
              <w:top w:val="nil"/>
              <w:left w:val="nil"/>
              <w:bottom w:val="single" w:color="auto" w:sz="4" w:space="0"/>
              <w:right w:val="single" w:color="auto" w:sz="4" w:space="0"/>
            </w:tcBorders>
            <w:vAlign w:val="center"/>
          </w:tcPr>
          <w:p w14:paraId="0ECFAEC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571" w:type="pct"/>
            <w:tcBorders>
              <w:top w:val="nil"/>
              <w:left w:val="nil"/>
              <w:bottom w:val="single" w:color="auto" w:sz="4" w:space="0"/>
              <w:right w:val="single" w:color="auto" w:sz="4" w:space="0"/>
            </w:tcBorders>
            <w:vAlign w:val="center"/>
          </w:tcPr>
          <w:p w14:paraId="32A49B2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014" w:type="pct"/>
            <w:tcBorders>
              <w:top w:val="nil"/>
              <w:left w:val="nil"/>
              <w:bottom w:val="single" w:color="auto" w:sz="4" w:space="0"/>
              <w:right w:val="single" w:color="auto" w:sz="4" w:space="0"/>
            </w:tcBorders>
            <w:vAlign w:val="center"/>
          </w:tcPr>
          <w:p w14:paraId="311FF5E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902" w:type="pct"/>
            <w:tcBorders>
              <w:top w:val="nil"/>
              <w:left w:val="nil"/>
              <w:bottom w:val="single" w:color="auto" w:sz="4" w:space="0"/>
              <w:right w:val="single" w:color="auto" w:sz="4" w:space="0"/>
            </w:tcBorders>
            <w:vAlign w:val="center"/>
          </w:tcPr>
          <w:p w14:paraId="28F6D1D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579" w:type="pct"/>
            <w:tcBorders>
              <w:top w:val="nil"/>
              <w:left w:val="nil"/>
              <w:bottom w:val="single" w:color="auto" w:sz="4" w:space="0"/>
              <w:right w:val="single" w:color="auto" w:sz="4" w:space="0"/>
            </w:tcBorders>
            <w:vAlign w:val="center"/>
          </w:tcPr>
          <w:p w14:paraId="39B4D36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F670F37">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vAlign w:val="center"/>
          </w:tcPr>
          <w:p w14:paraId="33EF6B1E">
            <w:pPr>
              <w:widowControl/>
              <w:jc w:val="left"/>
              <w:rPr>
                <w:rFonts w:ascii="宋体" w:hAnsi="宋体" w:cs="宋体"/>
                <w:b/>
                <w:bCs/>
                <w:color w:val="auto"/>
                <w:kern w:val="0"/>
                <w:sz w:val="18"/>
                <w:szCs w:val="18"/>
                <w:highlight w:val="none"/>
              </w:rPr>
            </w:pPr>
          </w:p>
        </w:tc>
        <w:tc>
          <w:tcPr>
            <w:tcW w:w="867" w:type="pct"/>
            <w:tcBorders>
              <w:top w:val="nil"/>
              <w:left w:val="nil"/>
              <w:bottom w:val="single" w:color="auto" w:sz="4" w:space="0"/>
              <w:right w:val="single" w:color="auto" w:sz="4" w:space="0"/>
            </w:tcBorders>
            <w:vAlign w:val="center"/>
          </w:tcPr>
          <w:p w14:paraId="6CC7DF0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571" w:type="pct"/>
            <w:tcBorders>
              <w:top w:val="nil"/>
              <w:left w:val="nil"/>
              <w:bottom w:val="single" w:color="auto" w:sz="4" w:space="0"/>
              <w:right w:val="single" w:color="auto" w:sz="4" w:space="0"/>
            </w:tcBorders>
            <w:vAlign w:val="center"/>
          </w:tcPr>
          <w:p w14:paraId="33E8128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5B24A89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902" w:type="pct"/>
            <w:tcBorders>
              <w:top w:val="nil"/>
              <w:left w:val="nil"/>
              <w:bottom w:val="single" w:color="auto" w:sz="4" w:space="0"/>
              <w:right w:val="single" w:color="auto" w:sz="4" w:space="0"/>
            </w:tcBorders>
            <w:vAlign w:val="center"/>
          </w:tcPr>
          <w:p w14:paraId="767573B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579" w:type="pct"/>
            <w:tcBorders>
              <w:top w:val="nil"/>
              <w:left w:val="nil"/>
              <w:bottom w:val="single" w:color="auto" w:sz="4" w:space="0"/>
              <w:right w:val="single" w:color="auto" w:sz="4" w:space="0"/>
            </w:tcBorders>
            <w:vAlign w:val="center"/>
          </w:tcPr>
          <w:p w14:paraId="41368B9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32FECB8">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vAlign w:val="bottom"/>
          </w:tcPr>
          <w:p w14:paraId="56CE711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867" w:type="pct"/>
            <w:tcBorders>
              <w:top w:val="nil"/>
              <w:left w:val="nil"/>
              <w:bottom w:val="single" w:color="auto" w:sz="4" w:space="0"/>
              <w:right w:val="single" w:color="auto" w:sz="4" w:space="0"/>
            </w:tcBorders>
            <w:vAlign w:val="center"/>
          </w:tcPr>
          <w:p w14:paraId="29D60E1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571" w:type="pct"/>
            <w:tcBorders>
              <w:top w:val="nil"/>
              <w:left w:val="nil"/>
              <w:bottom w:val="single" w:color="auto" w:sz="4" w:space="0"/>
              <w:right w:val="single" w:color="auto" w:sz="4" w:space="0"/>
            </w:tcBorders>
            <w:vAlign w:val="center"/>
          </w:tcPr>
          <w:p w14:paraId="48DDAD6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014" w:type="pct"/>
            <w:tcBorders>
              <w:top w:val="nil"/>
              <w:left w:val="nil"/>
              <w:bottom w:val="single" w:color="auto" w:sz="4" w:space="0"/>
              <w:right w:val="single" w:color="auto" w:sz="4" w:space="0"/>
            </w:tcBorders>
            <w:vAlign w:val="center"/>
          </w:tcPr>
          <w:p w14:paraId="41BC2B5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902" w:type="pct"/>
            <w:tcBorders>
              <w:top w:val="nil"/>
              <w:left w:val="nil"/>
              <w:bottom w:val="single" w:color="auto" w:sz="4" w:space="0"/>
              <w:right w:val="single" w:color="auto" w:sz="4" w:space="0"/>
            </w:tcBorders>
            <w:vAlign w:val="center"/>
          </w:tcPr>
          <w:p w14:paraId="5CE57D0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579" w:type="pct"/>
            <w:tcBorders>
              <w:top w:val="nil"/>
              <w:left w:val="nil"/>
              <w:bottom w:val="single" w:color="auto" w:sz="4" w:space="0"/>
              <w:right w:val="single" w:color="auto" w:sz="4" w:space="0"/>
            </w:tcBorders>
            <w:vAlign w:val="center"/>
          </w:tcPr>
          <w:p w14:paraId="3CC8C22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058C63F">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vAlign w:val="center"/>
          </w:tcPr>
          <w:p w14:paraId="61209A4F">
            <w:pPr>
              <w:widowControl/>
              <w:jc w:val="left"/>
              <w:rPr>
                <w:rFonts w:ascii="宋体" w:hAnsi="宋体" w:cs="宋体"/>
                <w:b/>
                <w:bCs/>
                <w:color w:val="auto"/>
                <w:kern w:val="0"/>
                <w:sz w:val="18"/>
                <w:szCs w:val="18"/>
                <w:highlight w:val="none"/>
              </w:rPr>
            </w:pPr>
          </w:p>
        </w:tc>
        <w:tc>
          <w:tcPr>
            <w:tcW w:w="867" w:type="pct"/>
            <w:tcBorders>
              <w:top w:val="nil"/>
              <w:left w:val="nil"/>
              <w:bottom w:val="single" w:color="auto" w:sz="4" w:space="0"/>
              <w:right w:val="single" w:color="auto" w:sz="4" w:space="0"/>
            </w:tcBorders>
            <w:vAlign w:val="center"/>
          </w:tcPr>
          <w:p w14:paraId="55C8CCD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571" w:type="pct"/>
            <w:tcBorders>
              <w:top w:val="nil"/>
              <w:left w:val="nil"/>
              <w:bottom w:val="single" w:color="auto" w:sz="4" w:space="0"/>
              <w:right w:val="single" w:color="auto" w:sz="4" w:space="0"/>
            </w:tcBorders>
            <w:vAlign w:val="center"/>
          </w:tcPr>
          <w:p w14:paraId="109724C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1A8D4D4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902" w:type="pct"/>
            <w:tcBorders>
              <w:top w:val="nil"/>
              <w:left w:val="nil"/>
              <w:bottom w:val="single" w:color="auto" w:sz="4" w:space="0"/>
              <w:right w:val="single" w:color="auto" w:sz="4" w:space="0"/>
            </w:tcBorders>
            <w:vAlign w:val="center"/>
          </w:tcPr>
          <w:p w14:paraId="2CCAEF5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579" w:type="pct"/>
            <w:tcBorders>
              <w:top w:val="nil"/>
              <w:left w:val="nil"/>
              <w:bottom w:val="single" w:color="auto" w:sz="4" w:space="0"/>
              <w:right w:val="single" w:color="auto" w:sz="4" w:space="0"/>
            </w:tcBorders>
            <w:vAlign w:val="center"/>
          </w:tcPr>
          <w:p w14:paraId="6107F4C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5C8D533">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vAlign w:val="bottom"/>
          </w:tcPr>
          <w:p w14:paraId="599C3D46">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867" w:type="pct"/>
            <w:tcBorders>
              <w:top w:val="nil"/>
              <w:left w:val="nil"/>
              <w:bottom w:val="single" w:color="auto" w:sz="4" w:space="0"/>
              <w:right w:val="single" w:color="auto" w:sz="4" w:space="0"/>
            </w:tcBorders>
            <w:vAlign w:val="center"/>
          </w:tcPr>
          <w:p w14:paraId="7235D2D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571" w:type="pct"/>
            <w:tcBorders>
              <w:top w:val="nil"/>
              <w:left w:val="nil"/>
              <w:bottom w:val="single" w:color="auto" w:sz="4" w:space="0"/>
              <w:right w:val="single" w:color="auto" w:sz="4" w:space="0"/>
            </w:tcBorders>
            <w:vAlign w:val="center"/>
          </w:tcPr>
          <w:p w14:paraId="683237A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014" w:type="pct"/>
            <w:tcBorders>
              <w:top w:val="nil"/>
              <w:left w:val="nil"/>
              <w:bottom w:val="single" w:color="auto" w:sz="4" w:space="0"/>
              <w:right w:val="single" w:color="auto" w:sz="4" w:space="0"/>
            </w:tcBorders>
            <w:vAlign w:val="center"/>
          </w:tcPr>
          <w:p w14:paraId="5391358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02" w:type="pct"/>
            <w:tcBorders>
              <w:top w:val="nil"/>
              <w:left w:val="nil"/>
              <w:bottom w:val="single" w:color="auto" w:sz="4" w:space="0"/>
              <w:right w:val="single" w:color="auto" w:sz="4" w:space="0"/>
            </w:tcBorders>
            <w:vAlign w:val="center"/>
          </w:tcPr>
          <w:p w14:paraId="0552A26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579" w:type="pct"/>
            <w:tcBorders>
              <w:top w:val="nil"/>
              <w:left w:val="nil"/>
              <w:bottom w:val="single" w:color="auto" w:sz="4" w:space="0"/>
              <w:right w:val="single" w:color="auto" w:sz="4" w:space="0"/>
            </w:tcBorders>
            <w:vAlign w:val="center"/>
          </w:tcPr>
          <w:p w14:paraId="0B724E4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DB1F9A1">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vAlign w:val="center"/>
          </w:tcPr>
          <w:p w14:paraId="1CD86685">
            <w:pPr>
              <w:widowControl/>
              <w:jc w:val="left"/>
              <w:rPr>
                <w:rFonts w:ascii="宋体" w:hAnsi="宋体" w:cs="宋体"/>
                <w:b/>
                <w:bCs/>
                <w:color w:val="auto"/>
                <w:kern w:val="0"/>
                <w:sz w:val="18"/>
                <w:szCs w:val="18"/>
                <w:highlight w:val="none"/>
              </w:rPr>
            </w:pPr>
          </w:p>
        </w:tc>
        <w:tc>
          <w:tcPr>
            <w:tcW w:w="867" w:type="pct"/>
            <w:tcBorders>
              <w:top w:val="nil"/>
              <w:left w:val="nil"/>
              <w:bottom w:val="single" w:color="auto" w:sz="4" w:space="0"/>
              <w:right w:val="single" w:color="auto" w:sz="4" w:space="0"/>
            </w:tcBorders>
            <w:vAlign w:val="center"/>
          </w:tcPr>
          <w:p w14:paraId="42EE20F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571" w:type="pct"/>
            <w:tcBorders>
              <w:top w:val="nil"/>
              <w:left w:val="nil"/>
              <w:bottom w:val="single" w:color="auto" w:sz="4" w:space="0"/>
              <w:right w:val="single" w:color="auto" w:sz="4" w:space="0"/>
            </w:tcBorders>
            <w:vAlign w:val="center"/>
          </w:tcPr>
          <w:p w14:paraId="434F46E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0E1DC64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902" w:type="pct"/>
            <w:tcBorders>
              <w:top w:val="nil"/>
              <w:left w:val="nil"/>
              <w:bottom w:val="single" w:color="auto" w:sz="4" w:space="0"/>
              <w:right w:val="single" w:color="auto" w:sz="4" w:space="0"/>
            </w:tcBorders>
            <w:vAlign w:val="center"/>
          </w:tcPr>
          <w:p w14:paraId="59E14DE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579" w:type="pct"/>
            <w:tcBorders>
              <w:top w:val="nil"/>
              <w:left w:val="nil"/>
              <w:bottom w:val="single" w:color="auto" w:sz="4" w:space="0"/>
              <w:right w:val="single" w:color="auto" w:sz="4" w:space="0"/>
            </w:tcBorders>
            <w:vAlign w:val="center"/>
          </w:tcPr>
          <w:p w14:paraId="7990251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D816C3A">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vAlign w:val="bottom"/>
          </w:tcPr>
          <w:p w14:paraId="4D04EAB7">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867" w:type="pct"/>
            <w:tcBorders>
              <w:top w:val="nil"/>
              <w:left w:val="nil"/>
              <w:bottom w:val="single" w:color="auto" w:sz="4" w:space="0"/>
              <w:right w:val="single" w:color="auto" w:sz="4" w:space="0"/>
            </w:tcBorders>
            <w:vAlign w:val="center"/>
          </w:tcPr>
          <w:p w14:paraId="0AE3F73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571" w:type="pct"/>
            <w:tcBorders>
              <w:top w:val="nil"/>
              <w:left w:val="nil"/>
              <w:bottom w:val="single" w:color="auto" w:sz="4" w:space="0"/>
              <w:right w:val="single" w:color="auto" w:sz="4" w:space="0"/>
            </w:tcBorders>
            <w:vAlign w:val="center"/>
          </w:tcPr>
          <w:p w14:paraId="22F3944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014" w:type="pct"/>
            <w:tcBorders>
              <w:top w:val="nil"/>
              <w:left w:val="nil"/>
              <w:bottom w:val="single" w:color="auto" w:sz="4" w:space="0"/>
              <w:right w:val="single" w:color="auto" w:sz="4" w:space="0"/>
            </w:tcBorders>
            <w:vAlign w:val="center"/>
          </w:tcPr>
          <w:p w14:paraId="630860A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02" w:type="pct"/>
            <w:tcBorders>
              <w:top w:val="nil"/>
              <w:left w:val="nil"/>
              <w:bottom w:val="single" w:color="auto" w:sz="4" w:space="0"/>
              <w:right w:val="single" w:color="auto" w:sz="4" w:space="0"/>
            </w:tcBorders>
            <w:vAlign w:val="center"/>
          </w:tcPr>
          <w:p w14:paraId="3041149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579" w:type="pct"/>
            <w:tcBorders>
              <w:top w:val="nil"/>
              <w:left w:val="nil"/>
              <w:bottom w:val="single" w:color="auto" w:sz="4" w:space="0"/>
              <w:right w:val="single" w:color="auto" w:sz="4" w:space="0"/>
            </w:tcBorders>
            <w:vAlign w:val="center"/>
          </w:tcPr>
          <w:p w14:paraId="17CAD81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685DACF">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vAlign w:val="center"/>
          </w:tcPr>
          <w:p w14:paraId="009A8E2C">
            <w:pPr>
              <w:widowControl/>
              <w:jc w:val="left"/>
              <w:rPr>
                <w:rFonts w:ascii="宋体" w:hAnsi="宋体" w:cs="宋体"/>
                <w:b/>
                <w:bCs/>
                <w:color w:val="auto"/>
                <w:kern w:val="0"/>
                <w:sz w:val="18"/>
                <w:szCs w:val="18"/>
                <w:highlight w:val="none"/>
              </w:rPr>
            </w:pPr>
          </w:p>
        </w:tc>
        <w:tc>
          <w:tcPr>
            <w:tcW w:w="867" w:type="pct"/>
            <w:tcBorders>
              <w:top w:val="nil"/>
              <w:left w:val="nil"/>
              <w:bottom w:val="single" w:color="auto" w:sz="4" w:space="0"/>
              <w:right w:val="single" w:color="auto" w:sz="4" w:space="0"/>
            </w:tcBorders>
            <w:vAlign w:val="center"/>
          </w:tcPr>
          <w:p w14:paraId="28A1ED5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571" w:type="pct"/>
            <w:tcBorders>
              <w:top w:val="nil"/>
              <w:left w:val="nil"/>
              <w:bottom w:val="single" w:color="auto" w:sz="4" w:space="0"/>
              <w:right w:val="single" w:color="auto" w:sz="4" w:space="0"/>
            </w:tcBorders>
            <w:vAlign w:val="center"/>
          </w:tcPr>
          <w:p w14:paraId="07428EB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627C53E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902" w:type="pct"/>
            <w:tcBorders>
              <w:top w:val="nil"/>
              <w:left w:val="nil"/>
              <w:bottom w:val="single" w:color="auto" w:sz="4" w:space="0"/>
              <w:right w:val="single" w:color="auto" w:sz="4" w:space="0"/>
            </w:tcBorders>
            <w:vAlign w:val="center"/>
          </w:tcPr>
          <w:p w14:paraId="239E3B3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579" w:type="pct"/>
            <w:tcBorders>
              <w:top w:val="nil"/>
              <w:left w:val="nil"/>
              <w:bottom w:val="single" w:color="auto" w:sz="4" w:space="0"/>
              <w:right w:val="single" w:color="auto" w:sz="4" w:space="0"/>
            </w:tcBorders>
            <w:vAlign w:val="center"/>
          </w:tcPr>
          <w:p w14:paraId="0780EA5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CC090D8">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vAlign w:val="bottom"/>
          </w:tcPr>
          <w:p w14:paraId="01A9F16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867" w:type="pct"/>
            <w:tcBorders>
              <w:top w:val="nil"/>
              <w:left w:val="nil"/>
              <w:bottom w:val="single" w:color="auto" w:sz="4" w:space="0"/>
              <w:right w:val="single" w:color="auto" w:sz="4" w:space="0"/>
            </w:tcBorders>
            <w:vAlign w:val="center"/>
          </w:tcPr>
          <w:p w14:paraId="59C134D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571" w:type="pct"/>
            <w:tcBorders>
              <w:top w:val="nil"/>
              <w:left w:val="nil"/>
              <w:bottom w:val="single" w:color="auto" w:sz="4" w:space="0"/>
              <w:right w:val="single" w:color="auto" w:sz="4" w:space="0"/>
            </w:tcBorders>
            <w:vAlign w:val="center"/>
          </w:tcPr>
          <w:p w14:paraId="1D2D47B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014" w:type="pct"/>
            <w:tcBorders>
              <w:top w:val="nil"/>
              <w:left w:val="nil"/>
              <w:bottom w:val="single" w:color="auto" w:sz="4" w:space="0"/>
              <w:right w:val="single" w:color="auto" w:sz="4" w:space="0"/>
            </w:tcBorders>
            <w:vAlign w:val="center"/>
          </w:tcPr>
          <w:p w14:paraId="66149B0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902" w:type="pct"/>
            <w:tcBorders>
              <w:top w:val="nil"/>
              <w:left w:val="nil"/>
              <w:bottom w:val="single" w:color="auto" w:sz="4" w:space="0"/>
              <w:right w:val="single" w:color="auto" w:sz="4" w:space="0"/>
            </w:tcBorders>
            <w:vAlign w:val="center"/>
          </w:tcPr>
          <w:p w14:paraId="3A2D08E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579" w:type="pct"/>
            <w:tcBorders>
              <w:top w:val="nil"/>
              <w:left w:val="nil"/>
              <w:bottom w:val="single" w:color="auto" w:sz="4" w:space="0"/>
              <w:right w:val="single" w:color="auto" w:sz="4" w:space="0"/>
            </w:tcBorders>
            <w:vAlign w:val="center"/>
          </w:tcPr>
          <w:p w14:paraId="114FC51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B00C9C7">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vAlign w:val="center"/>
          </w:tcPr>
          <w:p w14:paraId="36191F75">
            <w:pPr>
              <w:widowControl/>
              <w:jc w:val="left"/>
              <w:rPr>
                <w:rFonts w:ascii="宋体" w:hAnsi="宋体" w:cs="宋体"/>
                <w:b/>
                <w:bCs/>
                <w:color w:val="auto"/>
                <w:kern w:val="0"/>
                <w:sz w:val="18"/>
                <w:szCs w:val="18"/>
                <w:highlight w:val="none"/>
              </w:rPr>
            </w:pPr>
          </w:p>
        </w:tc>
        <w:tc>
          <w:tcPr>
            <w:tcW w:w="867" w:type="pct"/>
            <w:tcBorders>
              <w:top w:val="nil"/>
              <w:left w:val="nil"/>
              <w:bottom w:val="single" w:color="auto" w:sz="4" w:space="0"/>
              <w:right w:val="single" w:color="auto" w:sz="4" w:space="0"/>
            </w:tcBorders>
            <w:vAlign w:val="center"/>
          </w:tcPr>
          <w:p w14:paraId="51DC8B7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571" w:type="pct"/>
            <w:tcBorders>
              <w:top w:val="nil"/>
              <w:left w:val="nil"/>
              <w:bottom w:val="single" w:color="auto" w:sz="4" w:space="0"/>
              <w:right w:val="single" w:color="auto" w:sz="4" w:space="0"/>
            </w:tcBorders>
            <w:vAlign w:val="center"/>
          </w:tcPr>
          <w:p w14:paraId="22AB14E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39F1F73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902" w:type="pct"/>
            <w:tcBorders>
              <w:top w:val="nil"/>
              <w:left w:val="nil"/>
              <w:bottom w:val="single" w:color="auto" w:sz="4" w:space="0"/>
              <w:right w:val="single" w:color="auto" w:sz="4" w:space="0"/>
            </w:tcBorders>
            <w:vAlign w:val="center"/>
          </w:tcPr>
          <w:p w14:paraId="105D534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579" w:type="pct"/>
            <w:tcBorders>
              <w:top w:val="nil"/>
              <w:left w:val="nil"/>
              <w:bottom w:val="single" w:color="auto" w:sz="4" w:space="0"/>
              <w:right w:val="single" w:color="auto" w:sz="4" w:space="0"/>
            </w:tcBorders>
            <w:vAlign w:val="center"/>
          </w:tcPr>
          <w:p w14:paraId="6BC7138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65DF3AF">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vAlign w:val="bottom"/>
          </w:tcPr>
          <w:p w14:paraId="2B45D3B7">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867" w:type="pct"/>
            <w:tcBorders>
              <w:top w:val="nil"/>
              <w:left w:val="nil"/>
              <w:bottom w:val="single" w:color="auto" w:sz="4" w:space="0"/>
              <w:right w:val="single" w:color="auto" w:sz="4" w:space="0"/>
            </w:tcBorders>
            <w:vAlign w:val="center"/>
          </w:tcPr>
          <w:p w14:paraId="3E25E10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571" w:type="pct"/>
            <w:tcBorders>
              <w:top w:val="nil"/>
              <w:left w:val="nil"/>
              <w:bottom w:val="single" w:color="auto" w:sz="4" w:space="0"/>
              <w:right w:val="single" w:color="auto" w:sz="4" w:space="0"/>
            </w:tcBorders>
            <w:vAlign w:val="center"/>
          </w:tcPr>
          <w:p w14:paraId="2C94D1B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014" w:type="pct"/>
            <w:tcBorders>
              <w:top w:val="nil"/>
              <w:left w:val="nil"/>
              <w:bottom w:val="single" w:color="auto" w:sz="4" w:space="0"/>
              <w:right w:val="single" w:color="auto" w:sz="4" w:space="0"/>
            </w:tcBorders>
            <w:vAlign w:val="center"/>
          </w:tcPr>
          <w:p w14:paraId="0631024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02" w:type="pct"/>
            <w:tcBorders>
              <w:top w:val="nil"/>
              <w:left w:val="nil"/>
              <w:bottom w:val="single" w:color="auto" w:sz="4" w:space="0"/>
              <w:right w:val="single" w:color="auto" w:sz="4" w:space="0"/>
            </w:tcBorders>
            <w:vAlign w:val="center"/>
          </w:tcPr>
          <w:p w14:paraId="4B4140F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579" w:type="pct"/>
            <w:tcBorders>
              <w:top w:val="nil"/>
              <w:left w:val="nil"/>
              <w:bottom w:val="single" w:color="auto" w:sz="4" w:space="0"/>
              <w:right w:val="single" w:color="auto" w:sz="4" w:space="0"/>
            </w:tcBorders>
            <w:vAlign w:val="center"/>
          </w:tcPr>
          <w:p w14:paraId="201B568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B587B72">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vAlign w:val="center"/>
          </w:tcPr>
          <w:p w14:paraId="0DAC463E">
            <w:pPr>
              <w:widowControl/>
              <w:jc w:val="left"/>
              <w:rPr>
                <w:rFonts w:ascii="宋体" w:hAnsi="宋体" w:cs="宋体"/>
                <w:b/>
                <w:bCs/>
                <w:color w:val="auto"/>
                <w:kern w:val="0"/>
                <w:sz w:val="18"/>
                <w:szCs w:val="18"/>
                <w:highlight w:val="none"/>
              </w:rPr>
            </w:pPr>
          </w:p>
        </w:tc>
        <w:tc>
          <w:tcPr>
            <w:tcW w:w="867" w:type="pct"/>
            <w:tcBorders>
              <w:top w:val="nil"/>
              <w:left w:val="nil"/>
              <w:bottom w:val="single" w:color="auto" w:sz="4" w:space="0"/>
              <w:right w:val="single" w:color="auto" w:sz="4" w:space="0"/>
            </w:tcBorders>
            <w:vAlign w:val="center"/>
          </w:tcPr>
          <w:p w14:paraId="0D4C4FD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571" w:type="pct"/>
            <w:tcBorders>
              <w:top w:val="nil"/>
              <w:left w:val="nil"/>
              <w:bottom w:val="single" w:color="auto" w:sz="4" w:space="0"/>
              <w:right w:val="single" w:color="auto" w:sz="4" w:space="0"/>
            </w:tcBorders>
            <w:vAlign w:val="center"/>
          </w:tcPr>
          <w:p w14:paraId="107F039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77A66B5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902" w:type="pct"/>
            <w:tcBorders>
              <w:top w:val="nil"/>
              <w:left w:val="nil"/>
              <w:bottom w:val="single" w:color="auto" w:sz="4" w:space="0"/>
              <w:right w:val="single" w:color="auto" w:sz="4" w:space="0"/>
            </w:tcBorders>
            <w:vAlign w:val="center"/>
          </w:tcPr>
          <w:p w14:paraId="53F8C8A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579" w:type="pct"/>
            <w:tcBorders>
              <w:top w:val="nil"/>
              <w:left w:val="nil"/>
              <w:bottom w:val="single" w:color="auto" w:sz="4" w:space="0"/>
              <w:right w:val="single" w:color="auto" w:sz="4" w:space="0"/>
            </w:tcBorders>
            <w:vAlign w:val="center"/>
          </w:tcPr>
          <w:p w14:paraId="2E0BC7F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23900736">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vAlign w:val="bottom"/>
          </w:tcPr>
          <w:p w14:paraId="1700B638">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867" w:type="pct"/>
            <w:tcBorders>
              <w:top w:val="nil"/>
              <w:left w:val="nil"/>
              <w:bottom w:val="single" w:color="auto" w:sz="4" w:space="0"/>
              <w:right w:val="single" w:color="auto" w:sz="4" w:space="0"/>
            </w:tcBorders>
            <w:vAlign w:val="center"/>
          </w:tcPr>
          <w:p w14:paraId="3E444A8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571" w:type="pct"/>
            <w:tcBorders>
              <w:top w:val="nil"/>
              <w:left w:val="nil"/>
              <w:bottom w:val="single" w:color="auto" w:sz="4" w:space="0"/>
              <w:right w:val="single" w:color="auto" w:sz="4" w:space="0"/>
            </w:tcBorders>
            <w:vAlign w:val="center"/>
          </w:tcPr>
          <w:p w14:paraId="23138CE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4C057C7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902" w:type="pct"/>
            <w:tcBorders>
              <w:top w:val="nil"/>
              <w:left w:val="nil"/>
              <w:bottom w:val="single" w:color="auto" w:sz="4" w:space="0"/>
              <w:right w:val="single" w:color="auto" w:sz="4" w:space="0"/>
            </w:tcBorders>
            <w:vAlign w:val="center"/>
          </w:tcPr>
          <w:p w14:paraId="15B74FF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579" w:type="pct"/>
            <w:tcBorders>
              <w:top w:val="nil"/>
              <w:left w:val="nil"/>
              <w:bottom w:val="single" w:color="auto" w:sz="4" w:space="0"/>
              <w:right w:val="single" w:color="auto" w:sz="4" w:space="0"/>
            </w:tcBorders>
            <w:vAlign w:val="center"/>
          </w:tcPr>
          <w:p w14:paraId="0EB3D51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4F63D81A">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vAlign w:val="center"/>
          </w:tcPr>
          <w:p w14:paraId="08D9A34A">
            <w:pPr>
              <w:widowControl/>
              <w:jc w:val="left"/>
              <w:rPr>
                <w:rFonts w:ascii="宋体" w:hAnsi="宋体" w:cs="宋体"/>
                <w:b/>
                <w:bCs/>
                <w:color w:val="auto"/>
                <w:kern w:val="0"/>
                <w:sz w:val="18"/>
                <w:szCs w:val="18"/>
                <w:highlight w:val="none"/>
              </w:rPr>
            </w:pPr>
          </w:p>
        </w:tc>
        <w:tc>
          <w:tcPr>
            <w:tcW w:w="867" w:type="pct"/>
            <w:tcBorders>
              <w:top w:val="nil"/>
              <w:left w:val="nil"/>
              <w:bottom w:val="single" w:color="auto" w:sz="4" w:space="0"/>
              <w:right w:val="single" w:color="auto" w:sz="4" w:space="0"/>
            </w:tcBorders>
            <w:vAlign w:val="center"/>
          </w:tcPr>
          <w:p w14:paraId="0C6BC2E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571" w:type="pct"/>
            <w:tcBorders>
              <w:top w:val="nil"/>
              <w:left w:val="nil"/>
              <w:bottom w:val="single" w:color="auto" w:sz="4" w:space="0"/>
              <w:right w:val="single" w:color="auto" w:sz="4" w:space="0"/>
            </w:tcBorders>
            <w:vAlign w:val="center"/>
          </w:tcPr>
          <w:p w14:paraId="02BFA33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57DFE28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902" w:type="pct"/>
            <w:tcBorders>
              <w:top w:val="nil"/>
              <w:left w:val="nil"/>
              <w:bottom w:val="single" w:color="auto" w:sz="4" w:space="0"/>
              <w:right w:val="single" w:color="auto" w:sz="4" w:space="0"/>
            </w:tcBorders>
            <w:vAlign w:val="center"/>
          </w:tcPr>
          <w:p w14:paraId="4AC4629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579" w:type="pct"/>
            <w:tcBorders>
              <w:top w:val="nil"/>
              <w:left w:val="nil"/>
              <w:bottom w:val="single" w:color="auto" w:sz="4" w:space="0"/>
              <w:right w:val="single" w:color="auto" w:sz="4" w:space="0"/>
            </w:tcBorders>
            <w:vAlign w:val="center"/>
          </w:tcPr>
          <w:p w14:paraId="0D99580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46E46C3C">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vAlign w:val="bottom"/>
          </w:tcPr>
          <w:p w14:paraId="58A6E12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867" w:type="pct"/>
            <w:tcBorders>
              <w:top w:val="nil"/>
              <w:left w:val="nil"/>
              <w:bottom w:val="single" w:color="auto" w:sz="4" w:space="0"/>
              <w:right w:val="single" w:color="auto" w:sz="4" w:space="0"/>
            </w:tcBorders>
            <w:vAlign w:val="center"/>
          </w:tcPr>
          <w:p w14:paraId="707987D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571" w:type="pct"/>
            <w:tcBorders>
              <w:top w:val="nil"/>
              <w:left w:val="nil"/>
              <w:bottom w:val="single" w:color="auto" w:sz="4" w:space="0"/>
              <w:right w:val="single" w:color="auto" w:sz="4" w:space="0"/>
            </w:tcBorders>
            <w:vAlign w:val="center"/>
          </w:tcPr>
          <w:p w14:paraId="222FC35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014" w:type="pct"/>
            <w:tcBorders>
              <w:top w:val="nil"/>
              <w:left w:val="nil"/>
              <w:bottom w:val="single" w:color="auto" w:sz="4" w:space="0"/>
              <w:right w:val="single" w:color="auto" w:sz="4" w:space="0"/>
            </w:tcBorders>
            <w:vAlign w:val="center"/>
          </w:tcPr>
          <w:p w14:paraId="3AF8ECD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902" w:type="pct"/>
            <w:tcBorders>
              <w:top w:val="nil"/>
              <w:left w:val="nil"/>
              <w:bottom w:val="single" w:color="auto" w:sz="4" w:space="0"/>
              <w:right w:val="single" w:color="auto" w:sz="4" w:space="0"/>
            </w:tcBorders>
            <w:vAlign w:val="center"/>
          </w:tcPr>
          <w:p w14:paraId="6CF2CEA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579" w:type="pct"/>
            <w:tcBorders>
              <w:top w:val="nil"/>
              <w:left w:val="nil"/>
              <w:bottom w:val="single" w:color="auto" w:sz="4" w:space="0"/>
              <w:right w:val="single" w:color="auto" w:sz="4" w:space="0"/>
            </w:tcBorders>
            <w:vAlign w:val="center"/>
          </w:tcPr>
          <w:p w14:paraId="58A3A3E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01608E64">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vAlign w:val="center"/>
          </w:tcPr>
          <w:p w14:paraId="2A1C2228">
            <w:pPr>
              <w:widowControl/>
              <w:jc w:val="left"/>
              <w:rPr>
                <w:rFonts w:ascii="宋体" w:hAnsi="宋体" w:cs="宋体"/>
                <w:b/>
                <w:bCs/>
                <w:color w:val="auto"/>
                <w:kern w:val="0"/>
                <w:sz w:val="18"/>
                <w:szCs w:val="18"/>
                <w:highlight w:val="none"/>
              </w:rPr>
            </w:pPr>
          </w:p>
        </w:tc>
        <w:tc>
          <w:tcPr>
            <w:tcW w:w="867" w:type="pct"/>
            <w:tcBorders>
              <w:top w:val="nil"/>
              <w:left w:val="nil"/>
              <w:bottom w:val="single" w:color="auto" w:sz="4" w:space="0"/>
              <w:right w:val="single" w:color="auto" w:sz="4" w:space="0"/>
            </w:tcBorders>
            <w:vAlign w:val="center"/>
          </w:tcPr>
          <w:p w14:paraId="38ADB50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571" w:type="pct"/>
            <w:tcBorders>
              <w:top w:val="nil"/>
              <w:left w:val="nil"/>
              <w:bottom w:val="single" w:color="auto" w:sz="4" w:space="0"/>
              <w:right w:val="single" w:color="auto" w:sz="4" w:space="0"/>
            </w:tcBorders>
            <w:vAlign w:val="center"/>
          </w:tcPr>
          <w:p w14:paraId="725409B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601D436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02" w:type="pct"/>
            <w:tcBorders>
              <w:top w:val="nil"/>
              <w:left w:val="nil"/>
              <w:bottom w:val="single" w:color="auto" w:sz="4" w:space="0"/>
              <w:right w:val="single" w:color="auto" w:sz="4" w:space="0"/>
            </w:tcBorders>
            <w:vAlign w:val="center"/>
          </w:tcPr>
          <w:p w14:paraId="7C15756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579" w:type="pct"/>
            <w:tcBorders>
              <w:top w:val="nil"/>
              <w:left w:val="nil"/>
              <w:bottom w:val="single" w:color="auto" w:sz="4" w:space="0"/>
              <w:right w:val="single" w:color="auto" w:sz="4" w:space="0"/>
            </w:tcBorders>
            <w:vAlign w:val="center"/>
          </w:tcPr>
          <w:p w14:paraId="20CF2E5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2937BD9A">
        <w:tblPrEx>
          <w:tblCellMar>
            <w:top w:w="0" w:type="dxa"/>
            <w:left w:w="108" w:type="dxa"/>
            <w:bottom w:w="0" w:type="dxa"/>
            <w:right w:w="108" w:type="dxa"/>
          </w:tblCellMar>
        </w:tblPrEx>
        <w:trPr>
          <w:trHeight w:val="225" w:hRule="atLeast"/>
        </w:trPr>
        <w:tc>
          <w:tcPr>
            <w:tcW w:w="1065" w:type="pct"/>
            <w:vMerge w:val="restart"/>
            <w:tcBorders>
              <w:top w:val="nil"/>
              <w:left w:val="single" w:color="auto" w:sz="4" w:space="0"/>
              <w:bottom w:val="single" w:color="auto" w:sz="4" w:space="0"/>
              <w:right w:val="single" w:color="auto" w:sz="4" w:space="0"/>
            </w:tcBorders>
            <w:vAlign w:val="bottom"/>
          </w:tcPr>
          <w:p w14:paraId="2524DDD9">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867" w:type="pct"/>
            <w:tcBorders>
              <w:top w:val="nil"/>
              <w:left w:val="nil"/>
              <w:bottom w:val="single" w:color="auto" w:sz="4" w:space="0"/>
              <w:right w:val="single" w:color="auto" w:sz="4" w:space="0"/>
            </w:tcBorders>
            <w:vAlign w:val="center"/>
          </w:tcPr>
          <w:p w14:paraId="6D3DE8A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571" w:type="pct"/>
            <w:tcBorders>
              <w:top w:val="nil"/>
              <w:left w:val="nil"/>
              <w:bottom w:val="single" w:color="auto" w:sz="4" w:space="0"/>
              <w:right w:val="single" w:color="auto" w:sz="4" w:space="0"/>
            </w:tcBorders>
            <w:vAlign w:val="center"/>
          </w:tcPr>
          <w:p w14:paraId="77A7CBF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014" w:type="pct"/>
            <w:tcBorders>
              <w:top w:val="nil"/>
              <w:left w:val="nil"/>
              <w:bottom w:val="single" w:color="auto" w:sz="4" w:space="0"/>
              <w:right w:val="single" w:color="auto" w:sz="4" w:space="0"/>
            </w:tcBorders>
            <w:vAlign w:val="center"/>
          </w:tcPr>
          <w:p w14:paraId="3A20098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02" w:type="pct"/>
            <w:tcBorders>
              <w:top w:val="nil"/>
              <w:left w:val="nil"/>
              <w:bottom w:val="single" w:color="auto" w:sz="4" w:space="0"/>
              <w:right w:val="single" w:color="auto" w:sz="4" w:space="0"/>
            </w:tcBorders>
            <w:vAlign w:val="center"/>
          </w:tcPr>
          <w:p w14:paraId="3224F5F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579" w:type="pct"/>
            <w:tcBorders>
              <w:top w:val="nil"/>
              <w:left w:val="nil"/>
              <w:bottom w:val="single" w:color="auto" w:sz="4" w:space="0"/>
              <w:right w:val="single" w:color="auto" w:sz="4" w:space="0"/>
            </w:tcBorders>
            <w:vAlign w:val="center"/>
          </w:tcPr>
          <w:p w14:paraId="5A03C0B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3703AC8">
        <w:tblPrEx>
          <w:tblCellMar>
            <w:top w:w="0" w:type="dxa"/>
            <w:left w:w="108" w:type="dxa"/>
            <w:bottom w:w="0" w:type="dxa"/>
            <w:right w:w="108" w:type="dxa"/>
          </w:tblCellMar>
        </w:tblPrEx>
        <w:trPr>
          <w:trHeight w:val="225" w:hRule="atLeast"/>
        </w:trPr>
        <w:tc>
          <w:tcPr>
            <w:tcW w:w="1065" w:type="pct"/>
            <w:vMerge w:val="continue"/>
            <w:tcBorders>
              <w:top w:val="nil"/>
              <w:left w:val="single" w:color="auto" w:sz="4" w:space="0"/>
              <w:bottom w:val="single" w:color="auto" w:sz="4" w:space="0"/>
              <w:right w:val="single" w:color="auto" w:sz="4" w:space="0"/>
            </w:tcBorders>
            <w:vAlign w:val="center"/>
          </w:tcPr>
          <w:p w14:paraId="361794B8">
            <w:pPr>
              <w:widowControl/>
              <w:jc w:val="left"/>
              <w:rPr>
                <w:rFonts w:ascii="宋体" w:hAnsi="宋体" w:cs="宋体"/>
                <w:b/>
                <w:bCs/>
                <w:color w:val="auto"/>
                <w:kern w:val="0"/>
                <w:sz w:val="18"/>
                <w:szCs w:val="18"/>
                <w:highlight w:val="none"/>
              </w:rPr>
            </w:pPr>
          </w:p>
        </w:tc>
        <w:tc>
          <w:tcPr>
            <w:tcW w:w="867" w:type="pct"/>
            <w:tcBorders>
              <w:top w:val="nil"/>
              <w:left w:val="nil"/>
              <w:bottom w:val="single" w:color="auto" w:sz="4" w:space="0"/>
              <w:right w:val="single" w:color="auto" w:sz="4" w:space="0"/>
            </w:tcBorders>
            <w:vAlign w:val="center"/>
          </w:tcPr>
          <w:p w14:paraId="24AC2D2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571" w:type="pct"/>
            <w:tcBorders>
              <w:top w:val="nil"/>
              <w:left w:val="nil"/>
              <w:bottom w:val="single" w:color="auto" w:sz="4" w:space="0"/>
              <w:right w:val="single" w:color="auto" w:sz="4" w:space="0"/>
            </w:tcBorders>
            <w:vAlign w:val="center"/>
          </w:tcPr>
          <w:p w14:paraId="653B661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014" w:type="pct"/>
            <w:tcBorders>
              <w:top w:val="nil"/>
              <w:left w:val="nil"/>
              <w:bottom w:val="single" w:color="auto" w:sz="4" w:space="0"/>
              <w:right w:val="single" w:color="auto" w:sz="4" w:space="0"/>
            </w:tcBorders>
            <w:vAlign w:val="center"/>
          </w:tcPr>
          <w:p w14:paraId="16E2B14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902" w:type="pct"/>
            <w:tcBorders>
              <w:top w:val="nil"/>
              <w:left w:val="nil"/>
              <w:bottom w:val="single" w:color="auto" w:sz="4" w:space="0"/>
              <w:right w:val="single" w:color="auto" w:sz="4" w:space="0"/>
            </w:tcBorders>
            <w:vAlign w:val="center"/>
          </w:tcPr>
          <w:p w14:paraId="5DA0E65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579" w:type="pct"/>
            <w:tcBorders>
              <w:top w:val="nil"/>
              <w:left w:val="nil"/>
              <w:bottom w:val="single" w:color="auto" w:sz="4" w:space="0"/>
              <w:right w:val="single" w:color="auto" w:sz="4" w:space="0"/>
            </w:tcBorders>
            <w:vAlign w:val="center"/>
          </w:tcPr>
          <w:p w14:paraId="218F98A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F10C90E">
        <w:tblPrEx>
          <w:tblCellMar>
            <w:top w:w="0" w:type="dxa"/>
            <w:left w:w="108" w:type="dxa"/>
            <w:bottom w:w="0" w:type="dxa"/>
            <w:right w:w="108" w:type="dxa"/>
          </w:tblCellMar>
        </w:tblPrEx>
        <w:trPr>
          <w:trHeight w:val="225" w:hRule="atLeast"/>
        </w:trPr>
        <w:tc>
          <w:tcPr>
            <w:tcW w:w="1065" w:type="pct"/>
            <w:tcBorders>
              <w:top w:val="nil"/>
              <w:left w:val="single" w:color="auto" w:sz="4" w:space="0"/>
              <w:bottom w:val="single" w:color="auto" w:sz="4" w:space="0"/>
              <w:right w:val="single" w:color="auto" w:sz="4" w:space="0"/>
            </w:tcBorders>
            <w:vAlign w:val="bottom"/>
          </w:tcPr>
          <w:p w14:paraId="7BE2B23C">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867" w:type="pct"/>
            <w:tcBorders>
              <w:top w:val="nil"/>
              <w:left w:val="nil"/>
              <w:bottom w:val="single" w:color="auto" w:sz="4" w:space="0"/>
              <w:right w:val="single" w:color="auto" w:sz="4" w:space="0"/>
            </w:tcBorders>
            <w:vAlign w:val="center"/>
          </w:tcPr>
          <w:p w14:paraId="2BFE32C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571" w:type="pct"/>
            <w:tcBorders>
              <w:top w:val="nil"/>
              <w:left w:val="nil"/>
              <w:bottom w:val="single" w:color="auto" w:sz="4" w:space="0"/>
              <w:right w:val="single" w:color="auto" w:sz="4" w:space="0"/>
            </w:tcBorders>
            <w:vAlign w:val="center"/>
          </w:tcPr>
          <w:p w14:paraId="7618C1E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014" w:type="pct"/>
            <w:tcBorders>
              <w:top w:val="nil"/>
              <w:left w:val="nil"/>
              <w:bottom w:val="single" w:color="auto" w:sz="4" w:space="0"/>
              <w:right w:val="single" w:color="auto" w:sz="4" w:space="0"/>
            </w:tcBorders>
            <w:vAlign w:val="center"/>
          </w:tcPr>
          <w:p w14:paraId="726CAE5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02" w:type="pct"/>
            <w:tcBorders>
              <w:top w:val="nil"/>
              <w:left w:val="nil"/>
              <w:bottom w:val="single" w:color="auto" w:sz="4" w:space="0"/>
              <w:right w:val="single" w:color="auto" w:sz="4" w:space="0"/>
            </w:tcBorders>
            <w:vAlign w:val="center"/>
          </w:tcPr>
          <w:p w14:paraId="49F359E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579" w:type="pct"/>
            <w:tcBorders>
              <w:top w:val="nil"/>
              <w:left w:val="nil"/>
              <w:bottom w:val="single" w:color="auto" w:sz="4" w:space="0"/>
              <w:right w:val="single" w:color="auto" w:sz="4" w:space="0"/>
            </w:tcBorders>
            <w:vAlign w:val="center"/>
          </w:tcPr>
          <w:p w14:paraId="74D7E9D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53AE08B7">
      <w:pPr>
        <w:spacing w:line="360" w:lineRule="auto"/>
        <w:ind w:firstLine="525" w:firstLineChars="250"/>
        <w:rPr>
          <w:rFonts w:ascii="宋体" w:hAnsi="宋体" w:cs="宋体"/>
          <w:color w:val="auto"/>
          <w:szCs w:val="21"/>
          <w:highlight w:val="none"/>
        </w:rPr>
      </w:pPr>
    </w:p>
    <w:p w14:paraId="34802C9E">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w:t>
      </w:r>
      <w:r>
        <w:rPr>
          <w:rFonts w:hint="eastAsia" w:ascii="宋体" w:hAnsi="宋体" w:cs="宋体"/>
          <w:color w:val="auto"/>
          <w:szCs w:val="21"/>
          <w:highlight w:val="none"/>
          <w:lang w:eastAsia="zh-CN"/>
        </w:rPr>
        <w:t>只需</w:t>
      </w:r>
      <w:r>
        <w:rPr>
          <w:rFonts w:hint="eastAsia" w:ascii="宋体" w:hAnsi="宋体" w:cs="宋体"/>
          <w:color w:val="auto"/>
          <w:szCs w:val="21"/>
          <w:highlight w:val="none"/>
        </w:rPr>
        <w:t>满足所列指标中的一项即可。</w:t>
      </w:r>
    </w:p>
    <w:p w14:paraId="0052AD8E">
      <w:pPr>
        <w:pStyle w:val="2"/>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color w:val="auto"/>
          <w:highlight w:val="none"/>
        </w:rPr>
      </w:pPr>
      <w:r>
        <w:rPr>
          <w:rFonts w:hint="eastAsia" w:ascii="宋体" w:hAnsi="宋体" w:cs="宋体"/>
          <w:color w:val="auto"/>
          <w:highlight w:val="none"/>
        </w:rPr>
        <w:br w:type="page"/>
      </w:r>
      <w:bookmarkStart w:id="48" w:name="_Toc13191"/>
      <w:bookmarkStart w:id="49" w:name="_Toc13870"/>
      <w:r>
        <w:rPr>
          <w:rFonts w:hint="eastAsia" w:ascii="宋体" w:hAnsi="宋体" w:cs="宋体"/>
          <w:color w:val="auto"/>
          <w:highlight w:val="none"/>
        </w:rPr>
        <w:t>第三章  投标人须知</w:t>
      </w:r>
      <w:bookmarkEnd w:id="46"/>
      <w:bookmarkEnd w:id="48"/>
      <w:bookmarkEnd w:id="49"/>
    </w:p>
    <w:p w14:paraId="4B506E17">
      <w:pPr>
        <w:spacing w:line="360" w:lineRule="auto"/>
        <w:jc w:val="center"/>
        <w:rPr>
          <w:rFonts w:ascii="宋体" w:hAnsi="宋体" w:cs="宋体"/>
          <w:b/>
          <w:bCs/>
          <w:color w:val="auto"/>
          <w:sz w:val="36"/>
          <w:szCs w:val="36"/>
          <w:highlight w:val="none"/>
        </w:rPr>
      </w:pPr>
      <w:bookmarkStart w:id="50" w:name="_Toc254970667"/>
      <w:bookmarkStart w:id="51" w:name="_Toc254970526"/>
      <w:r>
        <w:rPr>
          <w:rFonts w:hint="eastAsia" w:ascii="宋体" w:hAnsi="宋体" w:cs="宋体"/>
          <w:b/>
          <w:bCs/>
          <w:color w:val="auto"/>
          <w:sz w:val="36"/>
          <w:szCs w:val="36"/>
          <w:highlight w:val="none"/>
        </w:rPr>
        <w:t>投标人须知前附表</w:t>
      </w:r>
      <w:bookmarkEnd w:id="50"/>
      <w:bookmarkEnd w:id="51"/>
    </w:p>
    <w:p w14:paraId="1A97410D">
      <w:pPr>
        <w:jc w:val="center"/>
        <w:rPr>
          <w:rFonts w:ascii="宋体" w:hAnsi="宋体" w:cs="宋体"/>
          <w:color w:val="auto"/>
          <w:sz w:val="36"/>
          <w:szCs w:val="36"/>
          <w:highlight w:val="none"/>
        </w:rPr>
      </w:pPr>
    </w:p>
    <w:tbl>
      <w:tblPr>
        <w:tblStyle w:val="22"/>
        <w:tblW w:w="96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708"/>
      </w:tblGrid>
      <w:tr w14:paraId="77D260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5ECEEAB">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条款号</w:t>
            </w:r>
          </w:p>
        </w:tc>
        <w:tc>
          <w:tcPr>
            <w:tcW w:w="8708" w:type="dxa"/>
            <w:tcBorders>
              <w:top w:val="single" w:color="auto" w:sz="4" w:space="0"/>
              <w:left w:val="single" w:color="auto" w:sz="4" w:space="0"/>
              <w:bottom w:val="single" w:color="auto" w:sz="4" w:space="0"/>
              <w:right w:val="single" w:color="auto" w:sz="4" w:space="0"/>
            </w:tcBorders>
            <w:vAlign w:val="center"/>
          </w:tcPr>
          <w:p w14:paraId="0A4AE556">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编列内容</w:t>
            </w:r>
          </w:p>
        </w:tc>
      </w:tr>
      <w:tr w14:paraId="68B58F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5E36D81">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8708" w:type="dxa"/>
            <w:tcBorders>
              <w:top w:val="single" w:color="auto" w:sz="4" w:space="0"/>
              <w:left w:val="single" w:color="auto" w:sz="4" w:space="0"/>
              <w:bottom w:val="single" w:color="auto" w:sz="4" w:space="0"/>
              <w:right w:val="single" w:color="auto" w:sz="4" w:space="0"/>
            </w:tcBorders>
            <w:vAlign w:val="center"/>
          </w:tcPr>
          <w:p w14:paraId="474D859F">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投标人的资格要求：详见招标公告。</w:t>
            </w:r>
          </w:p>
        </w:tc>
      </w:tr>
      <w:tr w14:paraId="4E3F7E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E899E3A">
            <w:pPr>
              <w:spacing w:line="400" w:lineRule="exact"/>
              <w:jc w:val="center"/>
              <w:rPr>
                <w:rFonts w:ascii="宋体" w:hAnsi="宋体" w:cs="宋体"/>
                <w:color w:val="auto"/>
                <w:szCs w:val="21"/>
                <w:highlight w:val="none"/>
              </w:rPr>
            </w:pPr>
            <w:bookmarkStart w:id="52" w:name="_9.2"/>
            <w:bookmarkEnd w:id="52"/>
            <w:bookmarkStart w:id="53" w:name="_8.1"/>
            <w:bookmarkEnd w:id="53"/>
            <w:bookmarkStart w:id="54" w:name="_5"/>
            <w:bookmarkEnd w:id="54"/>
            <w:r>
              <w:rPr>
                <w:rFonts w:hint="eastAsia" w:ascii="宋体" w:hAnsi="宋体" w:cs="宋体"/>
                <w:color w:val="auto"/>
                <w:szCs w:val="21"/>
                <w:highlight w:val="none"/>
              </w:rPr>
              <w:t>6.1</w:t>
            </w:r>
          </w:p>
        </w:tc>
        <w:tc>
          <w:tcPr>
            <w:tcW w:w="8708" w:type="dxa"/>
            <w:tcBorders>
              <w:top w:val="single" w:color="auto" w:sz="4" w:space="0"/>
              <w:left w:val="single" w:color="auto" w:sz="4" w:space="0"/>
              <w:bottom w:val="single" w:color="auto" w:sz="4" w:space="0"/>
              <w:right w:val="single" w:color="auto" w:sz="4" w:space="0"/>
            </w:tcBorders>
            <w:vAlign w:val="center"/>
          </w:tcPr>
          <w:p w14:paraId="75C3FF5D">
            <w:pPr>
              <w:pStyle w:val="7"/>
              <w:spacing w:line="400" w:lineRule="exact"/>
              <w:rPr>
                <w:rFonts w:ascii="宋体" w:hAnsi="宋体" w:cs="宋体"/>
                <w:color w:val="auto"/>
                <w:szCs w:val="21"/>
                <w:highlight w:val="none"/>
              </w:rPr>
            </w:pPr>
            <w:r>
              <w:rPr>
                <w:rFonts w:hint="eastAsia" w:ascii="宋体" w:hAnsi="宋体" w:cs="宋体"/>
                <w:color w:val="auto"/>
                <w:szCs w:val="21"/>
                <w:highlight w:val="none"/>
              </w:rPr>
              <w:t>本项目是否接受联合体投标：详见招标公告。</w:t>
            </w:r>
          </w:p>
        </w:tc>
      </w:tr>
      <w:tr w14:paraId="13F02B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595E1FD">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6.2</w:t>
            </w:r>
          </w:p>
        </w:tc>
        <w:tc>
          <w:tcPr>
            <w:tcW w:w="8708" w:type="dxa"/>
            <w:tcBorders>
              <w:top w:val="single" w:color="auto" w:sz="4" w:space="0"/>
              <w:left w:val="single" w:color="auto" w:sz="4" w:space="0"/>
              <w:bottom w:val="single" w:color="auto" w:sz="4" w:space="0"/>
              <w:right w:val="single" w:color="auto" w:sz="4" w:space="0"/>
            </w:tcBorders>
            <w:vAlign w:val="center"/>
          </w:tcPr>
          <w:p w14:paraId="03CB299F">
            <w:pPr>
              <w:autoSpaceDE w:val="0"/>
              <w:autoSpaceDN w:val="0"/>
              <w:snapToGrid w:val="0"/>
              <w:spacing w:line="400" w:lineRule="exact"/>
              <w:textAlignment w:val="bottom"/>
              <w:rPr>
                <w:rFonts w:ascii="宋体" w:hAnsi="宋体" w:cs="宋体"/>
                <w:color w:val="auto"/>
                <w:szCs w:val="21"/>
                <w:highlight w:val="none"/>
              </w:rPr>
            </w:pPr>
            <w:bookmarkStart w:id="55" w:name="_Hlk54105293"/>
            <w:r>
              <w:rPr>
                <w:rFonts w:hint="eastAsia" w:ascii="宋体" w:hAnsi="宋体" w:cs="宋体"/>
                <w:color w:val="auto"/>
                <w:szCs w:val="21"/>
                <w:highlight w:val="none"/>
              </w:rPr>
              <w:t>如接受联合体投标，</w:t>
            </w:r>
            <w:bookmarkEnd w:id="55"/>
            <w:r>
              <w:rPr>
                <w:rFonts w:hint="eastAsia" w:ascii="宋体" w:hAnsi="宋体" w:cs="宋体"/>
                <w:color w:val="auto"/>
                <w:szCs w:val="21"/>
                <w:highlight w:val="none"/>
              </w:rPr>
              <w:t>联合体投标要求如下：</w:t>
            </w:r>
          </w:p>
          <w:p w14:paraId="0AB106D2">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1、两个以上投标人可以组成一个投标联合体，以一个投标人的身份共同参加投标，联合体投标人的名称应统一按“XXX 公司与 XXX 公司的联合体”的规则填写。</w:t>
            </w:r>
            <w:r>
              <w:rPr>
                <w:rFonts w:hint="eastAsia" w:ascii="宋体" w:hAnsi="宋体" w:cs="宋体"/>
                <w:color w:val="auto"/>
                <w:szCs w:val="21"/>
                <w:highlight w:val="none"/>
              </w:rPr>
              <w:tab/>
            </w:r>
          </w:p>
          <w:p w14:paraId="146D3D19">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本项目招标公告“申请人的资格要求”第3点 “3、本项目的特定资格要求”的要求。</w:t>
            </w:r>
          </w:p>
          <w:p w14:paraId="11536D60">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3、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r>
              <w:rPr>
                <w:rFonts w:hint="eastAsia" w:ascii="宋体" w:hAnsi="宋体" w:cs="宋体"/>
                <w:color w:val="auto"/>
                <w:szCs w:val="21"/>
                <w:highlight w:val="none"/>
              </w:rPr>
              <w:tab/>
            </w:r>
          </w:p>
          <w:p w14:paraId="3B7842CA">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4、以联合体形式参加政府采购活动的，联合体各方不得再单独参加或者与其他投标人另外组成联合体参加同一合同项下的政府采购活动，否则与之相关的投标文件作废。</w:t>
            </w:r>
            <w:r>
              <w:rPr>
                <w:rFonts w:hint="eastAsia" w:ascii="宋体" w:hAnsi="宋体" w:cs="宋体"/>
                <w:color w:val="auto"/>
                <w:szCs w:val="21"/>
                <w:highlight w:val="none"/>
              </w:rPr>
              <w:tab/>
            </w:r>
            <w:r>
              <w:rPr>
                <w:rFonts w:hint="eastAsia" w:ascii="宋体" w:hAnsi="宋体" w:cs="宋体"/>
                <w:color w:val="auto"/>
                <w:szCs w:val="21"/>
                <w:highlight w:val="none"/>
              </w:rPr>
              <w:tab/>
            </w:r>
          </w:p>
          <w:p w14:paraId="032CF92A">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5、联合体中有同类资质的投标人按照联合体分工承担相同工作的，应当按照资质等级较低的投标人确定资质等级。</w:t>
            </w:r>
            <w:r>
              <w:rPr>
                <w:rFonts w:hint="eastAsia" w:ascii="宋体" w:hAnsi="宋体" w:cs="宋体"/>
                <w:color w:val="auto"/>
                <w:szCs w:val="21"/>
                <w:highlight w:val="none"/>
              </w:rPr>
              <w:tab/>
            </w:r>
            <w:r>
              <w:rPr>
                <w:rFonts w:hint="eastAsia" w:ascii="宋体" w:hAnsi="宋体" w:cs="宋体"/>
                <w:color w:val="auto"/>
                <w:szCs w:val="21"/>
                <w:highlight w:val="none"/>
              </w:rPr>
              <w:tab/>
            </w:r>
          </w:p>
          <w:p w14:paraId="077AAE91">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6、联合体投标业绩、履约能力按照联合体各方其中较高的一方认定并计算（招标文件另有规定的除外）。</w:t>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ab/>
            </w:r>
          </w:p>
          <w:p w14:paraId="690F3AEF">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7、联合体各方均应按照招标文件的规定提交资格证明文件。</w:t>
            </w:r>
          </w:p>
        </w:tc>
      </w:tr>
      <w:tr w14:paraId="391383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3EF28A68">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7.2</w:t>
            </w:r>
          </w:p>
        </w:tc>
        <w:tc>
          <w:tcPr>
            <w:tcW w:w="8708" w:type="dxa"/>
            <w:tcBorders>
              <w:top w:val="single" w:color="auto" w:sz="4" w:space="0"/>
              <w:left w:val="single" w:color="auto" w:sz="4" w:space="0"/>
              <w:bottom w:val="single" w:color="auto" w:sz="4" w:space="0"/>
              <w:right w:val="single" w:color="auto" w:sz="4" w:space="0"/>
            </w:tcBorders>
            <w:vAlign w:val="center"/>
          </w:tcPr>
          <w:p w14:paraId="2DC65000">
            <w:pPr>
              <w:pStyle w:val="7"/>
              <w:spacing w:line="400" w:lineRule="exact"/>
              <w:rPr>
                <w:rFonts w:ascii="宋体" w:hAnsi="宋体" w:cs="宋体"/>
                <w:color w:val="auto"/>
                <w:szCs w:val="21"/>
                <w:highlight w:val="none"/>
                <w:u w:val="single"/>
              </w:rPr>
            </w:pPr>
            <w:r>
              <w:rPr>
                <w:rFonts w:hint="eastAsia" w:ascii="宋体" w:hAnsi="宋体" w:cs="宋体"/>
                <w:color w:val="auto"/>
                <w:szCs w:val="21"/>
                <w:highlight w:val="none"/>
              </w:rPr>
              <w:t>本项目不允许分包。</w:t>
            </w:r>
          </w:p>
        </w:tc>
      </w:tr>
      <w:tr w14:paraId="226CA4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65293B0C">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8.1</w:t>
            </w:r>
          </w:p>
        </w:tc>
        <w:tc>
          <w:tcPr>
            <w:tcW w:w="8708" w:type="dxa"/>
            <w:tcBorders>
              <w:top w:val="single" w:color="auto" w:sz="4" w:space="0"/>
              <w:left w:val="single" w:color="auto" w:sz="4" w:space="0"/>
              <w:bottom w:val="single" w:color="auto" w:sz="4" w:space="0"/>
              <w:right w:val="single" w:color="auto" w:sz="4" w:space="0"/>
            </w:tcBorders>
            <w:vAlign w:val="center"/>
          </w:tcPr>
          <w:p w14:paraId="1B74D301">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采用综合评分法的采购项目，提供相同品牌产品（非单一产品采购项目的，指核心产品）的不同投标人评审得分相同时，按照下列方式确定一个投标人获得</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推荐资格：</w:t>
            </w:r>
            <w:r>
              <w:rPr>
                <w:rFonts w:hint="eastAsia" w:ascii="宋体" w:hAnsi="宋体" w:eastAsia="宋体" w:cs="宋体"/>
                <w:color w:val="auto"/>
                <w:szCs w:val="21"/>
                <w:highlight w:val="none"/>
              </w:rPr>
              <w:t>得分相同的，以投标报价由低到高顺序排列。得分相同且投标报价相同的并列，投标文件满足招标文件全部实质性要求，依次按政策分得分高的优先、技术评分高的优先、商务评分高的优先、质保期长优先、交货</w:t>
            </w:r>
            <w:r>
              <w:rPr>
                <w:rFonts w:hint="eastAsia" w:ascii="宋体" w:hAnsi="宋体" w:eastAsia="宋体" w:cs="宋体"/>
                <w:color w:val="auto"/>
                <w:szCs w:val="21"/>
                <w:highlight w:val="none"/>
                <w:lang w:eastAsia="zh-CN"/>
              </w:rPr>
              <w:t>时间</w:t>
            </w:r>
            <w:r>
              <w:rPr>
                <w:rFonts w:hint="eastAsia" w:ascii="宋体" w:hAnsi="宋体" w:eastAsia="宋体" w:cs="宋体"/>
                <w:color w:val="auto"/>
                <w:szCs w:val="21"/>
                <w:highlight w:val="none"/>
              </w:rPr>
              <w:t>短优先、</w:t>
            </w:r>
            <w:r>
              <w:rPr>
                <w:rFonts w:hint="eastAsia" w:ascii="宋体" w:hAnsi="宋体" w:eastAsia="宋体" w:cs="宋体"/>
                <w:color w:val="auto"/>
                <w:szCs w:val="21"/>
                <w:highlight w:val="none"/>
                <w:lang w:eastAsia="zh-CN"/>
              </w:rPr>
              <w:t>问题</w:t>
            </w:r>
            <w:r>
              <w:rPr>
                <w:rFonts w:hint="eastAsia" w:ascii="宋体" w:hAnsi="宋体" w:eastAsia="宋体" w:cs="宋体"/>
                <w:color w:val="auto"/>
                <w:szCs w:val="21"/>
                <w:highlight w:val="none"/>
              </w:rPr>
              <w:t>响应时间短优先的顺序确定</w:t>
            </w:r>
            <w:r>
              <w:rPr>
                <w:rFonts w:hint="eastAsia" w:ascii="宋体" w:hAnsi="宋体" w:cs="宋体"/>
                <w:color w:val="auto"/>
                <w:szCs w:val="21"/>
                <w:highlight w:val="none"/>
              </w:rPr>
              <w:t>。</w:t>
            </w:r>
          </w:p>
        </w:tc>
      </w:tr>
      <w:tr w14:paraId="4287AE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895" w:type="dxa"/>
            <w:vMerge w:val="restart"/>
            <w:tcBorders>
              <w:top w:val="single" w:color="auto" w:sz="4" w:space="0"/>
              <w:left w:val="single" w:color="auto" w:sz="4" w:space="0"/>
              <w:right w:val="single" w:color="auto" w:sz="4" w:space="0"/>
            </w:tcBorders>
            <w:vAlign w:val="center"/>
          </w:tcPr>
          <w:p w14:paraId="52D0C43C">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11.5</w:t>
            </w:r>
          </w:p>
        </w:tc>
        <w:tc>
          <w:tcPr>
            <w:tcW w:w="8708" w:type="dxa"/>
            <w:tcBorders>
              <w:top w:val="single" w:color="auto" w:sz="4" w:space="0"/>
              <w:left w:val="single" w:color="auto" w:sz="4" w:space="0"/>
              <w:bottom w:val="single" w:color="auto" w:sz="4" w:space="0"/>
              <w:right w:val="single" w:color="auto" w:sz="4" w:space="0"/>
            </w:tcBorders>
            <w:vAlign w:val="center"/>
          </w:tcPr>
          <w:p w14:paraId="06B1C130">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本项目不组织现场考察，投标人可自行现场踏勘。</w:t>
            </w:r>
          </w:p>
        </w:tc>
      </w:tr>
      <w:tr w14:paraId="68BD4D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895" w:type="dxa"/>
            <w:vMerge w:val="continue"/>
            <w:tcBorders>
              <w:left w:val="single" w:color="auto" w:sz="4" w:space="0"/>
              <w:bottom w:val="single" w:color="auto" w:sz="4" w:space="0"/>
              <w:right w:val="single" w:color="auto" w:sz="4" w:space="0"/>
            </w:tcBorders>
            <w:vAlign w:val="center"/>
          </w:tcPr>
          <w:p w14:paraId="3436E97A">
            <w:pPr>
              <w:spacing w:line="400" w:lineRule="exact"/>
              <w:jc w:val="center"/>
              <w:rPr>
                <w:rFonts w:ascii="宋体" w:hAnsi="宋体" w:cs="宋体"/>
                <w:color w:val="auto"/>
                <w:szCs w:val="21"/>
                <w:highlight w:val="none"/>
              </w:rPr>
            </w:pPr>
          </w:p>
        </w:tc>
        <w:tc>
          <w:tcPr>
            <w:tcW w:w="8708" w:type="dxa"/>
            <w:tcBorders>
              <w:top w:val="single" w:color="auto" w:sz="4" w:space="0"/>
              <w:left w:val="single" w:color="auto" w:sz="4" w:space="0"/>
              <w:bottom w:val="single" w:color="auto" w:sz="4" w:space="0"/>
              <w:right w:val="single" w:color="auto" w:sz="4" w:space="0"/>
            </w:tcBorders>
            <w:vAlign w:val="center"/>
          </w:tcPr>
          <w:p w14:paraId="7640A64A">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本项目不组织召开开标前答疑会。</w:t>
            </w:r>
          </w:p>
        </w:tc>
      </w:tr>
      <w:tr w14:paraId="0D8F30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restart"/>
            <w:tcBorders>
              <w:top w:val="single" w:color="auto" w:sz="4" w:space="0"/>
              <w:left w:val="single" w:color="auto" w:sz="4" w:space="0"/>
              <w:right w:val="single" w:color="auto" w:sz="4" w:space="0"/>
            </w:tcBorders>
            <w:vAlign w:val="center"/>
          </w:tcPr>
          <w:p w14:paraId="2262280E">
            <w:pPr>
              <w:spacing w:line="400" w:lineRule="exact"/>
              <w:jc w:val="center"/>
              <w:rPr>
                <w:rFonts w:ascii="宋体" w:hAnsi="宋体" w:cs="宋体"/>
                <w:color w:val="auto"/>
                <w:szCs w:val="21"/>
                <w:highlight w:val="none"/>
              </w:rPr>
            </w:pPr>
            <w:bookmarkStart w:id="56" w:name="_13.1"/>
            <w:bookmarkEnd w:id="56"/>
            <w:r>
              <w:rPr>
                <w:rFonts w:hint="eastAsia" w:ascii="宋体" w:hAnsi="宋体" w:cs="宋体"/>
                <w:color w:val="auto"/>
                <w:szCs w:val="21"/>
                <w:highlight w:val="none"/>
              </w:rPr>
              <w:t>13.</w:t>
            </w:r>
            <w:bookmarkStart w:id="57" w:name="_Hlt19632543"/>
            <w:r>
              <w:rPr>
                <w:rFonts w:hint="eastAsia" w:ascii="宋体" w:hAnsi="宋体" w:cs="宋体"/>
                <w:color w:val="auto"/>
                <w:szCs w:val="21"/>
                <w:highlight w:val="none"/>
              </w:rPr>
              <w:t>1</w:t>
            </w:r>
            <w:bookmarkEnd w:id="57"/>
          </w:p>
        </w:tc>
        <w:tc>
          <w:tcPr>
            <w:tcW w:w="8708" w:type="dxa"/>
            <w:tcBorders>
              <w:top w:val="single" w:color="auto" w:sz="4" w:space="0"/>
              <w:left w:val="single" w:color="auto" w:sz="4" w:space="0"/>
              <w:bottom w:val="single" w:color="auto" w:sz="4" w:space="0"/>
              <w:right w:val="single" w:color="auto" w:sz="4" w:space="0"/>
            </w:tcBorders>
            <w:vAlign w:val="center"/>
          </w:tcPr>
          <w:p w14:paraId="4DBDF49E">
            <w:pPr>
              <w:snapToGri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报价文件:</w:t>
            </w:r>
          </w:p>
          <w:p w14:paraId="5C5F26F6">
            <w:pPr>
              <w:tabs>
                <w:tab w:val="left" w:pos="459"/>
              </w:tabs>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1、投标函（格式后附）；</w:t>
            </w:r>
            <w:r>
              <w:rPr>
                <w:rFonts w:hint="eastAsia" w:ascii="宋体" w:hAnsi="宋体" w:cs="宋体"/>
                <w:b/>
                <w:color w:val="auto"/>
                <w:szCs w:val="21"/>
                <w:highlight w:val="none"/>
              </w:rPr>
              <w:t>（必须提供，否则按无效投标处理）</w:t>
            </w:r>
          </w:p>
          <w:p w14:paraId="3DE268DF">
            <w:pPr>
              <w:tabs>
                <w:tab w:val="left" w:pos="459"/>
              </w:tabs>
              <w:snapToGrid w:val="0"/>
              <w:spacing w:line="400" w:lineRule="exact"/>
              <w:jc w:val="left"/>
              <w:rPr>
                <w:rFonts w:ascii="宋体" w:hAnsi="宋体" w:cs="宋体"/>
                <w:color w:val="auto"/>
                <w:szCs w:val="21"/>
                <w:highlight w:val="none"/>
              </w:rPr>
            </w:pPr>
            <w:bookmarkStart w:id="58" w:name="_Hlk71299233"/>
            <w:r>
              <w:rPr>
                <w:rFonts w:hint="eastAsia" w:ascii="宋体" w:hAnsi="宋体" w:cs="宋体"/>
                <w:color w:val="auto"/>
                <w:szCs w:val="21"/>
                <w:highlight w:val="none"/>
              </w:rPr>
              <w:t>2、开标一览表</w:t>
            </w:r>
            <w:bookmarkEnd w:id="58"/>
            <w:r>
              <w:rPr>
                <w:rFonts w:hint="eastAsia" w:ascii="宋体" w:hAnsi="宋体" w:cs="宋体"/>
                <w:color w:val="auto"/>
                <w:szCs w:val="21"/>
                <w:highlight w:val="none"/>
              </w:rPr>
              <w:t>（格式后附）； （</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600AF984">
            <w:pPr>
              <w:tabs>
                <w:tab w:val="left" w:pos="459"/>
              </w:tabs>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3、投标人针对报价需要说明的其他文件和说明（格式自拟）。</w:t>
            </w:r>
          </w:p>
          <w:p w14:paraId="020075DC">
            <w:pPr>
              <w:snapToGrid w:val="0"/>
              <w:spacing w:line="400" w:lineRule="exact"/>
              <w:ind w:firstLine="420"/>
              <w:jc w:val="left"/>
              <w:rPr>
                <w:rFonts w:ascii="宋体" w:hAnsi="宋体" w:cs="宋体"/>
                <w:color w:val="auto"/>
                <w:szCs w:val="21"/>
                <w:highlight w:val="none"/>
              </w:rPr>
            </w:pPr>
            <w:r>
              <w:rPr>
                <w:rFonts w:hint="eastAsia" w:ascii="宋体" w:hAnsi="宋体" w:cs="宋体"/>
                <w:b/>
                <w:bCs/>
                <w:color w:val="auto"/>
                <w:szCs w:val="21"/>
                <w:highlight w:val="none"/>
              </w:rPr>
              <w:t>注：投标函、开标一览表必须由法定代表人或者委托代理人在规定签章处逐一签字并加盖投标人公章，否则按无效投标</w:t>
            </w:r>
            <w:r>
              <w:rPr>
                <w:rFonts w:hint="eastAsia" w:ascii="宋体" w:hAnsi="宋体" w:cs="宋体"/>
                <w:b/>
                <w:color w:val="auto"/>
                <w:szCs w:val="21"/>
                <w:highlight w:val="none"/>
              </w:rPr>
              <w:t>处理</w:t>
            </w:r>
            <w:r>
              <w:rPr>
                <w:rFonts w:hint="eastAsia" w:ascii="宋体" w:hAnsi="宋体" w:cs="宋体"/>
                <w:b/>
                <w:bCs/>
                <w:color w:val="auto"/>
                <w:szCs w:val="21"/>
                <w:highlight w:val="none"/>
              </w:rPr>
              <w:t>。</w:t>
            </w:r>
          </w:p>
        </w:tc>
      </w:tr>
      <w:tr w14:paraId="75952E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vAlign w:val="center"/>
          </w:tcPr>
          <w:p w14:paraId="7AFCAE1B">
            <w:pPr>
              <w:spacing w:line="400" w:lineRule="exact"/>
              <w:rPr>
                <w:rFonts w:ascii="宋体" w:hAnsi="宋体" w:cs="宋体"/>
                <w:color w:val="auto"/>
                <w:szCs w:val="21"/>
                <w:highlight w:val="none"/>
              </w:rPr>
            </w:pPr>
            <w:bookmarkStart w:id="59" w:name="_13.2"/>
            <w:bookmarkEnd w:id="59"/>
          </w:p>
        </w:tc>
        <w:tc>
          <w:tcPr>
            <w:tcW w:w="8708" w:type="dxa"/>
            <w:tcBorders>
              <w:top w:val="single" w:color="auto" w:sz="4" w:space="0"/>
              <w:left w:val="single" w:color="auto" w:sz="4" w:space="0"/>
              <w:bottom w:val="single" w:color="auto" w:sz="4" w:space="0"/>
              <w:right w:val="single" w:color="auto" w:sz="4" w:space="0"/>
            </w:tcBorders>
            <w:vAlign w:val="center"/>
          </w:tcPr>
          <w:p w14:paraId="7E6F7DF8">
            <w:pPr>
              <w:snapToGri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资格证明文件:</w:t>
            </w:r>
          </w:p>
          <w:p w14:paraId="57732699">
            <w:pPr>
              <w:autoSpaceDE w:val="0"/>
              <w:autoSpaceDN w:val="0"/>
              <w:snapToGrid w:val="0"/>
              <w:spacing w:line="400" w:lineRule="exact"/>
              <w:textAlignment w:val="bottom"/>
              <w:rPr>
                <w:rFonts w:ascii="宋体" w:hAnsi="宋体" w:cs="宋体"/>
                <w:b/>
                <w:color w:val="auto"/>
                <w:szCs w:val="21"/>
                <w:highlight w:val="none"/>
              </w:rPr>
            </w:pPr>
            <w:r>
              <w:rPr>
                <w:rFonts w:hint="eastAsia" w:ascii="宋体" w:hAnsi="宋体" w:cs="宋体"/>
                <w:color w:val="auto"/>
                <w:szCs w:val="21"/>
                <w:highlight w:val="none"/>
              </w:rPr>
              <w:t>1、供应商为法人或者其他组织的，证明文件为其营业执照复印件（如营业执照或者事业单位法人证书或者执业许可证等）；供应商为自然人的，证明文件为其身份证复印件；</w:t>
            </w:r>
            <w:r>
              <w:rPr>
                <w:rFonts w:hint="eastAsia" w:ascii="宋体" w:hAnsi="宋体" w:cs="宋体"/>
                <w:b/>
                <w:color w:val="auto"/>
                <w:szCs w:val="21"/>
                <w:highlight w:val="none"/>
              </w:rPr>
              <w:t>（必须提供，否则按无效投标处理）</w:t>
            </w:r>
          </w:p>
          <w:p w14:paraId="76F9DD85">
            <w:pPr>
              <w:autoSpaceDE w:val="0"/>
              <w:autoSpaceDN w:val="0"/>
              <w:snapToGrid w:val="0"/>
              <w:spacing w:line="400" w:lineRule="exact"/>
              <w:textAlignment w:val="bottom"/>
              <w:rPr>
                <w:rFonts w:ascii="宋体" w:hAnsi="宋体" w:cs="宋体"/>
                <w:b/>
                <w:color w:val="auto"/>
                <w:szCs w:val="21"/>
                <w:highlight w:val="none"/>
              </w:rPr>
            </w:pPr>
            <w:r>
              <w:rPr>
                <w:rFonts w:hint="eastAsia" w:ascii="宋体" w:hAnsi="宋体" w:cs="宋体"/>
                <w:color w:val="auto"/>
                <w:szCs w:val="21"/>
                <w:highlight w:val="none"/>
              </w:rPr>
              <w:t>2、投标人依法缴纳税收的相关材料（在投标截标时间前半年内任意连续3个月份或最近一个季度的依法缴纳税收的凭据复印件；依法免税的供应商，必须提供相应文件证明其依法免税。从成立之日起到投标文件提交截止时间止不足要求月数的，只需提供从成立之日起的依法缴纳税收相应证明文件）；</w:t>
            </w:r>
            <w:r>
              <w:rPr>
                <w:rFonts w:hint="eastAsia" w:ascii="宋体" w:hAnsi="宋体" w:cs="宋体"/>
                <w:b/>
                <w:color w:val="auto"/>
                <w:szCs w:val="21"/>
                <w:highlight w:val="none"/>
              </w:rPr>
              <w:t>（必须提供，否则按无效投标处理）</w:t>
            </w:r>
          </w:p>
          <w:p w14:paraId="14024306">
            <w:pPr>
              <w:autoSpaceDE w:val="0"/>
              <w:autoSpaceDN w:val="0"/>
              <w:snapToGrid w:val="0"/>
              <w:spacing w:line="400" w:lineRule="exact"/>
              <w:textAlignment w:val="bottom"/>
              <w:rPr>
                <w:rFonts w:ascii="宋体" w:hAnsi="宋体" w:cs="宋体"/>
                <w:b/>
                <w:color w:val="auto"/>
                <w:szCs w:val="21"/>
                <w:highlight w:val="none"/>
              </w:rPr>
            </w:pPr>
            <w:r>
              <w:rPr>
                <w:rFonts w:hint="eastAsia" w:ascii="宋体" w:hAnsi="宋体" w:cs="宋体"/>
                <w:color w:val="auto"/>
                <w:szCs w:val="21"/>
                <w:highlight w:val="none"/>
              </w:rPr>
              <w:t>3、投标人依法缴纳社会保障资金的相关材料[在投标截标时间前半年内任意连续3个月份或最近一个季度的依法缴纳社会保障资金的缴费凭证（专用收据或者社会保险缴纳清单）复印件；依法不需要缴纳社会保障资金的供应商，必须提供相应文件证明不需要缴纳社会保障资金。从成立之日起到投标文件提交截止时间止不足要求月数的只需提供从成立之日起的依法缴纳社会保障资金的相应证明文件]；</w:t>
            </w:r>
            <w:r>
              <w:rPr>
                <w:rFonts w:hint="eastAsia" w:ascii="宋体" w:hAnsi="宋体" w:cs="宋体"/>
                <w:b/>
                <w:color w:val="auto"/>
                <w:szCs w:val="21"/>
                <w:highlight w:val="none"/>
              </w:rPr>
              <w:t>（必须提供，否则按无效投标处理）</w:t>
            </w:r>
          </w:p>
          <w:p w14:paraId="6D49B0C0">
            <w:pPr>
              <w:autoSpaceDE w:val="0"/>
              <w:autoSpaceDN w:val="0"/>
              <w:snapToGrid w:val="0"/>
              <w:spacing w:line="400" w:lineRule="exact"/>
              <w:textAlignment w:val="bottom"/>
              <w:rPr>
                <w:rFonts w:ascii="宋体" w:hAnsi="宋体" w:cs="宋体"/>
                <w:b/>
                <w:color w:val="auto"/>
                <w:szCs w:val="21"/>
                <w:highlight w:val="none"/>
              </w:rPr>
            </w:pPr>
            <w:r>
              <w:rPr>
                <w:rFonts w:hint="eastAsia" w:ascii="宋体" w:hAnsi="宋体" w:cs="宋体"/>
                <w:color w:val="auto"/>
                <w:szCs w:val="21"/>
                <w:highlight w:val="none"/>
              </w:rPr>
              <w:t>4、投标人202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年度财务报表（账务报表至少包含资产负债表、利润表、现金流量表）复印件（新成立的公司提供公司成立日之后次月起到投标文件递交截止前一个月的财务报表复印件）或投标人属于成立时间在规定年度之后的法人或其他组织，需提供成立之日起至投标截止时间前的月报表或银行出具的资信证明；资信证明应在有效期内，未注明有效期的，银行出具时间至投标截止时间不超过一年）；</w:t>
            </w:r>
            <w:r>
              <w:rPr>
                <w:rFonts w:hint="eastAsia" w:ascii="宋体" w:hAnsi="宋体" w:cs="宋体"/>
                <w:b/>
                <w:color w:val="auto"/>
                <w:szCs w:val="21"/>
                <w:highlight w:val="none"/>
              </w:rPr>
              <w:t>（除自然人外必须提供，否则按无效投标处理）</w:t>
            </w:r>
          </w:p>
          <w:p w14:paraId="51499991">
            <w:pPr>
              <w:autoSpaceDE w:val="0"/>
              <w:autoSpaceDN w:val="0"/>
              <w:snapToGrid w:val="0"/>
              <w:spacing w:line="400" w:lineRule="exact"/>
              <w:textAlignment w:val="bottom"/>
              <w:rPr>
                <w:rFonts w:ascii="宋体" w:hAnsi="宋体" w:cs="宋体"/>
                <w:b/>
                <w:color w:val="auto"/>
                <w:szCs w:val="21"/>
                <w:highlight w:val="none"/>
              </w:rPr>
            </w:pPr>
            <w:r>
              <w:rPr>
                <w:rFonts w:hint="eastAsia" w:ascii="宋体" w:hAnsi="宋体" w:cs="宋体"/>
                <w:color w:val="auto"/>
                <w:szCs w:val="21"/>
                <w:highlight w:val="none"/>
              </w:rPr>
              <w:t>5、投标人直接控股、管理关系信息表（格式后附）；</w:t>
            </w:r>
            <w:r>
              <w:rPr>
                <w:rFonts w:hint="eastAsia" w:ascii="宋体" w:hAnsi="宋体" w:cs="宋体"/>
                <w:b/>
                <w:color w:val="auto"/>
                <w:szCs w:val="21"/>
                <w:highlight w:val="none"/>
              </w:rPr>
              <w:t>（必须提供，否则按无效投标处理）</w:t>
            </w:r>
          </w:p>
          <w:p w14:paraId="4E10C6FA">
            <w:pPr>
              <w:autoSpaceDE w:val="0"/>
              <w:autoSpaceDN w:val="0"/>
              <w:snapToGrid w:val="0"/>
              <w:spacing w:line="400" w:lineRule="exact"/>
              <w:textAlignment w:val="bottom"/>
              <w:rPr>
                <w:rFonts w:ascii="宋体" w:hAnsi="宋体" w:cs="宋体"/>
                <w:b/>
                <w:color w:val="auto"/>
                <w:szCs w:val="21"/>
                <w:highlight w:val="none"/>
              </w:rPr>
            </w:pPr>
            <w:r>
              <w:rPr>
                <w:rFonts w:hint="eastAsia" w:ascii="宋体" w:hAnsi="宋体" w:cs="宋体"/>
                <w:color w:val="auto"/>
                <w:szCs w:val="21"/>
                <w:highlight w:val="none"/>
              </w:rPr>
              <w:t>6、投标声明（格式后附）；</w:t>
            </w:r>
            <w:r>
              <w:rPr>
                <w:rFonts w:hint="eastAsia" w:ascii="宋体" w:hAnsi="宋体" w:cs="宋体"/>
                <w:b/>
                <w:color w:val="auto"/>
                <w:szCs w:val="21"/>
                <w:highlight w:val="none"/>
              </w:rPr>
              <w:t>（必须提供，否则按无效投标处理）</w:t>
            </w:r>
          </w:p>
          <w:p w14:paraId="7C089520">
            <w:pPr>
              <w:autoSpaceDE w:val="0"/>
              <w:autoSpaceDN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eastAsia="宋体" w:cs="宋体"/>
                <w:color w:val="auto"/>
                <w:highlight w:val="none"/>
              </w:rPr>
              <w:t>中小企业声明函或监狱企业由省级以上监狱管理局、戒毒管理局（含新疆生产建设兵团）出具的属于监狱企业的证明文件或残疾人福利性单位声明函（格式后附）</w:t>
            </w:r>
            <w:r>
              <w:rPr>
                <w:rFonts w:hint="eastAsia" w:ascii="宋体" w:hAnsi="宋体" w:cs="宋体"/>
                <w:color w:val="auto"/>
                <w:szCs w:val="21"/>
                <w:highlight w:val="none"/>
              </w:rPr>
              <w:t>；</w:t>
            </w:r>
            <w:r>
              <w:rPr>
                <w:rFonts w:hint="eastAsia" w:ascii="宋体" w:hAnsi="宋体" w:cs="宋体"/>
                <w:b/>
                <w:color w:val="auto"/>
                <w:szCs w:val="21"/>
                <w:highlight w:val="none"/>
              </w:rPr>
              <w:t>（必须提供，否则按无效投标处理）</w:t>
            </w:r>
          </w:p>
          <w:p w14:paraId="60E6BDCF">
            <w:pPr>
              <w:autoSpaceDE w:val="0"/>
              <w:autoSpaceDN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、本项目的特定资格</w:t>
            </w:r>
            <w:r>
              <w:rPr>
                <w:rFonts w:hint="eastAsia" w:ascii="宋体" w:hAnsi="宋体" w:cs="Times New Roman"/>
                <w:color w:val="auto"/>
                <w:szCs w:val="21"/>
                <w:highlight w:val="none"/>
              </w:rPr>
              <w:t>要求：①</w:t>
            </w:r>
            <w:r>
              <w:rPr>
                <w:rFonts w:hint="eastAsia" w:ascii="宋体" w:hAnsi="宋体"/>
                <w:color w:val="auto"/>
                <w:szCs w:val="21"/>
                <w:highlight w:val="none"/>
              </w:rPr>
              <w:t>投标人如为生产企业，且所投分标中药饮片采购清单均为本企业生产的，提供有效期内的《药品生产许可证》；若所投分标中药饮片采购清单含非本企业生产的品种，须同时提供有效期内的《药品经营许可证》；</w:t>
            </w:r>
            <w:r>
              <w:rPr>
                <w:rFonts w:hint="eastAsia" w:ascii="宋体" w:hAnsi="宋体" w:cs="Times New Roman"/>
                <w:color w:val="auto"/>
                <w:szCs w:val="21"/>
                <w:highlight w:val="none"/>
              </w:rPr>
              <w:t>②</w:t>
            </w:r>
            <w:r>
              <w:rPr>
                <w:rFonts w:hint="eastAsia" w:ascii="宋体" w:hAnsi="宋体"/>
                <w:color w:val="auto"/>
                <w:szCs w:val="21"/>
                <w:highlight w:val="none"/>
              </w:rPr>
              <w:t>投标人如为经营企业，须提供有效期内的《药品经营许可证》</w:t>
            </w:r>
            <w:r>
              <w:rPr>
                <w:rFonts w:hint="eastAsia" w:ascii="宋体" w:hAnsi="宋体" w:cs="宋体"/>
                <w:color w:val="auto"/>
                <w:szCs w:val="21"/>
                <w:highlight w:val="none"/>
              </w:rPr>
              <w:t>；</w:t>
            </w:r>
            <w:r>
              <w:rPr>
                <w:rFonts w:hint="eastAsia" w:ascii="宋体" w:hAnsi="宋体" w:cs="宋体"/>
                <w:b/>
                <w:color w:val="auto"/>
                <w:szCs w:val="21"/>
                <w:highlight w:val="none"/>
              </w:rPr>
              <w:t>（必须提供，否则按无效投标处理）</w:t>
            </w:r>
          </w:p>
          <w:p w14:paraId="27CCE5EE">
            <w:pPr>
              <w:autoSpaceDE w:val="0"/>
              <w:autoSpaceDN w:val="0"/>
              <w:snapToGrid w:val="0"/>
              <w:spacing w:line="400" w:lineRule="exact"/>
              <w:textAlignment w:val="bottom"/>
              <w:rPr>
                <w:rFonts w:ascii="宋体" w:hAnsi="宋体" w:cs="宋体"/>
                <w:b/>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、联合体协议书（格式后附）；</w:t>
            </w:r>
            <w:r>
              <w:rPr>
                <w:rFonts w:hint="eastAsia" w:ascii="宋体" w:hAnsi="宋体" w:cs="宋体"/>
                <w:b/>
                <w:color w:val="auto"/>
                <w:szCs w:val="21"/>
                <w:highlight w:val="none"/>
              </w:rPr>
              <w:t>（联合体投标时必须提供，否则按无效投标处理）</w:t>
            </w:r>
          </w:p>
          <w:p w14:paraId="6929730B">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、除招标文件规定必须提供以外，投标人认为需要提供的其他证明材料。</w:t>
            </w:r>
          </w:p>
          <w:p w14:paraId="3C7AEF83">
            <w:pPr>
              <w:snapToGrid w:val="0"/>
              <w:spacing w:line="4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注：</w:t>
            </w:r>
          </w:p>
          <w:p w14:paraId="7DA81C77">
            <w:pPr>
              <w:snapToGrid w:val="0"/>
              <w:spacing w:line="400" w:lineRule="exact"/>
              <w:ind w:firstLine="422" w:firstLineChars="200"/>
              <w:jc w:val="left"/>
              <w:rPr>
                <w:rFonts w:ascii="宋体" w:hAnsi="宋体" w:cs="宋体"/>
                <w:b/>
                <w:color w:val="auto"/>
                <w:szCs w:val="21"/>
                <w:highlight w:val="none"/>
              </w:rPr>
            </w:pPr>
            <w:r>
              <w:rPr>
                <w:rFonts w:hint="eastAsia" w:ascii="宋体" w:hAnsi="宋体" w:cs="宋体"/>
                <w:b/>
                <w:bCs/>
                <w:color w:val="auto"/>
                <w:szCs w:val="21"/>
                <w:highlight w:val="none"/>
              </w:rPr>
              <w:t>1、以上标明“必须提供”的材料属于复印件的，必须加盖投标人公章，否则按无效投标</w:t>
            </w:r>
            <w:r>
              <w:rPr>
                <w:rFonts w:hint="eastAsia" w:ascii="宋体" w:hAnsi="宋体" w:cs="宋体"/>
                <w:b/>
                <w:color w:val="auto"/>
                <w:szCs w:val="21"/>
                <w:highlight w:val="none"/>
              </w:rPr>
              <w:t>处理。</w:t>
            </w:r>
          </w:p>
          <w:p w14:paraId="2D39441F">
            <w:pPr>
              <w:snapToGrid w:val="0"/>
              <w:spacing w:line="400" w:lineRule="exact"/>
              <w:ind w:firstLine="422" w:firstLineChars="200"/>
              <w:jc w:val="left"/>
              <w:rPr>
                <w:rFonts w:ascii="宋体" w:hAnsi="宋体" w:cs="宋体"/>
                <w:b/>
                <w:bCs/>
                <w:color w:val="auto"/>
                <w:szCs w:val="21"/>
                <w:highlight w:val="none"/>
              </w:rPr>
            </w:pPr>
            <w:r>
              <w:rPr>
                <w:rFonts w:hint="eastAsia" w:ascii="宋体" w:hAnsi="宋体" w:cs="宋体"/>
                <w:b/>
                <w:color w:val="auto"/>
                <w:szCs w:val="21"/>
                <w:highlight w:val="none"/>
              </w:rPr>
              <w:t>2、</w:t>
            </w:r>
            <w:r>
              <w:rPr>
                <w:rFonts w:hint="eastAsia" w:ascii="宋体" w:hAnsi="宋体" w:cs="宋体"/>
                <w:b/>
                <w:bCs/>
                <w:color w:val="auto"/>
                <w:szCs w:val="21"/>
                <w:highlight w:val="none"/>
              </w:rPr>
              <w:t>投标声明必须由法定代表人在规定签章处签字并加盖投标人公章，否则按无效投标处理。</w:t>
            </w:r>
          </w:p>
          <w:p w14:paraId="305CC603">
            <w:pPr>
              <w:snapToGrid w:val="0"/>
              <w:spacing w:line="4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3、投标人直接控股、管理关系信息表必须由法定代表人或者委托代理人在规定签章处签字并加盖投标人公章，否则按无效投标</w:t>
            </w:r>
            <w:r>
              <w:rPr>
                <w:rFonts w:hint="eastAsia" w:ascii="宋体" w:hAnsi="宋体" w:cs="宋体"/>
                <w:b/>
                <w:color w:val="auto"/>
                <w:szCs w:val="21"/>
                <w:highlight w:val="none"/>
              </w:rPr>
              <w:t>处理</w:t>
            </w:r>
            <w:r>
              <w:rPr>
                <w:rFonts w:hint="eastAsia" w:ascii="宋体" w:hAnsi="宋体" w:cs="宋体"/>
                <w:b/>
                <w:bCs/>
                <w:color w:val="auto"/>
                <w:szCs w:val="21"/>
                <w:highlight w:val="none"/>
              </w:rPr>
              <w:t>。</w:t>
            </w:r>
          </w:p>
          <w:p w14:paraId="797278CD">
            <w:pPr>
              <w:snapToGrid w:val="0"/>
              <w:spacing w:line="4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4、联合体投标时，第1-5项资格证明文件联合体各方均必须分别提供，联合体各方分别盖章和签字，否则按无效投标</w:t>
            </w:r>
            <w:r>
              <w:rPr>
                <w:rFonts w:hint="eastAsia" w:ascii="宋体" w:hAnsi="宋体" w:cs="宋体"/>
                <w:b/>
                <w:color w:val="auto"/>
                <w:szCs w:val="21"/>
                <w:highlight w:val="none"/>
              </w:rPr>
              <w:t>处理</w:t>
            </w:r>
            <w:r>
              <w:rPr>
                <w:rFonts w:hint="eastAsia" w:ascii="宋体" w:hAnsi="宋体" w:cs="宋体"/>
                <w:b/>
                <w:bCs/>
                <w:color w:val="auto"/>
                <w:szCs w:val="21"/>
                <w:highlight w:val="none"/>
              </w:rPr>
              <w:t>。</w:t>
            </w:r>
          </w:p>
          <w:p w14:paraId="63E67BDC">
            <w:pPr>
              <w:snapToGrid w:val="0"/>
              <w:spacing w:line="4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5、分公司参加投标的，应当取得总公司授权，否则按无效投标</w:t>
            </w:r>
            <w:r>
              <w:rPr>
                <w:rFonts w:hint="eastAsia" w:ascii="宋体" w:hAnsi="宋体" w:cs="宋体"/>
                <w:b/>
                <w:color w:val="auto"/>
                <w:szCs w:val="21"/>
                <w:highlight w:val="none"/>
              </w:rPr>
              <w:t>处理</w:t>
            </w:r>
            <w:r>
              <w:rPr>
                <w:rFonts w:hint="eastAsia" w:ascii="宋体" w:hAnsi="宋体" w:cs="宋体"/>
                <w:b/>
                <w:bCs/>
                <w:color w:val="auto"/>
                <w:szCs w:val="21"/>
                <w:highlight w:val="none"/>
              </w:rPr>
              <w:t>。</w:t>
            </w:r>
          </w:p>
        </w:tc>
      </w:tr>
      <w:tr w14:paraId="54EB56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vAlign w:val="center"/>
          </w:tcPr>
          <w:p w14:paraId="7569DA5E">
            <w:pPr>
              <w:spacing w:line="400" w:lineRule="exact"/>
              <w:rPr>
                <w:rFonts w:ascii="宋体" w:hAnsi="宋体" w:cs="宋体"/>
                <w:color w:val="auto"/>
                <w:szCs w:val="21"/>
                <w:highlight w:val="none"/>
              </w:rPr>
            </w:pPr>
            <w:bookmarkStart w:id="60" w:name="_13.3"/>
            <w:bookmarkEnd w:id="60"/>
          </w:p>
        </w:tc>
        <w:tc>
          <w:tcPr>
            <w:tcW w:w="8708" w:type="dxa"/>
            <w:tcBorders>
              <w:top w:val="single" w:color="auto" w:sz="4" w:space="0"/>
              <w:left w:val="single" w:color="auto" w:sz="4" w:space="0"/>
              <w:bottom w:val="single" w:color="auto" w:sz="4" w:space="0"/>
              <w:right w:val="single" w:color="auto" w:sz="4" w:space="0"/>
            </w:tcBorders>
            <w:vAlign w:val="center"/>
          </w:tcPr>
          <w:p w14:paraId="0C1558A5">
            <w:pPr>
              <w:snapToGri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商务文件：</w:t>
            </w:r>
          </w:p>
          <w:p w14:paraId="46B7C024">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1、无串通投标行为的承诺函（格式后附）；（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05F4DFE0">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2、投标保证金提交凭证；（</w:t>
            </w:r>
            <w:r>
              <w:rPr>
                <w:rFonts w:hint="eastAsia" w:ascii="宋体" w:hAnsi="宋体" w:cs="宋体"/>
                <w:color w:val="auto"/>
                <w:szCs w:val="21"/>
                <w:highlight w:val="none"/>
                <w:lang w:val="en-US" w:eastAsia="zh-CN"/>
              </w:rPr>
              <w:t>如有要求</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510A2194">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3、法定代表人身份证明及法定代表人有效身份证正反面复印件（格式后附）；（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52B2DDB9">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4、授权委托书及委托代理人有效身份证正反面复印件（格式后附）；（</w:t>
            </w:r>
            <w:r>
              <w:rPr>
                <w:rFonts w:hint="eastAsia" w:ascii="宋体" w:hAnsi="宋体" w:cs="宋体"/>
                <w:b/>
                <w:color w:val="auto"/>
                <w:szCs w:val="21"/>
                <w:highlight w:val="none"/>
              </w:rPr>
              <w:t>委托时必须提供，否则按无效投标处理</w:t>
            </w:r>
            <w:r>
              <w:rPr>
                <w:rFonts w:hint="eastAsia" w:ascii="宋体" w:hAnsi="宋体" w:cs="宋体"/>
                <w:color w:val="auto"/>
                <w:szCs w:val="21"/>
                <w:highlight w:val="none"/>
              </w:rPr>
              <w:t>）</w:t>
            </w:r>
          </w:p>
          <w:p w14:paraId="03179C83">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5、商务要求偏离表（格式后附）；（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349AA246">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6、售后服务承诺（格式自拟）；（</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06ED25C5">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7、投标人情况介绍（格式自拟）；</w:t>
            </w:r>
          </w:p>
          <w:p w14:paraId="6ED90802">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8、联合体协议书（格式后附）；（</w:t>
            </w:r>
            <w:r>
              <w:rPr>
                <w:rFonts w:hint="eastAsia" w:ascii="宋体" w:hAnsi="宋体" w:cs="宋体"/>
                <w:b/>
                <w:color w:val="auto"/>
                <w:szCs w:val="21"/>
                <w:highlight w:val="none"/>
              </w:rPr>
              <w:t>联合体投标时必须提供，否则按无效投标处理</w:t>
            </w:r>
            <w:r>
              <w:rPr>
                <w:rFonts w:hint="eastAsia" w:ascii="宋体" w:hAnsi="宋体" w:cs="宋体"/>
                <w:color w:val="auto"/>
                <w:szCs w:val="21"/>
                <w:highlight w:val="none"/>
              </w:rPr>
              <w:t>）</w:t>
            </w:r>
          </w:p>
          <w:p w14:paraId="273532F9">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9、除招标文件规定必须提供以外，投标人认为需要提供的其他证明材料（格式自拟）。（投标人根据“第二章 采购需求”及“第四章 评标方法及评标标准”提供有关证明材料）。</w:t>
            </w:r>
          </w:p>
          <w:p w14:paraId="708EDBC3">
            <w:pPr>
              <w:snapToGrid w:val="0"/>
              <w:spacing w:line="400" w:lineRule="exact"/>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注：以上标明“必须提供”的材料属于复印件的，必须加盖投标人公章，否则按无效投标</w:t>
            </w:r>
            <w:r>
              <w:rPr>
                <w:rFonts w:hint="eastAsia" w:ascii="宋体" w:hAnsi="宋体" w:cs="宋体"/>
                <w:b/>
                <w:color w:val="auto"/>
                <w:szCs w:val="21"/>
                <w:highlight w:val="none"/>
              </w:rPr>
              <w:t>处理</w:t>
            </w:r>
            <w:r>
              <w:rPr>
                <w:rFonts w:hint="eastAsia" w:ascii="宋体" w:hAnsi="宋体" w:cs="宋体"/>
                <w:b/>
                <w:bCs/>
                <w:color w:val="auto"/>
                <w:szCs w:val="21"/>
                <w:highlight w:val="none"/>
              </w:rPr>
              <w:t>。</w:t>
            </w:r>
          </w:p>
        </w:tc>
      </w:tr>
      <w:tr w14:paraId="0035AB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bottom w:val="single" w:color="auto" w:sz="4" w:space="0"/>
              <w:right w:val="single" w:color="auto" w:sz="4" w:space="0"/>
            </w:tcBorders>
            <w:vAlign w:val="center"/>
          </w:tcPr>
          <w:p w14:paraId="551F6801">
            <w:pPr>
              <w:spacing w:line="400" w:lineRule="exact"/>
              <w:rPr>
                <w:rFonts w:ascii="宋体" w:hAnsi="宋体" w:cs="宋体"/>
                <w:color w:val="auto"/>
                <w:szCs w:val="21"/>
                <w:highlight w:val="none"/>
              </w:rPr>
            </w:pPr>
            <w:bookmarkStart w:id="61" w:name="_13.4"/>
            <w:bookmarkEnd w:id="61"/>
          </w:p>
        </w:tc>
        <w:tc>
          <w:tcPr>
            <w:tcW w:w="8708" w:type="dxa"/>
            <w:tcBorders>
              <w:top w:val="single" w:color="auto" w:sz="4" w:space="0"/>
              <w:left w:val="single" w:color="auto" w:sz="4" w:space="0"/>
              <w:bottom w:val="single" w:color="auto" w:sz="4" w:space="0"/>
              <w:right w:val="single" w:color="auto" w:sz="4" w:space="0"/>
            </w:tcBorders>
            <w:vAlign w:val="center"/>
          </w:tcPr>
          <w:p w14:paraId="02B9DBF5">
            <w:pPr>
              <w:snapToGrid w:val="0"/>
              <w:spacing w:line="400" w:lineRule="exact"/>
              <w:jc w:val="left"/>
              <w:rPr>
                <w:rFonts w:ascii="宋体" w:hAnsi="宋体" w:cs="宋体"/>
                <w:b/>
                <w:color w:val="auto"/>
                <w:szCs w:val="21"/>
                <w:highlight w:val="none"/>
              </w:rPr>
            </w:pPr>
            <w:r>
              <w:rPr>
                <w:rFonts w:hint="eastAsia" w:ascii="宋体" w:hAnsi="宋体" w:cs="宋体"/>
                <w:b/>
                <w:color w:val="auto"/>
                <w:szCs w:val="21"/>
                <w:highlight w:val="none"/>
              </w:rPr>
              <w:t>技术文件：</w:t>
            </w:r>
          </w:p>
          <w:p w14:paraId="17D7238F">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1、设备性能配置清单（格式后附）；</w:t>
            </w:r>
          </w:p>
          <w:p w14:paraId="76E51E4E">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2、技术要求偏离表（格式后附）；（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7B57EB6B">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3、</w:t>
            </w:r>
            <w:r>
              <w:rPr>
                <w:rFonts w:hint="eastAsia" w:asciiTheme="minorEastAsia" w:hAnsiTheme="minorEastAsia" w:eastAsiaTheme="minorEastAsia" w:cstheme="minorEastAsia"/>
                <w:color w:val="auto"/>
                <w:szCs w:val="21"/>
                <w:highlight w:val="none"/>
                <w:lang w:val="en-US" w:eastAsia="zh-CN"/>
              </w:rPr>
              <w:t>项目实施方案</w:t>
            </w:r>
            <w:r>
              <w:rPr>
                <w:rFonts w:hint="eastAsia" w:asciiTheme="minorEastAsia" w:hAnsiTheme="minorEastAsia" w:eastAsiaTheme="minorEastAsia" w:cstheme="minorEastAsia"/>
                <w:color w:val="auto"/>
                <w:szCs w:val="21"/>
                <w:highlight w:val="none"/>
              </w:rPr>
              <w:t>（根据评标办法的评分项自行编制，</w:t>
            </w:r>
            <w:r>
              <w:rPr>
                <w:rFonts w:hint="eastAsia" w:asciiTheme="minorEastAsia" w:hAnsiTheme="minorEastAsia" w:eastAsiaTheme="minorEastAsia" w:cstheme="minorEastAsia"/>
                <w:color w:val="auto"/>
                <w:szCs w:val="21"/>
                <w:highlight w:val="none"/>
                <w:lang w:val="en-US" w:eastAsia="zh-CN"/>
              </w:rPr>
              <w:t>包括但不限于：</w:t>
            </w:r>
            <w:r>
              <w:rPr>
                <w:rFonts w:hint="eastAsia" w:ascii="宋体" w:hAnsi="宋体"/>
                <w:color w:val="auto"/>
                <w:szCs w:val="21"/>
                <w:highlight w:val="none"/>
              </w:rPr>
              <w:t>质量控制方案</w:t>
            </w:r>
            <w:r>
              <w:rPr>
                <w:rFonts w:hint="eastAsia" w:asciiTheme="minorEastAsia" w:hAnsiTheme="minorEastAsia" w:eastAsiaTheme="minorEastAsia" w:cstheme="minorEastAsia"/>
                <w:color w:val="auto"/>
                <w:szCs w:val="21"/>
                <w:highlight w:val="none"/>
                <w:lang w:val="en-US" w:eastAsia="zh-CN"/>
              </w:rPr>
              <w:t>、</w:t>
            </w:r>
            <w:r>
              <w:rPr>
                <w:rFonts w:hint="eastAsia" w:ascii="宋体" w:hAnsi="宋体"/>
                <w:color w:val="auto"/>
                <w:szCs w:val="21"/>
                <w:highlight w:val="none"/>
              </w:rPr>
              <w:t>服务保障方案</w:t>
            </w:r>
            <w:r>
              <w:rPr>
                <w:rFonts w:hint="eastAsia" w:asciiTheme="minorEastAsia" w:hAnsiTheme="minorEastAsia" w:eastAsiaTheme="minorEastAsia" w:cstheme="minorEastAsia"/>
                <w:color w:val="auto"/>
                <w:szCs w:val="21"/>
                <w:highlight w:val="none"/>
                <w:lang w:val="en-US" w:eastAsia="zh-CN"/>
              </w:rPr>
              <w:t>、售后服务方案，</w:t>
            </w:r>
            <w:r>
              <w:rPr>
                <w:rFonts w:hint="eastAsia" w:asciiTheme="minorEastAsia" w:hAnsiTheme="minorEastAsia" w:eastAsiaTheme="minorEastAsia" w:cstheme="minorEastAsia"/>
                <w:color w:val="auto"/>
                <w:szCs w:val="21"/>
                <w:highlight w:val="none"/>
              </w:rPr>
              <w:t>格式自拟）</w:t>
            </w:r>
            <w:r>
              <w:rPr>
                <w:rFonts w:hint="eastAsia" w:ascii="宋体" w:hAnsi="宋体" w:cs="宋体"/>
                <w:color w:val="auto"/>
                <w:szCs w:val="21"/>
                <w:highlight w:val="none"/>
              </w:rPr>
              <w:t>；</w:t>
            </w:r>
          </w:p>
          <w:p w14:paraId="2B9EAB21">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4、项目实施人员一览表（格式后附）；</w:t>
            </w:r>
          </w:p>
          <w:p w14:paraId="27292296">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5、突发事件应急方案；</w:t>
            </w:r>
          </w:p>
          <w:p w14:paraId="5885BCA4">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6、产品出厂标准、质量检测报告（</w:t>
            </w:r>
            <w:r>
              <w:rPr>
                <w:rFonts w:hint="eastAsia" w:ascii="宋体" w:hAnsi="宋体" w:cs="宋体"/>
                <w:color w:val="auto"/>
                <w:highlight w:val="none"/>
              </w:rPr>
              <w:t>国家认可的有资质的第三方检测机构出具的检测报告复印件</w:t>
            </w:r>
            <w:r>
              <w:rPr>
                <w:rFonts w:hint="eastAsia" w:ascii="宋体" w:hAnsi="宋体" w:cs="宋体"/>
                <w:color w:val="auto"/>
                <w:szCs w:val="21"/>
                <w:highlight w:val="none"/>
              </w:rPr>
              <w:t>或者由采购人在投标前组织的实测获得）；（</w:t>
            </w:r>
            <w:r>
              <w:rPr>
                <w:rFonts w:hint="eastAsia" w:ascii="宋体" w:hAnsi="宋体" w:cs="宋体"/>
                <w:b/>
                <w:color w:val="auto"/>
                <w:szCs w:val="21"/>
                <w:highlight w:val="none"/>
              </w:rPr>
              <w:t>采购需求中要求必须提供时必须提供，否则按无效投标处理</w:t>
            </w:r>
            <w:r>
              <w:rPr>
                <w:rFonts w:hint="eastAsia" w:ascii="宋体" w:hAnsi="宋体" w:cs="宋体"/>
                <w:color w:val="auto"/>
                <w:szCs w:val="21"/>
                <w:highlight w:val="none"/>
              </w:rPr>
              <w:t>）</w:t>
            </w:r>
          </w:p>
          <w:p w14:paraId="4F7EEC8D">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7、优惠条件：投标人承诺给予招标人的各种优惠条件，包括售后服务、备品备件、专用耗材等方面的优惠；投标人不得给予赠品或者与采购无关的其他商品、服务；</w:t>
            </w:r>
          </w:p>
          <w:p w14:paraId="24BC206B">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8、投标人对本项目的合理化建议和改进措施（格式自拟）；</w:t>
            </w:r>
          </w:p>
          <w:p w14:paraId="41DE0E69">
            <w:pPr>
              <w:snapToGrid w:val="0"/>
              <w:spacing w:line="400" w:lineRule="exact"/>
              <w:jc w:val="left"/>
              <w:rPr>
                <w:rFonts w:ascii="宋体" w:hAnsi="宋体" w:cs="宋体"/>
                <w:bCs/>
                <w:color w:val="auto"/>
                <w:szCs w:val="21"/>
                <w:highlight w:val="none"/>
              </w:rPr>
            </w:pPr>
            <w:r>
              <w:rPr>
                <w:rFonts w:hint="eastAsia" w:ascii="宋体" w:hAnsi="宋体" w:cs="宋体"/>
                <w:color w:val="auto"/>
                <w:szCs w:val="21"/>
                <w:highlight w:val="none"/>
              </w:rPr>
              <w:t>9、除招标文件规定必须提供以外，投标人需要说明的其他文件和说明（格式自拟）。</w:t>
            </w:r>
          </w:p>
          <w:p w14:paraId="345AC762">
            <w:pPr>
              <w:snapToGrid w:val="0"/>
              <w:spacing w:line="4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注：以上标明“必须提供”的材料属于复印件的，必须加盖投标人公章，否则按无效投标</w:t>
            </w:r>
            <w:r>
              <w:rPr>
                <w:rFonts w:hint="eastAsia" w:ascii="宋体" w:hAnsi="宋体" w:cs="宋体"/>
                <w:b/>
                <w:color w:val="auto"/>
                <w:szCs w:val="21"/>
                <w:highlight w:val="none"/>
              </w:rPr>
              <w:t>处理</w:t>
            </w:r>
            <w:r>
              <w:rPr>
                <w:rFonts w:hint="eastAsia" w:ascii="宋体" w:hAnsi="宋体" w:cs="宋体"/>
                <w:b/>
                <w:bCs/>
                <w:color w:val="auto"/>
                <w:szCs w:val="21"/>
                <w:highlight w:val="none"/>
              </w:rPr>
              <w:t>。</w:t>
            </w:r>
          </w:p>
        </w:tc>
      </w:tr>
      <w:tr w14:paraId="694EFE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CBD3651">
            <w:pPr>
              <w:spacing w:line="400" w:lineRule="exact"/>
              <w:jc w:val="center"/>
              <w:rPr>
                <w:rFonts w:ascii="宋体" w:hAnsi="宋体" w:cs="宋体"/>
                <w:color w:val="auto"/>
                <w:szCs w:val="21"/>
                <w:highlight w:val="none"/>
              </w:rPr>
            </w:pPr>
            <w:bookmarkStart w:id="62" w:name="_13.5"/>
            <w:bookmarkEnd w:id="62"/>
            <w:bookmarkStart w:id="63" w:name="_16.2"/>
            <w:bookmarkEnd w:id="63"/>
            <w:r>
              <w:rPr>
                <w:rFonts w:hint="eastAsia" w:ascii="宋体" w:hAnsi="宋体" w:cs="宋体"/>
                <w:color w:val="auto"/>
                <w:szCs w:val="21"/>
                <w:highlight w:val="none"/>
              </w:rPr>
              <w:t>16</w:t>
            </w:r>
            <w:bookmarkStart w:id="64" w:name="_Hlt19693758"/>
            <w:bookmarkStart w:id="65" w:name="_Hlt19693759"/>
            <w:bookmarkStart w:id="66" w:name="_Hlt19194067"/>
            <w:bookmarkStart w:id="67" w:name="_Hlt19194066"/>
            <w:r>
              <w:rPr>
                <w:rFonts w:hint="eastAsia" w:ascii="宋体" w:hAnsi="宋体" w:cs="宋体"/>
                <w:color w:val="auto"/>
                <w:szCs w:val="21"/>
                <w:highlight w:val="none"/>
              </w:rPr>
              <w:t>.</w:t>
            </w:r>
            <w:bookmarkEnd w:id="64"/>
            <w:bookmarkEnd w:id="65"/>
            <w:bookmarkEnd w:id="66"/>
            <w:bookmarkEnd w:id="67"/>
            <w:r>
              <w:rPr>
                <w:rFonts w:hint="eastAsia" w:ascii="宋体" w:hAnsi="宋体" w:cs="宋体"/>
                <w:color w:val="auto"/>
                <w:szCs w:val="21"/>
                <w:highlight w:val="none"/>
              </w:rPr>
              <w:t>2</w:t>
            </w:r>
          </w:p>
        </w:tc>
        <w:tc>
          <w:tcPr>
            <w:tcW w:w="8708" w:type="dxa"/>
            <w:tcBorders>
              <w:top w:val="single" w:color="auto" w:sz="4" w:space="0"/>
              <w:left w:val="single" w:color="auto" w:sz="4" w:space="0"/>
              <w:bottom w:val="single" w:color="auto" w:sz="4" w:space="0"/>
              <w:right w:val="single" w:color="auto" w:sz="4" w:space="0"/>
            </w:tcBorders>
            <w:vAlign w:val="center"/>
          </w:tcPr>
          <w:p w14:paraId="76FE8D17">
            <w:pPr>
              <w:snapToGrid w:val="0"/>
              <w:spacing w:line="400" w:lineRule="exact"/>
              <w:rPr>
                <w:rFonts w:ascii="宋体" w:hAnsi="宋体" w:cs="宋体"/>
                <w:b/>
                <w:color w:val="auto"/>
                <w:szCs w:val="21"/>
                <w:highlight w:val="none"/>
              </w:rPr>
            </w:pPr>
            <w:r>
              <w:rPr>
                <w:rFonts w:hint="eastAsia" w:ascii="宋体" w:hAnsi="宋体" w:cs="宋体"/>
                <w:color w:val="auto"/>
                <w:szCs w:val="21"/>
                <w:highlight w:val="none"/>
              </w:rPr>
              <w:t>投标报价是履行合同的最终价格，包括投标货物（包括备品备件、专用工具等）的价格（包括已在中国境内的进口货物完税后的仓库交货价、展室交货价或者货架交货价），投标货物运输（含保险）、安装（如有）、调试、检验、技术服务、培训和招标文件要求提供的所有伴随服务、工程等费用和税费。（采购需求另有约定的，从其约定。）</w:t>
            </w:r>
          </w:p>
        </w:tc>
      </w:tr>
      <w:tr w14:paraId="06DC2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D995469">
            <w:pPr>
              <w:spacing w:line="400" w:lineRule="exact"/>
              <w:jc w:val="center"/>
              <w:rPr>
                <w:rFonts w:ascii="宋体" w:hAnsi="宋体" w:cs="宋体"/>
                <w:color w:val="auto"/>
                <w:szCs w:val="21"/>
                <w:highlight w:val="none"/>
              </w:rPr>
            </w:pPr>
            <w:bookmarkStart w:id="68" w:name="_17.1"/>
            <w:bookmarkEnd w:id="68"/>
            <w:r>
              <w:rPr>
                <w:rFonts w:hint="eastAsia" w:ascii="宋体" w:hAnsi="宋体" w:cs="宋体"/>
                <w:color w:val="auto"/>
                <w:szCs w:val="21"/>
                <w:highlight w:val="none"/>
              </w:rPr>
              <w:t>17.2</w:t>
            </w:r>
          </w:p>
        </w:tc>
        <w:tc>
          <w:tcPr>
            <w:tcW w:w="8708" w:type="dxa"/>
            <w:tcBorders>
              <w:top w:val="single" w:color="auto" w:sz="4" w:space="0"/>
              <w:left w:val="single" w:color="auto" w:sz="4" w:space="0"/>
              <w:bottom w:val="single" w:color="auto" w:sz="4" w:space="0"/>
              <w:right w:val="single" w:color="auto" w:sz="4" w:space="0"/>
            </w:tcBorders>
            <w:vAlign w:val="center"/>
          </w:tcPr>
          <w:p w14:paraId="077DC661">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投标有效期：投标截止之日起60天内。</w:t>
            </w:r>
          </w:p>
        </w:tc>
      </w:tr>
      <w:tr w14:paraId="5017E4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E2FD745">
            <w:pPr>
              <w:spacing w:line="400" w:lineRule="exact"/>
              <w:jc w:val="center"/>
              <w:rPr>
                <w:rFonts w:ascii="宋体" w:hAnsi="宋体" w:cs="宋体"/>
                <w:color w:val="auto"/>
                <w:szCs w:val="21"/>
                <w:highlight w:val="none"/>
              </w:rPr>
            </w:pPr>
            <w:bookmarkStart w:id="69" w:name="_18"/>
            <w:bookmarkEnd w:id="69"/>
            <w:r>
              <w:rPr>
                <w:rFonts w:hint="eastAsia" w:ascii="宋体" w:hAnsi="宋体" w:cs="宋体"/>
                <w:color w:val="auto"/>
                <w:szCs w:val="21"/>
                <w:highlight w:val="none"/>
              </w:rPr>
              <w:t>18.1</w:t>
            </w:r>
          </w:p>
        </w:tc>
        <w:tc>
          <w:tcPr>
            <w:tcW w:w="8708" w:type="dxa"/>
            <w:tcBorders>
              <w:top w:val="single" w:color="auto" w:sz="4" w:space="0"/>
              <w:left w:val="single" w:color="auto" w:sz="4" w:space="0"/>
              <w:bottom w:val="single" w:color="auto" w:sz="4" w:space="0"/>
              <w:right w:val="single" w:color="auto" w:sz="4" w:space="0"/>
            </w:tcBorders>
            <w:vAlign w:val="center"/>
          </w:tcPr>
          <w:p w14:paraId="6928E58C">
            <w:pPr>
              <w:autoSpaceDE w:val="0"/>
              <w:autoSpaceDN w:val="0"/>
              <w:snapToGrid w:val="0"/>
              <w:spacing w:line="360" w:lineRule="exact"/>
              <w:textAlignment w:val="bottom"/>
              <w:rPr>
                <w:rFonts w:ascii="宋体" w:hAnsi="宋体" w:cs="宋体"/>
                <w:bCs/>
                <w:color w:val="auto"/>
                <w:szCs w:val="21"/>
                <w:highlight w:val="none"/>
              </w:rPr>
            </w:pPr>
            <w:r>
              <w:rPr>
                <w:rFonts w:ascii="宋体" w:hAnsi="宋体" w:cs="宋体"/>
                <w:color w:val="auto"/>
                <w:kern w:val="0"/>
                <w:sz w:val="24"/>
                <w:highlight w:val="none"/>
              </w:rPr>
              <w:drawing>
                <wp:inline distT="0" distB="0" distL="114300" distR="114300">
                  <wp:extent cx="133350" cy="118745"/>
                  <wp:effectExtent l="0" t="0" r="3810" b="3175"/>
                  <wp:docPr id="7"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IMG_256"/>
                          <pic:cNvPicPr>
                            <a:picLocks noChangeAspect="1"/>
                          </pic:cNvPicPr>
                        </pic:nvPicPr>
                        <pic:blipFill>
                          <a:blip r:embed="rId13"/>
                          <a:stretch>
                            <a:fillRect/>
                          </a:stretch>
                        </pic:blipFill>
                        <pic:spPr>
                          <a:xfrm>
                            <a:off x="0" y="0"/>
                            <a:ext cx="133350" cy="118745"/>
                          </a:xfrm>
                          <a:prstGeom prst="rect">
                            <a:avLst/>
                          </a:prstGeom>
                          <a:noFill/>
                          <a:ln>
                            <a:noFill/>
                          </a:ln>
                        </pic:spPr>
                      </pic:pic>
                    </a:graphicData>
                  </a:graphic>
                </wp:inline>
              </w:drawing>
            </w:r>
            <w:r>
              <w:rPr>
                <w:rFonts w:hint="eastAsia" w:ascii="宋体" w:hAnsi="宋体" w:cs="宋体"/>
                <w:b/>
                <w:bCs w:val="0"/>
                <w:color w:val="auto"/>
                <w:szCs w:val="21"/>
                <w:highlight w:val="none"/>
              </w:rPr>
              <w:t>1、本项目不收取投标保证金。</w:t>
            </w:r>
          </w:p>
          <w:p w14:paraId="5FF2F898">
            <w:pPr>
              <w:autoSpaceDE w:val="0"/>
              <w:autoSpaceDN w:val="0"/>
              <w:snapToGrid w:val="0"/>
              <w:spacing w:line="360" w:lineRule="exact"/>
              <w:textAlignment w:val="bottom"/>
              <w:rPr>
                <w:rFonts w:ascii="宋体" w:hAnsi="宋体" w:cs="宋体"/>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b/>
                <w:bCs/>
                <w:color w:val="auto"/>
                <w:kern w:val="0"/>
                <w:sz w:val="24"/>
                <w:highlight w:val="none"/>
                <w:lang w:bidi="ar"/>
              </w:rPr>
              <w:t>2、</w:t>
            </w:r>
            <w:r>
              <w:rPr>
                <w:rFonts w:hint="eastAsia" w:ascii="宋体" w:hAnsi="宋体" w:cs="宋体"/>
                <w:b/>
                <w:bCs/>
                <w:color w:val="auto"/>
                <w:szCs w:val="21"/>
                <w:highlight w:val="none"/>
              </w:rPr>
              <w:t>本项目收取投标保证金，具体规定如下：</w:t>
            </w:r>
          </w:p>
          <w:p w14:paraId="28563969">
            <w:pPr>
              <w:autoSpaceDE w:val="0"/>
              <w:autoSpaceDN w:val="0"/>
              <w:snapToGrid w:val="0"/>
              <w:spacing w:line="360" w:lineRule="exact"/>
              <w:textAlignment w:val="bottom"/>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本项目收取投标保证金</w:t>
            </w:r>
            <w:r>
              <w:rPr>
                <w:rFonts w:hint="eastAsia" w:ascii="宋体" w:hAnsi="宋体" w:cs="宋体"/>
                <w:color w:val="auto"/>
                <w:szCs w:val="21"/>
                <w:highlight w:val="none"/>
              </w:rPr>
              <w:t>。</w:t>
            </w:r>
          </w:p>
          <w:p w14:paraId="20BE35B9">
            <w:pPr>
              <w:autoSpaceDE w:val="0"/>
              <w:autoSpaceDN w:val="0"/>
              <w:snapToGrid w:val="0"/>
              <w:spacing w:line="360" w:lineRule="exact"/>
              <w:textAlignment w:val="bottom"/>
              <w:rPr>
                <w:rFonts w:ascii="宋体" w:hAnsi="宋体" w:cs="宋体"/>
                <w:color w:val="auto"/>
                <w:szCs w:val="21"/>
                <w:highlight w:val="none"/>
              </w:rPr>
            </w:pPr>
            <w:r>
              <w:rPr>
                <w:rFonts w:hint="eastAsia" w:ascii="宋体" w:hAnsi="宋体" w:cs="宋体"/>
                <w:color w:val="auto"/>
                <w:szCs w:val="21"/>
                <w:highlight w:val="none"/>
              </w:rPr>
              <w:t>投标人应于投标截止时间前将投标保证金以转账、支票、汇票、本票、保函等非现金形式交至广西国泰招标咨询有限公司账户，并确保到账。开户名称：广西国泰招标咨询有限公司，开户银行：广西北部湾银行股份有限公司南宁分行，开户账号：0101012090615711，开户行行号：3136 1102 7018。办理投标保证金手续时，请务必在银行进账单或电汇单的附言或用途栏上注明项目编号或项目名称等信息，否则，信息不明确或有误的视为未按规定提交投标保证金处理。</w:t>
            </w:r>
          </w:p>
          <w:p w14:paraId="4C77011D">
            <w:pPr>
              <w:snapToGrid w:val="0"/>
              <w:spacing w:line="360" w:lineRule="auto"/>
              <w:rPr>
                <w:rFonts w:ascii="宋体" w:hAnsi="宋体"/>
                <w:color w:val="auto"/>
                <w:szCs w:val="21"/>
                <w:highlight w:val="none"/>
              </w:rPr>
            </w:pPr>
            <w:r>
              <w:rPr>
                <w:rFonts w:hint="eastAsia" w:ascii="宋体" w:hAnsi="宋体"/>
                <w:color w:val="auto"/>
                <w:szCs w:val="21"/>
                <w:highlight w:val="none"/>
              </w:rPr>
              <w:t>相关要求：</w:t>
            </w:r>
          </w:p>
          <w:p w14:paraId="0E78FC20">
            <w:pPr>
              <w:pStyle w:val="7"/>
              <w:spacing w:line="360" w:lineRule="auto"/>
              <w:rPr>
                <w:rFonts w:ascii="宋体" w:hAnsi="宋体"/>
                <w:color w:val="auto"/>
                <w:szCs w:val="21"/>
                <w:highlight w:val="none"/>
              </w:rPr>
            </w:pPr>
            <w:r>
              <w:rPr>
                <w:rFonts w:ascii="宋体" w:hAnsi="宋体"/>
                <w:color w:val="auto"/>
                <w:szCs w:val="21"/>
                <w:highlight w:val="none"/>
              </w:rPr>
              <w:t>①</w:t>
            </w:r>
            <w:r>
              <w:rPr>
                <w:rFonts w:hint="eastAsia" w:ascii="宋体" w:hAnsi="宋体"/>
                <w:color w:val="auto"/>
                <w:szCs w:val="21"/>
                <w:highlight w:val="none"/>
              </w:rPr>
              <w:t>投标保证金采用银行转账交纳方式的，在投标截止时间前交至指定账户并且到账，投标人应将银行转账底单的复印件作为投标保证金提交凭证，放置于商务文件中，</w:t>
            </w:r>
            <w:r>
              <w:rPr>
                <w:rFonts w:hint="eastAsia" w:ascii="宋体" w:hAnsi="宋体"/>
                <w:b/>
                <w:color w:val="auto"/>
                <w:szCs w:val="21"/>
                <w:highlight w:val="none"/>
              </w:rPr>
              <w:t>否则投标无效</w:t>
            </w:r>
            <w:r>
              <w:rPr>
                <w:rFonts w:hint="eastAsia" w:ascii="宋体" w:hAnsi="宋体"/>
                <w:color w:val="auto"/>
                <w:szCs w:val="21"/>
                <w:highlight w:val="none"/>
              </w:rPr>
              <w:t>。</w:t>
            </w:r>
          </w:p>
          <w:p w14:paraId="47F5A376">
            <w:pPr>
              <w:pStyle w:val="7"/>
              <w:spacing w:line="360" w:lineRule="auto"/>
              <w:rPr>
                <w:rFonts w:ascii="宋体" w:hAnsi="宋体"/>
                <w:color w:val="auto"/>
                <w:szCs w:val="21"/>
                <w:highlight w:val="none"/>
              </w:rPr>
            </w:pPr>
            <w:r>
              <w:rPr>
                <w:rFonts w:ascii="宋体" w:hAnsi="宋体"/>
                <w:color w:val="auto"/>
                <w:szCs w:val="21"/>
                <w:highlight w:val="none"/>
              </w:rPr>
              <w:t>②</w:t>
            </w:r>
            <w:r>
              <w:rPr>
                <w:rFonts w:hint="eastAsia" w:ascii="宋体" w:hAnsi="宋体"/>
                <w:color w:val="auto"/>
                <w:szCs w:val="21"/>
                <w:highlight w:val="none"/>
              </w:rPr>
              <w:t>投标保证金采用支票、汇票、本票或者银行、保险机构出具的保函交纳方式的，投标人应将支票、汇票、本票或者银行、保险机构出具的保函的复印件作为投标保证金提交凭证，放置于商务文件中，</w:t>
            </w:r>
            <w:r>
              <w:rPr>
                <w:rFonts w:hint="eastAsia" w:ascii="宋体" w:hAnsi="宋体"/>
                <w:b/>
                <w:color w:val="auto"/>
                <w:szCs w:val="21"/>
                <w:highlight w:val="none"/>
              </w:rPr>
              <w:t>否则投标无效</w:t>
            </w:r>
            <w:r>
              <w:rPr>
                <w:rFonts w:hint="eastAsia" w:ascii="宋体" w:hAnsi="宋体"/>
                <w:color w:val="auto"/>
                <w:szCs w:val="21"/>
                <w:highlight w:val="none"/>
              </w:rPr>
              <w:t xml:space="preserve">。投标人必须在投标截止时间前采用现场或邮寄方式（现场提交地址：广西壮族自治区公共资源交易中心（南宁市星湖路22号）；邮寄地址：广西南宁市民族大道141号中鼎万象东方D区六楼607室，收件人： </w:t>
            </w:r>
            <w:r>
              <w:rPr>
                <w:rFonts w:hint="eastAsia" w:ascii="宋体" w:hAnsi="宋体"/>
                <w:color w:val="auto"/>
                <w:szCs w:val="21"/>
                <w:highlight w:val="none"/>
                <w:lang w:eastAsia="zh-CN"/>
              </w:rPr>
              <w:t>卢秋月、曾液丽</w:t>
            </w:r>
            <w:r>
              <w:rPr>
                <w:rFonts w:hint="eastAsia" w:ascii="宋体" w:hAnsi="宋体"/>
                <w:color w:val="auto"/>
                <w:szCs w:val="21"/>
                <w:highlight w:val="none"/>
              </w:rPr>
              <w:t>，联系方式：</w:t>
            </w:r>
            <w:r>
              <w:rPr>
                <w:rFonts w:hint="eastAsia" w:ascii="宋体" w:hAnsi="宋体"/>
                <w:color w:val="auto"/>
                <w:szCs w:val="21"/>
                <w:highlight w:val="none"/>
                <w:lang w:eastAsia="zh-CN"/>
              </w:rPr>
              <w:t>0771-2023537、0771-2023587</w:t>
            </w:r>
            <w:r>
              <w:rPr>
                <w:rFonts w:hint="eastAsia" w:ascii="宋体" w:hAnsi="宋体"/>
                <w:color w:val="auto"/>
                <w:szCs w:val="21"/>
                <w:highlight w:val="none"/>
              </w:rPr>
              <w:t>）将单独密封的支票、汇票、本票或者银行、保险机构出具的保函原件提交给采购代理机构，由采购代理机构向投标人出具回执（邮寄方式的除外），并妥善保管。</w:t>
            </w:r>
          </w:p>
          <w:p w14:paraId="5F870FAC">
            <w:pPr>
              <w:autoSpaceDE w:val="0"/>
              <w:autoSpaceDN w:val="0"/>
              <w:snapToGrid w:val="0"/>
              <w:spacing w:line="360" w:lineRule="exact"/>
              <w:textAlignment w:val="bottom"/>
              <w:rPr>
                <w:rFonts w:ascii="宋体" w:hAnsi="宋体" w:cs="宋体"/>
                <w:color w:val="auto"/>
                <w:szCs w:val="21"/>
                <w:highlight w:val="none"/>
              </w:rPr>
            </w:pPr>
            <w:r>
              <w:rPr>
                <w:rFonts w:hint="eastAsia" w:ascii="宋体" w:hAnsi="宋体" w:cs="宋体"/>
                <w:color w:val="auto"/>
                <w:szCs w:val="21"/>
                <w:highlight w:val="none"/>
              </w:rPr>
              <w:t>2.投标保证金的退还：</w:t>
            </w:r>
          </w:p>
          <w:p w14:paraId="7EA78311">
            <w:pPr>
              <w:snapToGri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未</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的投标保证金自中标通知书发出之日起5个工作日内退还；</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的投标保证金自政府采购合同签订之日起5个工作日内退还。</w:t>
            </w:r>
          </w:p>
          <w:p w14:paraId="25383827">
            <w:pPr>
              <w:snapToGrid w:val="0"/>
              <w:spacing w:line="4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lang w:eastAsia="zh-CN"/>
              </w:rPr>
              <w:t>中标人</w:t>
            </w:r>
            <w:r>
              <w:rPr>
                <w:rFonts w:hint="eastAsia" w:ascii="宋体" w:hAnsi="宋体" w:cs="宋体"/>
                <w:b/>
                <w:bCs/>
                <w:color w:val="auto"/>
                <w:szCs w:val="21"/>
                <w:highlight w:val="none"/>
              </w:rPr>
              <w:t>与采购人签订合同之日起2个工作日内将合同扫描件发至采购代理机构在广西政府采购云平台创建提交至</w:t>
            </w:r>
            <w:r>
              <w:rPr>
                <w:rFonts w:hint="eastAsia" w:ascii="宋体" w:hAnsi="宋体" w:cs="宋体"/>
                <w:b/>
                <w:bCs/>
                <w:color w:val="auto"/>
                <w:szCs w:val="21"/>
                <w:highlight w:val="none"/>
                <w:lang w:eastAsia="zh-CN"/>
              </w:rPr>
              <w:t>中标人</w:t>
            </w:r>
            <w:r>
              <w:rPr>
                <w:rFonts w:hint="eastAsia" w:ascii="宋体" w:hAnsi="宋体" w:cs="宋体"/>
                <w:b/>
                <w:bCs/>
                <w:color w:val="auto"/>
                <w:szCs w:val="21"/>
                <w:highlight w:val="none"/>
              </w:rPr>
              <w:t>与采购人双方审核，在广西政府采购网公示备案。</w:t>
            </w:r>
          </w:p>
          <w:p w14:paraId="7AE57C35">
            <w:pPr>
              <w:autoSpaceDE w:val="0"/>
              <w:autoSpaceDN w:val="0"/>
              <w:snapToGrid w:val="0"/>
              <w:spacing w:line="360" w:lineRule="exact"/>
              <w:textAlignment w:val="bottom"/>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.投标保证金不计息。</w:t>
            </w:r>
          </w:p>
          <w:p w14:paraId="6290B259">
            <w:pPr>
              <w:autoSpaceDE w:val="0"/>
              <w:autoSpaceDN w:val="0"/>
              <w:snapToGrid w:val="0"/>
              <w:spacing w:line="360" w:lineRule="exact"/>
              <w:textAlignment w:val="bottom"/>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.投标人有下列情形之一的，投标保证金将不予退还：</w:t>
            </w:r>
          </w:p>
          <w:p w14:paraId="292A4A51">
            <w:pPr>
              <w:autoSpaceDE w:val="0"/>
              <w:autoSpaceDN w:val="0"/>
              <w:snapToGrid w:val="0"/>
              <w:spacing w:line="360" w:lineRule="exact"/>
              <w:textAlignment w:val="bottom"/>
              <w:rPr>
                <w:rFonts w:ascii="宋体" w:hAnsi="宋体" w:cs="宋体"/>
                <w:color w:val="auto"/>
                <w:szCs w:val="21"/>
                <w:highlight w:val="none"/>
              </w:rPr>
            </w:pPr>
            <w:r>
              <w:rPr>
                <w:rFonts w:hint="eastAsia" w:ascii="宋体" w:hAnsi="宋体" w:cs="宋体"/>
                <w:color w:val="auto"/>
                <w:szCs w:val="21"/>
                <w:highlight w:val="none"/>
              </w:rPr>
              <w:t>（1）投标人在投标有效期内撤回投标文件的；</w:t>
            </w:r>
          </w:p>
          <w:p w14:paraId="59283442">
            <w:pPr>
              <w:autoSpaceDE w:val="0"/>
              <w:autoSpaceDN w:val="0"/>
              <w:snapToGrid w:val="0"/>
              <w:spacing w:line="360" w:lineRule="exact"/>
              <w:textAlignment w:val="bottom"/>
              <w:rPr>
                <w:rFonts w:ascii="宋体" w:hAnsi="宋体" w:cs="宋体"/>
                <w:color w:val="auto"/>
                <w:szCs w:val="21"/>
                <w:highlight w:val="none"/>
              </w:rPr>
            </w:pPr>
            <w:r>
              <w:rPr>
                <w:rFonts w:hint="eastAsia" w:ascii="宋体" w:hAnsi="宋体" w:cs="宋体"/>
                <w:color w:val="auto"/>
                <w:szCs w:val="21"/>
                <w:highlight w:val="none"/>
              </w:rPr>
              <w:t>（2）投标人在投标过程中弄虚作假，提供虚假材料的；</w:t>
            </w:r>
          </w:p>
          <w:p w14:paraId="72F6FE43">
            <w:pPr>
              <w:autoSpaceDE w:val="0"/>
              <w:autoSpaceDN w:val="0"/>
              <w:snapToGrid w:val="0"/>
              <w:spacing w:line="360" w:lineRule="exact"/>
              <w:textAlignment w:val="bottom"/>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无正当理由不与采购人签订合同的；</w:t>
            </w:r>
          </w:p>
          <w:p w14:paraId="4B1E1BEF">
            <w:pPr>
              <w:autoSpaceDE w:val="0"/>
              <w:autoSpaceDN w:val="0"/>
              <w:snapToGrid w:val="0"/>
              <w:spacing w:line="360" w:lineRule="exact"/>
              <w:textAlignment w:val="bottom"/>
              <w:rPr>
                <w:rFonts w:ascii="宋体" w:hAnsi="宋体" w:cs="宋体"/>
                <w:color w:val="auto"/>
                <w:szCs w:val="21"/>
                <w:highlight w:val="none"/>
              </w:rPr>
            </w:pPr>
            <w:r>
              <w:rPr>
                <w:rFonts w:hint="eastAsia" w:ascii="宋体" w:hAnsi="宋体" w:cs="宋体"/>
                <w:color w:val="auto"/>
                <w:szCs w:val="21"/>
                <w:highlight w:val="none"/>
              </w:rPr>
              <w:t>（4）将中标项目转让给他人或者在投标文件中未说明且未经采购人同意，将中标项目分包给他人的；</w:t>
            </w:r>
          </w:p>
          <w:p w14:paraId="30262184">
            <w:pPr>
              <w:autoSpaceDE w:val="0"/>
              <w:autoSpaceDN w:val="0"/>
              <w:snapToGrid w:val="0"/>
              <w:spacing w:line="360" w:lineRule="exact"/>
              <w:textAlignment w:val="bottom"/>
              <w:rPr>
                <w:rFonts w:ascii="宋体" w:hAnsi="宋体" w:cs="宋体"/>
                <w:color w:val="auto"/>
                <w:szCs w:val="21"/>
                <w:highlight w:val="none"/>
              </w:rPr>
            </w:pPr>
            <w:r>
              <w:rPr>
                <w:rFonts w:hint="eastAsia" w:ascii="宋体" w:hAnsi="宋体" w:cs="宋体"/>
                <w:color w:val="auto"/>
                <w:szCs w:val="21"/>
                <w:highlight w:val="none"/>
              </w:rPr>
              <w:t>（5）拒绝履行合同义务的；</w:t>
            </w:r>
          </w:p>
          <w:p w14:paraId="09393D22">
            <w:pPr>
              <w:autoSpaceDE w:val="0"/>
              <w:autoSpaceDN w:val="0"/>
              <w:snapToGrid w:val="0"/>
              <w:spacing w:line="360" w:lineRule="exact"/>
              <w:textAlignment w:val="bottom"/>
              <w:rPr>
                <w:rFonts w:ascii="宋体" w:hAnsi="宋体" w:cs="宋体"/>
                <w:b/>
                <w:color w:val="auto"/>
                <w:szCs w:val="21"/>
                <w:highlight w:val="none"/>
              </w:rPr>
            </w:pPr>
            <w:r>
              <w:rPr>
                <w:rFonts w:hint="eastAsia" w:ascii="宋体" w:hAnsi="宋体" w:cs="宋体"/>
                <w:color w:val="auto"/>
                <w:szCs w:val="21"/>
                <w:highlight w:val="none"/>
              </w:rPr>
              <w:t>（6）其他严重扰乱政府采购程序的。</w:t>
            </w:r>
          </w:p>
        </w:tc>
      </w:tr>
      <w:tr w14:paraId="72E7C2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EB6073B">
            <w:pPr>
              <w:spacing w:line="400" w:lineRule="exact"/>
              <w:jc w:val="center"/>
              <w:rPr>
                <w:rFonts w:ascii="宋体" w:hAnsi="宋体" w:cs="宋体"/>
                <w:color w:val="auto"/>
                <w:szCs w:val="21"/>
                <w:highlight w:val="none"/>
              </w:rPr>
            </w:pPr>
            <w:bookmarkStart w:id="70" w:name="_19.2"/>
            <w:bookmarkEnd w:id="70"/>
            <w:r>
              <w:rPr>
                <w:rFonts w:hint="eastAsia" w:ascii="宋体" w:hAnsi="宋体" w:cs="宋体"/>
                <w:color w:val="auto"/>
                <w:szCs w:val="21"/>
                <w:highlight w:val="none"/>
              </w:rPr>
              <w:t>19.2</w:t>
            </w:r>
          </w:p>
        </w:tc>
        <w:tc>
          <w:tcPr>
            <w:tcW w:w="8708" w:type="dxa"/>
            <w:tcBorders>
              <w:top w:val="single" w:color="auto" w:sz="4" w:space="0"/>
              <w:left w:val="single" w:color="auto" w:sz="4" w:space="0"/>
              <w:bottom w:val="single" w:color="auto" w:sz="4" w:space="0"/>
              <w:right w:val="single" w:color="auto" w:sz="4" w:space="0"/>
            </w:tcBorders>
            <w:vAlign w:val="center"/>
          </w:tcPr>
          <w:p w14:paraId="0CE30AF5">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投标文件应按报价文件、资格证明文件、商务文件、技术文件分别编制，</w:t>
            </w:r>
            <w:r>
              <w:rPr>
                <w:rFonts w:hint="eastAsia" w:ascii="宋体" w:hAnsi="宋体" w:cs="宋体"/>
                <w:color w:val="auto"/>
                <w:szCs w:val="21"/>
                <w:highlight w:val="none"/>
                <w:lang w:bidi="ar"/>
              </w:rPr>
              <w:t>并按广西政府采购云平台的要求编制、加密、上传。</w:t>
            </w:r>
          </w:p>
        </w:tc>
      </w:tr>
      <w:tr w14:paraId="010F84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650BD70">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20.1</w:t>
            </w:r>
          </w:p>
        </w:tc>
        <w:tc>
          <w:tcPr>
            <w:tcW w:w="8708" w:type="dxa"/>
            <w:tcBorders>
              <w:top w:val="single" w:color="auto" w:sz="4" w:space="0"/>
              <w:left w:val="single" w:color="auto" w:sz="4" w:space="0"/>
              <w:bottom w:val="single" w:color="auto" w:sz="4" w:space="0"/>
              <w:right w:val="single" w:color="auto" w:sz="4" w:space="0"/>
            </w:tcBorders>
            <w:vAlign w:val="center"/>
          </w:tcPr>
          <w:p w14:paraId="31513B06">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电子投标文件应在制作完成后，投标人应按广西政府采购云平台的要求进行加密，并在规定时间内解密，否则，由此产生的后果由投标人自行负责。</w:t>
            </w:r>
          </w:p>
        </w:tc>
      </w:tr>
      <w:tr w14:paraId="7344EC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07B5C6EE">
            <w:pPr>
              <w:spacing w:line="400" w:lineRule="exact"/>
              <w:jc w:val="center"/>
              <w:rPr>
                <w:rFonts w:ascii="宋体" w:hAnsi="宋体" w:cs="宋体"/>
                <w:color w:val="auto"/>
                <w:szCs w:val="21"/>
                <w:highlight w:val="none"/>
              </w:rPr>
            </w:pPr>
            <w:bookmarkStart w:id="71" w:name="_21.1"/>
            <w:bookmarkEnd w:id="71"/>
            <w:r>
              <w:rPr>
                <w:rFonts w:hint="eastAsia" w:ascii="宋体" w:hAnsi="宋体" w:cs="宋体"/>
                <w:color w:val="auto"/>
                <w:szCs w:val="21"/>
                <w:highlight w:val="none"/>
              </w:rPr>
              <w:t>21.1</w:t>
            </w:r>
          </w:p>
        </w:tc>
        <w:tc>
          <w:tcPr>
            <w:tcW w:w="8708" w:type="dxa"/>
            <w:tcBorders>
              <w:top w:val="single" w:color="auto" w:sz="4" w:space="0"/>
              <w:left w:val="single" w:color="auto" w:sz="4" w:space="0"/>
              <w:bottom w:val="single" w:color="auto" w:sz="4" w:space="0"/>
              <w:right w:val="single" w:color="auto" w:sz="4" w:space="0"/>
            </w:tcBorders>
            <w:vAlign w:val="center"/>
          </w:tcPr>
          <w:p w14:paraId="6ADEECD4">
            <w:pPr>
              <w:snapToGri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1、投标截止时间：详见招标公告</w:t>
            </w:r>
          </w:p>
          <w:p w14:paraId="306D915D">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2、投标地点：详见招标公告</w:t>
            </w:r>
          </w:p>
        </w:tc>
      </w:tr>
      <w:tr w14:paraId="54ECDC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024ED0C1">
            <w:pPr>
              <w:spacing w:line="400" w:lineRule="exact"/>
              <w:jc w:val="center"/>
              <w:rPr>
                <w:rFonts w:ascii="宋体" w:hAnsi="宋体" w:cs="宋体"/>
                <w:color w:val="auto"/>
                <w:szCs w:val="21"/>
                <w:highlight w:val="none"/>
              </w:rPr>
            </w:pPr>
            <w:bookmarkStart w:id="72" w:name="_23"/>
            <w:bookmarkEnd w:id="72"/>
            <w:r>
              <w:rPr>
                <w:rFonts w:hint="eastAsia" w:ascii="宋体" w:hAnsi="宋体" w:cs="宋体"/>
                <w:color w:val="auto"/>
                <w:szCs w:val="21"/>
                <w:highlight w:val="none"/>
              </w:rPr>
              <w:t>23</w:t>
            </w:r>
          </w:p>
        </w:tc>
        <w:tc>
          <w:tcPr>
            <w:tcW w:w="8708" w:type="dxa"/>
            <w:tcBorders>
              <w:top w:val="single" w:color="auto" w:sz="4" w:space="0"/>
              <w:left w:val="single" w:color="auto" w:sz="4" w:space="0"/>
              <w:bottom w:val="single" w:color="auto" w:sz="4" w:space="0"/>
              <w:right w:val="single" w:color="auto" w:sz="4" w:space="0"/>
            </w:tcBorders>
            <w:vAlign w:val="center"/>
          </w:tcPr>
          <w:p w14:paraId="6A9774D8">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1、开标时间：详见招标公告</w:t>
            </w:r>
          </w:p>
          <w:p w14:paraId="36C5B906">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2、开标地点：详见招标公告</w:t>
            </w:r>
          </w:p>
        </w:tc>
      </w:tr>
      <w:tr w14:paraId="5DD49A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7389C20">
            <w:pPr>
              <w:spacing w:line="400" w:lineRule="exact"/>
              <w:jc w:val="center"/>
              <w:rPr>
                <w:rFonts w:ascii="宋体" w:hAnsi="宋体" w:cs="宋体"/>
                <w:color w:val="auto"/>
                <w:szCs w:val="21"/>
                <w:highlight w:val="none"/>
              </w:rPr>
            </w:pPr>
            <w:r>
              <w:rPr>
                <w:rFonts w:hint="eastAsia" w:ascii="宋体" w:hAnsi="宋体" w:cs="宋体"/>
                <w:bCs/>
                <w:color w:val="auto"/>
                <w:szCs w:val="21"/>
                <w:highlight w:val="none"/>
              </w:rPr>
              <w:t>24.2</w:t>
            </w:r>
          </w:p>
        </w:tc>
        <w:tc>
          <w:tcPr>
            <w:tcW w:w="8708" w:type="dxa"/>
            <w:tcBorders>
              <w:top w:val="single" w:color="auto" w:sz="4" w:space="0"/>
              <w:left w:val="single" w:color="auto" w:sz="4" w:space="0"/>
              <w:bottom w:val="single" w:color="auto" w:sz="4" w:space="0"/>
              <w:right w:val="single" w:color="auto" w:sz="4" w:space="0"/>
            </w:tcBorders>
            <w:vAlign w:val="center"/>
          </w:tcPr>
          <w:p w14:paraId="7A7A996C">
            <w:pPr>
              <w:autoSpaceDE w:val="0"/>
              <w:autoSpaceDN w:val="0"/>
              <w:adjustRightInd w:val="0"/>
              <w:spacing w:line="440" w:lineRule="exact"/>
              <w:rPr>
                <w:rFonts w:ascii="宋体" w:hAnsi="宋体" w:cs="宋体"/>
                <w:color w:val="auto"/>
                <w:szCs w:val="21"/>
                <w:highlight w:val="none"/>
              </w:rPr>
            </w:pPr>
            <w:r>
              <w:rPr>
                <w:rFonts w:hint="eastAsia" w:ascii="宋体" w:hAnsi="宋体" w:cs="宋体"/>
                <w:bCs/>
                <w:color w:val="auto"/>
                <w:szCs w:val="21"/>
                <w:highlight w:val="none"/>
              </w:rPr>
              <w:t>广西政府采购云平台按开标时间自动提取所有投标文件。采购代理机构依托广西政府采购云平台向各投标人发出电子加密投标文件【开始解密】通知，由投标人进行投标文件解密。</w:t>
            </w:r>
            <w:r>
              <w:rPr>
                <w:rFonts w:hint="eastAsia" w:ascii="宋体" w:hAnsi="宋体" w:cs="宋体"/>
                <w:b/>
                <w:bCs/>
                <w:color w:val="auto"/>
                <w:szCs w:val="21"/>
                <w:highlight w:val="none"/>
              </w:rPr>
              <w:t>投标人的法定代表人或其委托代理人须携带加密时所用的CA锁准时登录到广西政府采购云平台电子开标大厅签到</w:t>
            </w:r>
            <w:r>
              <w:rPr>
                <w:rFonts w:hint="eastAsia" w:ascii="宋体" w:hAnsi="宋体" w:cs="宋体"/>
                <w:b/>
                <w:color w:val="auto"/>
                <w:szCs w:val="21"/>
                <w:highlight w:val="none"/>
              </w:rPr>
              <w:t>并在发起解密</w:t>
            </w:r>
            <w:r>
              <w:rPr>
                <w:rFonts w:hint="eastAsia" w:ascii="宋体" w:hAnsi="宋体" w:cs="宋体"/>
                <w:b/>
                <w:bCs/>
                <w:color w:val="auto"/>
                <w:szCs w:val="21"/>
                <w:highlight w:val="none"/>
              </w:rPr>
              <w:t>通知</w:t>
            </w:r>
            <w:r>
              <w:rPr>
                <w:rFonts w:hint="eastAsia" w:ascii="宋体" w:hAnsi="宋体" w:cs="宋体"/>
                <w:b/>
                <w:color w:val="auto"/>
                <w:szCs w:val="21"/>
                <w:highlight w:val="none"/>
              </w:rPr>
              <w:t>之时起30分钟内完成</w:t>
            </w:r>
            <w:r>
              <w:rPr>
                <w:rFonts w:hint="eastAsia" w:ascii="宋体" w:hAnsi="宋体" w:cs="宋体"/>
                <w:b/>
                <w:bCs/>
                <w:color w:val="auto"/>
                <w:szCs w:val="21"/>
                <w:highlight w:val="none"/>
              </w:rPr>
              <w:t>对电子投标文件解密。投标文件未按时解密的，视为无效投标。</w:t>
            </w:r>
          </w:p>
        </w:tc>
      </w:tr>
      <w:tr w14:paraId="4F2CCF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AF6866D">
            <w:pPr>
              <w:spacing w:line="400" w:lineRule="exact"/>
              <w:jc w:val="center"/>
              <w:rPr>
                <w:rFonts w:ascii="宋体" w:hAnsi="宋体" w:cs="宋体"/>
                <w:color w:val="auto"/>
                <w:szCs w:val="21"/>
                <w:highlight w:val="none"/>
              </w:rPr>
            </w:pPr>
            <w:bookmarkStart w:id="73" w:name="_25.3"/>
            <w:bookmarkEnd w:id="73"/>
            <w:r>
              <w:rPr>
                <w:rFonts w:hint="eastAsia" w:ascii="宋体" w:hAnsi="宋体" w:cs="宋体"/>
                <w:color w:val="auto"/>
                <w:szCs w:val="21"/>
                <w:highlight w:val="none"/>
              </w:rPr>
              <w:t>25.3（3）</w:t>
            </w:r>
          </w:p>
        </w:tc>
        <w:tc>
          <w:tcPr>
            <w:tcW w:w="8708" w:type="dxa"/>
            <w:tcBorders>
              <w:top w:val="single" w:color="auto" w:sz="4" w:space="0"/>
              <w:left w:val="single" w:color="auto" w:sz="4" w:space="0"/>
              <w:bottom w:val="single" w:color="auto" w:sz="4" w:space="0"/>
              <w:right w:val="single" w:color="auto" w:sz="4" w:space="0"/>
            </w:tcBorders>
            <w:vAlign w:val="center"/>
          </w:tcPr>
          <w:p w14:paraId="0B365C68">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采购人或者采购代理机构在资格审查结束前，对投标人进行信用查询。</w:t>
            </w:r>
          </w:p>
          <w:p w14:paraId="2EE60DA9">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查询渠道：“信用中国”网站（www.creditchina.gov.cn）、中国政府采购网（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25"/>
                <w:rFonts w:hint="eastAsia" w:ascii="宋体" w:hAnsi="宋体" w:cs="宋体"/>
                <w:color w:val="auto"/>
                <w:szCs w:val="21"/>
                <w:highlight w:val="none"/>
              </w:rPr>
              <w:t>www.ccgp.gov.cn</w:t>
            </w:r>
            <w:r>
              <w:rPr>
                <w:rStyle w:val="25"/>
                <w:rFonts w:hint="eastAsia" w:ascii="宋体" w:hAnsi="宋体" w:cs="宋体"/>
                <w:color w:val="auto"/>
                <w:szCs w:val="21"/>
                <w:highlight w:val="none"/>
              </w:rPr>
              <w:fldChar w:fldCharType="end"/>
            </w:r>
            <w:r>
              <w:rPr>
                <w:rFonts w:hint="eastAsia" w:ascii="宋体" w:hAnsi="宋体" w:cs="宋体"/>
                <w:color w:val="auto"/>
                <w:szCs w:val="21"/>
                <w:highlight w:val="none"/>
              </w:rPr>
              <w:t>）。</w:t>
            </w:r>
          </w:p>
          <w:p w14:paraId="786D35EC">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信用查询截止时点：资格审查结束前。</w:t>
            </w:r>
          </w:p>
          <w:p w14:paraId="468276D8">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查询记录和证据留存方式：将查询网站中的查询记录截图并作为评审资料保存。</w:t>
            </w:r>
          </w:p>
          <w:p w14:paraId="1480005C">
            <w:pPr>
              <w:snapToGrid w:val="0"/>
              <w:spacing w:line="400" w:lineRule="exact"/>
              <w:rPr>
                <w:rFonts w:ascii="宋体" w:hAnsi="宋体" w:cs="宋体"/>
                <w:b/>
                <w:color w:val="auto"/>
                <w:szCs w:val="21"/>
                <w:highlight w:val="none"/>
              </w:rPr>
            </w:pPr>
            <w:r>
              <w:rPr>
                <w:rFonts w:hint="eastAsia" w:ascii="宋体" w:hAnsi="宋体" w:cs="宋体"/>
                <w:color w:val="auto"/>
                <w:szCs w:val="21"/>
                <w:highlight w:val="none"/>
              </w:rPr>
              <w:t>信用信息使用规则：根据财政部《关于在政府采购活动中查询及使用信用记录有关问题的通知》（财库〔2016〕125号）的规定，</w:t>
            </w:r>
            <w:r>
              <w:rPr>
                <w:rFonts w:hint="eastAsia" w:ascii="宋体" w:hAnsi="宋体" w:cs="宋体"/>
                <w:color w:val="auto"/>
                <w:szCs w:val="21"/>
                <w:highlight w:val="none"/>
                <w:lang w:bidi="ar"/>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14:paraId="26F3EE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06AFCEC">
            <w:pPr>
              <w:spacing w:line="400" w:lineRule="exact"/>
              <w:jc w:val="center"/>
              <w:rPr>
                <w:rFonts w:ascii="宋体" w:hAnsi="宋体" w:cs="宋体"/>
                <w:color w:val="auto"/>
                <w:szCs w:val="21"/>
                <w:highlight w:val="none"/>
              </w:rPr>
            </w:pPr>
            <w:bookmarkStart w:id="74" w:name="_26"/>
            <w:bookmarkEnd w:id="74"/>
            <w:r>
              <w:rPr>
                <w:rFonts w:hint="eastAsia" w:ascii="宋体" w:hAnsi="宋体" w:cs="宋体"/>
                <w:color w:val="auto"/>
                <w:szCs w:val="21"/>
                <w:highlight w:val="none"/>
              </w:rPr>
              <w:t>26</w:t>
            </w:r>
          </w:p>
        </w:tc>
        <w:tc>
          <w:tcPr>
            <w:tcW w:w="8708" w:type="dxa"/>
            <w:tcBorders>
              <w:top w:val="single" w:color="auto" w:sz="4" w:space="0"/>
              <w:left w:val="single" w:color="auto" w:sz="4" w:space="0"/>
              <w:bottom w:val="single" w:color="auto" w:sz="4" w:space="0"/>
              <w:right w:val="single" w:color="auto" w:sz="4" w:space="0"/>
            </w:tcBorders>
            <w:vAlign w:val="center"/>
          </w:tcPr>
          <w:p w14:paraId="2FDFC3CE">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评标委员会的人</w:t>
            </w:r>
            <w:r>
              <w:rPr>
                <w:rFonts w:hint="eastAsia" w:ascii="宋体" w:hAnsi="宋体" w:cs="宋体"/>
                <w:color w:val="auto"/>
                <w:szCs w:val="21"/>
                <w:highlight w:val="none"/>
                <w:lang w:bidi="ar"/>
              </w:rPr>
              <w:t>数：7人。</w:t>
            </w:r>
          </w:p>
        </w:tc>
      </w:tr>
      <w:tr w14:paraId="63366B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0212762E">
            <w:pPr>
              <w:spacing w:line="400" w:lineRule="exact"/>
              <w:jc w:val="center"/>
              <w:rPr>
                <w:rFonts w:ascii="宋体" w:hAnsi="宋体" w:cs="宋体"/>
                <w:color w:val="auto"/>
                <w:szCs w:val="21"/>
                <w:highlight w:val="none"/>
              </w:rPr>
            </w:pPr>
            <w:bookmarkStart w:id="75" w:name="_28.3"/>
            <w:bookmarkEnd w:id="75"/>
            <w:r>
              <w:rPr>
                <w:rFonts w:hint="eastAsia" w:ascii="宋体" w:hAnsi="宋体" w:cs="宋体"/>
                <w:color w:val="auto"/>
                <w:szCs w:val="21"/>
                <w:highlight w:val="none"/>
              </w:rPr>
              <w:t>29.1</w:t>
            </w:r>
          </w:p>
        </w:tc>
        <w:tc>
          <w:tcPr>
            <w:tcW w:w="8708" w:type="dxa"/>
            <w:tcBorders>
              <w:top w:val="single" w:color="auto" w:sz="4" w:space="0"/>
              <w:left w:val="single" w:color="auto" w:sz="4" w:space="0"/>
              <w:bottom w:val="single" w:color="auto" w:sz="4" w:space="0"/>
              <w:right w:val="single" w:color="auto" w:sz="4" w:space="0"/>
            </w:tcBorders>
            <w:vAlign w:val="center"/>
          </w:tcPr>
          <w:p w14:paraId="690547ED">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评标方法：综合评分法</w:t>
            </w:r>
          </w:p>
        </w:tc>
      </w:tr>
      <w:tr w14:paraId="5D256A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5" w:type="dxa"/>
            <w:vMerge w:val="restart"/>
            <w:tcBorders>
              <w:top w:val="single" w:color="auto" w:sz="4" w:space="0"/>
              <w:left w:val="single" w:color="auto" w:sz="4" w:space="0"/>
              <w:right w:val="single" w:color="auto" w:sz="4" w:space="0"/>
            </w:tcBorders>
            <w:vAlign w:val="center"/>
          </w:tcPr>
          <w:p w14:paraId="10BE0BDF">
            <w:pPr>
              <w:spacing w:line="400" w:lineRule="exact"/>
              <w:jc w:val="center"/>
              <w:rPr>
                <w:rFonts w:ascii="宋体" w:hAnsi="宋体" w:cs="宋体"/>
                <w:color w:val="auto"/>
                <w:szCs w:val="21"/>
                <w:highlight w:val="none"/>
              </w:rPr>
            </w:pPr>
            <w:bookmarkStart w:id="76" w:name="_29.2.2（2）"/>
            <w:bookmarkEnd w:id="76"/>
            <w:r>
              <w:rPr>
                <w:rFonts w:hint="eastAsia" w:ascii="宋体" w:hAnsi="宋体" w:cs="宋体"/>
                <w:color w:val="auto"/>
                <w:szCs w:val="21"/>
                <w:highlight w:val="none"/>
              </w:rPr>
              <w:t>29.2</w:t>
            </w:r>
          </w:p>
        </w:tc>
        <w:tc>
          <w:tcPr>
            <w:tcW w:w="8708" w:type="dxa"/>
            <w:tcBorders>
              <w:top w:val="single" w:color="auto" w:sz="4" w:space="0"/>
              <w:left w:val="single" w:color="auto" w:sz="4" w:space="0"/>
              <w:right w:val="single" w:color="auto" w:sz="4" w:space="0"/>
            </w:tcBorders>
            <w:vAlign w:val="center"/>
          </w:tcPr>
          <w:p w14:paraId="3632EFF7">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▲负偏离要求</w:t>
            </w:r>
          </w:p>
          <w:p w14:paraId="113BEAB5">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商务要求评审中非▲条款允许负偏离的条款数为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项（按分标计算）。【负偏离达到</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项（含）或以上则投标无效】</w:t>
            </w:r>
          </w:p>
          <w:p w14:paraId="20F447F6">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技术要求评审中非▲条款允许负偏离的条款数为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项（按分标计算）【负偏离达到</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项（含）或以上则投标无效】。</w:t>
            </w:r>
          </w:p>
        </w:tc>
      </w:tr>
      <w:tr w14:paraId="524365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5" w:type="dxa"/>
            <w:vMerge w:val="continue"/>
            <w:tcBorders>
              <w:left w:val="single" w:color="auto" w:sz="4" w:space="0"/>
              <w:right w:val="single" w:color="auto" w:sz="4" w:space="0"/>
            </w:tcBorders>
            <w:vAlign w:val="center"/>
          </w:tcPr>
          <w:p w14:paraId="76946B1D">
            <w:pPr>
              <w:spacing w:line="400" w:lineRule="exact"/>
              <w:jc w:val="center"/>
              <w:rPr>
                <w:rFonts w:ascii="宋体" w:hAnsi="宋体" w:cs="宋体"/>
                <w:color w:val="auto"/>
                <w:szCs w:val="21"/>
                <w:highlight w:val="none"/>
              </w:rPr>
            </w:pPr>
          </w:p>
        </w:tc>
        <w:tc>
          <w:tcPr>
            <w:tcW w:w="8708" w:type="dxa"/>
            <w:tcBorders>
              <w:top w:val="single" w:color="auto" w:sz="4" w:space="0"/>
              <w:left w:val="single" w:color="auto" w:sz="4" w:space="0"/>
              <w:right w:val="single" w:color="auto" w:sz="4" w:space="0"/>
            </w:tcBorders>
            <w:vAlign w:val="center"/>
          </w:tcPr>
          <w:p w14:paraId="3A292D98">
            <w:pPr>
              <w:snapToGrid w:val="0"/>
              <w:spacing w:line="400" w:lineRule="exact"/>
              <w:rPr>
                <w:rFonts w:ascii="宋体" w:hAnsi="宋体" w:cs="宋体"/>
                <w:color w:val="auto"/>
                <w:szCs w:val="21"/>
                <w:highlight w:val="none"/>
                <w:u w:val="single"/>
              </w:rPr>
            </w:pPr>
            <w:r>
              <w:rPr>
                <w:rFonts w:hint="eastAsia" w:ascii="宋体" w:hAnsi="宋体" w:cs="宋体"/>
                <w:color w:val="auto"/>
                <w:highlight w:val="none"/>
              </w:rPr>
              <w:t>中标候选人推荐数量：3家</w:t>
            </w:r>
          </w:p>
        </w:tc>
      </w:tr>
      <w:tr w14:paraId="7DC805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08"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5533DFCB">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30.1</w:t>
            </w:r>
          </w:p>
        </w:tc>
        <w:tc>
          <w:tcPr>
            <w:tcW w:w="8708" w:type="dxa"/>
            <w:tcBorders>
              <w:top w:val="single" w:color="auto" w:sz="4" w:space="0"/>
              <w:left w:val="single" w:color="auto" w:sz="4" w:space="0"/>
              <w:bottom w:val="single" w:color="auto" w:sz="4" w:space="0"/>
              <w:right w:val="single" w:color="auto" w:sz="4" w:space="0"/>
            </w:tcBorders>
            <w:vAlign w:val="center"/>
          </w:tcPr>
          <w:p w14:paraId="717FE649">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采用综合评分法的采购项目，采购人确定</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时，出现中标候选人并列的情形，采购人按以下的方式确定</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w:t>
            </w:r>
            <w:r>
              <w:rPr>
                <w:rFonts w:hint="eastAsia" w:ascii="宋体" w:hAnsi="宋体" w:eastAsia="宋体" w:cs="宋体"/>
                <w:color w:val="auto"/>
                <w:szCs w:val="21"/>
                <w:highlight w:val="none"/>
              </w:rPr>
              <w:t>得分相同的，以投标报价由低到高顺序排列。得分相同且投标报价相同的并列，投标文件满足招标文件全部实质性要求，依次按政策分得分高的优先、技术评分高的优先、商务评分高的优先、质保期长优先、交货</w:t>
            </w:r>
            <w:r>
              <w:rPr>
                <w:rFonts w:hint="eastAsia" w:ascii="宋体" w:hAnsi="宋体" w:eastAsia="宋体" w:cs="宋体"/>
                <w:color w:val="auto"/>
                <w:szCs w:val="21"/>
                <w:highlight w:val="none"/>
                <w:lang w:eastAsia="zh-CN"/>
              </w:rPr>
              <w:t>时间</w:t>
            </w:r>
            <w:r>
              <w:rPr>
                <w:rFonts w:hint="eastAsia" w:ascii="宋体" w:hAnsi="宋体" w:eastAsia="宋体" w:cs="宋体"/>
                <w:color w:val="auto"/>
                <w:szCs w:val="21"/>
                <w:highlight w:val="none"/>
              </w:rPr>
              <w:t>短优先、</w:t>
            </w:r>
            <w:r>
              <w:rPr>
                <w:rFonts w:hint="eastAsia" w:ascii="宋体" w:hAnsi="宋体" w:eastAsia="宋体" w:cs="宋体"/>
                <w:color w:val="auto"/>
                <w:szCs w:val="21"/>
                <w:highlight w:val="none"/>
                <w:lang w:eastAsia="zh-CN"/>
              </w:rPr>
              <w:t>问题</w:t>
            </w:r>
            <w:r>
              <w:rPr>
                <w:rFonts w:hint="eastAsia" w:ascii="宋体" w:hAnsi="宋体" w:eastAsia="宋体" w:cs="宋体"/>
                <w:color w:val="auto"/>
                <w:szCs w:val="21"/>
                <w:highlight w:val="none"/>
              </w:rPr>
              <w:t>响应时间短优先的顺序确定</w:t>
            </w:r>
            <w:r>
              <w:rPr>
                <w:rFonts w:hint="eastAsia" w:ascii="宋体" w:hAnsi="宋体" w:cs="宋体"/>
                <w:color w:val="auto"/>
                <w:szCs w:val="21"/>
                <w:highlight w:val="none"/>
              </w:rPr>
              <w:t>。</w:t>
            </w:r>
          </w:p>
        </w:tc>
      </w:tr>
      <w:tr w14:paraId="2823A1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4A2274CA">
            <w:pPr>
              <w:spacing w:line="400" w:lineRule="exact"/>
              <w:jc w:val="center"/>
              <w:rPr>
                <w:rFonts w:ascii="宋体" w:hAnsi="宋体" w:cs="宋体"/>
                <w:color w:val="auto"/>
                <w:szCs w:val="21"/>
                <w:highlight w:val="none"/>
              </w:rPr>
            </w:pPr>
            <w:bookmarkStart w:id="77" w:name="_39.1"/>
            <w:bookmarkEnd w:id="77"/>
            <w:r>
              <w:rPr>
                <w:rFonts w:hint="eastAsia" w:ascii="宋体" w:hAnsi="宋体" w:cs="宋体"/>
                <w:color w:val="auto"/>
                <w:szCs w:val="21"/>
                <w:highlight w:val="none"/>
              </w:rPr>
              <w:t>35.1</w:t>
            </w:r>
          </w:p>
        </w:tc>
        <w:tc>
          <w:tcPr>
            <w:tcW w:w="8708" w:type="dxa"/>
            <w:tcBorders>
              <w:top w:val="single" w:color="auto" w:sz="4" w:space="0"/>
              <w:left w:val="single" w:color="auto" w:sz="4" w:space="0"/>
              <w:bottom w:val="single" w:color="auto" w:sz="4" w:space="0"/>
              <w:right w:val="single" w:color="auto" w:sz="4" w:space="0"/>
            </w:tcBorders>
            <w:vAlign w:val="center"/>
          </w:tcPr>
          <w:p w14:paraId="1A6CA4C8">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本项目不收取履约保证金。</w:t>
            </w:r>
          </w:p>
          <w:p w14:paraId="47BF2C67">
            <w:pPr>
              <w:autoSpaceDE w:val="0"/>
              <w:autoSpaceDN w:val="0"/>
              <w:snapToGrid w:val="0"/>
              <w:spacing w:line="360" w:lineRule="auto"/>
              <w:textAlignment w:val="bottom"/>
              <w:rPr>
                <w:rFonts w:ascii="宋体" w:hAnsi="宋体" w:cs="宋体"/>
                <w:color w:val="auto"/>
                <w:szCs w:val="21"/>
                <w:highlight w:val="none"/>
              </w:rPr>
            </w:pPr>
            <w:r>
              <w:rPr>
                <w:rFonts w:ascii="宋体" w:hAnsi="宋体" w:cs="宋体"/>
                <w:color w:val="auto"/>
                <w:kern w:val="0"/>
                <w:sz w:val="24"/>
                <w:highlight w:val="none"/>
              </w:rPr>
              <w:drawing>
                <wp:inline distT="0" distB="0" distL="114300" distR="114300">
                  <wp:extent cx="133350" cy="118745"/>
                  <wp:effectExtent l="0" t="0" r="3810" b="3175"/>
                  <wp:docPr id="3"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IMG_256"/>
                          <pic:cNvPicPr>
                            <a:picLocks noChangeAspect="1"/>
                          </pic:cNvPicPr>
                        </pic:nvPicPr>
                        <pic:blipFill>
                          <a:blip r:embed="rId13"/>
                          <a:stretch>
                            <a:fillRect/>
                          </a:stretch>
                        </pic:blipFill>
                        <pic:spPr>
                          <a:xfrm>
                            <a:off x="0" y="0"/>
                            <a:ext cx="133350" cy="118745"/>
                          </a:xfrm>
                          <a:prstGeom prst="rect">
                            <a:avLst/>
                          </a:prstGeom>
                          <a:noFill/>
                          <a:ln>
                            <a:noFill/>
                          </a:ln>
                        </pic:spPr>
                      </pic:pic>
                    </a:graphicData>
                  </a:graphic>
                </wp:inline>
              </w:drawing>
            </w:r>
            <w:r>
              <w:rPr>
                <w:rFonts w:hint="eastAsia" w:ascii="宋体" w:hAnsi="宋体" w:cs="宋体"/>
                <w:color w:val="auto"/>
                <w:szCs w:val="21"/>
                <w:highlight w:val="none"/>
              </w:rPr>
              <w:t>本项目收取履约保证金，具体规定如下：</w:t>
            </w:r>
          </w:p>
          <w:p w14:paraId="6631614C">
            <w:pPr>
              <w:pStyle w:val="7"/>
              <w:spacing w:line="360" w:lineRule="auto"/>
              <w:rPr>
                <w:rFonts w:ascii="宋体" w:hAnsi="宋体" w:cs="宋体"/>
                <w:color w:val="auto"/>
                <w:szCs w:val="21"/>
                <w:highlight w:val="none"/>
              </w:rPr>
            </w:pPr>
            <w:r>
              <w:rPr>
                <w:rFonts w:hint="eastAsia" w:ascii="宋体" w:hAnsi="宋体" w:cs="宋体"/>
                <w:color w:val="auto"/>
                <w:szCs w:val="21"/>
                <w:highlight w:val="none"/>
              </w:rPr>
              <w:t>履约保证金金额：合同签订前3个工作日内，按分标中标金额的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2</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3759CB4">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履约保证金递交方式：</w:t>
            </w:r>
            <w:r>
              <w:rPr>
                <w:rFonts w:hint="eastAsia" w:ascii="宋体" w:hAnsi="宋体" w:cs="宋体"/>
                <w:color w:val="auto"/>
                <w:szCs w:val="21"/>
                <w:highlight w:val="none"/>
                <w:u w:val="single"/>
              </w:rPr>
              <w:t>银行转账、支票、汇票、本票或者金融、担保机构出具的保函等非现金方式。</w:t>
            </w:r>
          </w:p>
          <w:p w14:paraId="6EDC1D27">
            <w:pPr>
              <w:autoSpaceDE w:val="0"/>
              <w:autoSpaceDN w:val="0"/>
              <w:snapToGrid w:val="0"/>
              <w:spacing w:line="360" w:lineRule="auto"/>
              <w:textAlignment w:val="bottom"/>
              <w:rPr>
                <w:rFonts w:ascii="宋体" w:hAnsi="宋体" w:cs="宋体"/>
                <w:color w:val="auto"/>
                <w:szCs w:val="21"/>
                <w:highlight w:val="none"/>
                <w:u w:val="single"/>
              </w:rPr>
            </w:pPr>
            <w:r>
              <w:rPr>
                <w:rFonts w:hint="eastAsia" w:ascii="宋体" w:hAnsi="宋体" w:cs="宋体"/>
                <w:color w:val="auto"/>
                <w:szCs w:val="21"/>
                <w:highlight w:val="none"/>
              </w:rPr>
              <w:t>履约保证金退付方式、时间及条件：</w:t>
            </w:r>
            <w:r>
              <w:rPr>
                <w:rFonts w:hint="eastAsia" w:ascii="宋体" w:hAnsi="宋体" w:cs="宋体"/>
                <w:color w:val="auto"/>
                <w:szCs w:val="21"/>
                <w:highlight w:val="none"/>
                <w:u w:val="single"/>
              </w:rPr>
              <w:t xml:space="preserve"> 自交货验收</w:t>
            </w:r>
            <w:r>
              <w:rPr>
                <w:rFonts w:hint="eastAsia" w:ascii="宋体" w:hAnsi="宋体" w:cs="宋体"/>
                <w:color w:val="auto"/>
                <w:szCs w:val="21"/>
                <w:highlight w:val="none"/>
                <w:u w:val="single"/>
                <w:lang w:val="en-GB" w:eastAsia="zh-CN"/>
              </w:rPr>
              <w:t>合格入库</w:t>
            </w:r>
            <w:r>
              <w:rPr>
                <w:rFonts w:hint="eastAsia" w:ascii="宋体" w:hAnsi="宋体" w:cs="宋体"/>
                <w:color w:val="auto"/>
                <w:szCs w:val="21"/>
                <w:highlight w:val="none"/>
                <w:u w:val="single"/>
                <w:lang w:eastAsia="zh-CN"/>
              </w:rPr>
              <w:t>及</w:t>
            </w:r>
            <w:r>
              <w:rPr>
                <w:rFonts w:hint="eastAsia" w:ascii="宋体" w:hAnsi="宋体" w:cs="宋体"/>
                <w:color w:val="auto"/>
                <w:szCs w:val="21"/>
                <w:highlight w:val="none"/>
                <w:u w:val="single"/>
              </w:rPr>
              <w:t>履行完</w:t>
            </w:r>
            <w:r>
              <w:rPr>
                <w:rFonts w:hint="eastAsia" w:ascii="宋体" w:hAnsi="宋体" w:cs="宋体"/>
                <w:color w:val="auto"/>
                <w:szCs w:val="21"/>
                <w:highlight w:val="none"/>
                <w:u w:val="single"/>
                <w:lang w:eastAsia="zh-CN"/>
              </w:rPr>
              <w:t>相关</w:t>
            </w:r>
            <w:r>
              <w:rPr>
                <w:rFonts w:hint="eastAsia" w:ascii="宋体" w:hAnsi="宋体" w:cs="宋体"/>
                <w:color w:val="auto"/>
                <w:szCs w:val="21"/>
                <w:highlight w:val="none"/>
                <w:u w:val="single"/>
              </w:rPr>
              <w:t>义务（按合同约定履行完合同所有内容，包括但不限于承诺的免费保修）后，中标人向采购人提出办理退还履约保证金，采购人应在收到申请相关材料（由中标人向履约保证金收取单位提供《广西壮族自治区政府采购项目合同验收书》（详见桂财采〔2015〕22号））后</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个工作日内完成无息退付，如有扣除履约保证金的情形，只退履约保证金扣除后的余款（无息）。</w:t>
            </w:r>
          </w:p>
          <w:p w14:paraId="26B166E5">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履约保证金指定账户：</w:t>
            </w:r>
          </w:p>
          <w:p w14:paraId="2BCF1D0C">
            <w:pPr>
              <w:suppressAutoHyphens/>
              <w:snapToGrid w:val="0"/>
              <w:spacing w:line="440" w:lineRule="exact"/>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开户名称：广西壮族自治区中医药研究院</w:t>
            </w:r>
          </w:p>
          <w:p w14:paraId="472A6BF2">
            <w:pPr>
              <w:suppressAutoHyphens/>
              <w:snapToGrid w:val="0"/>
              <w:spacing w:line="440" w:lineRule="exact"/>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开户银行：建行南宁市新城支行营业部</w:t>
            </w:r>
          </w:p>
          <w:p w14:paraId="17A82CAB">
            <w:pPr>
              <w:suppressAutoHyphens/>
              <w:snapToGrid w:val="0"/>
              <w:spacing w:line="440" w:lineRule="exact"/>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银行账号：45001604254050503752</w:t>
            </w:r>
          </w:p>
          <w:p w14:paraId="602F8846">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备注：</w:t>
            </w:r>
          </w:p>
          <w:p w14:paraId="44A2A18A">
            <w:pPr>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 xml:space="preserve">1. </w:t>
            </w:r>
            <w:bookmarkStart w:id="78" w:name="_Hlk54170335"/>
            <w:r>
              <w:rPr>
                <w:rFonts w:hint="eastAsia" w:ascii="宋体" w:hAnsi="宋体" w:cs="宋体"/>
                <w:b/>
                <w:color w:val="auto"/>
                <w:szCs w:val="21"/>
                <w:highlight w:val="none"/>
              </w:rPr>
              <w:t>根据《广西壮族自治区财政厅关于持续优化政府采购营商环境推动高质量发展的通知》（桂财采〔202</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55</w:t>
            </w:r>
            <w:r>
              <w:rPr>
                <w:rFonts w:hint="eastAsia" w:ascii="宋体" w:hAnsi="宋体" w:cs="宋体"/>
                <w:b/>
                <w:color w:val="auto"/>
                <w:szCs w:val="21"/>
                <w:highlight w:val="none"/>
              </w:rPr>
              <w:t>号）规定，鼓励采购人在与中小微企业签订政府采购合同时，减少或免于收取履约保证金，有必要收取履约保证金的，收取的履约保证金不得超过政府采购合同金额的5%。</w:t>
            </w:r>
            <w:bookmarkEnd w:id="78"/>
          </w:p>
          <w:p w14:paraId="1CBDD2FC">
            <w:pPr>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cs="宋体"/>
                <w:color w:val="auto"/>
                <w:szCs w:val="21"/>
                <w:highlight w:val="none"/>
              </w:rPr>
              <w:t xml:space="preserve"> </w:t>
            </w:r>
            <w:r>
              <w:rPr>
                <w:rFonts w:hint="eastAsia" w:ascii="宋体" w:hAnsi="宋体" w:cs="宋体"/>
                <w:b/>
                <w:color w:val="auto"/>
                <w:szCs w:val="21"/>
                <w:highlight w:val="none"/>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58FF4F68">
            <w:pPr>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3.采用金融、担保机构出具的保函的，必须为无条件保函，否则不予签订合同。</w:t>
            </w:r>
          </w:p>
          <w:p w14:paraId="5E976C19">
            <w:pPr>
              <w:pStyle w:val="10"/>
              <w:rPr>
                <w:rFonts w:hAnsi="宋体"/>
                <w:color w:val="auto"/>
                <w:highlight w:val="none"/>
              </w:rPr>
            </w:pPr>
            <w:r>
              <w:rPr>
                <w:rFonts w:hint="eastAsia" w:hAnsi="宋体"/>
                <w:b/>
                <w:color w:val="auto"/>
                <w:kern w:val="2"/>
                <w:sz w:val="21"/>
                <w:szCs w:val="21"/>
                <w:highlight w:val="none"/>
              </w:rPr>
              <w:t>4.投标人为联合体的，由联合体其中一方按规定提交的履约保证金，视为有效履约保证金。</w:t>
            </w:r>
          </w:p>
        </w:tc>
      </w:tr>
      <w:tr w14:paraId="6679BC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804489A">
            <w:pPr>
              <w:spacing w:line="400" w:lineRule="exact"/>
              <w:jc w:val="center"/>
              <w:rPr>
                <w:rFonts w:ascii="宋体" w:hAnsi="宋体" w:cs="宋体"/>
                <w:color w:val="auto"/>
                <w:szCs w:val="21"/>
                <w:highlight w:val="none"/>
              </w:rPr>
            </w:pPr>
            <w:bookmarkStart w:id="79" w:name="_40.1"/>
            <w:bookmarkEnd w:id="79"/>
            <w:r>
              <w:rPr>
                <w:rFonts w:hint="eastAsia" w:ascii="宋体" w:hAnsi="宋体" w:cs="宋体"/>
                <w:color w:val="auto"/>
                <w:szCs w:val="21"/>
                <w:highlight w:val="none"/>
              </w:rPr>
              <w:t>36.1</w:t>
            </w:r>
          </w:p>
        </w:tc>
        <w:tc>
          <w:tcPr>
            <w:tcW w:w="8708" w:type="dxa"/>
            <w:tcBorders>
              <w:top w:val="single" w:color="auto" w:sz="4" w:space="0"/>
              <w:left w:val="single" w:color="auto" w:sz="4" w:space="0"/>
              <w:bottom w:val="single" w:color="auto" w:sz="4" w:space="0"/>
              <w:right w:val="single" w:color="auto" w:sz="4" w:space="0"/>
            </w:tcBorders>
            <w:vAlign w:val="center"/>
          </w:tcPr>
          <w:p w14:paraId="424E8A26">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 xml:space="preserve">签订合同携带的证明材料： </w:t>
            </w:r>
          </w:p>
          <w:p w14:paraId="7690C109">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1、委托代理人负责签订合同的，须携带授权委托书及委托代理人身份证原件等其他资格证件。</w:t>
            </w:r>
          </w:p>
          <w:p w14:paraId="4B8A4A31">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rPr>
              <w:t>2、法定代表人负责签订合同的，须携带法定代表人身份证明原件及身份证原件等其他证明材料。</w:t>
            </w:r>
          </w:p>
        </w:tc>
      </w:tr>
      <w:tr w14:paraId="696518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6F12CB2">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38.2</w:t>
            </w:r>
          </w:p>
        </w:tc>
        <w:tc>
          <w:tcPr>
            <w:tcW w:w="8708" w:type="dxa"/>
            <w:tcBorders>
              <w:top w:val="single" w:color="auto" w:sz="4" w:space="0"/>
              <w:left w:val="single" w:color="auto" w:sz="4" w:space="0"/>
              <w:bottom w:val="single" w:color="auto" w:sz="4" w:space="0"/>
              <w:right w:val="single" w:color="auto" w:sz="4" w:space="0"/>
            </w:tcBorders>
            <w:vAlign w:val="center"/>
          </w:tcPr>
          <w:p w14:paraId="3E15CAB2">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接收质疑函方式：以纸质书面形式</w:t>
            </w:r>
          </w:p>
          <w:p w14:paraId="664CC524">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质疑联系部门及联系方式：广西国泰招标咨询有限公司，质疑联系人：</w:t>
            </w:r>
            <w:r>
              <w:rPr>
                <w:rFonts w:hint="eastAsia" w:ascii="宋体" w:hAnsi="宋体" w:cs="宋体"/>
                <w:color w:val="auto"/>
                <w:szCs w:val="21"/>
                <w:highlight w:val="none"/>
                <w:lang w:eastAsia="zh-CN"/>
              </w:rPr>
              <w:t>卢秋月、曾液丽</w:t>
            </w: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0771-2023537、0771-2023587</w:t>
            </w:r>
            <w:r>
              <w:rPr>
                <w:rFonts w:hint="eastAsia" w:ascii="宋体" w:hAnsi="宋体" w:cs="宋体"/>
                <w:color w:val="auto"/>
                <w:szCs w:val="21"/>
                <w:highlight w:val="none"/>
              </w:rPr>
              <w:t>，通讯地址：广西南宁市民族大道141号中鼎万象东方D区六楼607室</w:t>
            </w:r>
          </w:p>
          <w:p w14:paraId="20E59DB2">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highlight w:val="none"/>
              </w:rPr>
              <w:t>现场提交质疑办理业务时间：质疑期内每个工作日</w:t>
            </w:r>
            <w:r>
              <w:rPr>
                <w:rFonts w:hint="eastAsia" w:ascii="宋体" w:hAnsi="宋体" w:cs="宋体"/>
                <w:color w:val="auto"/>
                <w:highlight w:val="none"/>
                <w:u w:val="single"/>
              </w:rPr>
              <w:t>09</w:t>
            </w:r>
            <w:r>
              <w:rPr>
                <w:rFonts w:hint="eastAsia" w:ascii="宋体" w:hAnsi="宋体" w:cs="宋体"/>
                <w:color w:val="auto"/>
                <w:highlight w:val="none"/>
              </w:rPr>
              <w:t>时</w:t>
            </w:r>
            <w:r>
              <w:rPr>
                <w:rFonts w:hint="eastAsia" w:ascii="宋体" w:hAnsi="宋体" w:cs="宋体"/>
                <w:color w:val="auto"/>
                <w:highlight w:val="none"/>
                <w:u w:val="single"/>
              </w:rPr>
              <w:t>00</w:t>
            </w:r>
            <w:r>
              <w:rPr>
                <w:rFonts w:hint="eastAsia" w:ascii="宋体" w:hAnsi="宋体" w:cs="宋体"/>
                <w:color w:val="auto"/>
                <w:highlight w:val="none"/>
              </w:rPr>
              <w:t>分到</w:t>
            </w:r>
            <w:r>
              <w:rPr>
                <w:rFonts w:hint="eastAsia" w:ascii="宋体" w:hAnsi="宋体" w:cs="宋体"/>
                <w:color w:val="auto"/>
                <w:highlight w:val="none"/>
                <w:u w:val="single"/>
              </w:rPr>
              <w:t xml:space="preserve"> 12 </w:t>
            </w:r>
            <w:r>
              <w:rPr>
                <w:rFonts w:hint="eastAsia" w:ascii="宋体" w:hAnsi="宋体" w:cs="宋体"/>
                <w:color w:val="auto"/>
                <w:highlight w:val="none"/>
              </w:rPr>
              <w:t>时</w:t>
            </w:r>
            <w:r>
              <w:rPr>
                <w:rFonts w:hint="eastAsia" w:ascii="宋体" w:hAnsi="宋体" w:cs="宋体"/>
                <w:color w:val="auto"/>
                <w:highlight w:val="none"/>
                <w:u w:val="single"/>
              </w:rPr>
              <w:t>00</w:t>
            </w:r>
            <w:r>
              <w:rPr>
                <w:rFonts w:hint="eastAsia" w:ascii="宋体" w:hAnsi="宋体" w:cs="宋体"/>
                <w:color w:val="auto"/>
                <w:highlight w:val="none"/>
              </w:rPr>
              <w:t>分，</w:t>
            </w:r>
            <w:r>
              <w:rPr>
                <w:rFonts w:hint="eastAsia" w:ascii="宋体" w:hAnsi="宋体" w:cs="宋体"/>
                <w:color w:val="auto"/>
                <w:highlight w:val="none"/>
                <w:u w:val="single"/>
              </w:rPr>
              <w:t xml:space="preserve"> 15 </w:t>
            </w:r>
            <w:r>
              <w:rPr>
                <w:rFonts w:hint="eastAsia" w:ascii="宋体" w:hAnsi="宋体" w:cs="宋体"/>
                <w:color w:val="auto"/>
                <w:highlight w:val="none"/>
              </w:rPr>
              <w:t>时</w:t>
            </w:r>
            <w:r>
              <w:rPr>
                <w:rFonts w:hint="eastAsia" w:ascii="宋体" w:hAnsi="宋体" w:cs="宋体"/>
                <w:color w:val="auto"/>
                <w:highlight w:val="none"/>
                <w:u w:val="single"/>
              </w:rPr>
              <w:t>00</w:t>
            </w:r>
            <w:r>
              <w:rPr>
                <w:rFonts w:hint="eastAsia" w:ascii="宋体" w:hAnsi="宋体" w:cs="宋体"/>
                <w:color w:val="auto"/>
                <w:highlight w:val="none"/>
              </w:rPr>
              <w:t>分到</w:t>
            </w:r>
            <w:r>
              <w:rPr>
                <w:rFonts w:hint="eastAsia" w:ascii="宋体" w:hAnsi="宋体" w:cs="宋体"/>
                <w:color w:val="auto"/>
                <w:highlight w:val="none"/>
                <w:u w:val="single"/>
              </w:rPr>
              <w:t xml:space="preserve"> 17 </w:t>
            </w:r>
            <w:r>
              <w:rPr>
                <w:rFonts w:hint="eastAsia" w:ascii="宋体" w:hAnsi="宋体" w:cs="宋体"/>
                <w:color w:val="auto"/>
                <w:highlight w:val="none"/>
              </w:rPr>
              <w:t>时30分。</w:t>
            </w:r>
          </w:p>
        </w:tc>
      </w:tr>
      <w:tr w14:paraId="01198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E4357EA">
            <w:pPr>
              <w:spacing w:line="400" w:lineRule="exact"/>
              <w:jc w:val="center"/>
              <w:rPr>
                <w:rFonts w:ascii="宋体" w:hAnsi="宋体" w:cs="宋体"/>
                <w:color w:val="auto"/>
                <w:szCs w:val="21"/>
                <w:highlight w:val="none"/>
              </w:rPr>
            </w:pPr>
            <w:bookmarkStart w:id="80" w:name="_42"/>
            <w:bookmarkEnd w:id="80"/>
            <w:bookmarkStart w:id="81" w:name="_41"/>
            <w:bookmarkEnd w:id="81"/>
            <w:bookmarkStart w:id="82" w:name="_Hlt17709148"/>
            <w:r>
              <w:rPr>
                <w:rFonts w:hint="eastAsia" w:ascii="宋体" w:hAnsi="宋体" w:cs="宋体"/>
                <w:color w:val="auto"/>
                <w:szCs w:val="21"/>
                <w:highlight w:val="none"/>
              </w:rPr>
              <w:t>3</w:t>
            </w:r>
            <w:bookmarkEnd w:id="82"/>
            <w:r>
              <w:rPr>
                <w:rFonts w:hint="eastAsia" w:ascii="宋体" w:hAnsi="宋体" w:cs="宋体"/>
                <w:color w:val="auto"/>
                <w:szCs w:val="21"/>
                <w:highlight w:val="none"/>
              </w:rPr>
              <w:t>9.1</w:t>
            </w:r>
          </w:p>
        </w:tc>
        <w:tc>
          <w:tcPr>
            <w:tcW w:w="8708" w:type="dxa"/>
            <w:tcBorders>
              <w:top w:val="single" w:color="auto" w:sz="4" w:space="0"/>
              <w:left w:val="single" w:color="auto" w:sz="4" w:space="0"/>
              <w:bottom w:val="single" w:color="auto" w:sz="4" w:space="0"/>
              <w:right w:val="single" w:color="auto" w:sz="4" w:space="0"/>
            </w:tcBorders>
            <w:vAlign w:val="center"/>
          </w:tcPr>
          <w:p w14:paraId="6C56588B">
            <w:pPr>
              <w:pStyle w:val="13"/>
              <w:snapToGrid w:val="0"/>
              <w:spacing w:line="400" w:lineRule="exact"/>
              <w:rPr>
                <w:rFonts w:hAnsi="宋体" w:cs="宋体"/>
                <w:color w:val="auto"/>
                <w:sz w:val="21"/>
                <w:highlight w:val="none"/>
              </w:rPr>
            </w:pPr>
            <w:r>
              <w:rPr>
                <w:rFonts w:hint="eastAsia" w:hAnsi="宋体" w:cs="宋体"/>
                <w:b/>
                <w:bCs/>
                <w:color w:val="auto"/>
                <w:sz w:val="21"/>
                <w:highlight w:val="none"/>
              </w:rPr>
              <w:t>1、采购代理服务费支付方式：</w:t>
            </w:r>
            <w:r>
              <w:rPr>
                <w:rFonts w:hint="eastAsia" w:hAnsi="宋体" w:cs="宋体"/>
                <w:color w:val="auto"/>
                <w:sz w:val="21"/>
                <w:highlight w:val="none"/>
              </w:rPr>
              <w:t>本项目的招标代理服务费按以下收费标准向</w:t>
            </w:r>
            <w:r>
              <w:rPr>
                <w:rFonts w:hint="eastAsia" w:hAnsi="宋体" w:cs="宋体"/>
                <w:color w:val="auto"/>
                <w:sz w:val="21"/>
                <w:highlight w:val="none"/>
                <w:lang w:eastAsia="zh-CN"/>
              </w:rPr>
              <w:t>中标人</w:t>
            </w:r>
            <w:r>
              <w:rPr>
                <w:rFonts w:hint="eastAsia" w:hAnsi="宋体" w:cs="宋体"/>
                <w:color w:val="auto"/>
                <w:sz w:val="21"/>
                <w:highlight w:val="none"/>
              </w:rPr>
              <w:t>收取，领取中标通知书前，</w:t>
            </w:r>
            <w:r>
              <w:rPr>
                <w:rFonts w:hint="eastAsia" w:hAnsi="宋体" w:cs="宋体"/>
                <w:color w:val="auto"/>
                <w:sz w:val="21"/>
                <w:highlight w:val="none"/>
                <w:lang w:eastAsia="zh-CN"/>
              </w:rPr>
              <w:t>中标人</w:t>
            </w:r>
            <w:r>
              <w:rPr>
                <w:rFonts w:hint="eastAsia" w:hAnsi="宋体" w:cs="宋体"/>
                <w:color w:val="auto"/>
                <w:sz w:val="21"/>
                <w:highlight w:val="none"/>
              </w:rPr>
              <w:t>应向采购代理机构一次付清招标代理服务费，否则采购代理机构有权不予以办理。</w:t>
            </w:r>
          </w:p>
          <w:p w14:paraId="0F6BABB4">
            <w:pPr>
              <w:pStyle w:val="13"/>
              <w:snapToGrid w:val="0"/>
              <w:spacing w:line="400" w:lineRule="exact"/>
              <w:rPr>
                <w:rFonts w:hint="eastAsia" w:ascii="宋体" w:hAnsi="宋体" w:eastAsia="宋体" w:cs="宋体"/>
                <w:color w:val="auto"/>
                <w:szCs w:val="21"/>
                <w:highlight w:val="none"/>
              </w:rPr>
            </w:pPr>
            <w:r>
              <w:rPr>
                <w:rFonts w:hint="eastAsia" w:hAnsi="宋体" w:cs="宋体"/>
                <w:b/>
                <w:bCs/>
                <w:color w:val="auto"/>
                <w:sz w:val="21"/>
                <w:highlight w:val="none"/>
              </w:rPr>
              <w:t>2、采购代理服务费收取：</w:t>
            </w:r>
            <w:r>
              <w:rPr>
                <w:rFonts w:hint="eastAsia" w:ascii="宋体" w:hAnsi="宋体" w:eastAsia="宋体" w:cs="宋体"/>
                <w:color w:val="auto"/>
                <w:sz w:val="21"/>
                <w:szCs w:val="21"/>
                <w:highlight w:val="none"/>
              </w:rPr>
              <w:t>本项目的招标代理服务费参照原《招标代理服务收费管理暂行办法》（计价格【2002】1980号）和《国家发展改革委关于降低部分建设项目收费标准规范收费行为等有关问题的通知》（发改价格[2011]534号）的规定标准（</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类）下浮20%计取（如不足5000元，按5000元/项目计取）向成交供应商收取，成交供应商应向采购代理机构一次付清代理服务费。</w:t>
            </w:r>
          </w:p>
          <w:p w14:paraId="62A3149B">
            <w:pPr>
              <w:pStyle w:val="13"/>
              <w:snapToGrid w:val="0"/>
              <w:spacing w:line="400" w:lineRule="exact"/>
              <w:rPr>
                <w:rFonts w:hAnsi="宋体" w:cs="宋体"/>
                <w:b/>
                <w:bCs/>
                <w:color w:val="auto"/>
                <w:sz w:val="21"/>
                <w:highlight w:val="none"/>
              </w:rPr>
            </w:pPr>
            <w:r>
              <w:rPr>
                <w:rFonts w:hint="eastAsia" w:hAnsi="宋体" w:cs="宋体"/>
                <w:b/>
                <w:bCs/>
                <w:color w:val="auto"/>
                <w:sz w:val="21"/>
                <w:highlight w:val="none"/>
              </w:rPr>
              <w:t xml:space="preserve">3、招标代理服务费缴纳账户信息 </w:t>
            </w:r>
          </w:p>
          <w:p w14:paraId="64C485E7">
            <w:pPr>
              <w:pStyle w:val="13"/>
              <w:snapToGrid w:val="0"/>
              <w:spacing w:line="400" w:lineRule="exact"/>
              <w:rPr>
                <w:rFonts w:hAnsi="宋体" w:cs="宋体"/>
                <w:color w:val="auto"/>
                <w:sz w:val="21"/>
                <w:highlight w:val="none"/>
              </w:rPr>
            </w:pPr>
            <w:r>
              <w:rPr>
                <w:rFonts w:hint="eastAsia" w:hAnsi="宋体" w:cs="宋体"/>
                <w:color w:val="auto"/>
                <w:sz w:val="21"/>
                <w:highlight w:val="none"/>
              </w:rPr>
              <w:t>账户名称：广西国泰招标咨询有限公司南宁第七分公司</w:t>
            </w:r>
          </w:p>
          <w:p w14:paraId="37787F9B">
            <w:pPr>
              <w:pStyle w:val="13"/>
              <w:snapToGrid w:val="0"/>
              <w:spacing w:line="400" w:lineRule="exact"/>
              <w:rPr>
                <w:rFonts w:hAnsi="宋体" w:cs="宋体"/>
                <w:color w:val="auto"/>
                <w:sz w:val="21"/>
                <w:highlight w:val="none"/>
              </w:rPr>
            </w:pPr>
            <w:r>
              <w:rPr>
                <w:rFonts w:hint="eastAsia" w:hAnsi="宋体" w:cs="宋体"/>
                <w:color w:val="auto"/>
                <w:sz w:val="21"/>
                <w:highlight w:val="none"/>
              </w:rPr>
              <w:t>开户银行：广西北部湾银行股份有限公司南宁市云景支行</w:t>
            </w:r>
          </w:p>
          <w:p w14:paraId="1ADE2859">
            <w:pPr>
              <w:pStyle w:val="13"/>
              <w:snapToGrid w:val="0"/>
              <w:spacing w:line="400" w:lineRule="exact"/>
              <w:rPr>
                <w:rFonts w:hAnsi="宋体" w:cs="宋体"/>
                <w:color w:val="auto"/>
                <w:sz w:val="21"/>
                <w:highlight w:val="none"/>
              </w:rPr>
            </w:pPr>
            <w:r>
              <w:rPr>
                <w:rFonts w:hint="eastAsia" w:hAnsi="宋体" w:cs="宋体"/>
                <w:color w:val="auto"/>
                <w:sz w:val="21"/>
                <w:highlight w:val="none"/>
              </w:rPr>
              <w:t>账户号码：805213831000002</w:t>
            </w:r>
          </w:p>
          <w:p w14:paraId="1E4A935E">
            <w:pPr>
              <w:pStyle w:val="13"/>
              <w:snapToGrid w:val="0"/>
              <w:spacing w:line="400" w:lineRule="exact"/>
              <w:rPr>
                <w:rFonts w:hAnsi="宋体" w:cs="宋体"/>
                <w:color w:val="auto"/>
                <w:sz w:val="21"/>
                <w:highlight w:val="none"/>
              </w:rPr>
            </w:pPr>
            <w:r>
              <w:rPr>
                <w:rFonts w:hint="eastAsia" w:hAnsi="宋体" w:cs="宋体"/>
                <w:color w:val="auto"/>
                <w:sz w:val="21"/>
                <w:highlight w:val="none"/>
              </w:rPr>
              <w:t>基本存款账户编号：J6110065646201</w:t>
            </w:r>
          </w:p>
        </w:tc>
      </w:tr>
      <w:tr w14:paraId="62C825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FF0F332">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40.1</w:t>
            </w:r>
          </w:p>
        </w:tc>
        <w:tc>
          <w:tcPr>
            <w:tcW w:w="8708" w:type="dxa"/>
            <w:tcBorders>
              <w:top w:val="single" w:color="auto" w:sz="4" w:space="0"/>
              <w:left w:val="single" w:color="auto" w:sz="4" w:space="0"/>
              <w:bottom w:val="single" w:color="auto" w:sz="4" w:space="0"/>
              <w:right w:val="single" w:color="auto" w:sz="4" w:space="0"/>
            </w:tcBorders>
            <w:vAlign w:val="center"/>
          </w:tcPr>
          <w:p w14:paraId="61D8DE03">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0B8E87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15FAD2D">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40.2</w:t>
            </w:r>
          </w:p>
        </w:tc>
        <w:tc>
          <w:tcPr>
            <w:tcW w:w="8708" w:type="dxa"/>
            <w:tcBorders>
              <w:top w:val="single" w:color="auto" w:sz="4" w:space="0"/>
              <w:left w:val="single" w:color="auto" w:sz="4" w:space="0"/>
              <w:bottom w:val="single" w:color="auto" w:sz="4" w:space="0"/>
              <w:right w:val="single" w:color="auto" w:sz="4" w:space="0"/>
            </w:tcBorders>
            <w:vAlign w:val="center"/>
          </w:tcPr>
          <w:p w14:paraId="6F5F7543">
            <w:pPr>
              <w:pStyle w:val="13"/>
              <w:snapToGrid w:val="0"/>
              <w:spacing w:line="400" w:lineRule="exact"/>
              <w:rPr>
                <w:rFonts w:hAnsi="宋体" w:cs="宋体"/>
                <w:bCs/>
                <w:color w:val="auto"/>
                <w:sz w:val="21"/>
                <w:highlight w:val="none"/>
              </w:rPr>
            </w:pPr>
            <w:r>
              <w:rPr>
                <w:rFonts w:hint="eastAsia" w:hAnsi="宋体" w:cs="宋体"/>
                <w:bCs/>
                <w:color w:val="auto"/>
                <w:sz w:val="21"/>
                <w:highlight w:val="none"/>
              </w:rPr>
              <w:t>1、本招标文件中描述投标人的“公章”是指根据我国对公章的管理规定，用投标人法定主体行为名称制作的印章</w:t>
            </w:r>
            <w:r>
              <w:rPr>
                <w:rFonts w:hint="eastAsia" w:hAnsi="宋体" w:cs="宋体"/>
                <w:color w:val="auto"/>
                <w:sz w:val="21"/>
                <w:highlight w:val="none"/>
              </w:rPr>
              <w:t>（含电子印章）</w:t>
            </w:r>
            <w:r>
              <w:rPr>
                <w:rFonts w:hint="eastAsia" w:hAnsi="宋体" w:cs="宋体"/>
                <w:bCs/>
                <w:color w:val="auto"/>
                <w:sz w:val="21"/>
                <w:highlight w:val="none"/>
              </w:rPr>
              <w:t>，除本招标文件有特殊规定外，投标人的财务章、部门章、分公司章、工会章、合同章、投标专用章、业务专用章及银行的转账章、现金收讫章、现金付讫章等其他形式印章均不能代替公章。</w:t>
            </w:r>
          </w:p>
          <w:p w14:paraId="430C68C8">
            <w:pPr>
              <w:pStyle w:val="13"/>
              <w:snapToGrid w:val="0"/>
              <w:spacing w:line="400" w:lineRule="exact"/>
              <w:rPr>
                <w:rFonts w:hAnsi="宋体" w:cs="宋体"/>
                <w:bCs/>
                <w:color w:val="auto"/>
                <w:sz w:val="21"/>
                <w:highlight w:val="none"/>
              </w:rPr>
            </w:pPr>
            <w:r>
              <w:rPr>
                <w:rFonts w:hint="eastAsia" w:hAnsi="宋体" w:cs="宋体"/>
                <w:bCs/>
                <w:color w:val="auto"/>
                <w:sz w:val="21"/>
                <w:highlight w:val="none"/>
              </w:rPr>
              <w:t>2、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3A0BCB19">
            <w:pPr>
              <w:pStyle w:val="13"/>
              <w:snapToGrid w:val="0"/>
              <w:spacing w:line="400" w:lineRule="exact"/>
              <w:rPr>
                <w:rFonts w:hAnsi="宋体" w:cs="宋体"/>
                <w:bCs/>
                <w:color w:val="auto"/>
                <w:sz w:val="21"/>
                <w:highlight w:val="none"/>
              </w:rPr>
            </w:pPr>
            <w:r>
              <w:rPr>
                <w:rFonts w:hint="eastAsia" w:hAnsi="宋体" w:cs="宋体"/>
                <w:bCs/>
                <w:color w:val="auto"/>
                <w:sz w:val="21"/>
                <w:highlight w:val="none"/>
              </w:rPr>
              <w:t>3、本招标文件中描述投标人的“签字”是指投标人的法定代表人或者委托代理人</w:t>
            </w:r>
            <w:r>
              <w:rPr>
                <w:rFonts w:hint="eastAsia" w:hAnsi="宋体" w:cs="宋体"/>
                <w:color w:val="auto"/>
                <w:sz w:val="21"/>
                <w:highlight w:val="none"/>
              </w:rPr>
              <w:t>在文件规定签署处签名（含电子签名）的行为，私章、印鉴等其他形式均不能代替签字</w:t>
            </w:r>
            <w:r>
              <w:rPr>
                <w:rFonts w:hint="eastAsia" w:hAnsi="宋体" w:cs="宋体"/>
                <w:bCs/>
                <w:color w:val="auto"/>
                <w:sz w:val="21"/>
                <w:highlight w:val="none"/>
              </w:rPr>
              <w:t>。</w:t>
            </w:r>
          </w:p>
          <w:p w14:paraId="4B09DC1A">
            <w:pPr>
              <w:pStyle w:val="13"/>
              <w:snapToGrid w:val="0"/>
              <w:spacing w:line="400" w:lineRule="exact"/>
              <w:rPr>
                <w:rFonts w:hAnsi="宋体" w:cs="宋体"/>
                <w:bCs/>
                <w:color w:val="auto"/>
                <w:sz w:val="21"/>
                <w:highlight w:val="none"/>
              </w:rPr>
            </w:pPr>
            <w:r>
              <w:rPr>
                <w:rFonts w:hint="eastAsia" w:hAnsi="宋体" w:cs="宋体"/>
                <w:bCs/>
                <w:color w:val="auto"/>
                <w:sz w:val="21"/>
                <w:highlight w:val="none"/>
              </w:rPr>
              <w:t>4、自然人投标的，招标文件规定盖公章处由自然人摁手指指印。</w:t>
            </w:r>
          </w:p>
          <w:p w14:paraId="2EB2ABF5">
            <w:pPr>
              <w:spacing w:line="400" w:lineRule="exact"/>
              <w:jc w:val="left"/>
              <w:rPr>
                <w:rFonts w:ascii="宋体" w:hAnsi="宋体" w:cs="宋体"/>
                <w:color w:val="auto"/>
                <w:szCs w:val="21"/>
                <w:highlight w:val="none"/>
              </w:rPr>
            </w:pPr>
            <w:r>
              <w:rPr>
                <w:rFonts w:hint="eastAsia" w:ascii="宋体" w:hAnsi="宋体" w:cs="宋体"/>
                <w:bCs/>
                <w:color w:val="auto"/>
                <w:szCs w:val="21"/>
                <w:highlight w:val="none"/>
              </w:rPr>
              <w:t>5、本招标文件所称的“以上”“以下”“以内”“届满”，包括本数；所称的“不满”“超过”“以外”，不包括本数。</w:t>
            </w:r>
          </w:p>
        </w:tc>
      </w:tr>
    </w:tbl>
    <w:p w14:paraId="1AD92834">
      <w:pPr>
        <w:snapToGrid w:val="0"/>
        <w:rPr>
          <w:rFonts w:ascii="宋体" w:hAnsi="宋体" w:cs="宋体"/>
          <w:color w:val="auto"/>
          <w:sz w:val="24"/>
          <w:szCs w:val="20"/>
          <w:highlight w:val="none"/>
        </w:rPr>
      </w:pPr>
    </w:p>
    <w:p w14:paraId="71E22250">
      <w:pPr>
        <w:snapToGrid w:val="0"/>
        <w:rPr>
          <w:rFonts w:ascii="宋体" w:hAnsi="宋体" w:cs="宋体"/>
          <w:color w:val="auto"/>
          <w:sz w:val="24"/>
          <w:szCs w:val="20"/>
          <w:highlight w:val="none"/>
        </w:rPr>
      </w:pPr>
    </w:p>
    <w:p w14:paraId="1ABF7C20">
      <w:pPr>
        <w:spacing w:line="480" w:lineRule="auto"/>
        <w:jc w:val="center"/>
        <w:rPr>
          <w:rFonts w:ascii="宋体" w:hAnsi="宋体" w:cs="宋体"/>
          <w:b/>
          <w:bCs/>
          <w:color w:val="auto"/>
          <w:sz w:val="32"/>
          <w:szCs w:val="32"/>
          <w:highlight w:val="none"/>
        </w:rPr>
      </w:pPr>
      <w:r>
        <w:rPr>
          <w:rFonts w:hint="eastAsia" w:ascii="宋体" w:hAnsi="宋体" w:cs="宋体"/>
          <w:color w:val="auto"/>
          <w:highlight w:val="none"/>
        </w:rPr>
        <w:br w:type="page"/>
      </w:r>
      <w:r>
        <w:rPr>
          <w:rFonts w:hint="eastAsia" w:ascii="宋体" w:hAnsi="宋体" w:cs="宋体"/>
          <w:b/>
          <w:bCs/>
          <w:color w:val="auto"/>
          <w:sz w:val="32"/>
          <w:szCs w:val="32"/>
          <w:highlight w:val="none"/>
        </w:rPr>
        <w:t>投标人须知正文</w:t>
      </w:r>
    </w:p>
    <w:p w14:paraId="3106EA01">
      <w:pPr>
        <w:spacing w:line="48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一、总  则</w:t>
      </w:r>
    </w:p>
    <w:p w14:paraId="21C5D8C9">
      <w:pPr>
        <w:snapToGrid w:val="0"/>
        <w:spacing w:line="360" w:lineRule="auto"/>
        <w:ind w:firstLine="482" w:firstLineChars="200"/>
        <w:jc w:val="left"/>
        <w:rPr>
          <w:rFonts w:ascii="宋体" w:hAnsi="宋体" w:cs="宋体"/>
          <w:b/>
          <w:bCs/>
          <w:color w:val="auto"/>
          <w:sz w:val="24"/>
          <w:highlight w:val="none"/>
        </w:rPr>
      </w:pPr>
      <w:bookmarkStart w:id="83" w:name="_Toc254970527"/>
      <w:bookmarkStart w:id="84" w:name="_Toc254970668"/>
      <w:r>
        <w:rPr>
          <w:rFonts w:hint="eastAsia" w:ascii="宋体" w:hAnsi="宋体" w:cs="宋体"/>
          <w:b/>
          <w:bCs/>
          <w:color w:val="auto"/>
          <w:sz w:val="24"/>
          <w:highlight w:val="none"/>
        </w:rPr>
        <w:t>1.适用范围</w:t>
      </w:r>
      <w:bookmarkEnd w:id="83"/>
      <w:bookmarkEnd w:id="84"/>
    </w:p>
    <w:p w14:paraId="5DAEEC7D">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1.1适用法律：本项目采购人、采购代理机构、投标人、评标委员会的相关行为均受《中华人民共和国政府采购法</w:t>
      </w:r>
      <w:r>
        <w:rPr>
          <w:rFonts w:hint="eastAsia" w:ascii="宋体" w:hAnsi="宋体" w:cs="宋体"/>
          <w:color w:val="auto"/>
          <w:szCs w:val="21"/>
          <w:highlight w:val="none"/>
          <w:lang w:eastAsia="zh-CN"/>
        </w:rPr>
        <w:t>》《</w:t>
      </w:r>
      <w:r>
        <w:rPr>
          <w:rFonts w:hint="eastAsia" w:ascii="宋体" w:hAnsi="宋体" w:cs="宋体"/>
          <w:color w:val="auto"/>
          <w:szCs w:val="21"/>
          <w:highlight w:val="none"/>
        </w:rPr>
        <w:t>中华人民共和国政府采购法实施条例</w:t>
      </w:r>
      <w:r>
        <w:rPr>
          <w:rFonts w:hint="eastAsia" w:ascii="宋体" w:hAnsi="宋体" w:cs="宋体"/>
          <w:color w:val="auto"/>
          <w:szCs w:val="21"/>
          <w:highlight w:val="none"/>
          <w:lang w:eastAsia="zh-CN"/>
        </w:rPr>
        <w:t>》《</w:t>
      </w:r>
      <w:r>
        <w:rPr>
          <w:rFonts w:hint="eastAsia" w:ascii="宋体" w:hAnsi="宋体" w:cs="宋体"/>
          <w:color w:val="auto"/>
          <w:szCs w:val="21"/>
          <w:highlight w:val="none"/>
        </w:rPr>
        <w:t>政府采购货物和服务招标投标管理办法》及本项目本级和上级财政部门政府采购有关规定的约束和保护。</w:t>
      </w:r>
    </w:p>
    <w:p w14:paraId="226C2CAA">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43DC186C">
      <w:pPr>
        <w:snapToGrid w:val="0"/>
        <w:spacing w:line="360" w:lineRule="auto"/>
        <w:ind w:firstLine="482" w:firstLineChars="200"/>
        <w:jc w:val="left"/>
        <w:rPr>
          <w:rFonts w:ascii="宋体" w:hAnsi="宋体" w:cs="宋体"/>
          <w:b/>
          <w:bCs/>
          <w:color w:val="auto"/>
          <w:sz w:val="24"/>
          <w:highlight w:val="none"/>
        </w:rPr>
      </w:pPr>
      <w:bookmarkStart w:id="85" w:name="_Toc254970528"/>
      <w:bookmarkStart w:id="86" w:name="_Toc254970669"/>
      <w:r>
        <w:rPr>
          <w:rFonts w:hint="eastAsia" w:ascii="宋体" w:hAnsi="宋体" w:cs="宋体"/>
          <w:b/>
          <w:bCs/>
          <w:color w:val="auto"/>
          <w:sz w:val="24"/>
          <w:highlight w:val="none"/>
        </w:rPr>
        <w:t>2.定义</w:t>
      </w:r>
      <w:bookmarkEnd w:id="85"/>
      <w:bookmarkEnd w:id="86"/>
    </w:p>
    <w:p w14:paraId="29D44104">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23019C8D">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2.2“采购代理机构”是指政府采购集中采购机构和集中采购机构以外的采购代理机构。</w:t>
      </w:r>
    </w:p>
    <w:p w14:paraId="29FDA159">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44FE0902">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2.4“投标人”是指响应招标、参加投标竞争的法人、其他组织或者自然人。</w:t>
      </w:r>
    </w:p>
    <w:p w14:paraId="52AFBC8B">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2.5“货物”是指各种形态和种类的物品，包括原材料、燃料、设备、产品等。</w:t>
      </w:r>
    </w:p>
    <w:p w14:paraId="0F1F599E">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2.6“售后服务” 是指商品出售以后所提供的各种服务，包含但不限于投标人须承担的备品备件、包装、运输、装卸、保险、货到就位以及安装、调试、培训、保修以及其他各种服务。</w:t>
      </w:r>
    </w:p>
    <w:p w14:paraId="4FCCA143">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2.7“书面形式”是指合同书、信件和数据电文（包括电报、电传、传真、电子数据交换和电子邮件）等可以有形地表现所载内容的形式。</w:t>
      </w:r>
    </w:p>
    <w:p w14:paraId="5F4A972E">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2.8“实质性要求”是指招标文件中已经指明不满足则投标无效的条款，或者不能负偏离的条款，或者采购需求中带“▲”的条款。</w:t>
      </w:r>
    </w:p>
    <w:p w14:paraId="6E961F17">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 “正偏离”，是指投标文件对招标文件“采购需求”中有关条款作出的响应优于条款要求并有利于采购人的情形。</w:t>
      </w:r>
    </w:p>
    <w:p w14:paraId="1B31AE2B">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2.10“负偏离”，是指投标文件对招标文件“采购需求”中有关条款作出的响应不满足条款要求，导致采购人要求不能得到满足的情形。</w:t>
      </w:r>
    </w:p>
    <w:p w14:paraId="072ECA20">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bookmarkStart w:id="87" w:name="_Toc254970529"/>
      <w:bookmarkStart w:id="88" w:name="_Toc254970670"/>
    </w:p>
    <w:p w14:paraId="5995EB35">
      <w:pPr>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3.</w:t>
      </w:r>
      <w:bookmarkEnd w:id="87"/>
      <w:bookmarkEnd w:id="88"/>
      <w:r>
        <w:rPr>
          <w:rFonts w:hint="eastAsia" w:ascii="宋体" w:hAnsi="宋体" w:cs="宋体"/>
          <w:b/>
          <w:bCs/>
          <w:color w:val="auto"/>
          <w:sz w:val="24"/>
          <w:highlight w:val="none"/>
        </w:rPr>
        <w:t>投标人的资格要求</w:t>
      </w:r>
    </w:p>
    <w:p w14:paraId="45F2FA87">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投标人的资格要求详见“投标人须知前附表”。</w:t>
      </w:r>
    </w:p>
    <w:p w14:paraId="61DEEF6F">
      <w:pPr>
        <w:snapToGrid w:val="0"/>
        <w:spacing w:line="360" w:lineRule="auto"/>
        <w:ind w:firstLine="482" w:firstLineChars="200"/>
        <w:jc w:val="left"/>
        <w:rPr>
          <w:rFonts w:ascii="宋体" w:hAnsi="宋体" w:cs="宋体"/>
          <w:b/>
          <w:bCs/>
          <w:color w:val="auto"/>
          <w:sz w:val="24"/>
          <w:highlight w:val="none"/>
        </w:rPr>
      </w:pPr>
      <w:bookmarkStart w:id="89" w:name="_Toc254970530"/>
      <w:bookmarkStart w:id="90" w:name="_Toc254970671"/>
      <w:r>
        <w:rPr>
          <w:rFonts w:hint="eastAsia" w:ascii="宋体" w:hAnsi="宋体" w:cs="宋体"/>
          <w:b/>
          <w:bCs/>
          <w:color w:val="auto"/>
          <w:sz w:val="24"/>
          <w:highlight w:val="none"/>
        </w:rPr>
        <w:t>4.投标委托</w:t>
      </w:r>
      <w:bookmarkEnd w:id="89"/>
      <w:bookmarkEnd w:id="90"/>
    </w:p>
    <w:p w14:paraId="4B7D003F">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投标人代表参加投标活动过程中必须携带个人有效身份证件。如投标人代表不是法定代表人，须持有授权委托书（按第六章要求格式填写）。</w:t>
      </w:r>
    </w:p>
    <w:p w14:paraId="7C91B0ED">
      <w:pPr>
        <w:snapToGrid w:val="0"/>
        <w:spacing w:line="360" w:lineRule="auto"/>
        <w:ind w:firstLine="482" w:firstLineChars="200"/>
        <w:jc w:val="left"/>
        <w:rPr>
          <w:rFonts w:ascii="宋体" w:hAnsi="宋体" w:cs="宋体"/>
          <w:b/>
          <w:bCs/>
          <w:color w:val="auto"/>
          <w:sz w:val="24"/>
          <w:highlight w:val="none"/>
        </w:rPr>
      </w:pPr>
      <w:bookmarkStart w:id="91" w:name="_5.投标费用"/>
      <w:bookmarkEnd w:id="91"/>
      <w:bookmarkStart w:id="92" w:name="_Toc254970531"/>
      <w:bookmarkStart w:id="93" w:name="_Toc254970672"/>
      <w:r>
        <w:rPr>
          <w:rFonts w:hint="eastAsia" w:ascii="宋体" w:hAnsi="宋体" w:cs="宋体"/>
          <w:b/>
          <w:bCs/>
          <w:color w:val="auto"/>
          <w:sz w:val="24"/>
          <w:highlight w:val="none"/>
        </w:rPr>
        <w:t>5.投标费用</w:t>
      </w:r>
      <w:bookmarkEnd w:id="92"/>
      <w:bookmarkEnd w:id="93"/>
    </w:p>
    <w:p w14:paraId="55560FEB">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4A969BD4">
      <w:pPr>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6.联合体投标</w:t>
      </w:r>
    </w:p>
    <w:p w14:paraId="29A1D25C">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6.1本项目是否接受联合体投标，详见“投标人须知前附表”。</w:t>
      </w:r>
    </w:p>
    <w:p w14:paraId="3FA64902">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6.2如接受联合体投标，联合体投标要求详见“投标人须知前附表”。</w:t>
      </w:r>
    </w:p>
    <w:p w14:paraId="3D7884D0">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6.3 </w:t>
      </w:r>
      <w:bookmarkStart w:id="94" w:name="_Hlk65857072"/>
      <w:r>
        <w:rPr>
          <w:rFonts w:hint="eastAsia" w:ascii="宋体" w:hAnsi="宋体" w:cs="宋体"/>
          <w:color w:val="auto"/>
          <w:szCs w:val="21"/>
          <w:highlight w:val="none"/>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的扣除，用扣除后的价格参加评审。</w:t>
      </w:r>
      <w:bookmarkEnd w:id="94"/>
    </w:p>
    <w:p w14:paraId="24F406F2">
      <w:pPr>
        <w:snapToGrid w:val="0"/>
        <w:spacing w:line="360" w:lineRule="auto"/>
        <w:ind w:firstLine="482" w:firstLineChars="200"/>
        <w:jc w:val="left"/>
        <w:rPr>
          <w:rFonts w:ascii="宋体" w:hAnsi="宋体" w:cs="宋体"/>
          <w:color w:val="auto"/>
          <w:sz w:val="24"/>
          <w:highlight w:val="none"/>
        </w:rPr>
      </w:pPr>
      <w:r>
        <w:rPr>
          <w:rFonts w:hint="eastAsia" w:ascii="宋体" w:hAnsi="宋体" w:cs="宋体"/>
          <w:b/>
          <w:bCs/>
          <w:color w:val="auto"/>
          <w:sz w:val="24"/>
          <w:highlight w:val="none"/>
        </w:rPr>
        <w:t xml:space="preserve">7.转包与分包     </w:t>
      </w:r>
      <w:r>
        <w:rPr>
          <w:rFonts w:hint="eastAsia" w:ascii="宋体" w:hAnsi="宋体" w:cs="宋体"/>
          <w:color w:val="auto"/>
          <w:sz w:val="24"/>
          <w:highlight w:val="none"/>
        </w:rPr>
        <w:t xml:space="preserve">        </w:t>
      </w:r>
    </w:p>
    <w:p w14:paraId="52721C5F">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7.1本项目不允许转包。</w:t>
      </w:r>
    </w:p>
    <w:p w14:paraId="3E8E7B4D">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20039A21">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3AC83E1D">
      <w:pPr>
        <w:snapToGrid w:val="0"/>
        <w:spacing w:line="360" w:lineRule="auto"/>
        <w:ind w:firstLine="482" w:firstLineChars="200"/>
        <w:jc w:val="left"/>
        <w:rPr>
          <w:rFonts w:ascii="宋体" w:hAnsi="宋体" w:cs="宋体"/>
          <w:b/>
          <w:bCs/>
          <w:color w:val="auto"/>
          <w:sz w:val="24"/>
          <w:highlight w:val="none"/>
        </w:rPr>
      </w:pPr>
      <w:bookmarkStart w:id="95" w:name="_Toc254970673"/>
      <w:bookmarkStart w:id="96" w:name="_Toc254970532"/>
      <w:r>
        <w:rPr>
          <w:rFonts w:hint="eastAsia" w:ascii="宋体" w:hAnsi="宋体" w:cs="宋体"/>
          <w:b/>
          <w:bCs/>
          <w:color w:val="auto"/>
          <w:sz w:val="24"/>
          <w:highlight w:val="none"/>
        </w:rPr>
        <w:t>8.特别说明</w:t>
      </w:r>
      <w:bookmarkEnd w:id="95"/>
      <w:bookmarkEnd w:id="96"/>
    </w:p>
    <w:p w14:paraId="71992B65">
      <w:pPr>
        <w:snapToGrid w:val="0"/>
        <w:spacing w:line="360" w:lineRule="auto"/>
        <w:ind w:firstLine="420" w:firstLineChars="200"/>
        <w:jc w:val="left"/>
        <w:rPr>
          <w:rFonts w:ascii="宋体" w:hAnsi="宋体" w:cs="宋体"/>
          <w:color w:val="auto"/>
          <w:szCs w:val="21"/>
          <w:highlight w:val="none"/>
        </w:rPr>
      </w:pPr>
      <w:bookmarkStart w:id="97" w:name="_8.1提供相同品牌产品且通过资格审查、符合性审查的不同投标人参加同一合"/>
      <w:bookmarkEnd w:id="97"/>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"_8.1"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8.1</w:t>
      </w:r>
      <w:r>
        <w:rPr>
          <w:rFonts w:hint="eastAsia" w:ascii="宋体" w:hAnsi="宋体" w:cs="宋体"/>
          <w:color w:val="auto"/>
          <w:szCs w:val="21"/>
          <w:highlight w:val="none"/>
        </w:rPr>
        <w:fldChar w:fldCharType="end"/>
      </w:r>
      <w:r>
        <w:rPr>
          <w:rFonts w:hint="eastAsia" w:ascii="宋体" w:hAnsi="宋体" w:cs="宋体"/>
          <w:color w:val="auto"/>
          <w:szCs w:val="21"/>
          <w:highlight w:val="none"/>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cs="宋体"/>
          <w:b/>
          <w:bCs/>
          <w:color w:val="auto"/>
          <w:szCs w:val="21"/>
          <w:highlight w:val="none"/>
        </w:rPr>
        <w:t>其他投标无效。</w:t>
      </w:r>
    </w:p>
    <w:p w14:paraId="5FB10555">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采用综合评分法的采购项目，提供相同品牌产品且通过资格审查、符合性审查的不同投标人参加同一合同项下投标的，按一家投标人计算，评审后得分最高的同品牌投标人获得</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推荐资格；评审得分相同的，由采购人或者采购人委托评标委员会按照“投标人须知前附表”规定的方式确定一个投标人获得</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推荐资格，其他同品牌投标人不作为中标候选人。</w:t>
      </w:r>
    </w:p>
    <w:p w14:paraId="11A06F89">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非单一产品采购项目，多家投标人提供的核心产品品牌相同的，按前两款规定处理。</w:t>
      </w:r>
    </w:p>
    <w:p w14:paraId="03E846AC">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8.2如果本招标文件要求提供投标人或制造商的资格、信誉、荣誉、业绩与企业认证等材料的，资格、信誉、荣誉、业绩与企业认证等必须为投标人或者制造商所拥有或自身获得 。</w:t>
      </w:r>
    </w:p>
    <w:p w14:paraId="0C89FFBA">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8.3投标人应仔细阅读招标文件的所有内容，按照招标文件的要求提交投标文件，并对所提供的全部资料的真实性承担法律责任。</w:t>
      </w:r>
    </w:p>
    <w:p w14:paraId="1FDDF294">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8.4投标人在投标活动中提供任何虚假材料，将报监管部门查处；中标后发现的，</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须依法赔偿采购人，且民事赔偿并不免除违法投标人的行政与刑事责任。</w:t>
      </w:r>
    </w:p>
    <w:p w14:paraId="7C2D457C">
      <w:pPr>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9.回避与串通投标</w:t>
      </w:r>
    </w:p>
    <w:p w14:paraId="78A24DED">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9.1在政府采购活动中，采购人员及相关人员与供应商有下列利害关系之一的，应当回避：</w:t>
      </w:r>
    </w:p>
    <w:p w14:paraId="5ADA6665">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（1）参加采购活动前3年内与供应商存在劳动关系；</w:t>
      </w:r>
    </w:p>
    <w:p w14:paraId="183D617E">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（2）参加采购活动前3年内担任供应商的董事、监事；</w:t>
      </w:r>
    </w:p>
    <w:p w14:paraId="710DF0A4">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（3）参加采购活动前3年内是供应商的控股股东或者实际控制人；</w:t>
      </w:r>
    </w:p>
    <w:p w14:paraId="17809AAA">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（4）与供应商的法定代表人或者负责人有夫妻、直系血亲、三代以内旁系血亲或者近姻亲关系；</w:t>
      </w:r>
    </w:p>
    <w:p w14:paraId="33A42153">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（5）与供应商有其他可能影响政府采购活动公平、公正进行的关系。</w:t>
      </w:r>
    </w:p>
    <w:p w14:paraId="7A9AE568">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B038C8F">
      <w:pPr>
        <w:pStyle w:val="13"/>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9.2有下列情形之一的视为投标人相互串通投标，投标文件将被视为无效：</w:t>
      </w:r>
    </w:p>
    <w:p w14:paraId="71B4EFCB">
      <w:pPr>
        <w:pStyle w:val="13"/>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 xml:space="preserve">（1）不同投标人的投标文件由同一单位或者个人编制； </w:t>
      </w:r>
    </w:p>
    <w:p w14:paraId="50EA0391">
      <w:pPr>
        <w:pStyle w:val="13"/>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（2）不同投标人委托同一单位或者个人办理投标事宜；</w:t>
      </w:r>
    </w:p>
    <w:p w14:paraId="546AD80F">
      <w:pPr>
        <w:pStyle w:val="13"/>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（3）不同的投标人的投标文件载明的项目管理员为同一个人；</w:t>
      </w:r>
    </w:p>
    <w:p w14:paraId="2C183B31">
      <w:pPr>
        <w:pStyle w:val="13"/>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（4）不同投标人的投标文件异常一致或者投标报价呈规律性差异；</w:t>
      </w:r>
    </w:p>
    <w:p w14:paraId="75A6633A">
      <w:pPr>
        <w:pStyle w:val="13"/>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（5）不同投标人的投标文件相互混装；</w:t>
      </w:r>
    </w:p>
    <w:p w14:paraId="0761001B">
      <w:pPr>
        <w:pStyle w:val="13"/>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（6）不同投标人的投标保证金从同一单位或者个人账户转出。</w:t>
      </w:r>
    </w:p>
    <w:p w14:paraId="556E2DCF">
      <w:pPr>
        <w:pStyle w:val="13"/>
        <w:snapToGrid w:val="0"/>
        <w:spacing w:line="360" w:lineRule="auto"/>
        <w:ind w:left="2" w:leftChars="1" w:firstLine="422" w:firstLineChars="200"/>
        <w:rPr>
          <w:rFonts w:hAnsi="宋体" w:cs="宋体"/>
          <w:b/>
          <w:color w:val="auto"/>
          <w:kern w:val="2"/>
          <w:sz w:val="21"/>
          <w:highlight w:val="none"/>
        </w:rPr>
      </w:pPr>
      <w:r>
        <w:rPr>
          <w:rFonts w:hint="eastAsia" w:hAnsi="宋体" w:cs="宋体"/>
          <w:b/>
          <w:color w:val="auto"/>
          <w:kern w:val="2"/>
          <w:sz w:val="21"/>
          <w:highlight w:val="none"/>
        </w:rPr>
        <w:t>9.3供应商有下列情形之一的，属于恶意串通行为，将报同级监督管理部门：</w:t>
      </w:r>
    </w:p>
    <w:p w14:paraId="165123B5">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（1）供应商直接或者间接从采购人或者采购代理机构处获得其他供应商的相关信息并修改其投标文件或者响应文件；</w:t>
      </w:r>
    </w:p>
    <w:p w14:paraId="5C72101F">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（2）供应商按照采购人或者采购代理机构的授意撤换、修改投标文件或者响应文件；</w:t>
      </w:r>
    </w:p>
    <w:p w14:paraId="49C9B5ED">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（3）供应商之间协商报价、技术方案等投标文件或者响应文件的实质性内容；</w:t>
      </w:r>
    </w:p>
    <w:p w14:paraId="671E3710">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（4）属于同一集团、协会、商会等组织成员的供应商按照该组织要求协同参加政府采购活动；</w:t>
      </w:r>
    </w:p>
    <w:p w14:paraId="4B6B65E2">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7A27D506">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（6）供应商之间商定部分供应商放弃参加政府采购活动或者放弃中标；</w:t>
      </w:r>
    </w:p>
    <w:p w14:paraId="0E53C126">
      <w:pPr>
        <w:pStyle w:val="13"/>
        <w:snapToGrid w:val="0"/>
        <w:spacing w:line="360" w:lineRule="auto"/>
        <w:ind w:left="2" w:leftChars="1" w:firstLine="420" w:firstLineChars="200"/>
        <w:rPr>
          <w:rFonts w:hAnsi="宋体" w:cs="宋体"/>
          <w:color w:val="auto"/>
          <w:kern w:val="2"/>
          <w:sz w:val="21"/>
          <w:highlight w:val="none"/>
        </w:rPr>
      </w:pPr>
      <w:r>
        <w:rPr>
          <w:rFonts w:hint="eastAsia" w:hAnsi="宋体" w:cs="宋体"/>
          <w:color w:val="auto"/>
          <w:kern w:val="2"/>
          <w:sz w:val="21"/>
          <w:highlight w:val="none"/>
        </w:rPr>
        <w:t>（7）供应商与采购人或者采购代理机构之间、供应商相互之间，为谋求特定供应商中标或者排斥其他供应商的其他串通行为。</w:t>
      </w:r>
    </w:p>
    <w:p w14:paraId="3AEBE523">
      <w:pPr>
        <w:pStyle w:val="13"/>
        <w:snapToGrid w:val="0"/>
        <w:spacing w:line="360" w:lineRule="auto"/>
        <w:ind w:left="2" w:leftChars="1" w:firstLine="422" w:firstLineChars="200"/>
        <w:rPr>
          <w:rFonts w:hAnsi="宋体" w:cs="宋体"/>
          <w:b/>
          <w:color w:val="auto"/>
          <w:kern w:val="2"/>
          <w:sz w:val="21"/>
          <w:highlight w:val="none"/>
        </w:rPr>
      </w:pPr>
    </w:p>
    <w:p w14:paraId="0D973AB3">
      <w:pPr>
        <w:spacing w:line="480" w:lineRule="auto"/>
        <w:jc w:val="center"/>
        <w:rPr>
          <w:rFonts w:ascii="宋体" w:hAnsi="宋体" w:cs="宋体"/>
          <w:b/>
          <w:bCs/>
          <w:color w:val="auto"/>
          <w:sz w:val="32"/>
          <w:szCs w:val="32"/>
          <w:highlight w:val="none"/>
        </w:rPr>
      </w:pPr>
      <w:bookmarkStart w:id="98" w:name="_Toc254970534"/>
      <w:bookmarkStart w:id="99" w:name="_Toc254970675"/>
      <w:r>
        <w:rPr>
          <w:rFonts w:hint="eastAsia" w:ascii="宋体" w:hAnsi="宋体" w:cs="宋体"/>
          <w:b/>
          <w:bCs/>
          <w:color w:val="auto"/>
          <w:sz w:val="32"/>
          <w:szCs w:val="32"/>
          <w:highlight w:val="none"/>
        </w:rPr>
        <w:t>二、招标文件</w:t>
      </w:r>
      <w:bookmarkEnd w:id="98"/>
      <w:bookmarkEnd w:id="99"/>
    </w:p>
    <w:p w14:paraId="4D329E60">
      <w:pPr>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10.招标文件的组成</w:t>
      </w:r>
    </w:p>
    <w:p w14:paraId="42CDE59B">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（1）招标公告；</w:t>
      </w:r>
    </w:p>
    <w:p w14:paraId="3BECED29">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 xml:space="preserve">（2）采购需求； </w:t>
      </w:r>
    </w:p>
    <w:p w14:paraId="6F026250">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（3）投标人须知；</w:t>
      </w:r>
    </w:p>
    <w:p w14:paraId="5E99EBB5">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（4）评标方法及评标标准；</w:t>
      </w:r>
    </w:p>
    <w:p w14:paraId="6F4E3BEA">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（5）拟签订的合同文本；</w:t>
      </w:r>
    </w:p>
    <w:p w14:paraId="55897359">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（6）投标文件格式。</w:t>
      </w:r>
    </w:p>
    <w:p w14:paraId="70BDFA5C">
      <w:pPr>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11.招标文件的澄清、修改 、现场考察和答疑会</w:t>
      </w:r>
    </w:p>
    <w:p w14:paraId="6195F977">
      <w:pPr>
        <w:snapToGrid w:val="0"/>
        <w:spacing w:line="360" w:lineRule="auto"/>
        <w:ind w:firstLine="420"/>
        <w:jc w:val="left"/>
        <w:rPr>
          <w:rFonts w:ascii="宋体" w:hAnsi="宋体" w:cs="宋体"/>
          <w:color w:val="auto"/>
          <w:szCs w:val="21"/>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11.1投标人应认真审阅本招标文件，如有疑问，或发现其中有误或有要求不合理的，应在招标公告公告期限届满之日起7个工作日内以纸质书面形式要求采购人或采购代理机构对招标文件予以澄清；否则，由此产生的后果由投标人自行负责。</w:t>
      </w:r>
    </w:p>
    <w:p w14:paraId="224F5388">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11.2采购人或者采购代理机构可以对已发出的招标文件进行必要的澄清或者修改，但不得改变采购标的和资格条件。澄清或者修改将在原公告发布媒体上发布更正公告。澄清或者修改的内容为招标文件的组成部分。澄清或者修改的内容可能影响投标文件编制的，采购人或者采购代理机构应当在投标截止时间至少15日前，在原公告发布媒体上发布更正公告；不足15日的，采购人或者采购代理机构应当顺延提交投标文件的截止时间。</w:t>
      </w:r>
    </w:p>
    <w:p w14:paraId="71EAB5AC">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11.3采购人和采购代理机构可以视采购具体情况，变更投标截止时间和开标时间，并在原公告发布媒体上发布更正公告。</w:t>
      </w:r>
    </w:p>
    <w:p w14:paraId="793AE78C">
      <w:pPr>
        <w:snapToGrid w:val="0"/>
        <w:spacing w:line="360" w:lineRule="auto"/>
        <w:ind w:firstLine="420"/>
        <w:jc w:val="left"/>
        <w:rPr>
          <w:rFonts w:ascii="宋体" w:hAnsi="宋体" w:cs="宋体"/>
          <w:color w:val="auto"/>
          <w:highlight w:val="none"/>
        </w:rPr>
      </w:pPr>
      <w:r>
        <w:rPr>
          <w:rFonts w:hint="eastAsia" w:ascii="宋体" w:hAnsi="宋体" w:cs="宋体"/>
          <w:color w:val="auto"/>
          <w:szCs w:val="21"/>
          <w:highlight w:val="none"/>
        </w:rPr>
        <w:t>11.4招标文件澄清、答复、修改、补充的内容为招标文件的组成部分。</w:t>
      </w:r>
      <w:r>
        <w:rPr>
          <w:rFonts w:hint="eastAsia" w:ascii="宋体" w:hAnsi="宋体" w:cs="宋体"/>
          <w:b/>
          <w:color w:val="auto"/>
          <w:szCs w:val="21"/>
          <w:highlight w:val="none"/>
        </w:rPr>
        <w:t>当招标文件与招标文件的澄清、答复、修改、补充通知就同一内容的表述不一致时，以最后发出的文件为准。</w:t>
      </w:r>
    </w:p>
    <w:p w14:paraId="06059373">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11.</w:t>
      </w:r>
      <w:bookmarkStart w:id="100" w:name="_Hlk53134511"/>
      <w:r>
        <w:rPr>
          <w:rFonts w:hint="eastAsia" w:hAnsi="宋体" w:cs="宋体"/>
          <w:color w:val="auto"/>
          <w:sz w:val="21"/>
          <w:highlight w:val="none"/>
        </w:rPr>
        <w:t>5采购人或者采购代理机构可以在招标文件提供期限截止后，组织已获取招标文件的潜在投标人现场考察或者召开开标前答疑会，具体详见“投标人须知前附表”。</w:t>
      </w:r>
    </w:p>
    <w:p w14:paraId="23C156A5">
      <w:pPr>
        <w:pStyle w:val="13"/>
        <w:snapToGrid w:val="0"/>
        <w:spacing w:line="360" w:lineRule="auto"/>
        <w:ind w:firstLine="420" w:firstLineChars="200"/>
        <w:rPr>
          <w:rFonts w:hAnsi="宋体" w:cs="宋体"/>
          <w:color w:val="auto"/>
          <w:sz w:val="21"/>
          <w:highlight w:val="none"/>
        </w:rPr>
      </w:pPr>
    </w:p>
    <w:bookmarkEnd w:id="100"/>
    <w:p w14:paraId="1404C7DD">
      <w:pPr>
        <w:spacing w:line="480" w:lineRule="auto"/>
        <w:jc w:val="center"/>
        <w:rPr>
          <w:rFonts w:ascii="宋体" w:hAnsi="宋体" w:cs="宋体"/>
          <w:b/>
          <w:bCs/>
          <w:color w:val="auto"/>
          <w:sz w:val="32"/>
          <w:szCs w:val="32"/>
          <w:highlight w:val="none"/>
        </w:rPr>
      </w:pPr>
      <w:bookmarkStart w:id="101" w:name="_Toc254970535"/>
      <w:bookmarkStart w:id="102" w:name="_Toc254970676"/>
      <w:r>
        <w:rPr>
          <w:rFonts w:hint="eastAsia" w:ascii="宋体" w:hAnsi="宋体" w:cs="宋体"/>
          <w:b/>
          <w:bCs/>
          <w:color w:val="auto"/>
          <w:sz w:val="32"/>
          <w:szCs w:val="32"/>
          <w:highlight w:val="none"/>
        </w:rPr>
        <w:t>三、投标文件的编制</w:t>
      </w:r>
      <w:bookmarkEnd w:id="101"/>
      <w:bookmarkEnd w:id="102"/>
    </w:p>
    <w:p w14:paraId="0EAEF2B5">
      <w:pPr>
        <w:snapToGrid w:val="0"/>
        <w:spacing w:line="360" w:lineRule="auto"/>
        <w:ind w:firstLine="482" w:firstLineChars="200"/>
        <w:jc w:val="left"/>
        <w:rPr>
          <w:rFonts w:ascii="宋体" w:hAnsi="宋体" w:cs="宋体"/>
          <w:b/>
          <w:bCs/>
          <w:color w:val="auto"/>
          <w:sz w:val="24"/>
          <w:highlight w:val="none"/>
        </w:rPr>
      </w:pPr>
      <w:bookmarkStart w:id="103" w:name="_Toc254970536"/>
      <w:bookmarkStart w:id="104" w:name="_Toc254970677"/>
      <w:r>
        <w:rPr>
          <w:rFonts w:hint="eastAsia" w:ascii="宋体" w:hAnsi="宋体" w:cs="宋体"/>
          <w:b/>
          <w:bCs/>
          <w:color w:val="auto"/>
          <w:sz w:val="24"/>
          <w:highlight w:val="none"/>
        </w:rPr>
        <w:t>12.投标文件的编制原则</w:t>
      </w:r>
    </w:p>
    <w:p w14:paraId="71E1AC74">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投标人必须按照招标文件的要求编制投标文件。投标文件必须对招标文件提出的要求和条件作出明确响应。</w:t>
      </w:r>
    </w:p>
    <w:p w14:paraId="6D813121">
      <w:pPr>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13.投标文件的组成</w:t>
      </w:r>
      <w:bookmarkEnd w:id="103"/>
      <w:bookmarkEnd w:id="104"/>
    </w:p>
    <w:p w14:paraId="1D43801E">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13.1投标文件由报价文件、资格证明文件、商务文件、技术文件四部分组成。</w:t>
      </w:r>
    </w:p>
    <w:p w14:paraId="55EF468D">
      <w:pPr>
        <w:snapToGrid w:val="0"/>
        <w:spacing w:line="360" w:lineRule="auto"/>
        <w:ind w:firstLine="420" w:firstLineChars="200"/>
        <w:jc w:val="left"/>
        <w:rPr>
          <w:rFonts w:ascii="宋体" w:hAnsi="宋体" w:cs="宋体"/>
          <w:color w:val="auto"/>
          <w:szCs w:val="21"/>
          <w:highlight w:val="none"/>
        </w:rPr>
      </w:pPr>
      <w:bookmarkStart w:id="105" w:name="_13.1报价文件:_具体材料见“投标人须知前附表”。"/>
      <w:bookmarkEnd w:id="105"/>
      <w:r>
        <w:rPr>
          <w:rFonts w:hint="eastAsia" w:ascii="宋体" w:hAnsi="宋体" w:cs="宋体"/>
          <w:color w:val="auto"/>
          <w:szCs w:val="21"/>
          <w:highlight w:val="none"/>
        </w:rPr>
        <w:t>（1）报价文件： 具体材料见“投标人须知前附表”。</w:t>
      </w:r>
    </w:p>
    <w:p w14:paraId="7CD9B3EE">
      <w:pPr>
        <w:snapToGrid w:val="0"/>
        <w:spacing w:line="360" w:lineRule="auto"/>
        <w:ind w:firstLine="420" w:firstLineChars="200"/>
        <w:jc w:val="left"/>
        <w:rPr>
          <w:rFonts w:ascii="宋体" w:hAnsi="宋体" w:cs="宋体"/>
          <w:color w:val="auto"/>
          <w:szCs w:val="21"/>
          <w:highlight w:val="none"/>
        </w:rPr>
      </w:pPr>
      <w:bookmarkStart w:id="106" w:name="_13.2资格证明文件：具体材料见“投标人须知前附表”。"/>
      <w:bookmarkEnd w:id="106"/>
      <w:r>
        <w:rPr>
          <w:rFonts w:hint="eastAsia" w:ascii="宋体" w:hAnsi="宋体" w:cs="宋体"/>
          <w:color w:val="auto"/>
          <w:szCs w:val="21"/>
          <w:highlight w:val="none"/>
        </w:rPr>
        <w:t>（2）资格证明文件：具体材料见“投标人须知前附表”。</w:t>
      </w:r>
    </w:p>
    <w:p w14:paraId="709443EB">
      <w:pPr>
        <w:snapToGrid w:val="0"/>
        <w:spacing w:line="360" w:lineRule="auto"/>
        <w:ind w:firstLine="420" w:firstLineChars="200"/>
        <w:jc w:val="left"/>
        <w:rPr>
          <w:rFonts w:ascii="宋体" w:hAnsi="宋体" w:cs="宋体"/>
          <w:color w:val="auto"/>
          <w:szCs w:val="21"/>
          <w:highlight w:val="none"/>
        </w:rPr>
      </w:pPr>
      <w:bookmarkStart w:id="107" w:name="_13.3商务文件:_具体材料见“投标人须知前附表”。"/>
      <w:bookmarkEnd w:id="107"/>
      <w:r>
        <w:rPr>
          <w:rFonts w:hint="eastAsia" w:ascii="宋体" w:hAnsi="宋体" w:cs="宋体"/>
          <w:color w:val="auto"/>
          <w:szCs w:val="21"/>
          <w:highlight w:val="none"/>
        </w:rPr>
        <w:t>（3）商务文件：具体材料见“投标人须知前附表”。</w:t>
      </w:r>
    </w:p>
    <w:p w14:paraId="3F448438">
      <w:pPr>
        <w:snapToGrid w:val="0"/>
        <w:spacing w:line="360" w:lineRule="auto"/>
        <w:ind w:firstLine="420" w:firstLineChars="200"/>
        <w:jc w:val="left"/>
        <w:rPr>
          <w:rFonts w:ascii="宋体" w:hAnsi="宋体" w:cs="宋体"/>
          <w:color w:val="auto"/>
          <w:szCs w:val="21"/>
          <w:highlight w:val="none"/>
        </w:rPr>
      </w:pPr>
      <w:bookmarkStart w:id="108" w:name="_13.4技术文件：具体材料见“投标人须知前附表”。"/>
      <w:bookmarkEnd w:id="108"/>
      <w:r>
        <w:rPr>
          <w:rFonts w:hint="eastAsia" w:ascii="宋体" w:hAnsi="宋体" w:cs="宋体"/>
          <w:color w:val="auto"/>
          <w:szCs w:val="21"/>
          <w:highlight w:val="none"/>
        </w:rPr>
        <w:t>（4）技术文件：具体材料见“投标人须知前附表”。</w:t>
      </w:r>
      <w:bookmarkStart w:id="109" w:name="_13.5投标文件电子版：具体材料见“投标人须知前附表”。"/>
      <w:bookmarkEnd w:id="109"/>
    </w:p>
    <w:p w14:paraId="2D4CDAC7">
      <w:pPr>
        <w:snapToGrid w:val="0"/>
        <w:spacing w:line="360" w:lineRule="auto"/>
        <w:ind w:firstLine="482" w:firstLineChars="200"/>
        <w:jc w:val="left"/>
        <w:rPr>
          <w:rFonts w:ascii="宋体" w:hAnsi="宋体" w:cs="宋体"/>
          <w:b/>
          <w:bCs/>
          <w:color w:val="auto"/>
          <w:sz w:val="24"/>
          <w:highlight w:val="none"/>
        </w:rPr>
      </w:pPr>
      <w:bookmarkStart w:id="110" w:name="_Toc254970678"/>
      <w:bookmarkStart w:id="111" w:name="_Toc254970537"/>
      <w:r>
        <w:rPr>
          <w:rFonts w:hint="eastAsia" w:ascii="宋体" w:hAnsi="宋体" w:cs="宋体"/>
          <w:b/>
          <w:bCs/>
          <w:color w:val="auto"/>
          <w:sz w:val="24"/>
          <w:highlight w:val="none"/>
        </w:rPr>
        <w:t>14.投标文件的语言及计量</w:t>
      </w:r>
      <w:bookmarkEnd w:id="110"/>
      <w:bookmarkEnd w:id="111"/>
    </w:p>
    <w:p w14:paraId="0F03AD13">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14.1语言文字</w:t>
      </w:r>
    </w:p>
    <w:p w14:paraId="77C1E009">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763344C5">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14.2投标计量单位</w:t>
      </w:r>
    </w:p>
    <w:p w14:paraId="10923AAE">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招标文件已有明确规定的，使用招标文件规定的计量单位；招标文件没有规定的，应采用中华人民共和国法定计量单位，货币种类为人民币，否则视同未响应。</w:t>
      </w:r>
    </w:p>
    <w:p w14:paraId="1490E7FB">
      <w:pPr>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15.投标的风险</w:t>
      </w:r>
    </w:p>
    <w:p w14:paraId="5E1FAC3C">
      <w:pPr>
        <w:pStyle w:val="13"/>
        <w:snapToGrid w:val="0"/>
        <w:spacing w:line="360" w:lineRule="auto"/>
        <w:ind w:firstLine="420" w:firstLineChars="200"/>
        <w:jc w:val="left"/>
        <w:rPr>
          <w:rFonts w:hAnsi="宋体" w:cs="宋体"/>
          <w:color w:val="auto"/>
          <w:sz w:val="21"/>
          <w:highlight w:val="none"/>
        </w:rPr>
      </w:pPr>
      <w:r>
        <w:rPr>
          <w:rFonts w:hint="eastAsia" w:hAnsi="宋体" w:cs="宋体"/>
          <w:color w:val="auto"/>
          <w:sz w:val="21"/>
          <w:highlight w:val="none"/>
        </w:rPr>
        <w:t>投标人没有按照招标文件要求提供全部资料，或者投标人没有对招标文件作出实质性响应是投标人的风险，并可能导致其投标被拒绝。</w:t>
      </w:r>
    </w:p>
    <w:p w14:paraId="6331944C">
      <w:pPr>
        <w:snapToGrid w:val="0"/>
        <w:spacing w:line="360" w:lineRule="auto"/>
        <w:ind w:firstLine="482" w:firstLineChars="200"/>
        <w:jc w:val="left"/>
        <w:rPr>
          <w:rFonts w:ascii="宋体" w:hAnsi="宋体" w:cs="宋体"/>
          <w:b/>
          <w:bCs/>
          <w:color w:val="auto"/>
          <w:sz w:val="24"/>
          <w:highlight w:val="none"/>
        </w:rPr>
      </w:pPr>
      <w:bookmarkStart w:id="112" w:name="_Toc254970679"/>
      <w:bookmarkStart w:id="113" w:name="_Toc254970538"/>
      <w:r>
        <w:rPr>
          <w:rFonts w:hint="eastAsia" w:ascii="宋体" w:hAnsi="宋体" w:cs="宋体"/>
          <w:b/>
          <w:bCs/>
          <w:color w:val="auto"/>
          <w:sz w:val="24"/>
          <w:highlight w:val="none"/>
        </w:rPr>
        <w:t>16.投标报价</w:t>
      </w:r>
      <w:bookmarkEnd w:id="112"/>
      <w:bookmarkEnd w:id="113"/>
    </w:p>
    <w:p w14:paraId="78D1B1C9">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16.1投标报价应按“第六章　投标文件格式”中“开标一览表”格式填写。</w:t>
      </w:r>
    </w:p>
    <w:p w14:paraId="3B973E9E">
      <w:pPr>
        <w:snapToGrid w:val="0"/>
        <w:spacing w:line="360" w:lineRule="auto"/>
        <w:ind w:firstLine="420" w:firstLineChars="200"/>
        <w:jc w:val="left"/>
        <w:rPr>
          <w:rFonts w:ascii="宋体" w:hAnsi="宋体" w:cs="宋体"/>
          <w:color w:val="auto"/>
          <w:szCs w:val="21"/>
          <w:highlight w:val="none"/>
        </w:rPr>
      </w:pPr>
      <w:bookmarkStart w:id="114" w:name="_16.2投标报价具体定义见投标人须知前附表。"/>
      <w:bookmarkEnd w:id="114"/>
      <w:r>
        <w:rPr>
          <w:rFonts w:hint="eastAsia" w:ascii="宋体" w:hAnsi="宋体" w:cs="宋体"/>
          <w:color w:val="auto"/>
          <w:szCs w:val="21"/>
          <w:highlight w:val="none"/>
        </w:rPr>
        <w:t>16.2投标报价具体包括内容详见“投标人须知前附表”。</w:t>
      </w:r>
    </w:p>
    <w:p w14:paraId="5946F55F">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16.3投标人必须就所投每个分标的全部内容分别作完整唯一总价报价，不得存在漏项报价；投标人必须就所投分标的单项内容作唯一报价。</w:t>
      </w:r>
    </w:p>
    <w:p w14:paraId="7D6CD969">
      <w:pPr>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17.投标有效期</w:t>
      </w:r>
    </w:p>
    <w:p w14:paraId="4D47F90B">
      <w:pPr>
        <w:snapToGrid w:val="0"/>
        <w:spacing w:line="360" w:lineRule="auto"/>
        <w:ind w:firstLine="420" w:firstLineChars="200"/>
        <w:jc w:val="left"/>
        <w:rPr>
          <w:rFonts w:ascii="宋体" w:hAnsi="宋体" w:cs="宋体"/>
          <w:color w:val="auto"/>
          <w:szCs w:val="21"/>
          <w:highlight w:val="none"/>
        </w:rPr>
      </w:pPr>
      <w:bookmarkStart w:id="115" w:name="_17.1投标有效期应按“投标人须知中的前附表”规定的期限。"/>
      <w:bookmarkEnd w:id="115"/>
      <w:r>
        <w:rPr>
          <w:rFonts w:hint="eastAsia" w:ascii="宋体" w:hAnsi="宋体" w:cs="宋体"/>
          <w:color w:val="auto"/>
          <w:szCs w:val="21"/>
          <w:highlight w:val="none"/>
        </w:rPr>
        <w:t>17.1投标有效期是指为保证采购人有足够的时间在开标后完成评标、定标、合同签订等工作而要求投标人提交的投标文件在一定时间内保持有效的期限。</w:t>
      </w:r>
    </w:p>
    <w:p w14:paraId="61D9D441">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17.2</w:t>
      </w:r>
      <w:bookmarkStart w:id="116" w:name="_Toc254970540"/>
      <w:bookmarkStart w:id="117" w:name="_Toc254970681"/>
      <w:r>
        <w:rPr>
          <w:rFonts w:hint="eastAsia" w:ascii="宋体" w:hAnsi="宋体" w:cs="宋体"/>
          <w:color w:val="auto"/>
          <w:szCs w:val="21"/>
          <w:highlight w:val="none"/>
        </w:rPr>
        <w:t xml:space="preserve"> 投标有效期应按规定的期限作出承诺，具体详见“投标人须知前附表”。</w:t>
      </w:r>
    </w:p>
    <w:p w14:paraId="4C61CD35">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17.3投标人的投标文件在投标有效期内均保持有效。</w:t>
      </w:r>
      <w:bookmarkEnd w:id="116"/>
      <w:bookmarkEnd w:id="117"/>
    </w:p>
    <w:p w14:paraId="245B9F34">
      <w:pPr>
        <w:snapToGrid w:val="0"/>
        <w:spacing w:line="360" w:lineRule="auto"/>
        <w:ind w:firstLine="482" w:firstLineChars="200"/>
        <w:jc w:val="left"/>
        <w:rPr>
          <w:rFonts w:ascii="宋体" w:hAnsi="宋体" w:cs="宋体"/>
          <w:b/>
          <w:bCs/>
          <w:color w:val="auto"/>
          <w:sz w:val="24"/>
          <w:highlight w:val="none"/>
        </w:rPr>
      </w:pPr>
      <w:bookmarkStart w:id="118" w:name="_18.投标保证金"/>
      <w:bookmarkEnd w:id="118"/>
      <w:bookmarkStart w:id="119" w:name="_Toc254970541"/>
      <w:bookmarkStart w:id="120" w:name="_Toc254970682"/>
      <w:r>
        <w:rPr>
          <w:rFonts w:hint="eastAsia" w:ascii="宋体" w:hAnsi="宋体" w:cs="宋体"/>
          <w:b/>
          <w:bCs/>
          <w:color w:val="auto"/>
          <w:sz w:val="24"/>
          <w:highlight w:val="none"/>
        </w:rPr>
        <w:t>18.投标保证金</w:t>
      </w:r>
      <w:bookmarkEnd w:id="119"/>
      <w:bookmarkEnd w:id="120"/>
    </w:p>
    <w:p w14:paraId="0196C682">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18.1投标人须按“投标人须知前附表” 的规定提交投标保证金。</w:t>
      </w:r>
    </w:p>
    <w:p w14:paraId="5D2C9508">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18.2投标保证金的退还</w:t>
      </w:r>
    </w:p>
    <w:p w14:paraId="6DCE60DC">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未</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的投标保证金自中标通知书发出之日起5个工作日内退还；</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 xml:space="preserve">的投标保证金自政府采购合同签订之日起5个工作日内退还。 </w:t>
      </w:r>
    </w:p>
    <w:p w14:paraId="5240EC80">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18.3除逾期退还投标保证金和终止招标的情形以外，投标保证金不计息。</w:t>
      </w:r>
    </w:p>
    <w:p w14:paraId="6F1C250D">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18.4投标人有下列情形之一的，投标保证金将不予退还： </w:t>
      </w:r>
    </w:p>
    <w:p w14:paraId="4E902B19">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（1）投标人在投标有效期内撤销投标文件的；</w:t>
      </w:r>
    </w:p>
    <w:p w14:paraId="1B394170">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（2）未按规定提交履约保证金的；</w:t>
      </w:r>
    </w:p>
    <w:p w14:paraId="0E63616C">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（3）投标人在投标过程中弄虚作假，提供虚假材料的；</w:t>
      </w:r>
    </w:p>
    <w:p w14:paraId="00706AF3">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无正当理由不与采购人签订合同的；</w:t>
      </w:r>
    </w:p>
    <w:p w14:paraId="5C95C750">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（5）投标人出现本章第9.2、9.3情形的；</w:t>
      </w:r>
    </w:p>
    <w:p w14:paraId="289DD459">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（6）法律法规规定的其他情形。</w:t>
      </w:r>
    </w:p>
    <w:p w14:paraId="2E0D0F16">
      <w:pPr>
        <w:snapToGrid w:val="0"/>
        <w:spacing w:line="360" w:lineRule="auto"/>
        <w:ind w:firstLine="482" w:firstLineChars="200"/>
        <w:jc w:val="left"/>
        <w:rPr>
          <w:rFonts w:ascii="宋体" w:hAnsi="宋体" w:cs="宋体"/>
          <w:b/>
          <w:bCs/>
          <w:color w:val="auto"/>
          <w:sz w:val="24"/>
          <w:highlight w:val="none"/>
        </w:rPr>
      </w:pPr>
      <w:bookmarkStart w:id="121" w:name="_Toc254970683"/>
      <w:bookmarkStart w:id="122" w:name="_Toc254970542"/>
      <w:r>
        <w:rPr>
          <w:rFonts w:hint="eastAsia" w:ascii="宋体" w:hAnsi="宋体" w:cs="宋体"/>
          <w:b/>
          <w:bCs/>
          <w:color w:val="auto"/>
          <w:sz w:val="24"/>
          <w:highlight w:val="none"/>
        </w:rPr>
        <w:t>19.投标文件的</w:t>
      </w:r>
      <w:bookmarkEnd w:id="121"/>
      <w:bookmarkEnd w:id="122"/>
      <w:r>
        <w:rPr>
          <w:rFonts w:hint="eastAsia" w:ascii="宋体" w:hAnsi="宋体" w:cs="宋体"/>
          <w:b/>
          <w:bCs/>
          <w:color w:val="auto"/>
          <w:sz w:val="24"/>
          <w:highlight w:val="none"/>
        </w:rPr>
        <w:t>编制</w:t>
      </w:r>
    </w:p>
    <w:p w14:paraId="1FC71340">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 xml:space="preserve"> 19.1投标人应按本招标文件规定的格式和顺序编制、装订投标文件并标注页码，投标文件内容不完整、编排混乱导致投标文件被误读、漏读或者查找不到相关内容的，由此引发的后果由投标人承担。</w:t>
      </w:r>
    </w:p>
    <w:p w14:paraId="1AD6F537">
      <w:pPr>
        <w:snapToGrid w:val="0"/>
        <w:spacing w:line="360" w:lineRule="auto"/>
        <w:ind w:firstLine="420"/>
        <w:jc w:val="left"/>
        <w:rPr>
          <w:rFonts w:ascii="宋体" w:hAnsi="宋体" w:cs="宋体"/>
          <w:color w:val="auto"/>
          <w:szCs w:val="21"/>
          <w:highlight w:val="none"/>
        </w:rPr>
      </w:pPr>
      <w:bookmarkStart w:id="123" w:name="_19.2投标文件应按报价文件、资格证明文件、商务文件、技术文件分别编制"/>
      <w:bookmarkEnd w:id="123"/>
      <w:r>
        <w:rPr>
          <w:rFonts w:hint="eastAsia" w:ascii="宋体" w:hAnsi="宋体" w:cs="宋体"/>
          <w:color w:val="auto"/>
          <w:szCs w:val="21"/>
          <w:highlight w:val="none"/>
        </w:rPr>
        <w:t>19.2投标文件应按报价文件、资格证明文件、商务文件、技术文件分别编制电子文件，并按广西政府采购云平台的要求编制、加密、上传。</w:t>
      </w:r>
    </w:p>
    <w:p w14:paraId="44109821">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19.</w:t>
      </w:r>
      <w:bookmarkStart w:id="124" w:name="_Hlk65832616"/>
      <w:r>
        <w:rPr>
          <w:rFonts w:hint="eastAsia" w:ascii="宋体" w:hAnsi="宋体" w:cs="宋体"/>
          <w:color w:val="auto"/>
          <w:szCs w:val="21"/>
          <w:highlight w:val="none"/>
        </w:rPr>
        <w:t>3投标文件须由投标人在规定位置盖公章并签字</w:t>
      </w:r>
      <w:bookmarkStart w:id="125" w:name="_Hlk65832569"/>
      <w:r>
        <w:rPr>
          <w:rFonts w:hint="eastAsia" w:ascii="宋体" w:hAnsi="宋体" w:cs="宋体"/>
          <w:color w:val="auto"/>
          <w:szCs w:val="21"/>
          <w:highlight w:val="none"/>
        </w:rPr>
        <w:t>（具体以投标人须知前附表或投标文件格式规定为准）</w:t>
      </w:r>
      <w:bookmarkEnd w:id="124"/>
      <w:bookmarkEnd w:id="125"/>
      <w:r>
        <w:rPr>
          <w:rFonts w:hint="eastAsia" w:ascii="宋体" w:hAnsi="宋体" w:cs="宋体"/>
          <w:color w:val="auto"/>
          <w:szCs w:val="21"/>
          <w:highlight w:val="none"/>
        </w:rPr>
        <w:t>，</w:t>
      </w:r>
      <w:r>
        <w:rPr>
          <w:rFonts w:hint="eastAsia" w:ascii="宋体" w:hAnsi="宋体" w:cs="宋体"/>
          <w:b/>
          <w:bCs/>
          <w:color w:val="auto"/>
          <w:szCs w:val="21"/>
          <w:highlight w:val="none"/>
        </w:rPr>
        <w:t>否则按无效投标处理。</w:t>
      </w:r>
    </w:p>
    <w:p w14:paraId="0B239B32">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 xml:space="preserve"> 19.4投标文件中标注的投标人名称应与主体资格证明（如营业执照、事业单位法人证书、执业许可证、自然人身份证等）及公章一致，</w:t>
      </w:r>
      <w:r>
        <w:rPr>
          <w:rFonts w:hint="eastAsia" w:ascii="宋体" w:hAnsi="宋体" w:cs="宋体"/>
          <w:b/>
          <w:bCs/>
          <w:color w:val="auto"/>
          <w:szCs w:val="21"/>
          <w:highlight w:val="none"/>
        </w:rPr>
        <w:t>否则按无效投标处理。</w:t>
      </w:r>
    </w:p>
    <w:p w14:paraId="702F30C2">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 xml:space="preserve"> 19.5投标文件应尽量避免涂改、行间插字或者删除。如果出现上述情况，改动之处应由投标人的法定代表人或者其委托代理人签字或者加盖公章。投标文件因字迹潦草或者表达不清所引起的后果由投标人承担。</w:t>
      </w:r>
    </w:p>
    <w:p w14:paraId="5CAE62A0">
      <w:pPr>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20.投标文件的加密、解密</w:t>
      </w:r>
    </w:p>
    <w:p w14:paraId="19209E57">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 xml:space="preserve"> 20.1电子投标文件编制完成后，投标人应按广西政府采购云平台的要求进行加密，并在规定时间内解密，否则，由此产生的后果由投标人自行负责。</w:t>
      </w:r>
    </w:p>
    <w:p w14:paraId="05D3F425">
      <w:pPr>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21.投标文件的提交</w:t>
      </w:r>
    </w:p>
    <w:p w14:paraId="275AB955">
      <w:pPr>
        <w:snapToGrid w:val="0"/>
        <w:spacing w:line="360" w:lineRule="auto"/>
        <w:ind w:firstLine="420"/>
        <w:jc w:val="left"/>
        <w:rPr>
          <w:rFonts w:ascii="宋体" w:hAnsi="宋体" w:cs="宋体"/>
          <w:color w:val="auto"/>
          <w:szCs w:val="21"/>
          <w:highlight w:val="none"/>
        </w:rPr>
      </w:pPr>
      <w:bookmarkStart w:id="126" w:name="_21.1投标人必须在“投标人须知中的前附表”规定的投标文件接收时间和投"/>
      <w:bookmarkEnd w:id="126"/>
      <w:r>
        <w:rPr>
          <w:rFonts w:hint="eastAsia" w:ascii="宋体" w:hAnsi="宋体" w:cs="宋体"/>
          <w:color w:val="auto"/>
          <w:szCs w:val="21"/>
          <w:highlight w:val="none"/>
        </w:rPr>
        <w:t>21.1投标人必须在“投标人须知前附表”规定的投标文件接收时间和投标地点提交投标文件。</w:t>
      </w:r>
    </w:p>
    <w:p w14:paraId="3A2DBB05">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21.2本项目为全流程电子化政府采购项目，通过广西政府采购云平台（https://www.gcy.zfcg.gxzf.gov.cn/）实行在线电子投标。投标人必须在“投标人须知前附表”规定的投标文件接收时间内通过网络将电子投标文件上传至广西政府采购云平台，供应商在广西政府采购云平台提交电子版投标文件时，请填写参加远程开标活动经办人联系方式。</w:t>
      </w:r>
    </w:p>
    <w:p w14:paraId="3CDFFFFD">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21.3未在规定时间内上传或者未按广西政府采购云平台的要求编制、加密的电子投标文件，广西政府采购云平台将拒收。</w:t>
      </w:r>
    </w:p>
    <w:p w14:paraId="072598CA">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21.4电子投标文件提交方式见“招标公告”中“四、提交投标文件截止时间、开标时间和地点”</w:t>
      </w:r>
    </w:p>
    <w:p w14:paraId="0A3A4EA4">
      <w:pPr>
        <w:pStyle w:val="4"/>
        <w:rPr>
          <w:rFonts w:ascii="宋体" w:hAnsi="宋体" w:cs="宋体"/>
          <w:color w:val="auto"/>
          <w:highlight w:val="none"/>
        </w:rPr>
      </w:pPr>
    </w:p>
    <w:p w14:paraId="250FFCA7">
      <w:pPr>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22. 投标文件的补充、修改、撤回与退回</w:t>
      </w:r>
    </w:p>
    <w:p w14:paraId="3270C219">
      <w:pPr>
        <w:snapToGrid w:val="0"/>
        <w:spacing w:line="360" w:lineRule="auto"/>
        <w:ind w:firstLine="420"/>
        <w:jc w:val="left"/>
        <w:rPr>
          <w:rFonts w:ascii="宋体" w:hAnsi="宋体" w:cs="宋体"/>
          <w:color w:val="auto"/>
          <w:szCs w:val="21"/>
          <w:highlight w:val="none"/>
        </w:rPr>
      </w:pPr>
      <w:bookmarkStart w:id="127" w:name="_Toc254970543"/>
      <w:bookmarkStart w:id="128" w:name="_Toc254970684"/>
      <w:r>
        <w:rPr>
          <w:rFonts w:hint="eastAsia" w:ascii="宋体" w:hAnsi="宋体" w:cs="宋体"/>
          <w:color w:val="auto"/>
          <w:szCs w:val="21"/>
          <w:highlight w:val="none"/>
        </w:rPr>
        <w:t>22.1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bookmarkEnd w:id="127"/>
    <w:bookmarkEnd w:id="128"/>
    <w:p w14:paraId="7BD55D2E">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22.2在投标截止时间止提交投标文件的投标人不足3家时，不得开标，采购代理机构将根据广西政府采购云平台的操作将电子版投标文件退回，除此之外采购人和采购代理机构对已提交的投标文件概不退回。</w:t>
      </w:r>
    </w:p>
    <w:p w14:paraId="243F364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22.3 投标人在投标截止时间后书面通知采购人、采购代理机构撤销投标文件的，将根据本须知正文18.4的规定不予退还其投标保证金。</w:t>
      </w:r>
    </w:p>
    <w:p w14:paraId="507FF671">
      <w:pPr>
        <w:pStyle w:val="11"/>
        <w:snapToGrid w:val="0"/>
        <w:spacing w:line="360" w:lineRule="auto"/>
        <w:ind w:firstLine="739"/>
        <w:rPr>
          <w:rFonts w:ascii="宋体" w:hAnsi="宋体" w:eastAsia="宋体" w:cs="宋体"/>
          <w:snapToGrid w:val="0"/>
          <w:color w:val="auto"/>
          <w:sz w:val="21"/>
          <w:szCs w:val="21"/>
          <w:highlight w:val="none"/>
        </w:rPr>
      </w:pPr>
    </w:p>
    <w:p w14:paraId="2C9A332E">
      <w:pPr>
        <w:spacing w:line="480" w:lineRule="auto"/>
        <w:jc w:val="center"/>
        <w:rPr>
          <w:rFonts w:ascii="宋体" w:hAnsi="宋体" w:cs="宋体"/>
          <w:b/>
          <w:bCs/>
          <w:color w:val="auto"/>
          <w:sz w:val="32"/>
          <w:szCs w:val="32"/>
          <w:highlight w:val="none"/>
        </w:rPr>
      </w:pPr>
      <w:bookmarkStart w:id="129" w:name="_Toc254970685"/>
      <w:bookmarkStart w:id="130" w:name="_Toc254970544"/>
      <w:r>
        <w:rPr>
          <w:rFonts w:hint="eastAsia" w:ascii="宋体" w:hAnsi="宋体" w:cs="宋体"/>
          <w:b/>
          <w:bCs/>
          <w:color w:val="auto"/>
          <w:sz w:val="32"/>
          <w:szCs w:val="32"/>
          <w:highlight w:val="none"/>
        </w:rPr>
        <w:t>四、开    标</w:t>
      </w:r>
      <w:bookmarkEnd w:id="129"/>
      <w:bookmarkEnd w:id="130"/>
    </w:p>
    <w:p w14:paraId="0FAC4EB8">
      <w:pPr>
        <w:snapToGrid w:val="0"/>
        <w:spacing w:line="360" w:lineRule="auto"/>
        <w:ind w:firstLine="482" w:firstLineChars="200"/>
        <w:jc w:val="left"/>
        <w:rPr>
          <w:rFonts w:ascii="宋体" w:hAnsi="宋体" w:cs="宋体"/>
          <w:b/>
          <w:bCs/>
          <w:color w:val="auto"/>
          <w:sz w:val="24"/>
          <w:highlight w:val="none"/>
        </w:rPr>
      </w:pPr>
      <w:bookmarkStart w:id="131" w:name="_23.开标时间和地点"/>
      <w:bookmarkEnd w:id="131"/>
      <w:r>
        <w:rPr>
          <w:rFonts w:hint="eastAsia" w:ascii="宋体" w:hAnsi="宋体" w:cs="宋体"/>
          <w:b/>
          <w:bCs/>
          <w:color w:val="auto"/>
          <w:sz w:val="24"/>
          <w:highlight w:val="none"/>
        </w:rPr>
        <w:t>23.开标时间和地点</w:t>
      </w:r>
    </w:p>
    <w:p w14:paraId="23E89324">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23.1开标时间及地点详见“投标人须知前附表”</w:t>
      </w:r>
    </w:p>
    <w:p w14:paraId="4CE4AA8E">
      <w:pPr>
        <w:snapToGrid w:val="0"/>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23.2如投标人成功解密投标文件，但未在“广西政府采购云平台”电子开标大厅参加开标的，视同认可开标过程和结果，由此产生的后果由投标人自行负责。成功解密投标文件的投标人不足3家的，不得开标。</w:t>
      </w:r>
    </w:p>
    <w:p w14:paraId="72B4E657">
      <w:pPr>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24.开标程序</w:t>
      </w:r>
    </w:p>
    <w:p w14:paraId="7A31C4E1">
      <w:pPr>
        <w:autoSpaceDE w:val="0"/>
        <w:autoSpaceDN w:val="0"/>
        <w:adjustRightInd w:val="0"/>
        <w:spacing w:line="440" w:lineRule="exact"/>
        <w:ind w:firstLine="420" w:firstLineChars="200"/>
        <w:rPr>
          <w:rFonts w:ascii="宋体" w:hAnsi="宋体" w:cs="宋体"/>
          <w:color w:val="auto"/>
          <w:kern w:val="0"/>
          <w:szCs w:val="21"/>
          <w:highlight w:val="none"/>
        </w:rPr>
      </w:pPr>
      <w:r>
        <w:rPr>
          <w:rFonts w:hint="eastAsia" w:ascii="宋体" w:hAnsi="宋体" w:cs="宋体"/>
          <w:bCs/>
          <w:color w:val="auto"/>
          <w:szCs w:val="21"/>
          <w:highlight w:val="none"/>
        </w:rPr>
        <w:t>24.1</w:t>
      </w:r>
      <w:r>
        <w:rPr>
          <w:rFonts w:hint="eastAsia" w:ascii="宋体" w:hAnsi="宋体" w:cs="宋体"/>
          <w:color w:val="auto"/>
          <w:kern w:val="0"/>
          <w:szCs w:val="21"/>
          <w:highlight w:val="none"/>
        </w:rPr>
        <w:t>开标形式：</w:t>
      </w:r>
    </w:p>
    <w:p w14:paraId="1F64BEF4">
      <w:pPr>
        <w:autoSpaceDE w:val="0"/>
        <w:autoSpaceDN w:val="0"/>
        <w:adjustRightInd w:val="0"/>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5A5C8C6B">
      <w:pPr>
        <w:autoSpaceDE w:val="0"/>
        <w:autoSpaceDN w:val="0"/>
        <w:adjustRightInd w:val="0"/>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24.2开标程序：</w:t>
      </w:r>
    </w:p>
    <w:p w14:paraId="5B7D2B91">
      <w:pPr>
        <w:autoSpaceDE w:val="0"/>
        <w:autoSpaceDN w:val="0"/>
        <w:adjustRightInd w:val="0"/>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（1）解密电子投标文件。广西政府采购云平台按开标时间自动提取所有投标文件。采购代理机构依托广西政府采购云平台向各投标人发出电子加密投标文件【开始解密】通知，由投标人进行投标文件解密。</w:t>
      </w:r>
      <w:r>
        <w:rPr>
          <w:rFonts w:hint="eastAsia" w:ascii="宋体" w:hAnsi="宋体" w:cs="宋体"/>
          <w:b/>
          <w:bCs/>
          <w:color w:val="auto"/>
          <w:szCs w:val="21"/>
          <w:highlight w:val="none"/>
        </w:rPr>
        <w:t>投标人的法定代表人或其委托代理人须携带加密时所用的CA锁准时登录到广西政府采购云平台电子开标大厅签到</w:t>
      </w:r>
      <w:r>
        <w:rPr>
          <w:rFonts w:hint="eastAsia" w:ascii="宋体" w:hAnsi="宋体" w:cs="宋体"/>
          <w:b/>
          <w:color w:val="auto"/>
          <w:szCs w:val="21"/>
          <w:highlight w:val="none"/>
        </w:rPr>
        <w:t>并在发起解密</w:t>
      </w:r>
      <w:r>
        <w:rPr>
          <w:rFonts w:hint="eastAsia" w:ascii="宋体" w:hAnsi="宋体" w:cs="宋体"/>
          <w:b/>
          <w:bCs/>
          <w:color w:val="auto"/>
          <w:szCs w:val="21"/>
          <w:highlight w:val="none"/>
        </w:rPr>
        <w:t>通知</w:t>
      </w:r>
      <w:r>
        <w:rPr>
          <w:rFonts w:hint="eastAsia" w:ascii="宋体" w:hAnsi="宋体" w:cs="宋体"/>
          <w:b/>
          <w:color w:val="auto"/>
          <w:szCs w:val="21"/>
          <w:highlight w:val="none"/>
        </w:rPr>
        <w:t>之时起30分钟内完成</w:t>
      </w:r>
      <w:r>
        <w:rPr>
          <w:rFonts w:hint="eastAsia" w:ascii="宋体" w:hAnsi="宋体" w:cs="宋体"/>
          <w:b/>
          <w:bCs/>
          <w:color w:val="auto"/>
          <w:szCs w:val="21"/>
          <w:highlight w:val="none"/>
        </w:rPr>
        <w:t>对电子投标文件解密。投标文件未按时解密的，视为无效投标。</w:t>
      </w:r>
      <w:r>
        <w:rPr>
          <w:rFonts w:hint="eastAsia" w:ascii="宋体" w:hAnsi="宋体" w:cs="宋体"/>
          <w:bCs/>
          <w:color w:val="auto"/>
          <w:szCs w:val="21"/>
          <w:highlight w:val="none"/>
        </w:rPr>
        <w:t>解密异常情况处理：详见本章29.4 电子交易活动的中止。</w:t>
      </w:r>
    </w:p>
    <w:p w14:paraId="54DBFF5E">
      <w:pPr>
        <w:autoSpaceDE w:val="0"/>
        <w:autoSpaceDN w:val="0"/>
        <w:adjustRightInd w:val="0"/>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（2）电子唱标。投标文件解密结束，各投标供应商报价均在广西政府采购云平台远程不见面开标大厅展示；</w:t>
      </w:r>
    </w:p>
    <w:p w14:paraId="1FE282C2">
      <w:pPr>
        <w:autoSpaceDE w:val="0"/>
        <w:autoSpaceDN w:val="0"/>
        <w:adjustRightInd w:val="0"/>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（3）签署电子《政府采购活动现场确认声明书》。通过邮件形式在远程不见面开标大厅发送各投标人签署电子《政府采购活动现场确认声明书》。</w:t>
      </w:r>
    </w:p>
    <w:p w14:paraId="7F4FFB8A">
      <w:pPr>
        <w:autoSpaceDE w:val="0"/>
        <w:autoSpaceDN w:val="0"/>
        <w:adjustRightInd w:val="0"/>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1B9329CA">
      <w:pPr>
        <w:autoSpaceDE w:val="0"/>
        <w:autoSpaceDN w:val="0"/>
        <w:adjustRightInd w:val="0"/>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70C4494F">
      <w:pPr>
        <w:autoSpaceDE w:val="0"/>
        <w:autoSpaceDN w:val="0"/>
        <w:adjustRightInd w:val="0"/>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（6）开标结束。</w:t>
      </w:r>
    </w:p>
    <w:p w14:paraId="0FD19450">
      <w:pPr>
        <w:autoSpaceDE w:val="0"/>
        <w:autoSpaceDN w:val="0"/>
        <w:adjustRightInd w:val="0"/>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特别说明：如遇广西政府采购云平台电子化开标或评审程序调整的，按调整后执行。</w:t>
      </w:r>
    </w:p>
    <w:p w14:paraId="70577CCB">
      <w:pPr>
        <w:pStyle w:val="13"/>
        <w:snapToGrid w:val="0"/>
        <w:spacing w:line="360" w:lineRule="auto"/>
        <w:ind w:left="689" w:leftChars="228" w:hanging="210" w:hangingChars="100"/>
        <w:rPr>
          <w:rFonts w:hAnsi="宋体" w:cs="宋体"/>
          <w:color w:val="auto"/>
          <w:sz w:val="21"/>
          <w:highlight w:val="none"/>
        </w:rPr>
      </w:pPr>
    </w:p>
    <w:p w14:paraId="5D6CB569">
      <w:pPr>
        <w:spacing w:line="48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五、资格审查</w:t>
      </w:r>
    </w:p>
    <w:p w14:paraId="536A1F97">
      <w:pPr>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25.资格审查</w:t>
      </w:r>
    </w:p>
    <w:p w14:paraId="6159CCE4">
      <w:pPr>
        <w:pStyle w:val="13"/>
        <w:snapToGrid w:val="0"/>
        <w:spacing w:line="360" w:lineRule="auto"/>
        <w:ind w:firstLine="422" w:firstLineChars="200"/>
        <w:rPr>
          <w:rFonts w:hAnsi="宋体" w:cs="宋体"/>
          <w:bCs/>
          <w:color w:val="auto"/>
          <w:sz w:val="21"/>
          <w:highlight w:val="none"/>
        </w:rPr>
      </w:pPr>
      <w:r>
        <w:rPr>
          <w:rFonts w:hint="eastAsia" w:hAnsi="宋体" w:cs="宋体"/>
          <w:b/>
          <w:color w:val="auto"/>
          <w:sz w:val="21"/>
          <w:highlight w:val="none"/>
        </w:rPr>
        <w:t xml:space="preserve"> </w:t>
      </w:r>
      <w:r>
        <w:rPr>
          <w:rFonts w:hint="eastAsia" w:hAnsi="宋体" w:cs="宋体"/>
          <w:bCs/>
          <w:color w:val="auto"/>
          <w:sz w:val="21"/>
          <w:highlight w:val="none"/>
        </w:rPr>
        <w:t>25.1开标结束后，采购人或者采购代理机构依法对投标人的资格进行审查。</w:t>
      </w:r>
    </w:p>
    <w:p w14:paraId="51B2559A">
      <w:pPr>
        <w:pStyle w:val="13"/>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 xml:space="preserve"> 25.2资格审查标准为本招标文件中载明对投标人资格要求的条件。本项目资格审查采用合格制，凡符合招标文件规定的投标人资格要求的投标人均通过资格审查。</w:t>
      </w:r>
    </w:p>
    <w:p w14:paraId="08453EFA">
      <w:pPr>
        <w:pStyle w:val="13"/>
        <w:snapToGrid w:val="0"/>
        <w:spacing w:line="360" w:lineRule="auto"/>
        <w:ind w:firstLine="422" w:firstLineChars="200"/>
        <w:rPr>
          <w:rFonts w:hAnsi="宋体" w:cs="宋体"/>
          <w:b/>
          <w:color w:val="auto"/>
          <w:sz w:val="21"/>
          <w:highlight w:val="none"/>
        </w:rPr>
      </w:pPr>
      <w:bookmarkStart w:id="132" w:name="_25.3_投标人有下列情形之一的，资格审查不通过而导致其投标无效："/>
      <w:bookmarkEnd w:id="132"/>
      <w:r>
        <w:rPr>
          <w:rFonts w:hint="eastAsia" w:hAnsi="宋体" w:cs="宋体"/>
          <w:b/>
          <w:color w:val="auto"/>
          <w:sz w:val="21"/>
          <w:highlight w:val="none"/>
        </w:rPr>
        <w:t>25.3 投标人有下列情形之一的，资格审查不通过，作无效投标处理：</w:t>
      </w:r>
    </w:p>
    <w:p w14:paraId="7ED9B4E1">
      <w:pPr>
        <w:pStyle w:val="13"/>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（1）未按招标文件规定的方式获取本招标文件的投标人；</w:t>
      </w:r>
    </w:p>
    <w:p w14:paraId="1325B872">
      <w:pPr>
        <w:pStyle w:val="13"/>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（2）不具备招标文件中规定的资格要求的；</w:t>
      </w:r>
    </w:p>
    <w:p w14:paraId="4B027490">
      <w:pPr>
        <w:pStyle w:val="13"/>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（3）在“信用中国”网站（www.creditchina.gov.cn） 、中国政府采购网（www.ccgp.gov.cn）被列入失信被执行人、重大税收违法案件当事人名单、政府采购严重违法失信行为记录名单及其他不符合《中华人民共和国政府采购法》第二十二条规定条件的；（注：其中信用查询规则见“投标人须知前附表”）</w:t>
      </w:r>
    </w:p>
    <w:p w14:paraId="41134AE5">
      <w:pPr>
        <w:pStyle w:val="13"/>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（4）同一合同项下的不同投标人，单位负责人为同一人或者存在直接控股、管理关系的；为本项目提供过整体设计、规范编制或者项目管理、监理、检测等服务的供应商，再参加该采购项目的其他采购活动的；</w:t>
      </w:r>
    </w:p>
    <w:p w14:paraId="3EB4D936">
      <w:pPr>
        <w:pStyle w:val="13"/>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（5）投标文件中的资格证明文件缺少任一项“投标人须知前附表”资格证明文件规定“必须提供”的文件资料的；</w:t>
      </w:r>
    </w:p>
    <w:p w14:paraId="081AC8B4">
      <w:pPr>
        <w:pStyle w:val="13"/>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（6）投标文件中的资格证明文件出现任一项不符合“投标人须知前附表”资格证明文件规定“必须提供”的文件资料要求或者无效的。</w:t>
      </w:r>
    </w:p>
    <w:p w14:paraId="5EA78FC9">
      <w:pPr>
        <w:pStyle w:val="13"/>
        <w:snapToGrid w:val="0"/>
        <w:spacing w:line="360" w:lineRule="auto"/>
        <w:ind w:firstLine="422" w:firstLineChars="200"/>
        <w:rPr>
          <w:rFonts w:hAnsi="宋体" w:cs="宋体"/>
          <w:b/>
          <w:color w:val="auto"/>
          <w:sz w:val="21"/>
          <w:highlight w:val="none"/>
        </w:rPr>
      </w:pPr>
      <w:r>
        <w:rPr>
          <w:rFonts w:hint="eastAsia" w:hAnsi="宋体" w:cs="宋体"/>
          <w:b/>
          <w:color w:val="auto"/>
          <w:sz w:val="21"/>
          <w:highlight w:val="none"/>
        </w:rPr>
        <w:t>25.4合格投标人不足3家的，不得评标。</w:t>
      </w:r>
    </w:p>
    <w:p w14:paraId="6A970A81">
      <w:pPr>
        <w:pStyle w:val="13"/>
        <w:snapToGrid w:val="0"/>
        <w:spacing w:line="360" w:lineRule="auto"/>
        <w:ind w:left="689" w:leftChars="228" w:hanging="210" w:hangingChars="100"/>
        <w:rPr>
          <w:rFonts w:hAnsi="宋体" w:cs="宋体"/>
          <w:color w:val="auto"/>
          <w:sz w:val="21"/>
          <w:highlight w:val="none"/>
        </w:rPr>
      </w:pPr>
    </w:p>
    <w:p w14:paraId="4C0BE6BA">
      <w:pPr>
        <w:spacing w:line="48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六、评   标</w:t>
      </w:r>
    </w:p>
    <w:p w14:paraId="5B9F4750">
      <w:pPr>
        <w:snapToGrid w:val="0"/>
        <w:spacing w:line="360" w:lineRule="auto"/>
        <w:ind w:firstLine="482" w:firstLineChars="200"/>
        <w:jc w:val="left"/>
        <w:rPr>
          <w:rFonts w:ascii="宋体" w:hAnsi="宋体" w:cs="宋体"/>
          <w:b/>
          <w:bCs/>
          <w:color w:val="auto"/>
          <w:sz w:val="24"/>
          <w:highlight w:val="none"/>
        </w:rPr>
      </w:pPr>
      <w:bookmarkStart w:id="133" w:name="_26.组建评标委员会"/>
      <w:bookmarkEnd w:id="133"/>
      <w:r>
        <w:rPr>
          <w:rFonts w:hint="eastAsia" w:ascii="宋体" w:hAnsi="宋体" w:cs="宋体"/>
          <w:b/>
          <w:bCs/>
          <w:color w:val="auto"/>
          <w:sz w:val="24"/>
          <w:highlight w:val="none"/>
        </w:rPr>
        <w:t>26.组建评标委员会</w:t>
      </w:r>
    </w:p>
    <w:p w14:paraId="276E5893">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评标委员会由采购人代表和评审专家组成，具体人数详见“投标人须知前附表”，其中评审专家不得少于成员总数的三分之二。</w:t>
      </w:r>
    </w:p>
    <w:p w14:paraId="03F12C9E">
      <w:pPr>
        <w:pStyle w:val="13"/>
        <w:snapToGrid w:val="0"/>
        <w:spacing w:line="360" w:lineRule="auto"/>
        <w:ind w:left="2" w:leftChars="1" w:firstLine="420" w:firstLineChars="200"/>
        <w:rPr>
          <w:rFonts w:hAnsi="宋体" w:cs="宋体"/>
          <w:color w:val="auto"/>
          <w:sz w:val="21"/>
          <w:highlight w:val="none"/>
        </w:rPr>
      </w:pPr>
      <w:r>
        <w:rPr>
          <w:rFonts w:hint="eastAsia" w:hAnsi="宋体" w:cs="宋体"/>
          <w:color w:val="auto"/>
          <w:sz w:val="21"/>
          <w:highlight w:val="none"/>
        </w:rPr>
        <w:t>参加过采购项目前期咨询论证的专家，不得参加该采购项目的评审活动。</w:t>
      </w:r>
    </w:p>
    <w:p w14:paraId="240A5B80">
      <w:pPr>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27.评标的依据</w:t>
      </w:r>
    </w:p>
    <w:p w14:paraId="3C480A11">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评标委员会以“第四章 评标方法和评标标准”为依据对投标文件进行评审，没有规定的方法、评审因素和标准，不作为评标依据。</w:t>
      </w:r>
    </w:p>
    <w:p w14:paraId="1B263731">
      <w:pPr>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28.评标原则</w:t>
      </w:r>
    </w:p>
    <w:p w14:paraId="7754066D">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37615BE5">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28.2</w:t>
      </w:r>
      <w:bookmarkStart w:id="134" w:name="_28.3评标方法。本项目将按须知前附表规定的评标办法进行评标，具体评标"/>
      <w:bookmarkEnd w:id="134"/>
      <w:r>
        <w:rPr>
          <w:rFonts w:hint="eastAsia" w:hAnsi="宋体" w:cs="宋体"/>
          <w:color w:val="auto"/>
          <w:sz w:val="21"/>
          <w:highlight w:val="none"/>
        </w:rPr>
        <w:t>评委表决。评标委员会成员对需要共同认定的事项存在争议的，应当按照少数服从多数的原则作出结论。</w:t>
      </w:r>
    </w:p>
    <w:p w14:paraId="547DD819">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1D1D6D3F">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28.4评标过程的监控。本项目评标过程实行全程录音、录像监控，</w:t>
      </w:r>
      <w:r>
        <w:rPr>
          <w:rFonts w:hint="eastAsia" w:hAnsi="宋体" w:cs="宋体"/>
          <w:b/>
          <w:bCs/>
          <w:color w:val="auto"/>
          <w:sz w:val="21"/>
          <w:highlight w:val="none"/>
        </w:rPr>
        <w:t>投标人在评标过程中所进行的试图影响评标结果的不公正活动，可能导致其投标无效</w:t>
      </w:r>
      <w:r>
        <w:rPr>
          <w:rFonts w:hint="eastAsia" w:hAnsi="宋体" w:cs="宋体"/>
          <w:color w:val="auto"/>
          <w:sz w:val="21"/>
          <w:highlight w:val="none"/>
        </w:rPr>
        <w:t>。</w:t>
      </w:r>
    </w:p>
    <w:p w14:paraId="7499A14E">
      <w:pPr>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29.评标方法及中标候选人推荐</w:t>
      </w:r>
    </w:p>
    <w:p w14:paraId="070BC44B">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29.1本项目的评标方法详见“投标人须知前附表”。</w:t>
      </w:r>
    </w:p>
    <w:p w14:paraId="7773C814">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29.2 中标候选人推荐数量详见“投标人须知前附表”。</w:t>
      </w:r>
    </w:p>
    <w:p w14:paraId="7DD75250">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29.3评标委员会将按照“第四章 评标方法和评标标准”规定的方法、评审因素、标准和程序对投标文件进行评审。</w:t>
      </w:r>
    </w:p>
    <w:p w14:paraId="02319216">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29.4电子交易活动的中止。采购过程中出现以下情形，导致电子交易平台无法正常运行，或者无法保证电子交易的公平、公正和安全时，采购代理机构可中止电子交易活动：</w:t>
      </w:r>
    </w:p>
    <w:p w14:paraId="1325ACA4">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 xml:space="preserve">（1）电子交易平台发生故障而无法登录访问的； </w:t>
      </w:r>
    </w:p>
    <w:p w14:paraId="5462DD88">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（2）电子交易平台应用或数据库出现错误，不能进行正常操作的；</w:t>
      </w:r>
    </w:p>
    <w:p w14:paraId="1721C49F">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（3）电子交易平台发现严重安全漏洞，有潜在泄密危险的；</w:t>
      </w:r>
    </w:p>
    <w:p w14:paraId="3D17BBA9">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 xml:space="preserve">（4）病毒发作导致不能进行正常操作的； </w:t>
      </w:r>
    </w:p>
    <w:p w14:paraId="13CAE1FC">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（4）其他无法保证电子交易的公平、公正和安全的情况。</w:t>
      </w:r>
    </w:p>
    <w:p w14:paraId="7AA36BD5">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29.5出现以上情形，不影响采购公平、公正性的，采购代理机构可以待上述情形消除后继续组织电子交易活动；影响或可能影响采购公平、公正性的，经采购代理机构确认后，应当重新采购。</w:t>
      </w:r>
    </w:p>
    <w:p w14:paraId="06B59FA5">
      <w:pPr>
        <w:spacing w:line="480" w:lineRule="auto"/>
        <w:jc w:val="center"/>
        <w:rPr>
          <w:rFonts w:ascii="宋体" w:hAnsi="宋体" w:cs="宋体"/>
          <w:b/>
          <w:bCs/>
          <w:color w:val="auto"/>
          <w:sz w:val="32"/>
          <w:szCs w:val="32"/>
          <w:highlight w:val="none"/>
        </w:rPr>
      </w:pPr>
      <w:bookmarkStart w:id="135" w:name="_Toc254970546"/>
      <w:bookmarkStart w:id="136" w:name="_Toc254970687"/>
      <w:r>
        <w:rPr>
          <w:rFonts w:hint="eastAsia" w:ascii="宋体" w:hAnsi="宋体" w:cs="宋体"/>
          <w:b/>
          <w:bCs/>
          <w:color w:val="auto"/>
          <w:sz w:val="32"/>
          <w:szCs w:val="32"/>
          <w:highlight w:val="none"/>
        </w:rPr>
        <w:t>七、</w:t>
      </w:r>
      <w:bookmarkEnd w:id="135"/>
      <w:bookmarkEnd w:id="136"/>
      <w:r>
        <w:rPr>
          <w:rFonts w:hint="eastAsia" w:ascii="宋体" w:hAnsi="宋体" w:cs="宋体"/>
          <w:b/>
          <w:bCs/>
          <w:color w:val="auto"/>
          <w:sz w:val="32"/>
          <w:szCs w:val="32"/>
          <w:highlight w:val="none"/>
        </w:rPr>
        <w:t>中标和合同</w:t>
      </w:r>
    </w:p>
    <w:p w14:paraId="72CD9C6E">
      <w:pPr>
        <w:snapToGrid w:val="0"/>
        <w:spacing w:line="360" w:lineRule="auto"/>
        <w:ind w:firstLine="482" w:firstLineChars="200"/>
        <w:jc w:val="left"/>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t>30 确定</w:t>
      </w:r>
      <w:r>
        <w:rPr>
          <w:rFonts w:hint="eastAsia" w:ascii="宋体" w:hAnsi="宋体" w:cs="宋体"/>
          <w:b/>
          <w:bCs/>
          <w:color w:val="auto"/>
          <w:sz w:val="24"/>
          <w:highlight w:val="none"/>
          <w:lang w:eastAsia="zh-CN"/>
        </w:rPr>
        <w:t>中标人</w:t>
      </w:r>
    </w:p>
    <w:p w14:paraId="58E897F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30.1采购代理机构在评标结束之日起2个工作日内将评标报告送采购人，采购人在收到评标报告之日起5个工作日内，在评标报告确定的中标候选人名单中按顺序确定</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。中标候选人并列的，按照“投标人须知前附表”规定的方式确定</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。采购人也可以事先授权评标委员会直接确定</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w:t>
      </w:r>
    </w:p>
    <w:p w14:paraId="75DA918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30.2采购人在收到评标报告5个工作日内未按评标报告推荐的中标候选人顺序确定</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，又不能说明合法理由的，视同按评标报告推荐的顺序确定排名第一的中标候选人为</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w:t>
      </w:r>
    </w:p>
    <w:p w14:paraId="3F09ADE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30.3出现下列情形之一的，应予废标：</w:t>
      </w:r>
    </w:p>
    <w:p w14:paraId="51C6B1E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（1）符合专业条件的供应商或者对招标文件</w:t>
      </w:r>
      <w:r>
        <w:rPr>
          <w:rFonts w:hint="eastAsia" w:ascii="宋体" w:hAnsi="宋体" w:cs="宋体"/>
          <w:color w:val="auto"/>
          <w:szCs w:val="21"/>
          <w:highlight w:val="none"/>
          <w:lang w:eastAsia="zh-CN"/>
        </w:rPr>
        <w:t>做</w:t>
      </w:r>
      <w:r>
        <w:rPr>
          <w:rFonts w:hint="eastAsia" w:ascii="宋体" w:hAnsi="宋体" w:cs="宋体"/>
          <w:color w:val="auto"/>
          <w:szCs w:val="21"/>
          <w:highlight w:val="none"/>
        </w:rPr>
        <w:t>实质响应的供应商不足三家的；</w:t>
      </w:r>
    </w:p>
    <w:p w14:paraId="75FBAB2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14:paraId="6D03EC8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（3）投标人的报价均超过了采购预算或最高限价，采购人不能支付的；</w:t>
      </w:r>
    </w:p>
    <w:p w14:paraId="3D71C72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（4）因重大变故，采购任务取消的。</w:t>
      </w:r>
    </w:p>
    <w:p w14:paraId="2827594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废标后，采购人应当将废标理由通知所有投标人。</w:t>
      </w:r>
    </w:p>
    <w:p w14:paraId="3FF9B8D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30.4 </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拒绝签订政府采购合同（包括但不限于放弃中标、因不可抗力不能履行合同而放弃签订合同），采购人可以按照评审报告推荐的中标候选人名单排序，确定下一候选人为</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，也可以重新开展政府采购活动。拒绝签订政府采购合同的</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不得参加对该项目重新开展的采购活动。</w:t>
      </w:r>
    </w:p>
    <w:p w14:paraId="26A3ED5A">
      <w:pPr>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31. 结果公告</w:t>
      </w:r>
    </w:p>
    <w:p w14:paraId="767B97EE">
      <w:pPr>
        <w:pStyle w:val="4"/>
        <w:spacing w:line="360" w:lineRule="auto"/>
        <w:rPr>
          <w:rFonts w:ascii="宋体" w:hAnsi="宋体" w:cs="宋体"/>
          <w:color w:val="auto"/>
          <w:szCs w:val="21"/>
          <w:highlight w:val="none"/>
        </w:rPr>
      </w:pPr>
      <w:r>
        <w:rPr>
          <w:rFonts w:hint="eastAsia" w:ascii="宋体" w:hAnsi="宋体" w:cs="宋体"/>
          <w:color w:val="auto"/>
          <w:szCs w:val="21"/>
          <w:highlight w:val="none"/>
        </w:rPr>
        <w:t>31.1采购人或者采购代理机构应当自</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确定之日起2个工作日内，在省级以上财政部门指定的媒体上公告中标结果，招标文件应当随中标结果同时公告。</w:t>
      </w:r>
      <w:r>
        <w:rPr>
          <w:rFonts w:hint="eastAsia" w:ascii="宋体" w:hAnsi="宋体" w:cs="宋体"/>
          <w:b/>
          <w:bCs/>
          <w:color w:val="auto"/>
          <w:szCs w:val="21"/>
          <w:highlight w:val="none"/>
        </w:rPr>
        <w:t>采购人或者采购代理发出中标通知书前，应当对</w:t>
      </w:r>
      <w:r>
        <w:rPr>
          <w:rFonts w:hint="eastAsia" w:ascii="宋体" w:hAnsi="宋体" w:cs="宋体"/>
          <w:b/>
          <w:bCs/>
          <w:color w:val="auto"/>
          <w:szCs w:val="21"/>
          <w:highlight w:val="none"/>
          <w:lang w:eastAsia="zh-CN"/>
        </w:rPr>
        <w:t>中标人</w:t>
      </w:r>
      <w:r>
        <w:rPr>
          <w:rFonts w:hint="eastAsia" w:ascii="宋体" w:hAnsi="宋体" w:cs="宋体"/>
          <w:b/>
          <w:bCs/>
          <w:color w:val="auto"/>
          <w:szCs w:val="21"/>
          <w:highlight w:val="none"/>
        </w:rPr>
        <w:t>信用进行查询，对列入失信被执行人、重大税收违法案件当事人名单、政府采购严重违法失信行为记录名单及其他不符合《中华人民共和国政府采购法》第二十二条规定条件的投标人，取消其中标资格，并确定排名第二的中标候选人为</w:t>
      </w:r>
      <w:r>
        <w:rPr>
          <w:rFonts w:hint="eastAsia" w:ascii="宋体" w:hAnsi="宋体" w:cs="宋体"/>
          <w:b/>
          <w:bCs/>
          <w:color w:val="auto"/>
          <w:szCs w:val="21"/>
          <w:highlight w:val="none"/>
          <w:lang w:eastAsia="zh-CN"/>
        </w:rPr>
        <w:t>中标人</w:t>
      </w:r>
      <w:r>
        <w:rPr>
          <w:rFonts w:hint="eastAsia" w:ascii="宋体" w:hAnsi="宋体" w:cs="宋体"/>
          <w:b/>
          <w:bCs/>
          <w:color w:val="auto"/>
          <w:szCs w:val="21"/>
          <w:highlight w:val="none"/>
        </w:rPr>
        <w:t>。</w:t>
      </w:r>
      <w:r>
        <w:rPr>
          <w:rFonts w:hint="eastAsia" w:ascii="宋体" w:hAnsi="宋体" w:cs="宋体"/>
          <w:color w:val="auto"/>
          <w:szCs w:val="21"/>
          <w:highlight w:val="none"/>
        </w:rPr>
        <w:t>排名第二的中标候选人因前款规定的同样原因被取消中标资格的，采购人可以确定排名第三的中标候选人为</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，以此类推。以上信息查询记录及相关证据与招标文件一并保存。</w:t>
      </w:r>
    </w:p>
    <w:p w14:paraId="73B520AE">
      <w:pPr>
        <w:pStyle w:val="4"/>
        <w:spacing w:line="360" w:lineRule="auto"/>
        <w:rPr>
          <w:rFonts w:ascii="宋体" w:hAnsi="宋体" w:cs="宋体"/>
          <w:color w:val="auto"/>
          <w:szCs w:val="21"/>
          <w:highlight w:val="none"/>
        </w:rPr>
      </w:pPr>
      <w:r>
        <w:rPr>
          <w:rFonts w:hint="eastAsia" w:ascii="宋体" w:hAnsi="宋体" w:cs="宋体"/>
          <w:color w:val="auto"/>
          <w:szCs w:val="21"/>
          <w:highlight w:val="none"/>
        </w:rPr>
        <w:t>31.2</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享受《政府采购促进中小企业发展管理办法》（财库〔2020〕46号）规定的中小企业扶持政策的，采购人、采购代理机构应当随中标结果公开</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的《中小企业声明函》。</w:t>
      </w:r>
    </w:p>
    <w:p w14:paraId="5DBA900B">
      <w:pPr>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32.发出中标通知书</w:t>
      </w:r>
    </w:p>
    <w:p w14:paraId="5F82E0B8">
      <w:pPr>
        <w:pStyle w:val="4"/>
        <w:spacing w:line="360" w:lineRule="auto"/>
        <w:rPr>
          <w:rFonts w:ascii="宋体" w:hAnsi="宋体" w:cs="宋体"/>
          <w:color w:val="auto"/>
          <w:szCs w:val="21"/>
          <w:highlight w:val="none"/>
        </w:rPr>
      </w:pPr>
      <w:r>
        <w:rPr>
          <w:rFonts w:hint="eastAsia" w:ascii="宋体" w:hAnsi="宋体" w:cs="宋体"/>
          <w:color w:val="auto"/>
          <w:szCs w:val="21"/>
          <w:highlight w:val="none"/>
        </w:rPr>
        <w:t>在公告中标结果的同时，采购代理机构向</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发出中标通知书。对未通过资格审查的投标人，应当告知其未通过的原因；采用综合评分办法评审的，还应当告知未</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本人的评审得分与排序。</w:t>
      </w:r>
    </w:p>
    <w:p w14:paraId="60A822FA">
      <w:pPr>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33. 无义务解释未中标原因</w:t>
      </w:r>
    </w:p>
    <w:p w14:paraId="6B836256">
      <w:pPr>
        <w:pStyle w:val="4"/>
        <w:spacing w:line="360" w:lineRule="auto"/>
        <w:rPr>
          <w:rFonts w:ascii="宋体" w:hAnsi="宋体" w:cs="宋体"/>
          <w:color w:val="auto"/>
          <w:szCs w:val="21"/>
          <w:highlight w:val="none"/>
        </w:rPr>
      </w:pPr>
      <w:r>
        <w:rPr>
          <w:rFonts w:hint="eastAsia" w:ascii="宋体" w:hAnsi="宋体" w:cs="宋体"/>
          <w:color w:val="auto"/>
          <w:szCs w:val="21"/>
          <w:highlight w:val="none"/>
        </w:rPr>
        <w:t>采购代理机构无义务向未中标的投标人解释未中标原因和退还投标文件。</w:t>
      </w:r>
    </w:p>
    <w:p w14:paraId="09091CAD">
      <w:pPr>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34.合同授予标准</w:t>
      </w:r>
    </w:p>
    <w:p w14:paraId="0113D18D">
      <w:pPr>
        <w:pStyle w:val="4"/>
        <w:spacing w:line="360" w:lineRule="auto"/>
        <w:rPr>
          <w:rFonts w:ascii="宋体" w:hAnsi="宋体" w:cs="宋体"/>
          <w:color w:val="auto"/>
          <w:szCs w:val="21"/>
          <w:highlight w:val="none"/>
        </w:rPr>
      </w:pPr>
      <w:r>
        <w:rPr>
          <w:rFonts w:hint="eastAsia" w:ascii="宋体" w:hAnsi="宋体" w:cs="宋体"/>
          <w:color w:val="auto"/>
          <w:szCs w:val="21"/>
          <w:highlight w:val="none"/>
        </w:rPr>
        <w:t>合同将授予被确定实质上响应招标文件要求，具备履行合同能力的</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（招标文件另有约定多名</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的除外）。</w:t>
      </w:r>
    </w:p>
    <w:p w14:paraId="1372102A">
      <w:pPr>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35.履约保证金</w:t>
      </w:r>
    </w:p>
    <w:p w14:paraId="3F527C02">
      <w:pPr>
        <w:pStyle w:val="4"/>
        <w:spacing w:line="360" w:lineRule="auto"/>
        <w:rPr>
          <w:rFonts w:ascii="宋体" w:hAnsi="宋体" w:cs="宋体"/>
          <w:color w:val="auto"/>
          <w:szCs w:val="21"/>
          <w:highlight w:val="none"/>
        </w:rPr>
      </w:pPr>
      <w:bookmarkStart w:id="137" w:name="_39.1中标人须于签订合同前按本须知前附表规定的金额转账或电汇到指定账"/>
      <w:bookmarkEnd w:id="137"/>
      <w:r>
        <w:rPr>
          <w:rFonts w:hint="eastAsia" w:ascii="宋体" w:hAnsi="宋体" w:cs="宋体"/>
          <w:b/>
          <w:color w:val="auto"/>
          <w:szCs w:val="21"/>
          <w:highlight w:val="none"/>
        </w:rPr>
        <w:t xml:space="preserve"> </w:t>
      </w:r>
      <w:r>
        <w:rPr>
          <w:rFonts w:hint="eastAsia" w:ascii="宋体" w:hAnsi="宋体" w:cs="宋体"/>
          <w:color w:val="auto"/>
          <w:szCs w:val="21"/>
          <w:highlight w:val="none"/>
        </w:rPr>
        <w:t>35.1 履约保证金的金额、提交方式、退付的时间和条件详见 “投标人须知前附表”。</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未按规定提交履约保证金的，视为拒绝与采购人签订合同。</w:t>
      </w:r>
    </w:p>
    <w:p w14:paraId="568132DB">
      <w:pPr>
        <w:pStyle w:val="4"/>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35.2在履约保证金退还日期前，若</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的开户名称、开户银行、账号有变动的，请以书面形式通知履约保证金收取单位，否则由此产生的后果由</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自行承担。</w:t>
      </w:r>
    </w:p>
    <w:p w14:paraId="09BB24F6">
      <w:pPr>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36.签订合同</w:t>
      </w:r>
    </w:p>
    <w:p w14:paraId="331F0750">
      <w:pPr>
        <w:pStyle w:val="4"/>
        <w:spacing w:line="360" w:lineRule="auto"/>
        <w:rPr>
          <w:rFonts w:ascii="宋体" w:hAnsi="宋体" w:cs="宋体"/>
          <w:color w:val="auto"/>
          <w:szCs w:val="21"/>
          <w:highlight w:val="none"/>
        </w:rPr>
      </w:pPr>
      <w:bookmarkStart w:id="138" w:name="_40.1投标人接到中标通知书后，按须知前附表规定向采购人出示相关资格证"/>
      <w:bookmarkEnd w:id="138"/>
      <w:r>
        <w:rPr>
          <w:rFonts w:hint="eastAsia" w:ascii="宋体" w:hAnsi="宋体" w:cs="宋体"/>
          <w:color w:val="auto"/>
          <w:szCs w:val="21"/>
          <w:highlight w:val="none"/>
        </w:rPr>
        <w:t xml:space="preserve"> 36.1投标人领取中标通知书（书面或电子）后，按“投标人须知前附表”规定向采购人出示相关证明材料，经采购人核验合格后方可签订采购合同（书面或电子）。如</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为联合体的，联合体各方应当共同与采购人签订采购合同，就采购合同约定的事项对采购人承担连带责任。</w:t>
      </w:r>
    </w:p>
    <w:p w14:paraId="48ECD244">
      <w:pPr>
        <w:pStyle w:val="4"/>
        <w:spacing w:line="360" w:lineRule="auto"/>
        <w:rPr>
          <w:rFonts w:ascii="宋体" w:hAnsi="宋体" w:cs="宋体"/>
          <w:color w:val="auto"/>
          <w:szCs w:val="21"/>
          <w:highlight w:val="none"/>
        </w:rPr>
      </w:pPr>
      <w:r>
        <w:rPr>
          <w:rFonts w:hint="eastAsia" w:ascii="宋体" w:hAnsi="宋体" w:cs="宋体"/>
          <w:color w:val="auto"/>
          <w:szCs w:val="21"/>
          <w:highlight w:val="none"/>
        </w:rPr>
        <w:t>36.2签订合同时间：按中标通知书规定的时间与采购人签订合同。</w:t>
      </w:r>
    </w:p>
    <w:p w14:paraId="1C89D5E8">
      <w:pPr>
        <w:pStyle w:val="4"/>
        <w:spacing w:line="360" w:lineRule="auto"/>
        <w:rPr>
          <w:rFonts w:ascii="宋体" w:hAnsi="宋体" w:cs="宋体"/>
          <w:color w:val="auto"/>
          <w:szCs w:val="21"/>
          <w:highlight w:val="none"/>
        </w:rPr>
      </w:pPr>
      <w:r>
        <w:rPr>
          <w:rFonts w:hint="eastAsia" w:ascii="宋体" w:hAnsi="宋体" w:cs="宋体"/>
          <w:color w:val="auto"/>
          <w:szCs w:val="21"/>
          <w:highlight w:val="none"/>
        </w:rPr>
        <w:t>36.3</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拒绝与采购人签订合同的，按照本须知正文第30.4条的规定执行。</w:t>
      </w:r>
    </w:p>
    <w:p w14:paraId="692206C2">
      <w:pPr>
        <w:snapToGrid w:val="0"/>
        <w:spacing w:line="360" w:lineRule="auto"/>
        <w:ind w:firstLine="482" w:firstLineChars="200"/>
        <w:jc w:val="left"/>
        <w:rPr>
          <w:rFonts w:ascii="宋体" w:hAnsi="宋体" w:cs="宋体"/>
          <w:b/>
          <w:bCs/>
          <w:color w:val="auto"/>
          <w:sz w:val="24"/>
          <w:highlight w:val="none"/>
        </w:rPr>
      </w:pPr>
      <w:bookmarkStart w:id="139" w:name="_41.政府采购合同公告"/>
      <w:bookmarkEnd w:id="139"/>
      <w:r>
        <w:rPr>
          <w:rFonts w:hint="eastAsia" w:ascii="宋体" w:hAnsi="宋体" w:cs="宋体"/>
          <w:b/>
          <w:bCs/>
          <w:color w:val="auto"/>
          <w:sz w:val="24"/>
          <w:highlight w:val="none"/>
        </w:rPr>
        <w:t>37.政府采购合同公告</w:t>
      </w:r>
    </w:p>
    <w:p w14:paraId="0DB903EF">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5168B4B5">
      <w:pPr>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38. 询问、质疑和投诉</w:t>
      </w:r>
    </w:p>
    <w:p w14:paraId="76235158">
      <w:pPr>
        <w:pStyle w:val="4"/>
        <w:spacing w:line="360" w:lineRule="auto"/>
        <w:rPr>
          <w:rFonts w:ascii="宋体" w:hAnsi="宋体" w:cs="宋体"/>
          <w:color w:val="auto"/>
          <w:szCs w:val="21"/>
          <w:highlight w:val="none"/>
        </w:rPr>
      </w:pPr>
      <w:r>
        <w:rPr>
          <w:rFonts w:hint="eastAsia" w:ascii="宋体" w:hAnsi="宋体" w:cs="宋体"/>
          <w:color w:val="auto"/>
          <w:szCs w:val="21"/>
          <w:highlight w:val="none"/>
        </w:rPr>
        <w:t>38.1供应商对政府采购活动事项有疑问的，可以向采购人提出询问，采购人或者采购代理机构应当在3个工作日内对供应商依法提出的询问作出答复，但答复的内容不得涉及商业秘密。</w:t>
      </w:r>
    </w:p>
    <w:p w14:paraId="5897E385">
      <w:pPr>
        <w:pStyle w:val="4"/>
        <w:spacing w:line="360" w:lineRule="auto"/>
        <w:rPr>
          <w:rFonts w:ascii="宋体" w:hAnsi="宋体" w:cs="宋体"/>
          <w:b/>
          <w:color w:val="auto"/>
          <w:szCs w:val="21"/>
          <w:highlight w:val="none"/>
        </w:rPr>
      </w:pPr>
      <w:r>
        <w:rPr>
          <w:rFonts w:hint="eastAsia" w:ascii="宋体" w:hAnsi="宋体" w:cs="宋体"/>
          <w:color w:val="auto"/>
          <w:szCs w:val="21"/>
          <w:highlight w:val="none"/>
        </w:rPr>
        <w:t xml:space="preserve">38.2供应商认为招标文件、采购过程或者中标结果使自己的合法权益受到损害的，必须在知道或者应知其权益受到损害之日起7个工作日内，以纸质书面形式向采购人、采购代理机构提出质疑。采购人、采购代理机构接收质疑函的方式、联系部门、联系电话和通讯地址等信息详见“投标人须知前附表”。具体质疑起算时间如下： </w:t>
      </w:r>
    </w:p>
    <w:p w14:paraId="64B4E495">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（1）对可以质疑的招标文件提出质疑的，为收到招标文件之日或者招标文件公告期限届满之日；</w:t>
      </w:r>
    </w:p>
    <w:p w14:paraId="3A8EBD03">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（2）对采购过程提出质疑的，为各采购程序环节结束之日；</w:t>
      </w:r>
    </w:p>
    <w:p w14:paraId="20791FCC">
      <w:pPr>
        <w:pStyle w:val="13"/>
        <w:snapToGrid w:val="0"/>
        <w:spacing w:line="360" w:lineRule="auto"/>
        <w:ind w:firstLine="420" w:firstLineChars="200"/>
        <w:rPr>
          <w:rFonts w:hAnsi="宋体" w:cs="宋体"/>
          <w:bCs/>
          <w:color w:val="auto"/>
          <w:sz w:val="21"/>
          <w:highlight w:val="none"/>
        </w:rPr>
      </w:pPr>
      <w:r>
        <w:rPr>
          <w:rFonts w:hint="eastAsia" w:hAnsi="宋体" w:cs="宋体"/>
          <w:color w:val="auto"/>
          <w:sz w:val="21"/>
          <w:highlight w:val="none"/>
        </w:rPr>
        <w:t>（3）对中标结果提出质疑的，为中标结果公告期限届满之日。</w:t>
      </w:r>
    </w:p>
    <w:p w14:paraId="20FD4DE7">
      <w:pPr>
        <w:pStyle w:val="13"/>
        <w:snapToGrid w:val="0"/>
        <w:spacing w:line="360" w:lineRule="auto"/>
        <w:ind w:firstLine="422" w:firstLineChars="200"/>
        <w:rPr>
          <w:rFonts w:hAnsi="宋体" w:cs="宋体"/>
          <w:b/>
          <w:bCs/>
          <w:color w:val="auto"/>
          <w:sz w:val="21"/>
          <w:highlight w:val="none"/>
        </w:rPr>
      </w:pPr>
      <w:r>
        <w:rPr>
          <w:rFonts w:hint="eastAsia" w:hAnsi="宋体" w:cs="宋体"/>
          <w:b/>
          <w:bCs/>
          <w:color w:val="auto"/>
          <w:sz w:val="21"/>
          <w:highlight w:val="none"/>
        </w:rPr>
        <w:t>38.3 供应商提出质疑应当提交质疑函和必要的证明材料，针对同一采购程序环节的质疑必须在法定质疑期内一次性提出。质疑函应当包括下列内容（质疑函格式后附）：</w:t>
      </w:r>
    </w:p>
    <w:p w14:paraId="7FBF0243">
      <w:pPr>
        <w:pStyle w:val="13"/>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（1）供应商的姓名或者名称、地址、邮编、联系人及联系电话；</w:t>
      </w:r>
    </w:p>
    <w:p w14:paraId="3218E67D">
      <w:pPr>
        <w:pStyle w:val="13"/>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（2）质疑项目的名称、编号；</w:t>
      </w:r>
    </w:p>
    <w:p w14:paraId="7C5ABC72">
      <w:pPr>
        <w:pStyle w:val="13"/>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（3）具体、明确的质疑事项和与质疑事项相关的请求；</w:t>
      </w:r>
    </w:p>
    <w:p w14:paraId="46080A16">
      <w:pPr>
        <w:pStyle w:val="13"/>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（4）事实依据；</w:t>
      </w:r>
    </w:p>
    <w:p w14:paraId="67AB1952">
      <w:pPr>
        <w:pStyle w:val="13"/>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（5）必要的法律依据；</w:t>
      </w:r>
    </w:p>
    <w:p w14:paraId="5C347E09">
      <w:pPr>
        <w:pStyle w:val="13"/>
        <w:snapToGrid w:val="0"/>
        <w:spacing w:line="360" w:lineRule="auto"/>
        <w:ind w:firstLine="420" w:firstLineChars="200"/>
        <w:rPr>
          <w:rFonts w:hAnsi="宋体" w:cs="宋体"/>
          <w:bCs/>
          <w:color w:val="auto"/>
          <w:sz w:val="21"/>
          <w:highlight w:val="none"/>
        </w:rPr>
      </w:pPr>
      <w:r>
        <w:rPr>
          <w:rFonts w:hint="eastAsia" w:hAnsi="宋体" w:cs="宋体"/>
          <w:bCs/>
          <w:color w:val="auto"/>
          <w:sz w:val="21"/>
          <w:highlight w:val="none"/>
        </w:rPr>
        <w:t>（6）提出质疑的日期。</w:t>
      </w:r>
    </w:p>
    <w:p w14:paraId="574C3750">
      <w:pPr>
        <w:pStyle w:val="13"/>
        <w:snapToGrid w:val="0"/>
        <w:spacing w:line="360" w:lineRule="auto"/>
        <w:rPr>
          <w:rFonts w:hAnsi="宋体" w:cs="宋体"/>
          <w:bCs/>
          <w:color w:val="auto"/>
          <w:sz w:val="21"/>
          <w:highlight w:val="none"/>
        </w:rPr>
      </w:pPr>
      <w:r>
        <w:rPr>
          <w:rFonts w:hint="eastAsia" w:hAnsi="宋体" w:cs="宋体"/>
          <w:bCs/>
          <w:color w:val="auto"/>
          <w:sz w:val="21"/>
          <w:highlight w:val="none"/>
        </w:rPr>
        <w:t>供应商为自然人的，应当由本人签字；供应商为法人或者其他组织的，应当由法定代表人、主要负责人，或者其委托代理人签字或者盖章，并加盖公章。</w:t>
      </w:r>
    </w:p>
    <w:p w14:paraId="2A6D0DA5">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38.4采购人、采购代理机构认为供应商质疑不成立，或者成立但未对中标结果构成影响的，继续开展采购活动；认为供应商质疑成立且影响或者可能影响中标结果的，按照下列情况处理：</w:t>
      </w:r>
    </w:p>
    <w:p w14:paraId="7A8BB50F">
      <w:pPr>
        <w:pStyle w:val="13"/>
        <w:snapToGrid w:val="0"/>
        <w:spacing w:line="360" w:lineRule="auto"/>
        <w:rPr>
          <w:rFonts w:hAnsi="宋体" w:cs="宋体"/>
          <w:bCs/>
          <w:color w:val="auto"/>
          <w:sz w:val="21"/>
          <w:highlight w:val="none"/>
        </w:rPr>
      </w:pPr>
      <w:r>
        <w:rPr>
          <w:rFonts w:hint="eastAsia" w:hAnsi="宋体" w:cs="宋体"/>
          <w:bCs/>
          <w:color w:val="auto"/>
          <w:sz w:val="21"/>
          <w:highlight w:val="none"/>
        </w:rPr>
        <w:t>　　（1）对招标文件提出的质疑，依法通过澄清或者修改可以继续开展采购活动的，澄清或者修改招标文件后继续开展采购活动；否则应当修改招标文件后重新开展采购活动。</w:t>
      </w:r>
    </w:p>
    <w:p w14:paraId="4A539478">
      <w:pPr>
        <w:pStyle w:val="13"/>
        <w:snapToGrid w:val="0"/>
        <w:spacing w:line="360" w:lineRule="auto"/>
        <w:rPr>
          <w:rFonts w:hAnsi="宋体" w:cs="宋体"/>
          <w:bCs/>
          <w:color w:val="auto"/>
          <w:sz w:val="21"/>
          <w:highlight w:val="none"/>
        </w:rPr>
      </w:pPr>
      <w:r>
        <w:rPr>
          <w:rFonts w:hint="eastAsia" w:hAnsi="宋体" w:cs="宋体"/>
          <w:bCs/>
          <w:color w:val="auto"/>
          <w:sz w:val="21"/>
          <w:highlight w:val="none"/>
        </w:rPr>
        <w:t>　　（2）对采购过程、中标结果提出的质疑，合格供应商符合法定数量时，可以从合格的中标候选人中另行确定</w:t>
      </w:r>
      <w:r>
        <w:rPr>
          <w:rFonts w:hint="eastAsia" w:hAnsi="宋体" w:cs="宋体"/>
          <w:bCs/>
          <w:color w:val="auto"/>
          <w:sz w:val="21"/>
          <w:highlight w:val="none"/>
          <w:lang w:eastAsia="zh-CN"/>
        </w:rPr>
        <w:t>中标人</w:t>
      </w:r>
      <w:r>
        <w:rPr>
          <w:rFonts w:hint="eastAsia" w:hAnsi="宋体" w:cs="宋体"/>
          <w:bCs/>
          <w:color w:val="auto"/>
          <w:sz w:val="21"/>
          <w:highlight w:val="none"/>
        </w:rPr>
        <w:t>的，应当依法另行确定</w:t>
      </w:r>
      <w:r>
        <w:rPr>
          <w:rFonts w:hint="eastAsia" w:hAnsi="宋体" w:cs="宋体"/>
          <w:bCs/>
          <w:color w:val="auto"/>
          <w:sz w:val="21"/>
          <w:highlight w:val="none"/>
          <w:lang w:eastAsia="zh-CN"/>
        </w:rPr>
        <w:t>中标人</w:t>
      </w:r>
      <w:r>
        <w:rPr>
          <w:rFonts w:hint="eastAsia" w:hAnsi="宋体" w:cs="宋体"/>
          <w:bCs/>
          <w:color w:val="auto"/>
          <w:sz w:val="21"/>
          <w:highlight w:val="none"/>
        </w:rPr>
        <w:t>；否则应当重新开展采购活动。</w:t>
      </w:r>
    </w:p>
    <w:p w14:paraId="12DE30CD">
      <w:pPr>
        <w:pStyle w:val="13"/>
        <w:snapToGrid w:val="0"/>
        <w:spacing w:line="360" w:lineRule="auto"/>
        <w:rPr>
          <w:rFonts w:hAnsi="宋体" w:cs="宋体"/>
          <w:bCs/>
          <w:color w:val="auto"/>
          <w:sz w:val="21"/>
          <w:highlight w:val="none"/>
        </w:rPr>
      </w:pPr>
      <w:r>
        <w:rPr>
          <w:rFonts w:hint="eastAsia" w:hAnsi="宋体" w:cs="宋体"/>
          <w:bCs/>
          <w:color w:val="auto"/>
          <w:sz w:val="21"/>
          <w:highlight w:val="none"/>
        </w:rPr>
        <w:t>质疑答复导致中标结果改变的，采购人或者采购代理机构应当将有关情况书面报告本级财政部门。</w:t>
      </w:r>
    </w:p>
    <w:p w14:paraId="2FE56642">
      <w:pPr>
        <w:pStyle w:val="13"/>
        <w:snapToGrid w:val="0"/>
        <w:spacing w:line="360" w:lineRule="auto"/>
        <w:rPr>
          <w:rFonts w:hAnsi="宋体" w:cs="宋体"/>
          <w:bCs/>
          <w:color w:val="auto"/>
          <w:sz w:val="21"/>
          <w:highlight w:val="none"/>
        </w:rPr>
      </w:pPr>
      <w:r>
        <w:rPr>
          <w:rFonts w:hint="eastAsia" w:hAnsi="宋体" w:cs="宋体"/>
          <w:bCs/>
          <w:color w:val="auto"/>
          <w:sz w:val="21"/>
          <w:highlight w:val="none"/>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bookmarkStart w:id="140" w:name="_八、其他事项"/>
      <w:bookmarkEnd w:id="140"/>
    </w:p>
    <w:p w14:paraId="4DD78F8E">
      <w:pPr>
        <w:spacing w:line="48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八、其他事项</w:t>
      </w:r>
    </w:p>
    <w:p w14:paraId="5085BE41">
      <w:pPr>
        <w:snapToGrid w:val="0"/>
        <w:spacing w:line="360" w:lineRule="auto"/>
        <w:ind w:firstLine="482" w:firstLineChars="200"/>
        <w:jc w:val="left"/>
        <w:rPr>
          <w:rFonts w:ascii="宋体" w:hAnsi="宋体" w:cs="宋体"/>
          <w:b/>
          <w:bCs/>
          <w:color w:val="auto"/>
          <w:sz w:val="24"/>
          <w:highlight w:val="none"/>
        </w:rPr>
      </w:pPr>
      <w:bookmarkStart w:id="141" w:name="_42.代理服务费"/>
      <w:bookmarkEnd w:id="141"/>
      <w:r>
        <w:rPr>
          <w:rFonts w:hint="eastAsia" w:ascii="宋体" w:hAnsi="宋体" w:cs="宋体"/>
          <w:b/>
          <w:bCs/>
          <w:color w:val="auto"/>
          <w:sz w:val="24"/>
          <w:highlight w:val="none"/>
        </w:rPr>
        <w:t>39. 需要补充的其他内容</w:t>
      </w:r>
    </w:p>
    <w:p w14:paraId="195A476D">
      <w:pPr>
        <w:pStyle w:val="13"/>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39.1本招标文件解释规则详见“投标人须知前附表”。</w:t>
      </w:r>
    </w:p>
    <w:p w14:paraId="70E07068">
      <w:pPr>
        <w:pStyle w:val="13"/>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39.2 其他事项详见“投标人须知前附表”。</w:t>
      </w:r>
    </w:p>
    <w:p w14:paraId="5CC4A26C">
      <w:pPr>
        <w:pStyle w:val="13"/>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39.3</w:t>
      </w:r>
      <w:bookmarkStart w:id="142" w:name="_Hlk65857140"/>
      <w:r>
        <w:rPr>
          <w:rFonts w:hint="eastAsia" w:hAnsi="宋体" w:cs="宋体"/>
          <w:color w:val="auto"/>
          <w:sz w:val="21"/>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4B4FE624">
      <w:pPr>
        <w:pStyle w:val="13"/>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4AED5A17">
      <w:pPr>
        <w:pStyle w:val="13"/>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5E34C8D7">
      <w:pPr>
        <w:pStyle w:val="13"/>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1910194E">
      <w:pPr>
        <w:pStyle w:val="13"/>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34212130">
      <w:pPr>
        <w:pStyle w:val="13"/>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依据本招标文件规定享受扶持政策获得政府采购合同的，小微企业不得将合同分包给大中型企业，中型企业不得将合同分包给大型企业。</w:t>
      </w:r>
      <w:bookmarkEnd w:id="142"/>
    </w:p>
    <w:p w14:paraId="5DFF9BF3">
      <w:pPr>
        <w:pStyle w:val="9"/>
        <w:ind w:left="479" w:leftChars="114" w:hanging="240" w:hangingChars="100"/>
        <w:rPr>
          <w:rFonts w:ascii="宋体" w:hAnsi="宋体" w:cs="宋体"/>
          <w:color w:val="auto"/>
          <w:highlight w:val="none"/>
        </w:rPr>
      </w:pPr>
      <w:r>
        <w:rPr>
          <w:rFonts w:hint="eastAsia" w:ascii="宋体" w:hAnsi="宋体" w:cs="宋体"/>
          <w:color w:val="auto"/>
          <w:highlight w:val="none"/>
        </w:rPr>
        <w:br w:type="page"/>
      </w:r>
    </w:p>
    <w:p w14:paraId="6B8FC338">
      <w:pPr>
        <w:pStyle w:val="9"/>
        <w:ind w:left="479" w:leftChars="114" w:hanging="240" w:hangingChars="100"/>
        <w:rPr>
          <w:rFonts w:ascii="宋体" w:hAnsi="宋体" w:cs="宋体"/>
          <w:color w:val="auto"/>
          <w:highlight w:val="none"/>
        </w:rPr>
      </w:pPr>
    </w:p>
    <w:p w14:paraId="1B0A600A">
      <w:pPr>
        <w:pStyle w:val="9"/>
        <w:ind w:left="479" w:leftChars="114" w:hanging="240" w:hangingChars="100"/>
        <w:rPr>
          <w:rFonts w:ascii="宋体" w:hAnsi="宋体" w:cs="宋体"/>
          <w:color w:val="auto"/>
          <w:highlight w:val="none"/>
        </w:rPr>
      </w:pPr>
    </w:p>
    <w:p w14:paraId="447204CC">
      <w:pPr>
        <w:pStyle w:val="9"/>
        <w:ind w:left="479" w:leftChars="114" w:hanging="240" w:hangingChars="100"/>
        <w:rPr>
          <w:rFonts w:ascii="宋体" w:hAnsi="宋体" w:cs="宋体"/>
          <w:color w:val="auto"/>
          <w:highlight w:val="none"/>
        </w:rPr>
      </w:pPr>
    </w:p>
    <w:p w14:paraId="50F39045">
      <w:pPr>
        <w:pStyle w:val="13"/>
        <w:snapToGrid w:val="0"/>
        <w:spacing w:before="120" w:after="120"/>
        <w:rPr>
          <w:rFonts w:hAnsi="宋体" w:cs="宋体"/>
          <w:color w:val="auto"/>
          <w:highlight w:val="none"/>
        </w:rPr>
      </w:pPr>
    </w:p>
    <w:p w14:paraId="008DC672">
      <w:pPr>
        <w:pStyle w:val="13"/>
        <w:snapToGrid w:val="0"/>
        <w:spacing w:before="120" w:after="120"/>
        <w:rPr>
          <w:rFonts w:hAnsi="宋体" w:cs="宋体"/>
          <w:color w:val="auto"/>
          <w:highlight w:val="none"/>
        </w:rPr>
      </w:pPr>
    </w:p>
    <w:p w14:paraId="6FB6F846">
      <w:pPr>
        <w:pStyle w:val="13"/>
        <w:snapToGrid w:val="0"/>
        <w:spacing w:before="120" w:after="120"/>
        <w:rPr>
          <w:rFonts w:hAnsi="宋体" w:cs="宋体"/>
          <w:color w:val="auto"/>
          <w:highlight w:val="none"/>
        </w:rPr>
      </w:pPr>
    </w:p>
    <w:p w14:paraId="16AB1DAC">
      <w:pPr>
        <w:pStyle w:val="13"/>
        <w:snapToGrid w:val="0"/>
        <w:spacing w:before="120" w:after="120"/>
        <w:rPr>
          <w:rFonts w:hAnsi="宋体" w:cs="宋体"/>
          <w:color w:val="auto"/>
          <w:highlight w:val="none"/>
        </w:rPr>
      </w:pPr>
    </w:p>
    <w:p w14:paraId="0640038D">
      <w:pPr>
        <w:pStyle w:val="13"/>
        <w:snapToGrid w:val="0"/>
        <w:spacing w:before="120" w:after="120"/>
        <w:rPr>
          <w:rFonts w:hAnsi="宋体" w:cs="宋体"/>
          <w:color w:val="auto"/>
          <w:highlight w:val="none"/>
        </w:rPr>
      </w:pPr>
    </w:p>
    <w:p w14:paraId="53CF3DAB">
      <w:pPr>
        <w:pStyle w:val="13"/>
        <w:snapToGrid w:val="0"/>
        <w:spacing w:before="120" w:after="120"/>
        <w:rPr>
          <w:rFonts w:hAnsi="宋体" w:cs="宋体"/>
          <w:color w:val="auto"/>
          <w:highlight w:val="none"/>
        </w:rPr>
      </w:pPr>
    </w:p>
    <w:p w14:paraId="2AE2521E">
      <w:pPr>
        <w:pStyle w:val="13"/>
        <w:snapToGrid w:val="0"/>
        <w:spacing w:before="120" w:after="120"/>
        <w:rPr>
          <w:rFonts w:hAnsi="宋体" w:cs="宋体"/>
          <w:color w:val="auto"/>
          <w:highlight w:val="none"/>
        </w:rPr>
      </w:pPr>
    </w:p>
    <w:p w14:paraId="1B4E51BE">
      <w:pPr>
        <w:pStyle w:val="13"/>
        <w:snapToGrid w:val="0"/>
        <w:spacing w:before="120" w:after="120"/>
        <w:rPr>
          <w:rFonts w:hAnsi="宋体" w:cs="宋体"/>
          <w:color w:val="auto"/>
          <w:highlight w:val="none"/>
        </w:rPr>
      </w:pPr>
    </w:p>
    <w:p w14:paraId="0598BFB8">
      <w:pPr>
        <w:pStyle w:val="13"/>
        <w:snapToGrid w:val="0"/>
        <w:spacing w:before="120" w:after="120"/>
        <w:rPr>
          <w:rFonts w:hAnsi="宋体" w:cs="宋体"/>
          <w:color w:val="auto"/>
          <w:highlight w:val="none"/>
        </w:rPr>
      </w:pPr>
    </w:p>
    <w:p w14:paraId="144965F8">
      <w:pPr>
        <w:pStyle w:val="2"/>
        <w:jc w:val="center"/>
        <w:rPr>
          <w:rFonts w:ascii="宋体" w:hAnsi="宋体" w:cs="宋体"/>
          <w:color w:val="auto"/>
          <w:highlight w:val="none"/>
        </w:rPr>
      </w:pPr>
      <w:bookmarkStart w:id="143" w:name="_Toc21362"/>
      <w:bookmarkStart w:id="144" w:name="_Toc330456896"/>
      <w:bookmarkStart w:id="145" w:name="_Toc254970689"/>
      <w:bookmarkStart w:id="146" w:name="_Toc254970548"/>
      <w:bookmarkStart w:id="147" w:name="_Toc19539"/>
      <w:bookmarkStart w:id="148" w:name="_Toc74320803"/>
      <w:r>
        <w:rPr>
          <w:rFonts w:hint="eastAsia" w:ascii="宋体" w:hAnsi="宋体" w:cs="宋体"/>
          <w:color w:val="auto"/>
          <w:highlight w:val="none"/>
        </w:rPr>
        <w:t>第四章  评标方法及评标标准</w:t>
      </w:r>
      <w:bookmarkEnd w:id="143"/>
      <w:bookmarkEnd w:id="144"/>
      <w:bookmarkEnd w:id="145"/>
      <w:bookmarkEnd w:id="146"/>
      <w:bookmarkEnd w:id="147"/>
      <w:bookmarkEnd w:id="148"/>
    </w:p>
    <w:p w14:paraId="0F424A37">
      <w:pPr>
        <w:rPr>
          <w:rFonts w:ascii="宋体" w:hAnsi="宋体" w:cs="宋体"/>
          <w:color w:val="auto"/>
          <w:highlight w:val="none"/>
        </w:rPr>
      </w:pPr>
      <w:bookmarkStart w:id="149" w:name="_Toc254970549"/>
      <w:bookmarkStart w:id="150" w:name="_Toc254970690"/>
    </w:p>
    <w:bookmarkEnd w:id="149"/>
    <w:bookmarkEnd w:id="150"/>
    <w:p w14:paraId="111C5C2C">
      <w:pPr>
        <w:rPr>
          <w:rFonts w:ascii="宋体" w:hAnsi="宋体" w:cs="宋体"/>
          <w:color w:val="auto"/>
          <w:highlight w:val="none"/>
        </w:rPr>
      </w:pPr>
    </w:p>
    <w:p w14:paraId="3A8EC67A">
      <w:pPr>
        <w:rPr>
          <w:rFonts w:ascii="宋体" w:hAnsi="宋体" w:cs="宋体"/>
          <w:color w:val="auto"/>
          <w:highlight w:val="none"/>
        </w:rPr>
      </w:pPr>
    </w:p>
    <w:p w14:paraId="1BF97550">
      <w:pPr>
        <w:rPr>
          <w:rFonts w:ascii="宋体" w:hAnsi="宋体" w:cs="宋体"/>
          <w:color w:val="auto"/>
          <w:highlight w:val="none"/>
        </w:rPr>
      </w:pPr>
    </w:p>
    <w:p w14:paraId="2490F4D5">
      <w:pPr>
        <w:spacing w:before="120" w:beforeLines="50" w:after="120" w:afterLines="50" w:line="400" w:lineRule="exact"/>
        <w:rPr>
          <w:rFonts w:ascii="宋体" w:hAnsi="宋体" w:cs="宋体"/>
          <w:b/>
          <w:color w:val="auto"/>
          <w:sz w:val="24"/>
          <w:highlight w:val="none"/>
        </w:rPr>
      </w:pPr>
    </w:p>
    <w:p w14:paraId="1DE9CAD5">
      <w:pPr>
        <w:spacing w:before="120" w:beforeLines="50" w:after="120" w:afterLines="50" w:line="400" w:lineRule="exact"/>
        <w:rPr>
          <w:rFonts w:ascii="宋体" w:hAnsi="宋体" w:cs="宋体"/>
          <w:b/>
          <w:color w:val="auto"/>
          <w:sz w:val="24"/>
          <w:highlight w:val="none"/>
        </w:rPr>
      </w:pPr>
    </w:p>
    <w:p w14:paraId="0A3AE75F">
      <w:pPr>
        <w:spacing w:before="120" w:beforeLines="50" w:after="120" w:afterLines="50" w:line="400" w:lineRule="exact"/>
        <w:rPr>
          <w:rFonts w:ascii="宋体" w:hAnsi="宋体" w:cs="宋体"/>
          <w:b/>
          <w:color w:val="auto"/>
          <w:sz w:val="24"/>
          <w:highlight w:val="none"/>
        </w:rPr>
      </w:pPr>
    </w:p>
    <w:p w14:paraId="69E4D886">
      <w:pPr>
        <w:spacing w:before="120" w:beforeLines="50" w:after="120" w:afterLines="50" w:line="400" w:lineRule="exact"/>
        <w:rPr>
          <w:rFonts w:ascii="宋体" w:hAnsi="宋体" w:cs="宋体"/>
          <w:b/>
          <w:color w:val="auto"/>
          <w:sz w:val="24"/>
          <w:highlight w:val="none"/>
        </w:rPr>
      </w:pPr>
    </w:p>
    <w:p w14:paraId="340222A6">
      <w:pPr>
        <w:spacing w:before="120" w:beforeLines="50" w:after="120" w:afterLines="50" w:line="400" w:lineRule="exact"/>
        <w:rPr>
          <w:rFonts w:ascii="宋体" w:hAnsi="宋体" w:cs="宋体"/>
          <w:b/>
          <w:color w:val="auto"/>
          <w:sz w:val="24"/>
          <w:highlight w:val="none"/>
        </w:rPr>
      </w:pPr>
    </w:p>
    <w:p w14:paraId="01207990">
      <w:pPr>
        <w:spacing w:before="120" w:beforeLines="50" w:after="120" w:afterLines="50" w:line="400" w:lineRule="exact"/>
        <w:rPr>
          <w:rFonts w:ascii="宋体" w:hAnsi="宋体" w:cs="宋体"/>
          <w:b/>
          <w:color w:val="auto"/>
          <w:sz w:val="24"/>
          <w:highlight w:val="none"/>
        </w:rPr>
      </w:pPr>
    </w:p>
    <w:p w14:paraId="5904769D">
      <w:pPr>
        <w:spacing w:before="120" w:beforeLines="50" w:after="120" w:afterLines="50" w:line="400" w:lineRule="exact"/>
        <w:rPr>
          <w:rFonts w:ascii="宋体" w:hAnsi="宋体" w:cs="宋体"/>
          <w:b/>
          <w:color w:val="auto"/>
          <w:sz w:val="24"/>
          <w:highlight w:val="none"/>
        </w:rPr>
      </w:pPr>
    </w:p>
    <w:p w14:paraId="70E4F1DA">
      <w:pPr>
        <w:pStyle w:val="13"/>
        <w:spacing w:line="360" w:lineRule="exact"/>
        <w:rPr>
          <w:rFonts w:hAnsi="宋体" w:cs="宋体"/>
          <w:b/>
          <w:color w:val="auto"/>
          <w:sz w:val="24"/>
          <w:highlight w:val="none"/>
        </w:rPr>
      </w:pPr>
    </w:p>
    <w:p w14:paraId="1221A879">
      <w:pPr>
        <w:rPr>
          <w:rFonts w:ascii="宋体" w:hAnsi="宋体" w:cs="宋体"/>
          <w:color w:val="auto"/>
          <w:highlight w:val="none"/>
        </w:rPr>
      </w:pPr>
    </w:p>
    <w:p w14:paraId="7013D571">
      <w:pPr>
        <w:rPr>
          <w:rFonts w:ascii="宋体" w:hAnsi="宋体" w:cs="宋体"/>
          <w:color w:val="auto"/>
          <w:highlight w:val="none"/>
        </w:rPr>
      </w:pPr>
    </w:p>
    <w:p w14:paraId="471C0EF9">
      <w:pPr>
        <w:rPr>
          <w:rFonts w:ascii="宋体" w:hAnsi="宋体" w:cs="宋体"/>
          <w:color w:val="auto"/>
          <w:highlight w:val="none"/>
        </w:rPr>
      </w:pPr>
    </w:p>
    <w:p w14:paraId="2EC68FF7">
      <w:pPr>
        <w:rPr>
          <w:rFonts w:ascii="宋体" w:hAnsi="宋体" w:cs="宋体"/>
          <w:color w:val="auto"/>
          <w:highlight w:val="none"/>
        </w:rPr>
      </w:pPr>
    </w:p>
    <w:p w14:paraId="1B7D4562">
      <w:pPr>
        <w:rPr>
          <w:rFonts w:ascii="宋体" w:hAnsi="宋体" w:cs="宋体"/>
          <w:color w:val="auto"/>
          <w:highlight w:val="none"/>
        </w:rPr>
      </w:pPr>
    </w:p>
    <w:p w14:paraId="0E8C833C">
      <w:pPr>
        <w:rPr>
          <w:rFonts w:ascii="宋体" w:hAnsi="宋体" w:cs="宋体"/>
          <w:color w:val="auto"/>
          <w:highlight w:val="none"/>
        </w:rPr>
      </w:pPr>
    </w:p>
    <w:p w14:paraId="7FF12B7A">
      <w:pPr>
        <w:rPr>
          <w:rFonts w:ascii="宋体" w:hAnsi="宋体" w:cs="宋体"/>
          <w:color w:val="auto"/>
          <w:highlight w:val="none"/>
        </w:rPr>
      </w:pPr>
    </w:p>
    <w:p w14:paraId="1848C683">
      <w:pPr>
        <w:rPr>
          <w:rFonts w:ascii="宋体" w:hAnsi="宋体" w:cs="宋体"/>
          <w:color w:val="auto"/>
          <w:highlight w:val="none"/>
        </w:rPr>
      </w:pPr>
    </w:p>
    <w:p w14:paraId="0A8C2925">
      <w:pPr>
        <w:rPr>
          <w:rFonts w:ascii="宋体" w:hAnsi="宋体" w:cs="宋体"/>
          <w:color w:val="auto"/>
          <w:highlight w:val="none"/>
        </w:rPr>
      </w:pPr>
    </w:p>
    <w:p w14:paraId="1174EB41">
      <w:pPr>
        <w:rPr>
          <w:rFonts w:ascii="宋体" w:hAnsi="宋体" w:cs="宋体"/>
          <w:color w:val="auto"/>
          <w:highlight w:val="none"/>
        </w:rPr>
      </w:pPr>
    </w:p>
    <w:p w14:paraId="32FF028A">
      <w:pPr>
        <w:spacing w:line="48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一、评标方法</w:t>
      </w:r>
    </w:p>
    <w:p w14:paraId="464D5283">
      <w:pPr>
        <w:pStyle w:val="13"/>
        <w:spacing w:line="360" w:lineRule="auto"/>
        <w:ind w:firstLine="420"/>
        <w:rPr>
          <w:rFonts w:hAnsi="宋体" w:cs="宋体"/>
          <w:color w:val="auto"/>
          <w:sz w:val="21"/>
          <w:highlight w:val="none"/>
        </w:rPr>
      </w:pPr>
      <w:r>
        <w:rPr>
          <w:rFonts w:hint="eastAsia" w:hAnsi="宋体" w:cs="宋体"/>
          <w:color w:val="auto"/>
          <w:sz w:val="21"/>
          <w:highlight w:val="none"/>
        </w:rPr>
        <w:t>综合评分法，是指投标文件满足招标文件全部实质性要求，且按照评审因素的量化指标评审得分最高的投标人为中标候选人的评标方法。</w:t>
      </w:r>
    </w:p>
    <w:p w14:paraId="6236B373">
      <w:pPr>
        <w:pStyle w:val="13"/>
        <w:spacing w:line="360" w:lineRule="auto"/>
        <w:ind w:firstLine="420"/>
        <w:rPr>
          <w:rFonts w:hAnsi="宋体" w:cs="宋体"/>
          <w:color w:val="auto"/>
          <w:sz w:val="21"/>
          <w:highlight w:val="none"/>
        </w:rPr>
      </w:pPr>
      <w:r>
        <w:rPr>
          <w:rFonts w:hint="eastAsia" w:hAnsi="宋体" w:cs="宋体"/>
          <w:color w:val="auto"/>
          <w:sz w:val="21"/>
          <w:highlight w:val="none"/>
        </w:rPr>
        <w:t>最低评标价法，是指投标文件满足招标文件全部实质性要求，且投标报价最低的投标人为中标候选人的评标方法。</w:t>
      </w:r>
    </w:p>
    <w:p w14:paraId="3934B742">
      <w:pPr>
        <w:spacing w:line="48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二、评标程序</w:t>
      </w:r>
    </w:p>
    <w:p w14:paraId="463E02CF">
      <w:pPr>
        <w:pStyle w:val="13"/>
        <w:snapToGrid w:val="0"/>
        <w:spacing w:line="360" w:lineRule="auto"/>
        <w:ind w:left="1" w:firstLine="420"/>
        <w:rPr>
          <w:rFonts w:hAnsi="宋体" w:cs="宋体"/>
          <w:b/>
          <w:color w:val="auto"/>
          <w:kern w:val="2"/>
          <w:sz w:val="21"/>
          <w:highlight w:val="none"/>
        </w:rPr>
      </w:pPr>
      <w:r>
        <w:rPr>
          <w:rFonts w:hint="eastAsia" w:hAnsi="宋体" w:cs="宋体"/>
          <w:b/>
          <w:color w:val="auto"/>
          <w:kern w:val="2"/>
          <w:sz w:val="21"/>
          <w:highlight w:val="none"/>
        </w:rPr>
        <w:t>1.符合性审查</w:t>
      </w:r>
    </w:p>
    <w:p w14:paraId="72E8D081">
      <w:pPr>
        <w:pStyle w:val="13"/>
        <w:snapToGrid w:val="0"/>
        <w:spacing w:line="360" w:lineRule="auto"/>
        <w:ind w:left="1" w:firstLine="420"/>
        <w:rPr>
          <w:rFonts w:hAnsi="宋体" w:cs="宋体"/>
          <w:b/>
          <w:color w:val="auto"/>
          <w:kern w:val="2"/>
          <w:sz w:val="21"/>
          <w:highlight w:val="none"/>
        </w:rPr>
      </w:pPr>
      <w:r>
        <w:rPr>
          <w:rFonts w:hint="eastAsia" w:hAnsi="宋体" w:cs="宋体"/>
          <w:b/>
          <w:color w:val="auto"/>
          <w:kern w:val="2"/>
          <w:sz w:val="21"/>
          <w:highlight w:val="none"/>
        </w:rPr>
        <w:t>评标委员会应当对符合资格的投标人的投标文件进行投标报价、商务、技术等实质性内容符合性审查，以确定其是否满足招标文件的实质性要求。</w:t>
      </w:r>
    </w:p>
    <w:p w14:paraId="3449486A">
      <w:pPr>
        <w:pStyle w:val="13"/>
        <w:snapToGrid w:val="0"/>
        <w:spacing w:line="360" w:lineRule="auto"/>
        <w:ind w:left="1" w:firstLine="420"/>
        <w:rPr>
          <w:rFonts w:hAnsi="宋体" w:cs="宋体"/>
          <w:b/>
          <w:color w:val="auto"/>
          <w:kern w:val="2"/>
          <w:sz w:val="21"/>
          <w:highlight w:val="none"/>
        </w:rPr>
      </w:pPr>
      <w:r>
        <w:rPr>
          <w:rFonts w:hint="eastAsia" w:hAnsi="宋体" w:cs="宋体"/>
          <w:b/>
          <w:color w:val="auto"/>
          <w:kern w:val="2"/>
          <w:sz w:val="21"/>
          <w:highlight w:val="none"/>
        </w:rPr>
        <w:t>2.符合性审查不通过而导致投标无效的情形</w:t>
      </w:r>
    </w:p>
    <w:p w14:paraId="67905DDD">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投标人的投标文件中存在对招标文件的任何实质性要求和条件的负偏离，将被视为投标无效。</w:t>
      </w:r>
    </w:p>
    <w:p w14:paraId="4FEAFA13">
      <w:pPr>
        <w:pStyle w:val="13"/>
        <w:snapToGrid w:val="0"/>
        <w:spacing w:line="360" w:lineRule="auto"/>
        <w:ind w:left="1" w:firstLine="420"/>
        <w:rPr>
          <w:rFonts w:hAnsi="宋体" w:cs="宋体"/>
          <w:b/>
          <w:color w:val="auto"/>
          <w:kern w:val="2"/>
          <w:sz w:val="21"/>
          <w:highlight w:val="none"/>
        </w:rPr>
      </w:pPr>
      <w:r>
        <w:rPr>
          <w:rFonts w:hint="eastAsia" w:hAnsi="宋体" w:cs="宋体"/>
          <w:b/>
          <w:color w:val="auto"/>
          <w:kern w:val="2"/>
          <w:sz w:val="21"/>
          <w:highlight w:val="none"/>
        </w:rPr>
        <w:t>2.1在报价评审时，如发现下列情形之一的，将被视为投标无效：</w:t>
      </w:r>
    </w:p>
    <w:p w14:paraId="321F0AA0">
      <w:pPr>
        <w:pStyle w:val="4"/>
        <w:numPr>
          <w:ilvl w:val="0"/>
          <w:numId w:val="1"/>
        </w:numPr>
        <w:spacing w:line="360" w:lineRule="auto"/>
        <w:ind w:firstLine="422"/>
        <w:rPr>
          <w:rFonts w:ascii="宋体" w:hAnsi="宋体" w:cs="宋体"/>
          <w:b/>
          <w:color w:val="auto"/>
          <w:szCs w:val="21"/>
          <w:highlight w:val="none"/>
        </w:rPr>
      </w:pPr>
      <w:r>
        <w:rPr>
          <w:rFonts w:hint="eastAsia" w:ascii="宋体" w:hAnsi="宋体" w:cs="宋体"/>
          <w:b/>
          <w:color w:val="auto"/>
          <w:spacing w:val="-6"/>
          <w:szCs w:val="21"/>
          <w:highlight w:val="none"/>
        </w:rPr>
        <w:t>报价文件</w:t>
      </w:r>
      <w:r>
        <w:rPr>
          <w:rFonts w:hint="eastAsia" w:ascii="宋体" w:hAnsi="宋体" w:cs="宋体"/>
          <w:b/>
          <w:color w:val="auto"/>
          <w:szCs w:val="21"/>
          <w:highlight w:val="none"/>
        </w:rPr>
        <w:t>未提供“投标人须知前附表”第13.1条规定中“必须提供”的文件资料的；</w:t>
      </w:r>
    </w:p>
    <w:p w14:paraId="61C313E1">
      <w:pPr>
        <w:pStyle w:val="4"/>
        <w:numPr>
          <w:ilvl w:val="0"/>
          <w:numId w:val="1"/>
        </w:num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未采用人民币报价或者未按照招标文件标明的币种报价的；</w:t>
      </w:r>
    </w:p>
    <w:p w14:paraId="474D03BE">
      <w:pPr>
        <w:pStyle w:val="4"/>
        <w:numPr>
          <w:ilvl w:val="0"/>
          <w:numId w:val="1"/>
        </w:num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各分标报价超出招标文件相应分标规定最高限价或相应分标分项最高限价，或者超出相应分标采购预算金额的或相应分标分项采购预算的；</w:t>
      </w:r>
    </w:p>
    <w:p w14:paraId="6941BC81">
      <w:pPr>
        <w:pStyle w:val="4"/>
        <w:numPr>
          <w:ilvl w:val="0"/>
          <w:numId w:val="1"/>
        </w:num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026CB98F">
      <w:pPr>
        <w:pStyle w:val="4"/>
        <w:numPr>
          <w:ilvl w:val="0"/>
          <w:numId w:val="1"/>
        </w:num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修正后的报价，投标人不确认的；</w:t>
      </w:r>
    </w:p>
    <w:p w14:paraId="6358212E">
      <w:pPr>
        <w:pStyle w:val="4"/>
        <w:numPr>
          <w:ilvl w:val="0"/>
          <w:numId w:val="1"/>
        </w:num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投标人属于本章第5.1条（2）或者第5.2条（2）项情形的；</w:t>
      </w:r>
    </w:p>
    <w:p w14:paraId="383ECC97">
      <w:pPr>
        <w:pStyle w:val="4"/>
        <w:numPr>
          <w:ilvl w:val="0"/>
          <w:numId w:val="1"/>
        </w:numPr>
        <w:spacing w:line="360" w:lineRule="auto"/>
        <w:ind w:firstLine="422"/>
        <w:rPr>
          <w:rFonts w:ascii="宋体" w:hAnsi="宋体" w:cs="宋体"/>
          <w:b/>
          <w:color w:val="auto"/>
          <w:szCs w:val="21"/>
          <w:highlight w:val="none"/>
        </w:rPr>
      </w:pPr>
      <w:r>
        <w:rPr>
          <w:rFonts w:hint="eastAsia" w:ascii="宋体" w:hAnsi="宋体" w:cs="宋体"/>
          <w:b/>
          <w:color w:val="auto"/>
          <w:spacing w:val="-6"/>
          <w:szCs w:val="21"/>
          <w:highlight w:val="none"/>
        </w:rPr>
        <w:t>报价文件</w:t>
      </w:r>
      <w:r>
        <w:rPr>
          <w:rFonts w:hint="eastAsia" w:ascii="宋体" w:hAnsi="宋体" w:cs="宋体"/>
          <w:b/>
          <w:color w:val="auto"/>
          <w:szCs w:val="21"/>
          <w:highlight w:val="none"/>
        </w:rPr>
        <w:t>响应的标的数量及单位与招标文件要求实质性不一致的。</w:t>
      </w:r>
    </w:p>
    <w:p w14:paraId="6096C008">
      <w:pPr>
        <w:pStyle w:val="13"/>
        <w:snapToGrid w:val="0"/>
        <w:spacing w:line="360" w:lineRule="auto"/>
        <w:ind w:left="1" w:firstLine="420"/>
        <w:rPr>
          <w:rFonts w:hAnsi="宋体" w:cs="宋体"/>
          <w:b/>
          <w:color w:val="auto"/>
          <w:kern w:val="2"/>
          <w:sz w:val="21"/>
          <w:highlight w:val="none"/>
        </w:rPr>
      </w:pPr>
      <w:r>
        <w:rPr>
          <w:rFonts w:hint="eastAsia" w:hAnsi="宋体" w:cs="宋体"/>
          <w:b/>
          <w:color w:val="auto"/>
          <w:kern w:val="2"/>
          <w:sz w:val="21"/>
          <w:highlight w:val="none"/>
        </w:rPr>
        <w:t>2.2在商务评审时，如发现下列情形之一的，将被视为投标无效：</w:t>
      </w:r>
    </w:p>
    <w:p w14:paraId="08B419C0">
      <w:pPr>
        <w:numPr>
          <w:ilvl w:val="0"/>
          <w:numId w:val="2"/>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投标文件未按招标文件要求签署、盖章的；</w:t>
      </w:r>
    </w:p>
    <w:p w14:paraId="5FF7C140">
      <w:pPr>
        <w:numPr>
          <w:ilvl w:val="0"/>
          <w:numId w:val="2"/>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委托代理人未能出具有效身份证或者出具的身份证与授权委托书中的信息不符的；</w:t>
      </w:r>
    </w:p>
    <w:p w14:paraId="6AB4684E">
      <w:pPr>
        <w:numPr>
          <w:ilvl w:val="0"/>
          <w:numId w:val="2"/>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为无效投标保证金的或者未按照招标文件的规定提交投标保证金的；</w:t>
      </w:r>
    </w:p>
    <w:p w14:paraId="4BD0B1AD">
      <w:pPr>
        <w:numPr>
          <w:ilvl w:val="0"/>
          <w:numId w:val="2"/>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投标文件未提供“投标人须知前附表”第13.1条规定中“必须提供”或者“委托时必须提供”的文件资料的；</w:t>
      </w:r>
    </w:p>
    <w:p w14:paraId="674554B8">
      <w:pPr>
        <w:numPr>
          <w:ilvl w:val="0"/>
          <w:numId w:val="2"/>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商务要求评审允许负偏离的条款数超过“投标人须知前附表”规定项数的；</w:t>
      </w:r>
    </w:p>
    <w:p w14:paraId="423AECD9">
      <w:pPr>
        <w:numPr>
          <w:ilvl w:val="0"/>
          <w:numId w:val="2"/>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投标文件的实质性内容未使用中文表述、使用计量单位不符合招标文件要求的；</w:t>
      </w:r>
    </w:p>
    <w:p w14:paraId="48B30890">
      <w:pPr>
        <w:numPr>
          <w:ilvl w:val="0"/>
          <w:numId w:val="2"/>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投标文件中的文件资料因填写不齐全或者内容虚假或者出现其他情形而导致被评标委员会认定无效的；</w:t>
      </w:r>
    </w:p>
    <w:p w14:paraId="21BE9B93">
      <w:pPr>
        <w:numPr>
          <w:ilvl w:val="0"/>
          <w:numId w:val="2"/>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投标文件含有采购人不能接受的附加条件的；</w:t>
      </w:r>
    </w:p>
    <w:p w14:paraId="4DAF8593">
      <w:pPr>
        <w:numPr>
          <w:ilvl w:val="0"/>
          <w:numId w:val="2"/>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属于投标人须知正文第9.2条情形的；</w:t>
      </w:r>
    </w:p>
    <w:p w14:paraId="5722BE1B">
      <w:pPr>
        <w:numPr>
          <w:ilvl w:val="0"/>
          <w:numId w:val="2"/>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投标文件标注的项目名称或者项目编号与招标文件标注的项目名称或者项目编号不一致的；</w:t>
      </w:r>
    </w:p>
    <w:p w14:paraId="0D6B1340">
      <w:pPr>
        <w:numPr>
          <w:ilvl w:val="0"/>
          <w:numId w:val="2"/>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招标文件明确不允许分包，投标文件拟分包的；</w:t>
      </w:r>
    </w:p>
    <w:p w14:paraId="0108C3FA">
      <w:pPr>
        <w:numPr>
          <w:ilvl w:val="0"/>
          <w:numId w:val="2"/>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未响应招标文件实质性要求的；</w:t>
      </w:r>
    </w:p>
    <w:p w14:paraId="5B75DC76">
      <w:pPr>
        <w:numPr>
          <w:ilvl w:val="0"/>
          <w:numId w:val="2"/>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法律、法规和招标文件规定的其他无效情形。</w:t>
      </w:r>
    </w:p>
    <w:p w14:paraId="32D2FFCB">
      <w:pPr>
        <w:pStyle w:val="13"/>
        <w:snapToGrid w:val="0"/>
        <w:spacing w:line="360" w:lineRule="auto"/>
        <w:ind w:left="1" w:firstLine="420"/>
        <w:rPr>
          <w:rFonts w:hAnsi="宋体" w:cs="宋体"/>
          <w:b/>
          <w:color w:val="auto"/>
          <w:kern w:val="2"/>
          <w:sz w:val="21"/>
          <w:highlight w:val="none"/>
        </w:rPr>
      </w:pPr>
      <w:r>
        <w:rPr>
          <w:rFonts w:hint="eastAsia" w:hAnsi="宋体" w:cs="宋体"/>
          <w:b/>
          <w:color w:val="auto"/>
          <w:kern w:val="2"/>
          <w:sz w:val="21"/>
          <w:highlight w:val="none"/>
        </w:rPr>
        <w:t>2.3在技术评审时，如发现下列情形之一的，将被视为投标无效：</w:t>
      </w:r>
    </w:p>
    <w:p w14:paraId="037EBA33">
      <w:pPr>
        <w:pStyle w:val="11"/>
        <w:snapToGrid w:val="0"/>
        <w:spacing w:line="360" w:lineRule="auto"/>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（1）技术要求评审允许负偏离的条款数超过“投标人须知前附表”规定项数的；</w:t>
      </w:r>
    </w:p>
    <w:p w14:paraId="22AFC075">
      <w:pPr>
        <w:pStyle w:val="11"/>
        <w:snapToGrid w:val="0"/>
        <w:spacing w:line="360" w:lineRule="auto"/>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（2）投标文件未提供“投标人须知前附表”第13.1条规定中“必须提供”的文件资料的；</w:t>
      </w:r>
    </w:p>
    <w:p w14:paraId="6F101C46">
      <w:pPr>
        <w:pStyle w:val="11"/>
        <w:snapToGrid w:val="0"/>
        <w:spacing w:line="360" w:lineRule="auto"/>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（3）虚假投标，或者出现其他情形而导致被评标委员会认定无效的；</w:t>
      </w:r>
    </w:p>
    <w:p w14:paraId="43BA776D">
      <w:pPr>
        <w:pStyle w:val="11"/>
        <w:snapToGrid w:val="0"/>
        <w:spacing w:line="360" w:lineRule="auto"/>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（4）</w:t>
      </w:r>
      <w:bookmarkStart w:id="151" w:name="_Hlk71706244"/>
      <w:r>
        <w:rPr>
          <w:rFonts w:hint="eastAsia" w:ascii="宋体" w:hAnsi="宋体" w:eastAsia="宋体" w:cs="宋体"/>
          <w:b/>
          <w:color w:val="auto"/>
          <w:kern w:val="2"/>
          <w:sz w:val="21"/>
          <w:szCs w:val="21"/>
          <w:highlight w:val="none"/>
        </w:rPr>
        <w:t>招标文件未载明允许提供备选（替代）投标方案或明确不允许提供备选（替代）投标方案时，投标人提供了备选（替代）投标方案的；</w:t>
      </w:r>
      <w:bookmarkEnd w:id="151"/>
    </w:p>
    <w:p w14:paraId="3045C6A9">
      <w:pPr>
        <w:pStyle w:val="11"/>
        <w:snapToGrid w:val="0"/>
        <w:spacing w:line="360" w:lineRule="auto"/>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5）未按招标文件要求编写投标文件、或者填写不齐全、或者填写内容错误、或者设备性能配置清单及技术要求偏离表参数性能、指标及配置未如实填写完整、或者内容虚假或者出现其他情形而导致被评标委员会认定无效的；</w:t>
      </w:r>
    </w:p>
    <w:p w14:paraId="59DE1006">
      <w:pPr>
        <w:pStyle w:val="11"/>
        <w:snapToGrid w:val="0"/>
        <w:spacing w:line="360" w:lineRule="auto"/>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（6）未响应招标文件实质性要求的。</w:t>
      </w:r>
    </w:p>
    <w:p w14:paraId="3FB5A1A6">
      <w:pPr>
        <w:pStyle w:val="11"/>
        <w:snapToGrid w:val="0"/>
        <w:spacing w:line="360" w:lineRule="auto"/>
        <w:ind w:firstLine="413" w:firstLineChars="196"/>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2.4通过符合性审查的投标人不足3家，评标委员会不得继续评标，并出具评标报告。</w:t>
      </w:r>
    </w:p>
    <w:p w14:paraId="6871AF12">
      <w:pPr>
        <w:pStyle w:val="13"/>
        <w:snapToGrid w:val="0"/>
        <w:spacing w:line="360" w:lineRule="auto"/>
        <w:ind w:left="1" w:firstLine="420"/>
        <w:rPr>
          <w:rFonts w:hAnsi="宋体" w:cs="宋体"/>
          <w:b/>
          <w:color w:val="auto"/>
          <w:kern w:val="2"/>
          <w:sz w:val="21"/>
          <w:highlight w:val="none"/>
        </w:rPr>
      </w:pPr>
      <w:r>
        <w:rPr>
          <w:rFonts w:hint="eastAsia" w:hAnsi="宋体" w:cs="宋体"/>
          <w:b/>
          <w:color w:val="auto"/>
          <w:kern w:val="2"/>
          <w:sz w:val="21"/>
          <w:highlight w:val="none"/>
        </w:rPr>
        <w:t>3.澄清补正</w:t>
      </w:r>
    </w:p>
    <w:p w14:paraId="1CDF283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对投标文件中含义不明确、同类问题表述不一致或者有明显文字和计算错误的内容，评标委员会以电子澄清函形式要求投标人在规定时间内作出必要的澄清、说明或者纠正。投标人的澄清、说明或者补正必须采用电子回函形式，并加盖投标人公章，或者由法定代表人或者其授权的代表签字。投标人的澄清、说明或者补正不得超出投标文件的范围或者改变投标文件的实质性内容。</w:t>
      </w:r>
    </w:p>
    <w:p w14:paraId="778EB6D3">
      <w:pPr>
        <w:pStyle w:val="13"/>
        <w:snapToGrid w:val="0"/>
        <w:spacing w:line="360" w:lineRule="auto"/>
        <w:ind w:left="1" w:firstLine="420"/>
        <w:rPr>
          <w:rFonts w:hAnsi="宋体" w:cs="宋体"/>
          <w:b/>
          <w:color w:val="auto"/>
          <w:kern w:val="2"/>
          <w:sz w:val="21"/>
          <w:highlight w:val="none"/>
        </w:rPr>
      </w:pPr>
      <w:r>
        <w:rPr>
          <w:rFonts w:hint="eastAsia" w:hAnsi="宋体" w:cs="宋体"/>
          <w:b/>
          <w:color w:val="auto"/>
          <w:kern w:val="2"/>
          <w:sz w:val="21"/>
          <w:highlight w:val="none"/>
        </w:rPr>
        <w:t>4.投标文件修正</w:t>
      </w:r>
    </w:p>
    <w:p w14:paraId="7766F91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4.1投标文件报价出现前后不一致的，按照下列规定修正： </w:t>
      </w:r>
    </w:p>
    <w:p w14:paraId="6ECC22D3">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（1）投标文件中开标一览表（报价表）内容与投标文件中相应内容不一致的，以开标一览表（报价表）为准；</w:t>
      </w:r>
    </w:p>
    <w:p w14:paraId="44F46E54">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（2）大写金额和小写金额不一致的，以大写金额为准；</w:t>
      </w:r>
    </w:p>
    <w:p w14:paraId="2775F3D2">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（3）单价金额小数点或者百分比有明显错位的，以开标一览表的总价为准，并修改单价；</w:t>
      </w:r>
    </w:p>
    <w:p w14:paraId="114A36C3">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（4）总价金额与按单价汇总金额不一致的，以单价金额计算结果为准。</w:t>
      </w:r>
    </w:p>
    <w:p w14:paraId="3A1726FD">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同时出现两种以上不一致的，按照以上（1）-（4）规定的顺序修正。修正后的报价经投标人确认后产生约束力，投标人不确认的，</w:t>
      </w:r>
      <w:r>
        <w:rPr>
          <w:rFonts w:hint="eastAsia" w:hAnsi="宋体" w:cs="宋体"/>
          <w:b/>
          <w:color w:val="auto"/>
          <w:kern w:val="2"/>
          <w:sz w:val="21"/>
          <w:highlight w:val="none"/>
        </w:rPr>
        <w:t>其投标无效</w:t>
      </w:r>
      <w:r>
        <w:rPr>
          <w:rFonts w:hint="eastAsia" w:hAnsi="宋体" w:cs="宋体"/>
          <w:color w:val="auto"/>
          <w:sz w:val="21"/>
          <w:highlight w:val="none"/>
        </w:rPr>
        <w:t>。</w:t>
      </w:r>
    </w:p>
    <w:p w14:paraId="393FCE28">
      <w:pPr>
        <w:pStyle w:val="13"/>
        <w:snapToGrid w:val="0"/>
        <w:spacing w:line="360" w:lineRule="auto"/>
        <w:ind w:firstLine="420" w:firstLineChars="200"/>
        <w:rPr>
          <w:rFonts w:hAnsi="宋体" w:cs="宋体"/>
          <w:b/>
          <w:color w:val="auto"/>
          <w:sz w:val="21"/>
          <w:highlight w:val="none"/>
        </w:rPr>
      </w:pPr>
      <w:r>
        <w:rPr>
          <w:rFonts w:hint="eastAsia" w:hAnsi="宋体" w:cs="宋体"/>
          <w:color w:val="auto"/>
          <w:kern w:val="2"/>
          <w:sz w:val="21"/>
          <w:highlight w:val="none"/>
        </w:rPr>
        <w:t>4.2经投标人确认修正后的报价若超过相应分标采购预算金额或相应分标分项采购预算的或者最高限价</w:t>
      </w:r>
      <w:r>
        <w:rPr>
          <w:rFonts w:hint="eastAsia" w:hAnsi="宋体" w:cs="宋体"/>
          <w:b/>
          <w:color w:val="auto"/>
          <w:sz w:val="21"/>
          <w:highlight w:val="none"/>
        </w:rPr>
        <w:t>，投标人的投标文件作无效投标处理。</w:t>
      </w:r>
    </w:p>
    <w:p w14:paraId="1621316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4.3经投标人确认修正后的报价作为签订合同的依据，并以此报价计算价格分。</w:t>
      </w:r>
    </w:p>
    <w:p w14:paraId="3041D5A4">
      <w:pPr>
        <w:pStyle w:val="13"/>
        <w:snapToGrid w:val="0"/>
        <w:spacing w:line="360" w:lineRule="auto"/>
        <w:ind w:left="1" w:firstLine="420"/>
        <w:rPr>
          <w:rFonts w:hAnsi="宋体" w:cs="宋体"/>
          <w:b/>
          <w:color w:val="auto"/>
          <w:kern w:val="2"/>
          <w:sz w:val="21"/>
          <w:highlight w:val="none"/>
        </w:rPr>
      </w:pPr>
      <w:r>
        <w:rPr>
          <w:rFonts w:hint="eastAsia" w:hAnsi="宋体" w:cs="宋体"/>
          <w:b/>
          <w:color w:val="auto"/>
          <w:kern w:val="2"/>
          <w:sz w:val="21"/>
          <w:highlight w:val="none"/>
        </w:rPr>
        <w:t>5.比较与评价</w:t>
      </w:r>
    </w:p>
    <w:p w14:paraId="24CA422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5.1采用综合评分法的</w:t>
      </w:r>
    </w:p>
    <w:p w14:paraId="51EB38C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（1）评标委员会按照招标文件中规定的评标方法及评标标准，对符合性审查合格的投标文件进行商务和技术评估，综合比较与评价。</w:t>
      </w:r>
    </w:p>
    <w:p w14:paraId="73DC7B7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（2）评标委员会独立对每个投标人的投标文件进行评价，并汇总每个投标人的得分。</w:t>
      </w:r>
    </w:p>
    <w:p w14:paraId="2E627B2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b/>
          <w:color w:val="auto"/>
          <w:szCs w:val="21"/>
          <w:highlight w:val="none"/>
        </w:rPr>
        <w:t>投标人不能证明其报价合理性的，评标委员会将其作为无效投标处理</w:t>
      </w:r>
      <w:r>
        <w:rPr>
          <w:rFonts w:hint="eastAsia" w:ascii="宋体" w:hAnsi="宋体" w:cs="宋体"/>
          <w:color w:val="auto"/>
          <w:szCs w:val="21"/>
          <w:highlight w:val="none"/>
        </w:rPr>
        <w:t>。</w:t>
      </w:r>
    </w:p>
    <w:p w14:paraId="3E5D32C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（3）评标委员会按照招标文件中规定的评标方法和标准计算各投标人的报价得分。在计算过程中，不得去掉最高报价或者最低报价。</w:t>
      </w:r>
    </w:p>
    <w:p w14:paraId="0662BE3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（4）各投标人的得分为所有评委的有效评分的算术平均数。</w:t>
      </w:r>
    </w:p>
    <w:p w14:paraId="5728310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（5）评标委员会按照招标文件中的规定推荐中标候选人。</w:t>
      </w:r>
    </w:p>
    <w:p w14:paraId="676590C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w:t>
      </w:r>
      <w:r>
        <w:rPr>
          <w:rFonts w:hint="eastAsia" w:ascii="宋体" w:hAnsi="宋体" w:cs="宋体"/>
          <w:color w:val="auto"/>
          <w:szCs w:val="21"/>
          <w:highlight w:val="none"/>
          <w:lang w:eastAsia="zh-CN"/>
        </w:rPr>
        <w:t>作出</w:t>
      </w:r>
      <w:r>
        <w:rPr>
          <w:rFonts w:hint="eastAsia" w:ascii="宋体" w:hAnsi="宋体" w:cs="宋体"/>
          <w:color w:val="auto"/>
          <w:szCs w:val="21"/>
          <w:highlight w:val="none"/>
        </w:rPr>
        <w:t>结论。持不同意见的评标委员会成员应当在评标报告上签署不同意见及理由，否则视为同意评标报告。</w:t>
      </w:r>
    </w:p>
    <w:p w14:paraId="195B8B3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5.2采用</w:t>
      </w:r>
      <w:r>
        <w:rPr>
          <w:rFonts w:hint="eastAsia" w:ascii="宋体" w:hAnsi="宋体" w:cs="宋体"/>
          <w:color w:val="auto"/>
          <w:highlight w:val="none"/>
        </w:rPr>
        <w:t>最低评标价法</w:t>
      </w:r>
      <w:r>
        <w:rPr>
          <w:rFonts w:hint="eastAsia" w:ascii="宋体" w:hAnsi="宋体" w:cs="宋体"/>
          <w:color w:val="auto"/>
          <w:szCs w:val="21"/>
          <w:highlight w:val="none"/>
        </w:rPr>
        <w:t>的</w:t>
      </w:r>
    </w:p>
    <w:p w14:paraId="4B02E128">
      <w:pPr>
        <w:snapToGrid w:val="0"/>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（1）评标委员会按照招标文件中规定的评标方法及评标标准，对符合性审查合格的投标文件报价进行比较。</w:t>
      </w:r>
    </w:p>
    <w:p w14:paraId="7CD9A1F8">
      <w:pPr>
        <w:snapToGrid w:val="0"/>
        <w:spacing w:line="360" w:lineRule="auto"/>
        <w:ind w:firstLine="399" w:firstLineChars="202"/>
        <w:jc w:val="left"/>
        <w:rPr>
          <w:rFonts w:ascii="宋体" w:hAnsi="宋体" w:cs="宋体"/>
          <w:color w:val="auto"/>
          <w:spacing w:val="-6"/>
          <w:szCs w:val="21"/>
          <w:highlight w:val="none"/>
        </w:rPr>
      </w:pPr>
      <w:r>
        <w:rPr>
          <w:rFonts w:hint="eastAsia" w:ascii="宋体" w:hAnsi="宋体" w:cs="宋体"/>
          <w:color w:val="auto"/>
          <w:spacing w:val="-6"/>
          <w:szCs w:val="21"/>
          <w:highlight w:val="none"/>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b/>
          <w:color w:val="auto"/>
          <w:spacing w:val="-6"/>
          <w:szCs w:val="21"/>
          <w:highlight w:val="none"/>
        </w:rPr>
        <w:t>投标人不能证明其报价合理性的，评标委员会将其作为无效投标处理</w:t>
      </w:r>
      <w:r>
        <w:rPr>
          <w:rFonts w:hint="eastAsia" w:ascii="宋体" w:hAnsi="宋体" w:cs="宋体"/>
          <w:color w:val="auto"/>
          <w:spacing w:val="-6"/>
          <w:szCs w:val="21"/>
          <w:highlight w:val="none"/>
        </w:rPr>
        <w:t>。</w:t>
      </w:r>
    </w:p>
    <w:p w14:paraId="635E948F">
      <w:pPr>
        <w:snapToGrid w:val="0"/>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（3）评标委员会按照招标文件中的规定推荐中标候选人。</w:t>
      </w:r>
    </w:p>
    <w:p w14:paraId="5198F34D">
      <w:pPr>
        <w:snapToGrid w:val="0"/>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2E77A74C">
      <w:pPr>
        <w:snapToGrid w:val="0"/>
        <w:spacing w:line="360" w:lineRule="auto"/>
        <w:jc w:val="center"/>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b/>
          <w:bCs/>
          <w:color w:val="auto"/>
          <w:sz w:val="32"/>
          <w:szCs w:val="32"/>
          <w:highlight w:val="none"/>
        </w:rPr>
        <w:t>三、评标标准</w:t>
      </w:r>
    </w:p>
    <w:p w14:paraId="7D7AFB4F">
      <w:pPr>
        <w:spacing w:line="48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综合评分法</w:t>
      </w:r>
    </w:p>
    <w:p w14:paraId="3D41C249">
      <w:pPr>
        <w:spacing w:line="48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分标1、分标2评标标准</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4"/>
        <w:gridCol w:w="1460"/>
        <w:gridCol w:w="1622"/>
        <w:gridCol w:w="6198"/>
      </w:tblGrid>
      <w:tr w14:paraId="2C220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32" w:type="pct"/>
            <w:gridSpan w:val="2"/>
            <w:noWrap w:val="0"/>
            <w:vAlign w:val="center"/>
          </w:tcPr>
          <w:p w14:paraId="1E5C72DD">
            <w:pPr>
              <w:adjustRightInd w:val="0"/>
              <w:spacing w:line="400" w:lineRule="exact"/>
              <w:jc w:val="center"/>
              <w:textAlignment w:val="baseline"/>
              <w:rPr>
                <w:rFonts w:ascii="宋体" w:hAnsi="宋体"/>
                <w:b/>
                <w:color w:val="auto"/>
                <w:szCs w:val="21"/>
                <w:highlight w:val="none"/>
              </w:rPr>
            </w:pPr>
            <w:r>
              <w:rPr>
                <w:rFonts w:hint="eastAsia" w:ascii="宋体" w:hAnsi="宋体"/>
                <w:b/>
                <w:color w:val="auto"/>
                <w:szCs w:val="21"/>
                <w:highlight w:val="none"/>
              </w:rPr>
              <w:t>序号</w:t>
            </w:r>
          </w:p>
        </w:tc>
        <w:tc>
          <w:tcPr>
            <w:tcW w:w="823" w:type="pct"/>
            <w:noWrap w:val="0"/>
            <w:vAlign w:val="center"/>
          </w:tcPr>
          <w:p w14:paraId="347CA3ED">
            <w:pPr>
              <w:adjustRightInd w:val="0"/>
              <w:spacing w:line="400" w:lineRule="exact"/>
              <w:jc w:val="center"/>
              <w:textAlignment w:val="baseline"/>
              <w:rPr>
                <w:rFonts w:ascii="宋体" w:hAnsi="宋体"/>
                <w:b/>
                <w:color w:val="auto"/>
                <w:szCs w:val="21"/>
                <w:highlight w:val="none"/>
              </w:rPr>
            </w:pPr>
            <w:r>
              <w:rPr>
                <w:rFonts w:hint="eastAsia" w:ascii="宋体" w:hAnsi="宋体"/>
                <w:b/>
                <w:color w:val="auto"/>
                <w:szCs w:val="21"/>
                <w:highlight w:val="none"/>
              </w:rPr>
              <w:t>评审因素</w:t>
            </w:r>
          </w:p>
        </w:tc>
        <w:tc>
          <w:tcPr>
            <w:tcW w:w="3144" w:type="pct"/>
            <w:noWrap w:val="0"/>
            <w:vAlign w:val="center"/>
          </w:tcPr>
          <w:p w14:paraId="4A857A59">
            <w:pPr>
              <w:adjustRightInd w:val="0"/>
              <w:spacing w:line="400" w:lineRule="exact"/>
              <w:jc w:val="center"/>
              <w:textAlignment w:val="baseline"/>
              <w:rPr>
                <w:rFonts w:ascii="宋体" w:hAnsi="宋体"/>
                <w:b/>
                <w:color w:val="auto"/>
                <w:szCs w:val="21"/>
                <w:highlight w:val="none"/>
              </w:rPr>
            </w:pPr>
            <w:r>
              <w:rPr>
                <w:rFonts w:hint="eastAsia" w:ascii="宋体" w:hAnsi="宋体"/>
                <w:b/>
                <w:color w:val="auto"/>
                <w:szCs w:val="21"/>
                <w:highlight w:val="none"/>
              </w:rPr>
              <w:t>评标标准</w:t>
            </w:r>
          </w:p>
        </w:tc>
      </w:tr>
      <w:tr w14:paraId="57065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 w:type="pct"/>
            <w:noWrap w:val="0"/>
            <w:vAlign w:val="center"/>
          </w:tcPr>
          <w:p w14:paraId="4C18D85E">
            <w:pPr>
              <w:adjustRightInd w:val="0"/>
              <w:spacing w:line="400" w:lineRule="exact"/>
              <w:jc w:val="center"/>
              <w:textAlignment w:val="baseline"/>
              <w:rPr>
                <w:rFonts w:ascii="宋体" w:hAnsi="宋体"/>
                <w:color w:val="auto"/>
                <w:szCs w:val="21"/>
                <w:highlight w:val="none"/>
              </w:rPr>
            </w:pPr>
            <w:r>
              <w:rPr>
                <w:rFonts w:hint="eastAsia" w:ascii="宋体" w:hAnsi="宋体"/>
                <w:color w:val="auto"/>
                <w:szCs w:val="21"/>
                <w:highlight w:val="none"/>
              </w:rPr>
              <w:t>1</w:t>
            </w:r>
          </w:p>
        </w:tc>
        <w:tc>
          <w:tcPr>
            <w:tcW w:w="740" w:type="pct"/>
            <w:noWrap w:val="0"/>
            <w:vAlign w:val="center"/>
          </w:tcPr>
          <w:p w14:paraId="077D44D7">
            <w:pPr>
              <w:adjustRightInd w:val="0"/>
              <w:spacing w:line="400" w:lineRule="exact"/>
              <w:jc w:val="center"/>
              <w:textAlignment w:val="baseline"/>
              <w:rPr>
                <w:rFonts w:ascii="宋体" w:hAnsi="宋体"/>
                <w:b/>
                <w:bCs/>
                <w:color w:val="auto"/>
                <w:szCs w:val="21"/>
                <w:highlight w:val="none"/>
              </w:rPr>
            </w:pPr>
            <w:r>
              <w:rPr>
                <w:rFonts w:hint="eastAsia" w:ascii="宋体" w:hAnsi="宋体"/>
                <w:b/>
                <w:bCs/>
                <w:color w:val="auto"/>
                <w:szCs w:val="21"/>
                <w:highlight w:val="none"/>
              </w:rPr>
              <w:t>价格分</w:t>
            </w:r>
          </w:p>
          <w:p w14:paraId="78133017">
            <w:pPr>
              <w:adjustRightInd w:val="0"/>
              <w:spacing w:line="400" w:lineRule="exact"/>
              <w:jc w:val="center"/>
              <w:textAlignment w:val="baseline"/>
              <w:rPr>
                <w:rFonts w:ascii="宋体" w:hAnsi="宋体"/>
                <w:b/>
                <w:bCs/>
                <w:color w:val="auto"/>
                <w:szCs w:val="21"/>
                <w:highlight w:val="none"/>
              </w:rPr>
            </w:pPr>
            <w:r>
              <w:rPr>
                <w:rFonts w:hint="eastAsia" w:ascii="宋体" w:hAnsi="宋体"/>
                <w:b/>
                <w:bCs/>
                <w:color w:val="auto"/>
                <w:szCs w:val="21"/>
                <w:highlight w:val="none"/>
              </w:rPr>
              <w:t>（满分</w:t>
            </w:r>
            <w:r>
              <w:rPr>
                <w:rFonts w:ascii="宋体" w:hAnsi="宋体"/>
                <w:b/>
                <w:bCs/>
                <w:color w:val="auto"/>
                <w:szCs w:val="21"/>
                <w:highlight w:val="none"/>
                <w:u w:val="none"/>
              </w:rPr>
              <w:t>30</w:t>
            </w:r>
            <w:r>
              <w:rPr>
                <w:rFonts w:hint="eastAsia" w:ascii="宋体" w:hAnsi="宋体"/>
                <w:b/>
                <w:bCs/>
                <w:color w:val="auto"/>
                <w:szCs w:val="21"/>
                <w:highlight w:val="none"/>
              </w:rPr>
              <w:t>分）</w:t>
            </w:r>
          </w:p>
        </w:tc>
        <w:tc>
          <w:tcPr>
            <w:tcW w:w="823" w:type="pct"/>
            <w:noWrap w:val="0"/>
            <w:vAlign w:val="center"/>
          </w:tcPr>
          <w:p w14:paraId="22C7D3DB">
            <w:pPr>
              <w:adjustRightInd w:val="0"/>
              <w:spacing w:line="400" w:lineRule="exact"/>
              <w:jc w:val="center"/>
              <w:textAlignment w:val="baseline"/>
              <w:rPr>
                <w:rFonts w:ascii="宋体" w:hAnsi="宋体"/>
                <w:bCs/>
                <w:color w:val="auto"/>
                <w:szCs w:val="21"/>
                <w:highlight w:val="none"/>
              </w:rPr>
            </w:pPr>
            <w:r>
              <w:rPr>
                <w:rFonts w:hint="eastAsia" w:ascii="宋体" w:hAnsi="宋体"/>
                <w:bCs/>
                <w:color w:val="auto"/>
                <w:szCs w:val="21"/>
                <w:highlight w:val="none"/>
              </w:rPr>
              <w:t>投标报价</w:t>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（满分</w:t>
            </w:r>
            <w:r>
              <w:rPr>
                <w:rFonts w:ascii="宋体" w:hAnsi="宋体"/>
                <w:bCs/>
                <w:color w:val="auto"/>
                <w:szCs w:val="21"/>
                <w:highlight w:val="none"/>
                <w:u w:val="none"/>
              </w:rPr>
              <w:t>30</w:t>
            </w:r>
            <w:r>
              <w:rPr>
                <w:rFonts w:hint="eastAsia" w:ascii="宋体" w:hAnsi="宋体"/>
                <w:bCs/>
                <w:color w:val="auto"/>
                <w:szCs w:val="21"/>
                <w:highlight w:val="none"/>
              </w:rPr>
              <w:t>分）</w:t>
            </w:r>
          </w:p>
        </w:tc>
        <w:tc>
          <w:tcPr>
            <w:tcW w:w="3144" w:type="pct"/>
            <w:noWrap w:val="0"/>
            <w:vAlign w:val="center"/>
          </w:tcPr>
          <w:p w14:paraId="7EC39C89">
            <w:pPr>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eastAsia="zh-CN"/>
              </w:rPr>
              <w:t>、本项目为专门面向中</w:t>
            </w:r>
            <w:r>
              <w:rPr>
                <w:rFonts w:hint="eastAsia" w:ascii="宋体" w:hAnsi="宋体" w:eastAsia="宋体" w:cs="宋体"/>
                <w:bCs/>
                <w:color w:val="auto"/>
                <w:szCs w:val="21"/>
                <w:highlight w:val="none"/>
                <w:lang w:val="en-US" w:eastAsia="zh-CN"/>
              </w:rPr>
              <w:t>小</w:t>
            </w:r>
            <w:r>
              <w:rPr>
                <w:rFonts w:hint="eastAsia" w:ascii="宋体" w:hAnsi="宋体" w:eastAsia="宋体" w:cs="宋体"/>
                <w:bCs/>
                <w:color w:val="auto"/>
                <w:szCs w:val="21"/>
                <w:highlight w:val="none"/>
                <w:lang w:eastAsia="zh-CN"/>
              </w:rPr>
              <w:t>企业采购的项目，不再执行价格优惠评审政策，即评标报价=投标报价</w:t>
            </w:r>
            <w:r>
              <w:rPr>
                <w:rFonts w:hint="eastAsia" w:ascii="宋体" w:hAnsi="宋体" w:eastAsia="宋体" w:cs="宋体"/>
                <w:bCs/>
                <w:color w:val="auto"/>
                <w:szCs w:val="21"/>
                <w:highlight w:val="none"/>
              </w:rPr>
              <w:t>。</w:t>
            </w:r>
          </w:p>
          <w:p w14:paraId="7841C57B">
            <w:pPr>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满足招标文件要求且</w:t>
            </w:r>
            <w:r>
              <w:rPr>
                <w:rFonts w:hint="eastAsia" w:ascii="宋体" w:hAnsi="宋体" w:eastAsia="宋体" w:cs="宋体"/>
                <w:bCs/>
                <w:color w:val="auto"/>
                <w:szCs w:val="21"/>
                <w:highlight w:val="none"/>
                <w:lang w:val="en-US" w:eastAsia="zh-CN"/>
              </w:rPr>
              <w:t>投标</w:t>
            </w:r>
            <w:r>
              <w:rPr>
                <w:rFonts w:hint="eastAsia" w:ascii="宋体" w:hAnsi="宋体" w:eastAsia="宋体" w:cs="宋体"/>
                <w:bCs/>
                <w:color w:val="auto"/>
                <w:szCs w:val="21"/>
                <w:highlight w:val="none"/>
              </w:rPr>
              <w:t>报价最低的评标报价为评标基准价，其价格分为满分。</w:t>
            </w:r>
          </w:p>
          <w:p w14:paraId="2B03B771">
            <w:pPr>
              <w:keepNext w:val="0"/>
              <w:keepLines w:val="0"/>
              <w:pageBreakBefore w:val="0"/>
              <w:widowControl w:val="0"/>
              <w:kinsoku/>
              <w:wordWrap/>
              <w:overflowPunct/>
              <w:topLinePunct w:val="0"/>
              <w:autoSpaceDE/>
              <w:autoSpaceDN/>
              <w:bidi w:val="0"/>
              <w:adjustRightInd/>
              <w:spacing w:line="400" w:lineRule="exact"/>
              <w:ind w:firstLine="233" w:firstLineChars="111"/>
              <w:textAlignment w:val="auto"/>
              <w:rPr>
                <w:rFonts w:hint="eastAsia" w:ascii="宋体" w:hAnsi="宋体" w:cs="Courier New"/>
                <w:bCs/>
                <w:color w:val="auto"/>
                <w:szCs w:val="21"/>
                <w:highlight w:val="none"/>
              </w:rPr>
            </w:pP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价格分计算公式：价格分=(评标基准价／评标报价)×</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0分</w:t>
            </w:r>
          </w:p>
        </w:tc>
      </w:tr>
      <w:tr w14:paraId="56102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 w:type="pct"/>
            <w:vMerge w:val="restart"/>
            <w:noWrap w:val="0"/>
            <w:vAlign w:val="center"/>
          </w:tcPr>
          <w:p w14:paraId="14DEE0FE">
            <w:pPr>
              <w:adjustRightInd w:val="0"/>
              <w:snapToGrid w:val="0"/>
              <w:spacing w:line="400" w:lineRule="exact"/>
              <w:jc w:val="center"/>
              <w:textAlignment w:val="baseline"/>
              <w:rPr>
                <w:rFonts w:ascii="宋体" w:hAnsi="宋体"/>
                <w:color w:val="auto"/>
                <w:szCs w:val="21"/>
                <w:highlight w:val="none"/>
              </w:rPr>
            </w:pPr>
            <w:r>
              <w:rPr>
                <w:rFonts w:hint="eastAsia" w:ascii="宋体" w:hAnsi="宋体"/>
                <w:color w:val="auto"/>
                <w:szCs w:val="21"/>
                <w:highlight w:val="none"/>
              </w:rPr>
              <w:t>2</w:t>
            </w:r>
          </w:p>
        </w:tc>
        <w:tc>
          <w:tcPr>
            <w:tcW w:w="740" w:type="pct"/>
            <w:vMerge w:val="restart"/>
            <w:noWrap w:val="0"/>
            <w:vAlign w:val="center"/>
          </w:tcPr>
          <w:p w14:paraId="7AE93074">
            <w:pPr>
              <w:adjustRightInd w:val="0"/>
              <w:snapToGrid w:val="0"/>
              <w:spacing w:line="400" w:lineRule="exact"/>
              <w:ind w:left="-105" w:leftChars="-50" w:right="-105" w:rightChars="-50"/>
              <w:jc w:val="center"/>
              <w:textAlignment w:val="baseline"/>
              <w:rPr>
                <w:rFonts w:ascii="宋体" w:hAnsi="宋体"/>
                <w:b/>
                <w:color w:val="auto"/>
                <w:spacing w:val="-18"/>
                <w:szCs w:val="21"/>
                <w:highlight w:val="none"/>
              </w:rPr>
            </w:pPr>
            <w:r>
              <w:rPr>
                <w:rFonts w:hint="eastAsia" w:ascii="宋体" w:hAnsi="宋体"/>
                <w:b/>
                <w:bCs/>
                <w:color w:val="auto"/>
                <w:szCs w:val="21"/>
                <w:highlight w:val="none"/>
              </w:rPr>
              <w:t>技术分（满分</w:t>
            </w:r>
            <w:r>
              <w:rPr>
                <w:rFonts w:hint="eastAsia" w:ascii="宋体" w:hAnsi="宋体"/>
                <w:b/>
                <w:bCs/>
                <w:color w:val="auto"/>
                <w:szCs w:val="21"/>
                <w:highlight w:val="none"/>
                <w:lang w:val="en-US" w:eastAsia="zh-CN"/>
              </w:rPr>
              <w:t>65</w:t>
            </w:r>
            <w:r>
              <w:rPr>
                <w:rFonts w:hint="eastAsia" w:ascii="宋体" w:hAnsi="宋体"/>
                <w:b/>
                <w:bCs/>
                <w:color w:val="auto"/>
                <w:szCs w:val="21"/>
                <w:highlight w:val="none"/>
              </w:rPr>
              <w:t>分）</w:t>
            </w:r>
          </w:p>
        </w:tc>
        <w:tc>
          <w:tcPr>
            <w:tcW w:w="823" w:type="pct"/>
            <w:noWrap w:val="0"/>
            <w:vAlign w:val="center"/>
          </w:tcPr>
          <w:p w14:paraId="05179A1C">
            <w:pPr>
              <w:spacing w:line="400" w:lineRule="exact"/>
              <w:jc w:val="center"/>
              <w:rPr>
                <w:rFonts w:hint="eastAsia" w:ascii="宋体" w:hAnsi="宋体"/>
                <w:bCs/>
                <w:color w:val="auto"/>
                <w:szCs w:val="21"/>
                <w:highlight w:val="none"/>
              </w:rPr>
            </w:pPr>
            <w:r>
              <w:rPr>
                <w:rFonts w:hint="eastAsia" w:ascii="宋体" w:hAnsi="宋体"/>
                <w:bCs/>
                <w:color w:val="auto"/>
                <w:szCs w:val="21"/>
                <w:highlight w:val="none"/>
              </w:rPr>
              <w:t>专业人员配备分（满分</w:t>
            </w:r>
            <w:r>
              <w:rPr>
                <w:rFonts w:ascii="宋体" w:hAnsi="宋体"/>
                <w:bCs/>
                <w:color w:val="auto"/>
                <w:szCs w:val="21"/>
                <w:highlight w:val="none"/>
              </w:rPr>
              <w:t>3</w:t>
            </w:r>
            <w:r>
              <w:rPr>
                <w:rFonts w:hint="eastAsia" w:ascii="宋体" w:hAnsi="宋体"/>
                <w:bCs/>
                <w:color w:val="auto"/>
                <w:szCs w:val="21"/>
                <w:highlight w:val="none"/>
              </w:rPr>
              <w:t>分）</w:t>
            </w:r>
          </w:p>
        </w:tc>
        <w:tc>
          <w:tcPr>
            <w:tcW w:w="3144" w:type="pct"/>
            <w:noWrap w:val="0"/>
            <w:vAlign w:val="top"/>
          </w:tcPr>
          <w:p w14:paraId="40970FA2">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b/>
                <w:bCs/>
                <w:color w:val="auto"/>
                <w:kern w:val="0"/>
                <w:szCs w:val="21"/>
                <w:highlight w:val="none"/>
              </w:rPr>
            </w:pPr>
            <w:r>
              <w:rPr>
                <w:rFonts w:hint="eastAsia" w:ascii="宋体" w:hAnsi="宋体"/>
                <w:bCs/>
                <w:color w:val="auto"/>
                <w:kern w:val="0"/>
                <w:szCs w:val="21"/>
                <w:highlight w:val="none"/>
              </w:rPr>
              <w:t>根据投标人配备技术人员情况进行评分：配备有中药师、执业中药师、与药学相关的中级或副高级及以上职称人员，以2人为基准每增加1名相关证书人员得1分，满分3分。</w:t>
            </w:r>
            <w:r>
              <w:rPr>
                <w:rFonts w:hint="eastAsia" w:ascii="宋体" w:hAnsi="宋体"/>
                <w:b/>
                <w:bCs/>
                <w:color w:val="auto"/>
                <w:kern w:val="0"/>
                <w:szCs w:val="21"/>
                <w:highlight w:val="none"/>
              </w:rPr>
              <w:t>同一人提供不同证书的不重复得分，须提供上述人员名单、人员证书复印件以及企业为其缴纳的近一个月社保证明或劳动合同或企业为其发放工资的银行流水证明或企业代缴其个人所得税证明复印件（须体现投标人相关人员姓名），否则本项不得分</w:t>
            </w:r>
            <w:r>
              <w:rPr>
                <w:rFonts w:hint="eastAsia" w:ascii="宋体" w:hAnsi="宋体"/>
                <w:bCs/>
                <w:color w:val="auto"/>
                <w:kern w:val="0"/>
                <w:szCs w:val="21"/>
                <w:highlight w:val="none"/>
              </w:rPr>
              <w:t>。</w:t>
            </w:r>
          </w:p>
        </w:tc>
      </w:tr>
      <w:tr w14:paraId="76361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 w:type="pct"/>
            <w:vMerge w:val="continue"/>
            <w:noWrap w:val="0"/>
            <w:vAlign w:val="center"/>
          </w:tcPr>
          <w:p w14:paraId="2A1BFB30">
            <w:pPr>
              <w:adjustRightInd w:val="0"/>
              <w:snapToGrid w:val="0"/>
              <w:spacing w:line="400" w:lineRule="exact"/>
              <w:jc w:val="center"/>
              <w:textAlignment w:val="baseline"/>
              <w:rPr>
                <w:rFonts w:hint="eastAsia" w:ascii="宋体" w:hAnsi="宋体"/>
                <w:color w:val="auto"/>
                <w:szCs w:val="21"/>
                <w:highlight w:val="none"/>
              </w:rPr>
            </w:pPr>
          </w:p>
        </w:tc>
        <w:tc>
          <w:tcPr>
            <w:tcW w:w="740" w:type="pct"/>
            <w:vMerge w:val="continue"/>
            <w:noWrap w:val="0"/>
            <w:vAlign w:val="center"/>
          </w:tcPr>
          <w:p w14:paraId="7B171F2D">
            <w:pPr>
              <w:adjustRightInd w:val="0"/>
              <w:snapToGrid w:val="0"/>
              <w:spacing w:line="400" w:lineRule="exact"/>
              <w:ind w:left="-105" w:leftChars="-50" w:right="-105" w:rightChars="-50"/>
              <w:jc w:val="center"/>
              <w:textAlignment w:val="baseline"/>
              <w:rPr>
                <w:rFonts w:hint="eastAsia" w:ascii="宋体" w:hAnsi="宋体"/>
                <w:b/>
                <w:bCs/>
                <w:color w:val="auto"/>
                <w:szCs w:val="21"/>
                <w:highlight w:val="none"/>
              </w:rPr>
            </w:pPr>
          </w:p>
        </w:tc>
        <w:tc>
          <w:tcPr>
            <w:tcW w:w="823" w:type="pct"/>
            <w:noWrap w:val="0"/>
            <w:vAlign w:val="center"/>
          </w:tcPr>
          <w:p w14:paraId="447341C4">
            <w:pPr>
              <w:adjustRightInd w:val="0"/>
              <w:spacing w:line="400" w:lineRule="exact"/>
              <w:jc w:val="center"/>
              <w:textAlignment w:val="baseline"/>
              <w:rPr>
                <w:rFonts w:ascii="宋体" w:hAnsi="宋体"/>
                <w:color w:val="auto"/>
                <w:szCs w:val="21"/>
                <w:highlight w:val="none"/>
              </w:rPr>
            </w:pPr>
            <w:r>
              <w:rPr>
                <w:rFonts w:hint="eastAsia" w:ascii="宋体" w:hAnsi="宋体"/>
                <w:color w:val="auto"/>
                <w:szCs w:val="21"/>
                <w:highlight w:val="none"/>
              </w:rPr>
              <w:t>中药饮片质量可追溯体系分</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（满分</w:t>
            </w:r>
            <w:r>
              <w:rPr>
                <w:rFonts w:hint="eastAsia" w:ascii="宋体" w:hAnsi="宋体"/>
                <w:color w:val="auto"/>
                <w:szCs w:val="21"/>
                <w:highlight w:val="none"/>
                <w:lang w:val="en-US" w:eastAsia="zh-CN"/>
              </w:rPr>
              <w:t>5</w:t>
            </w:r>
            <w:r>
              <w:rPr>
                <w:rFonts w:hint="eastAsia" w:ascii="宋体" w:hAnsi="宋体"/>
                <w:color w:val="auto"/>
                <w:szCs w:val="21"/>
                <w:highlight w:val="none"/>
              </w:rPr>
              <w:t>分）</w:t>
            </w:r>
          </w:p>
        </w:tc>
        <w:tc>
          <w:tcPr>
            <w:tcW w:w="3144" w:type="pct"/>
            <w:noWrap w:val="0"/>
            <w:vAlign w:val="center"/>
          </w:tcPr>
          <w:p w14:paraId="46431BA3">
            <w:pPr>
              <w:pStyle w:val="13"/>
              <w:spacing w:line="400" w:lineRule="exact"/>
              <w:ind w:firstLine="420" w:firstLineChars="200"/>
              <w:rPr>
                <w:rFonts w:hint="eastAsia" w:hAnsi="宋体" w:cs="Courier New"/>
                <w:color w:val="auto"/>
                <w:kern w:val="2"/>
                <w:sz w:val="21"/>
                <w:highlight w:val="none"/>
                <w:lang w:val="en-US" w:eastAsia="zh-CN"/>
              </w:rPr>
            </w:pPr>
            <w:r>
              <w:rPr>
                <w:rFonts w:hint="eastAsia" w:hAnsi="宋体" w:cs="Courier New"/>
                <w:color w:val="auto"/>
                <w:kern w:val="2"/>
                <w:sz w:val="21"/>
                <w:highlight w:val="none"/>
                <w:lang w:val="en-US" w:eastAsia="zh-CN"/>
              </w:rPr>
              <w:t>投标人或所投药品生产企业应证明已建立追溯体系并实际运行，确保追溯信息的真实、准确、完整性。追溯系统可自建或采用第三方追溯平台，并说明追溯系统启用的时间。</w:t>
            </w:r>
          </w:p>
          <w:p w14:paraId="4AC52222">
            <w:pPr>
              <w:pStyle w:val="13"/>
              <w:spacing w:line="400" w:lineRule="exact"/>
              <w:ind w:firstLine="422" w:firstLineChars="200"/>
              <w:rPr>
                <w:rFonts w:hint="eastAsia" w:hAnsi="宋体" w:cs="Courier New"/>
                <w:b/>
                <w:bCs w:val="0"/>
                <w:color w:val="auto"/>
                <w:kern w:val="2"/>
                <w:sz w:val="21"/>
                <w:highlight w:val="none"/>
                <w:lang w:val="en-US" w:eastAsia="zh-CN"/>
              </w:rPr>
            </w:pPr>
            <w:r>
              <w:rPr>
                <w:rFonts w:hint="eastAsia" w:hAnsi="宋体" w:cs="Courier New"/>
                <w:b/>
                <w:bCs w:val="0"/>
                <w:color w:val="auto"/>
                <w:kern w:val="2"/>
                <w:sz w:val="21"/>
                <w:highlight w:val="none"/>
                <w:lang w:val="en-US" w:eastAsia="zh-CN"/>
              </w:rPr>
              <w:t>注：投标文件中请按以下顺序提供可追溯体系资料，并做好目录。未提供不得分。伪造追溯信息的一经查实将取消其投标资格。</w:t>
            </w:r>
          </w:p>
          <w:p w14:paraId="7BE1A1D5">
            <w:pPr>
              <w:pStyle w:val="13"/>
              <w:spacing w:line="400" w:lineRule="exact"/>
              <w:ind w:firstLine="420" w:firstLineChars="200"/>
              <w:rPr>
                <w:rFonts w:hint="eastAsia" w:hAnsi="宋体" w:cs="Courier New"/>
                <w:color w:val="auto"/>
                <w:kern w:val="2"/>
                <w:sz w:val="21"/>
                <w:highlight w:val="none"/>
                <w:lang w:val="en-US" w:eastAsia="zh-CN"/>
              </w:rPr>
            </w:pPr>
            <w:r>
              <w:rPr>
                <w:rFonts w:hint="eastAsia" w:hAnsi="宋体" w:cs="Courier New"/>
                <w:color w:val="auto"/>
                <w:kern w:val="2"/>
                <w:sz w:val="21"/>
                <w:highlight w:val="none"/>
                <w:lang w:val="en-US" w:eastAsia="zh-CN"/>
              </w:rPr>
              <w:t>（1）简要介绍正在使用的中药饮片质量可追溯体系（含追溯系统是自建或采用第三方追溯平台，并说明追溯系统启用的时间），得1分。</w:t>
            </w:r>
          </w:p>
          <w:p w14:paraId="0C638E7A">
            <w:pPr>
              <w:pStyle w:val="13"/>
              <w:spacing w:line="400" w:lineRule="exact"/>
              <w:ind w:firstLine="420" w:firstLineChars="200"/>
              <w:rPr>
                <w:rFonts w:hint="eastAsia" w:hAnsi="宋体" w:cs="Courier New"/>
                <w:color w:val="auto"/>
                <w:kern w:val="2"/>
                <w:sz w:val="21"/>
                <w:highlight w:val="none"/>
                <w:lang w:val="en-US" w:eastAsia="zh-CN"/>
              </w:rPr>
            </w:pPr>
            <w:r>
              <w:rPr>
                <w:rFonts w:hint="eastAsia" w:hAnsi="宋体" w:cs="Courier New"/>
                <w:color w:val="auto"/>
                <w:kern w:val="2"/>
                <w:sz w:val="21"/>
                <w:highlight w:val="none"/>
                <w:lang w:val="en-US" w:eastAsia="zh-CN"/>
              </w:rPr>
              <w:t>（2）提供所报价分标的《中药饮片采购清单》中有追溯码的品种目录，每个品种后附追溯码，得4分。</w:t>
            </w:r>
            <w:r>
              <w:rPr>
                <w:rFonts w:hint="eastAsia" w:hAnsi="宋体" w:cs="Courier New"/>
                <w:b/>
                <w:color w:val="auto"/>
                <w:kern w:val="2"/>
                <w:sz w:val="21"/>
                <w:highlight w:val="none"/>
                <w:lang w:val="en-US" w:eastAsia="zh-CN"/>
              </w:rPr>
              <w:t>注：投标人提供可溯源中药饮片至少50个品种的二维码（少于50个不得分）。</w:t>
            </w:r>
          </w:p>
        </w:tc>
      </w:tr>
      <w:tr w14:paraId="2F263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 w:type="pct"/>
            <w:vMerge w:val="continue"/>
            <w:noWrap w:val="0"/>
            <w:vAlign w:val="center"/>
          </w:tcPr>
          <w:p w14:paraId="2990D04F">
            <w:pPr>
              <w:adjustRightInd w:val="0"/>
              <w:snapToGrid w:val="0"/>
              <w:spacing w:line="400" w:lineRule="exact"/>
              <w:jc w:val="center"/>
              <w:textAlignment w:val="baseline"/>
              <w:rPr>
                <w:rFonts w:hint="eastAsia" w:ascii="宋体" w:hAnsi="宋体"/>
                <w:color w:val="auto"/>
                <w:szCs w:val="21"/>
                <w:highlight w:val="none"/>
              </w:rPr>
            </w:pPr>
          </w:p>
        </w:tc>
        <w:tc>
          <w:tcPr>
            <w:tcW w:w="740" w:type="pct"/>
            <w:vMerge w:val="continue"/>
            <w:noWrap w:val="0"/>
            <w:vAlign w:val="center"/>
          </w:tcPr>
          <w:p w14:paraId="1C9AAD32">
            <w:pPr>
              <w:adjustRightInd w:val="0"/>
              <w:snapToGrid w:val="0"/>
              <w:spacing w:line="400" w:lineRule="exact"/>
              <w:ind w:left="-105" w:leftChars="-50" w:right="-105" w:rightChars="-50"/>
              <w:jc w:val="center"/>
              <w:textAlignment w:val="baseline"/>
              <w:rPr>
                <w:rFonts w:hint="eastAsia" w:ascii="宋体" w:hAnsi="宋体"/>
                <w:b/>
                <w:bCs/>
                <w:color w:val="auto"/>
                <w:szCs w:val="21"/>
                <w:highlight w:val="none"/>
              </w:rPr>
            </w:pPr>
          </w:p>
        </w:tc>
        <w:tc>
          <w:tcPr>
            <w:tcW w:w="823" w:type="pct"/>
            <w:noWrap w:val="0"/>
            <w:vAlign w:val="center"/>
          </w:tcPr>
          <w:p w14:paraId="2BBBA821">
            <w:pPr>
              <w:adjustRightInd w:val="0"/>
              <w:spacing w:line="400" w:lineRule="exact"/>
              <w:jc w:val="center"/>
              <w:textAlignment w:val="baseline"/>
              <w:rPr>
                <w:rFonts w:hint="eastAsia" w:ascii="宋体" w:hAnsi="宋体"/>
                <w:color w:val="auto"/>
                <w:szCs w:val="21"/>
                <w:highlight w:val="none"/>
              </w:rPr>
            </w:pPr>
            <w:r>
              <w:rPr>
                <w:rFonts w:hint="eastAsia" w:ascii="宋体" w:hAnsi="宋体" w:cs="Tahoma"/>
                <w:color w:val="auto"/>
                <w:kern w:val="0"/>
                <w:szCs w:val="21"/>
                <w:highlight w:val="none"/>
              </w:rPr>
              <w:t>质检设备分</w:t>
            </w:r>
            <w:r>
              <w:rPr>
                <w:rFonts w:hint="eastAsia" w:ascii="宋体" w:hAnsi="宋体" w:cs="Tahoma"/>
                <w:color w:val="auto"/>
                <w:kern w:val="0"/>
                <w:szCs w:val="21"/>
                <w:highlight w:val="none"/>
                <w:lang w:val="en-US" w:eastAsia="zh-CN"/>
              </w:rPr>
              <w:t xml:space="preserve">   </w:t>
            </w:r>
            <w:r>
              <w:rPr>
                <w:rFonts w:hint="eastAsia" w:ascii="宋体" w:hAnsi="宋体" w:cs="Tahoma"/>
                <w:color w:val="auto"/>
                <w:kern w:val="0"/>
                <w:szCs w:val="21"/>
                <w:highlight w:val="none"/>
              </w:rPr>
              <w:t>（满分</w:t>
            </w:r>
            <w:r>
              <w:rPr>
                <w:rFonts w:hint="eastAsia" w:ascii="宋体" w:hAnsi="宋体" w:cs="Tahoma"/>
                <w:color w:val="auto"/>
                <w:kern w:val="0"/>
                <w:szCs w:val="21"/>
                <w:highlight w:val="none"/>
                <w:lang w:val="en-US" w:eastAsia="zh-CN"/>
              </w:rPr>
              <w:t>2</w:t>
            </w:r>
            <w:r>
              <w:rPr>
                <w:rFonts w:hint="eastAsia" w:ascii="宋体" w:hAnsi="宋体" w:cs="Tahoma"/>
                <w:color w:val="auto"/>
                <w:kern w:val="0"/>
                <w:szCs w:val="21"/>
                <w:highlight w:val="none"/>
              </w:rPr>
              <w:t>分）</w:t>
            </w:r>
          </w:p>
        </w:tc>
        <w:tc>
          <w:tcPr>
            <w:tcW w:w="3144" w:type="pct"/>
            <w:noWrap w:val="0"/>
            <w:vAlign w:val="center"/>
          </w:tcPr>
          <w:p w14:paraId="57F1B59C">
            <w:pPr>
              <w:numPr>
                <w:ilvl w:val="0"/>
                <w:numId w:val="0"/>
              </w:numPr>
              <w:snapToGrid w:val="0"/>
              <w:spacing w:line="400" w:lineRule="exact"/>
              <w:ind w:firstLine="420" w:firstLineChars="200"/>
              <w:jc w:val="left"/>
              <w:rPr>
                <w:rFonts w:hint="eastAsia" w:hAnsi="宋体" w:cs="Courier New"/>
                <w:color w:val="auto"/>
                <w:kern w:val="2"/>
                <w:sz w:val="21"/>
                <w:highlight w:val="none"/>
                <w:lang w:val="en-US" w:eastAsia="zh-CN"/>
              </w:rPr>
            </w:pPr>
            <w:r>
              <w:rPr>
                <w:rFonts w:hint="eastAsia" w:ascii="宋体" w:hAnsi="宋体" w:eastAsia="宋体" w:cs="Courier New"/>
                <w:color w:val="auto"/>
                <w:kern w:val="2"/>
                <w:sz w:val="21"/>
                <w:szCs w:val="21"/>
                <w:highlight w:val="none"/>
                <w:lang w:val="en-US" w:eastAsia="zh-CN" w:bidi="ar-SA"/>
              </w:rPr>
              <w:t>投标人或所投产品的生产厂家拥有高效液相色谱、气相色谱法仪器质检设备的，每拥有一个种类的质检设备得1分，满分2分</w:t>
            </w:r>
            <w:r>
              <w:rPr>
                <w:rFonts w:hint="eastAsia" w:hAnsi="宋体" w:cs="Courier New"/>
                <w:color w:val="auto"/>
                <w:kern w:val="2"/>
                <w:sz w:val="21"/>
                <w:highlight w:val="none"/>
                <w:lang w:val="en-US" w:eastAsia="zh-CN"/>
              </w:rPr>
              <w:t>。</w:t>
            </w:r>
          </w:p>
        </w:tc>
      </w:tr>
      <w:tr w14:paraId="1312F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 w:type="pct"/>
            <w:vMerge w:val="continue"/>
            <w:noWrap w:val="0"/>
            <w:vAlign w:val="center"/>
          </w:tcPr>
          <w:p w14:paraId="0FE5B0D2">
            <w:pPr>
              <w:adjustRightInd w:val="0"/>
              <w:snapToGrid w:val="0"/>
              <w:spacing w:line="400" w:lineRule="exact"/>
              <w:jc w:val="center"/>
              <w:textAlignment w:val="baseline"/>
              <w:rPr>
                <w:rFonts w:hint="eastAsia" w:ascii="宋体" w:hAnsi="宋体"/>
                <w:color w:val="auto"/>
                <w:szCs w:val="21"/>
                <w:highlight w:val="none"/>
              </w:rPr>
            </w:pPr>
          </w:p>
        </w:tc>
        <w:tc>
          <w:tcPr>
            <w:tcW w:w="740" w:type="pct"/>
            <w:vMerge w:val="continue"/>
            <w:noWrap w:val="0"/>
            <w:vAlign w:val="center"/>
          </w:tcPr>
          <w:p w14:paraId="5BC42D76">
            <w:pPr>
              <w:adjustRightInd w:val="0"/>
              <w:snapToGrid w:val="0"/>
              <w:spacing w:line="400" w:lineRule="exact"/>
              <w:ind w:left="-105" w:leftChars="-50" w:right="-105" w:rightChars="-50"/>
              <w:jc w:val="center"/>
              <w:textAlignment w:val="baseline"/>
              <w:rPr>
                <w:rFonts w:hint="eastAsia" w:ascii="宋体" w:hAnsi="宋体"/>
                <w:b/>
                <w:bCs/>
                <w:color w:val="auto"/>
                <w:szCs w:val="21"/>
                <w:highlight w:val="none"/>
              </w:rPr>
            </w:pPr>
          </w:p>
        </w:tc>
        <w:tc>
          <w:tcPr>
            <w:tcW w:w="823" w:type="pct"/>
            <w:noWrap w:val="0"/>
            <w:vAlign w:val="center"/>
          </w:tcPr>
          <w:p w14:paraId="2257EE28">
            <w:pPr>
              <w:adjustRightInd w:val="0"/>
              <w:spacing w:line="400" w:lineRule="exact"/>
              <w:jc w:val="center"/>
              <w:textAlignment w:val="baseline"/>
              <w:rPr>
                <w:rFonts w:ascii="宋体" w:hAnsi="宋体"/>
                <w:color w:val="auto"/>
                <w:szCs w:val="21"/>
                <w:highlight w:val="none"/>
              </w:rPr>
            </w:pPr>
            <w:r>
              <w:rPr>
                <w:rFonts w:hint="eastAsia" w:ascii="宋体" w:hAnsi="宋体"/>
                <w:color w:val="auto"/>
                <w:szCs w:val="21"/>
                <w:highlight w:val="none"/>
              </w:rPr>
              <w:t>质量控制方案分（满分</w:t>
            </w:r>
            <w:r>
              <w:rPr>
                <w:rFonts w:hint="eastAsia" w:ascii="宋体" w:hAnsi="宋体"/>
                <w:color w:val="auto"/>
                <w:szCs w:val="21"/>
                <w:highlight w:val="none"/>
                <w:lang w:val="en-US" w:eastAsia="zh-CN"/>
              </w:rPr>
              <w:t>25</w:t>
            </w:r>
            <w:r>
              <w:rPr>
                <w:rFonts w:hint="eastAsia" w:ascii="宋体" w:hAnsi="宋体"/>
                <w:color w:val="auto"/>
                <w:szCs w:val="21"/>
                <w:highlight w:val="none"/>
              </w:rPr>
              <w:t>分）</w:t>
            </w:r>
          </w:p>
        </w:tc>
        <w:tc>
          <w:tcPr>
            <w:tcW w:w="6198" w:type="dxa"/>
            <w:noWrap w:val="0"/>
            <w:vAlign w:val="center"/>
          </w:tcPr>
          <w:p w14:paraId="6D1F2CA5">
            <w:pPr>
              <w:pStyle w:val="13"/>
              <w:spacing w:line="400" w:lineRule="exact"/>
              <w:ind w:firstLine="420" w:firstLineChars="200"/>
              <w:rPr>
                <w:rFonts w:hint="eastAsia" w:hAnsi="宋体" w:cs="Courier New"/>
                <w:color w:val="auto"/>
                <w:kern w:val="2"/>
                <w:sz w:val="21"/>
                <w:highlight w:val="none"/>
                <w:lang w:val="en-US" w:eastAsia="zh-CN"/>
              </w:rPr>
            </w:pPr>
            <w:r>
              <w:rPr>
                <w:rFonts w:hint="eastAsia" w:hAnsi="宋体" w:cs="Courier New"/>
                <w:color w:val="auto"/>
                <w:kern w:val="2"/>
                <w:sz w:val="21"/>
                <w:highlight w:val="none"/>
                <w:lang w:val="en-US" w:eastAsia="zh-CN"/>
              </w:rPr>
              <w:t>投标人或所投药品生产厂家质量控制方案及检测能力评价要素：①建立有种植基地或与其他种植基地有合作协议的（品种包含招标文件附件所投分标清单中全部或部分的药品）、②有中药饮片加工质量检测规范及内控标准、③有药品储存等环节的质量控制方案、④药品安全保障措施(包括但不限于：进货渠道、安全措施及卫生监控措施、追溯方式等)。（上述内容需要提供相应的证明材料进行佐证）</w:t>
            </w:r>
          </w:p>
          <w:p w14:paraId="208D844C">
            <w:pPr>
              <w:pStyle w:val="13"/>
              <w:spacing w:line="400" w:lineRule="exact"/>
              <w:ind w:firstLine="420" w:firstLineChars="200"/>
              <w:rPr>
                <w:rFonts w:hint="eastAsia" w:hAnsi="宋体" w:cs="Courier New"/>
                <w:color w:val="auto"/>
                <w:kern w:val="2"/>
                <w:sz w:val="21"/>
                <w:highlight w:val="none"/>
                <w:lang w:val="en-US" w:eastAsia="zh-CN"/>
              </w:rPr>
            </w:pPr>
            <w:r>
              <w:rPr>
                <w:rFonts w:hint="eastAsia" w:hAnsi="宋体" w:cs="Courier New"/>
                <w:color w:val="auto"/>
                <w:kern w:val="2"/>
                <w:sz w:val="21"/>
                <w:highlight w:val="none"/>
                <w:lang w:val="en-US" w:eastAsia="zh-CN"/>
              </w:rPr>
              <w:t>一档（6分）：提供质量控制方案，但仅能提供上述评价要素中的其中1项，且针对该评价要素有具体的质控分析及对应措施。</w:t>
            </w:r>
          </w:p>
          <w:p w14:paraId="0FDEE5C3">
            <w:pPr>
              <w:pStyle w:val="13"/>
              <w:spacing w:line="400" w:lineRule="exact"/>
              <w:ind w:firstLine="420" w:firstLineChars="200"/>
              <w:rPr>
                <w:rFonts w:hint="eastAsia" w:hAnsi="宋体" w:cs="Courier New"/>
                <w:color w:val="auto"/>
                <w:kern w:val="2"/>
                <w:sz w:val="21"/>
                <w:highlight w:val="none"/>
                <w:lang w:val="en-US" w:eastAsia="zh-CN"/>
              </w:rPr>
            </w:pPr>
            <w:r>
              <w:rPr>
                <w:rFonts w:hint="eastAsia" w:hAnsi="宋体" w:cs="Courier New"/>
                <w:color w:val="auto"/>
                <w:kern w:val="2"/>
                <w:sz w:val="21"/>
                <w:highlight w:val="none"/>
                <w:lang w:val="en-US" w:eastAsia="zh-CN"/>
              </w:rPr>
              <w:t>二档（12分）：能够根据上述评价要素提供至少2项要素质控方案，针对要素对质量控制的重点环节进行分析，并有严格的管理标准。</w:t>
            </w:r>
          </w:p>
          <w:p w14:paraId="785B958C">
            <w:pPr>
              <w:pStyle w:val="13"/>
              <w:spacing w:line="400" w:lineRule="exact"/>
              <w:ind w:firstLine="420" w:firstLineChars="200"/>
              <w:rPr>
                <w:rFonts w:hint="eastAsia" w:hAnsi="宋体" w:cs="Courier New"/>
                <w:color w:val="auto"/>
                <w:kern w:val="2"/>
                <w:sz w:val="21"/>
                <w:highlight w:val="none"/>
                <w:lang w:val="en-US" w:eastAsia="zh-CN"/>
              </w:rPr>
            </w:pPr>
            <w:r>
              <w:rPr>
                <w:rFonts w:hint="eastAsia" w:hAnsi="宋体" w:cs="Courier New"/>
                <w:color w:val="auto"/>
                <w:kern w:val="2"/>
                <w:sz w:val="21"/>
                <w:highlight w:val="none"/>
                <w:lang w:val="en-US" w:eastAsia="zh-CN"/>
              </w:rPr>
              <w:t>三档（18分）：能够根据上述评价要素提供至少3项要素质控方案，对质量控制的各个环节进行详细阐述并对质量控制的重点环节进行分析，针对各要素重点环节分析有相应严格的管理标准，投标人或所投药品生产厂家具有中药标本室或留样室（投标文件中提供标本室或留样室照片、详细地址），具备按药监部门相关要求对药品性状、鉴别、水分、灰分、总灰分、杂质、浸出物、含量、重金属及有害元素、农药残留、黄曲霉毒素、二氧化硫残留、染色、增重等特殊项目进行检测的能力（附2024年以来对以上项目至少农药残留、重金属、黄曲霉菌、二氧化硫、有效成分含量进行检测的相关检测报告（如是委托检测还需提供委托检测合同复印件）并加盖投标人电子公章）。</w:t>
            </w:r>
          </w:p>
          <w:p w14:paraId="2736E901">
            <w:pPr>
              <w:pStyle w:val="13"/>
              <w:spacing w:line="400" w:lineRule="exact"/>
              <w:ind w:firstLine="420" w:firstLineChars="200"/>
              <w:rPr>
                <w:rFonts w:hint="eastAsia" w:hAnsi="宋体" w:cs="Courier New"/>
                <w:color w:val="auto"/>
                <w:kern w:val="2"/>
                <w:sz w:val="21"/>
                <w:highlight w:val="none"/>
                <w:lang w:val="en-US" w:eastAsia="zh-CN"/>
              </w:rPr>
            </w:pPr>
            <w:r>
              <w:rPr>
                <w:rFonts w:hint="eastAsia" w:hAnsi="宋体" w:cs="Courier New"/>
                <w:color w:val="auto"/>
                <w:kern w:val="2"/>
                <w:sz w:val="21"/>
                <w:highlight w:val="none"/>
                <w:lang w:val="en-US" w:eastAsia="zh-CN"/>
              </w:rPr>
              <w:t>四档（25分）：提供的质量控制方案具备以上4项要素，对质量控制的各个环节进行详细描述，并对成品管理制度、产品召回管理制度、不合格品管理制度、质量事故管理制度重点环节进行分析，有相对应的严格管理标准；投标人或所投药品生产厂家能提供与投标项目相适应的净制、切制、炮炙等操作间（提供不少于十张操作间照片）；投标人或所投药品生产厂家能提供中药标本室（柜）或留样室（投标文件中提供标本室或留样室照片、详细地址），且质控设施完善（附设备清单），具备按药监部门相关要求对药品性状、鉴别、水分、灰分、总灰分、杂质、浸出物、含量、重金属及有害元素、农药残留、黄曲霉毒素、二氧化硫残留、染色、增重等特殊项目进行检测的能力（附2024年以来对以上项目至少农药残留、重金属、黄曲霉菌、二氧化硫、有效成分含量进行检测的相关检测报告复印件（如是委托检测还需提供委托检测合同复印件）并加盖电子公章）。</w:t>
            </w:r>
          </w:p>
          <w:p w14:paraId="1B7D475F">
            <w:pPr>
              <w:pStyle w:val="13"/>
              <w:spacing w:line="400" w:lineRule="exact"/>
              <w:ind w:firstLine="422" w:firstLineChars="200"/>
              <w:rPr>
                <w:rFonts w:hint="eastAsia" w:hAnsi="宋体" w:cs="Courier New"/>
                <w:b/>
                <w:color w:val="auto"/>
                <w:kern w:val="2"/>
                <w:sz w:val="21"/>
                <w:highlight w:val="none"/>
                <w:lang w:val="en-US" w:eastAsia="zh-CN"/>
              </w:rPr>
            </w:pPr>
            <w:r>
              <w:rPr>
                <w:rFonts w:hint="eastAsia" w:hAnsi="宋体" w:cs="Courier New"/>
                <w:b/>
                <w:color w:val="auto"/>
                <w:kern w:val="2"/>
                <w:sz w:val="21"/>
                <w:highlight w:val="none"/>
                <w:lang w:val="en-US" w:eastAsia="zh-CN"/>
              </w:rPr>
              <w:t>注：不提供质量控制方案或质量控制方案内容未达最低档（一档）要求的，得0分。</w:t>
            </w:r>
          </w:p>
        </w:tc>
      </w:tr>
      <w:tr w14:paraId="494AB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 w:type="pct"/>
            <w:vMerge w:val="continue"/>
            <w:noWrap w:val="0"/>
            <w:vAlign w:val="center"/>
          </w:tcPr>
          <w:p w14:paraId="7518366F">
            <w:pPr>
              <w:adjustRightInd w:val="0"/>
              <w:snapToGrid w:val="0"/>
              <w:spacing w:line="400" w:lineRule="exact"/>
              <w:jc w:val="center"/>
              <w:textAlignment w:val="baseline"/>
              <w:rPr>
                <w:rFonts w:hint="eastAsia" w:ascii="宋体" w:hAnsi="宋体"/>
                <w:color w:val="auto"/>
                <w:szCs w:val="21"/>
                <w:highlight w:val="none"/>
              </w:rPr>
            </w:pPr>
          </w:p>
        </w:tc>
        <w:tc>
          <w:tcPr>
            <w:tcW w:w="740" w:type="pct"/>
            <w:vMerge w:val="continue"/>
            <w:noWrap w:val="0"/>
            <w:vAlign w:val="center"/>
          </w:tcPr>
          <w:p w14:paraId="6E18CDFF">
            <w:pPr>
              <w:adjustRightInd w:val="0"/>
              <w:snapToGrid w:val="0"/>
              <w:spacing w:line="400" w:lineRule="exact"/>
              <w:ind w:left="-105" w:leftChars="-50" w:right="-105" w:rightChars="-50"/>
              <w:jc w:val="center"/>
              <w:textAlignment w:val="baseline"/>
              <w:rPr>
                <w:rFonts w:hint="eastAsia" w:ascii="宋体" w:hAnsi="宋体"/>
                <w:b/>
                <w:bCs/>
                <w:color w:val="auto"/>
                <w:szCs w:val="21"/>
                <w:highlight w:val="none"/>
              </w:rPr>
            </w:pPr>
          </w:p>
        </w:tc>
        <w:tc>
          <w:tcPr>
            <w:tcW w:w="823" w:type="pct"/>
            <w:noWrap w:val="0"/>
            <w:vAlign w:val="center"/>
          </w:tcPr>
          <w:p w14:paraId="150970AB">
            <w:pPr>
              <w:adjustRightInd w:val="0"/>
              <w:spacing w:line="400" w:lineRule="exact"/>
              <w:jc w:val="center"/>
              <w:textAlignment w:val="baseline"/>
              <w:rPr>
                <w:rFonts w:ascii="宋体" w:hAnsi="宋体"/>
                <w:color w:val="auto"/>
                <w:szCs w:val="21"/>
                <w:highlight w:val="none"/>
              </w:rPr>
            </w:pPr>
            <w:r>
              <w:rPr>
                <w:rFonts w:hint="eastAsia" w:ascii="宋体" w:hAnsi="宋体"/>
                <w:color w:val="auto"/>
                <w:szCs w:val="21"/>
                <w:highlight w:val="none"/>
              </w:rPr>
              <w:t>服务保障方案分（满分10分）</w:t>
            </w:r>
          </w:p>
        </w:tc>
        <w:tc>
          <w:tcPr>
            <w:tcW w:w="3144" w:type="pct"/>
            <w:noWrap w:val="0"/>
            <w:vAlign w:val="center"/>
          </w:tcPr>
          <w:p w14:paraId="741188E2">
            <w:pPr>
              <w:pStyle w:val="13"/>
              <w:spacing w:line="400" w:lineRule="exact"/>
              <w:ind w:firstLine="420" w:firstLineChars="200"/>
              <w:rPr>
                <w:rFonts w:hint="eastAsia" w:hAnsi="宋体" w:cs="Courier New"/>
                <w:color w:val="auto"/>
                <w:kern w:val="2"/>
                <w:sz w:val="21"/>
                <w:highlight w:val="none"/>
                <w:lang w:val="en-US" w:eastAsia="zh-CN"/>
              </w:rPr>
            </w:pPr>
            <w:r>
              <w:rPr>
                <w:rFonts w:hint="eastAsia" w:hAnsi="宋体" w:cs="Courier New"/>
                <w:color w:val="auto"/>
                <w:kern w:val="2"/>
                <w:sz w:val="21"/>
                <w:highlight w:val="none"/>
                <w:lang w:val="en-US" w:eastAsia="zh-CN"/>
              </w:rPr>
              <w:t>一档（2.5分）：针对服务项目有相关服务方案及承诺，但无具体的服务保障措施；有配送方案，配送方案基本合理；拟投入1辆运输车辆用于配送。</w:t>
            </w:r>
          </w:p>
          <w:p w14:paraId="7AE1BE6D">
            <w:pPr>
              <w:pStyle w:val="13"/>
              <w:spacing w:line="400" w:lineRule="exact"/>
              <w:ind w:firstLine="420" w:firstLineChars="200"/>
              <w:rPr>
                <w:rFonts w:hint="eastAsia" w:hAnsi="宋体" w:cs="Courier New"/>
                <w:color w:val="auto"/>
                <w:kern w:val="2"/>
                <w:sz w:val="21"/>
                <w:highlight w:val="none"/>
                <w:lang w:val="en-US" w:eastAsia="zh-CN"/>
              </w:rPr>
            </w:pPr>
            <w:r>
              <w:rPr>
                <w:rFonts w:hint="eastAsia" w:hAnsi="宋体" w:cs="Courier New"/>
                <w:color w:val="auto"/>
                <w:kern w:val="2"/>
                <w:sz w:val="21"/>
                <w:highlight w:val="none"/>
                <w:lang w:val="en-US" w:eastAsia="zh-CN"/>
              </w:rPr>
              <w:t>二档（5分）：为本项目提供切合实际的服务保障体系及措施，各服务质量环节的管理机制齐全（质量管理、合作伙伴管理、仓储管理、配送过程管理、信息化管理、客户反馈与投诉）；有明确的运输配送计划及管理方案，配送方案具体且可行，有配送情况分析，配送保障措施具有可操作性；拟投入2辆运输车辆用于配送。</w:t>
            </w:r>
          </w:p>
          <w:p w14:paraId="388BCA89">
            <w:pPr>
              <w:pStyle w:val="13"/>
              <w:spacing w:line="400" w:lineRule="exact"/>
              <w:ind w:firstLine="420" w:firstLineChars="200"/>
              <w:rPr>
                <w:rFonts w:hint="eastAsia" w:hAnsi="宋体" w:cs="Courier New"/>
                <w:color w:val="auto"/>
                <w:kern w:val="2"/>
                <w:sz w:val="21"/>
                <w:highlight w:val="none"/>
                <w:lang w:val="en-US" w:eastAsia="zh-CN"/>
              </w:rPr>
            </w:pPr>
            <w:r>
              <w:rPr>
                <w:rFonts w:hint="eastAsia" w:hAnsi="宋体" w:cs="Courier New"/>
                <w:color w:val="auto"/>
                <w:kern w:val="2"/>
                <w:sz w:val="21"/>
                <w:highlight w:val="none"/>
                <w:lang w:val="en-US" w:eastAsia="zh-CN"/>
              </w:rPr>
              <w:t>三档（7.5分）：为本项目提供切合实际的服务保障体系及措施，各服务质量环节的管理机制齐全（质量管理、合作伙伴管理、仓储管理、配送过程管理、信息化管理、客户反馈与投诉）；有明确的运输配送计划及管理方案，能够充分保障常规药品品种用量供应需求，还能够保证采购人的药品品种的调拨到货；配送方案具有针对性，有配送情况分析，有配送体系与结构，能提供不同种类药品配送保障措施拟投入2辆运输车辆用于配送；配备有2名配送人员提供配送服务（附投标人为其缴纳的近一个月社保证明或劳动合同或投标人为其发放工资的银行流水证明或投标人代缴其个人所得税证明复印件）。</w:t>
            </w:r>
          </w:p>
          <w:p w14:paraId="7AD093BE">
            <w:pPr>
              <w:pStyle w:val="13"/>
              <w:spacing w:line="400" w:lineRule="exact"/>
              <w:ind w:firstLine="420" w:firstLineChars="200"/>
              <w:rPr>
                <w:rFonts w:hint="eastAsia" w:hAnsi="宋体" w:cs="Courier New"/>
                <w:color w:val="auto"/>
                <w:kern w:val="2"/>
                <w:sz w:val="21"/>
                <w:highlight w:val="none"/>
                <w:lang w:val="en-US" w:eastAsia="zh-CN"/>
              </w:rPr>
            </w:pPr>
            <w:r>
              <w:rPr>
                <w:rFonts w:hint="eastAsia" w:hAnsi="宋体" w:cs="Courier New"/>
                <w:color w:val="auto"/>
                <w:kern w:val="2"/>
                <w:sz w:val="21"/>
                <w:highlight w:val="none"/>
                <w:lang w:val="en-US" w:eastAsia="zh-CN"/>
              </w:rPr>
              <w:t>四档（10分）：为本项目提供切合实际的服务保障体系及措施，各服务质量环节的管理机制齐全（质量管理、合作伙伴管理、仓储管理、配送过程管理、信息化管理、客户反馈与投诉）；有完善的物流配送体系及明确的运输配送计划及管理方案；能够提供充分保障采购人用药品种用量供应需求，并能提供其他有利于项目实施的服务承诺；配送方案科学、合理，有详细的配送情况分析，针对本项目有完整的配送体系与结构，能提供科学的不同种类药品配送保障措施；能提供在出现缺货或质量问题的情况下的应急处理方案，内容详实且符合采购人实际情况；急送药品原则上早上10点前下发的急送计划，能承诺当日中午12点前送达，15点半前下发的急送计划，能承诺当日17点前送达；拟投入3辆运输车辆用于配送；能提供3名及以上配送人员进行配送服务（附投标人为其缴纳的近一个月社保证明或劳动合同或投标人为其发放工资的银行流水证明或投标人代缴其个人所得税证明复印件）。</w:t>
            </w:r>
          </w:p>
          <w:p w14:paraId="195F3F63">
            <w:pPr>
              <w:pStyle w:val="13"/>
              <w:spacing w:line="400" w:lineRule="exact"/>
              <w:ind w:firstLine="422" w:firstLineChars="200"/>
              <w:rPr>
                <w:rFonts w:hint="eastAsia" w:hAnsi="宋体" w:cs="Courier New"/>
                <w:b/>
                <w:color w:val="auto"/>
                <w:kern w:val="2"/>
                <w:sz w:val="21"/>
                <w:highlight w:val="none"/>
                <w:lang w:val="en-US" w:eastAsia="zh-CN"/>
              </w:rPr>
            </w:pPr>
            <w:r>
              <w:rPr>
                <w:rFonts w:hint="eastAsia" w:hAnsi="宋体" w:cs="Courier New"/>
                <w:b/>
                <w:color w:val="auto"/>
                <w:kern w:val="2"/>
                <w:sz w:val="21"/>
                <w:highlight w:val="none"/>
                <w:lang w:val="en-US" w:eastAsia="zh-CN"/>
              </w:rPr>
              <w:t>注：1.车辆证明须提供车辆行驶证复印件，租赁的车辆还须同时提供租赁合同证明并加盖投标人电子公章（自有配送车辆必须是投标人或其法定代表人名下登记的车辆；租赁车辆登记信息应与租赁合同出租方信息一致，且登记在出租方或其法定代表人名下；轿车等非运输车辆除外。证明材料无法有效证明的不予计分）；2.未达最低档（一档）要求的，得0分。</w:t>
            </w:r>
          </w:p>
        </w:tc>
      </w:tr>
      <w:tr w14:paraId="35CE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 w:type="pct"/>
            <w:vMerge w:val="continue"/>
            <w:noWrap w:val="0"/>
            <w:vAlign w:val="center"/>
          </w:tcPr>
          <w:p w14:paraId="4D87C6F2">
            <w:pPr>
              <w:adjustRightInd w:val="0"/>
              <w:snapToGrid w:val="0"/>
              <w:spacing w:line="400" w:lineRule="exact"/>
              <w:jc w:val="center"/>
              <w:textAlignment w:val="baseline"/>
              <w:rPr>
                <w:rFonts w:hint="eastAsia" w:ascii="宋体" w:hAnsi="宋体"/>
                <w:color w:val="auto"/>
                <w:szCs w:val="21"/>
                <w:highlight w:val="none"/>
              </w:rPr>
            </w:pPr>
          </w:p>
        </w:tc>
        <w:tc>
          <w:tcPr>
            <w:tcW w:w="740" w:type="pct"/>
            <w:vMerge w:val="continue"/>
            <w:noWrap w:val="0"/>
            <w:vAlign w:val="center"/>
          </w:tcPr>
          <w:p w14:paraId="3FB2DC5F">
            <w:pPr>
              <w:adjustRightInd w:val="0"/>
              <w:snapToGrid w:val="0"/>
              <w:spacing w:line="400" w:lineRule="exact"/>
              <w:ind w:left="-105" w:leftChars="-50" w:right="-105" w:rightChars="-50"/>
              <w:jc w:val="center"/>
              <w:textAlignment w:val="baseline"/>
              <w:rPr>
                <w:rFonts w:hint="eastAsia" w:ascii="宋体" w:hAnsi="宋体"/>
                <w:b/>
                <w:bCs/>
                <w:color w:val="auto"/>
                <w:szCs w:val="21"/>
                <w:highlight w:val="none"/>
              </w:rPr>
            </w:pPr>
          </w:p>
        </w:tc>
        <w:tc>
          <w:tcPr>
            <w:tcW w:w="823" w:type="pct"/>
            <w:noWrap w:val="0"/>
            <w:vAlign w:val="center"/>
          </w:tcPr>
          <w:p w14:paraId="30A63835">
            <w:pPr>
              <w:adjustRightInd w:val="0"/>
              <w:spacing w:line="400" w:lineRule="exact"/>
              <w:jc w:val="center"/>
              <w:textAlignment w:val="baseline"/>
              <w:rPr>
                <w:rFonts w:hint="eastAsia" w:ascii="宋体" w:hAnsi="宋体"/>
                <w:color w:val="auto"/>
                <w:szCs w:val="21"/>
                <w:highlight w:val="none"/>
              </w:rPr>
            </w:pPr>
            <w:r>
              <w:rPr>
                <w:rFonts w:hint="eastAsia" w:ascii="宋体" w:hAnsi="宋体"/>
                <w:color w:val="auto"/>
                <w:szCs w:val="21"/>
                <w:highlight w:val="none"/>
              </w:rPr>
              <w:t>供应保障分（满分</w:t>
            </w:r>
            <w:r>
              <w:rPr>
                <w:rFonts w:hint="eastAsia" w:ascii="宋体" w:hAnsi="宋体"/>
                <w:color w:val="auto"/>
                <w:szCs w:val="21"/>
                <w:highlight w:val="none"/>
                <w:lang w:val="en-US" w:eastAsia="zh-CN"/>
              </w:rPr>
              <w:t>3</w:t>
            </w:r>
            <w:r>
              <w:rPr>
                <w:rFonts w:hint="eastAsia" w:ascii="宋体" w:hAnsi="宋体"/>
                <w:color w:val="auto"/>
                <w:szCs w:val="21"/>
                <w:highlight w:val="none"/>
              </w:rPr>
              <w:t>分）</w:t>
            </w:r>
          </w:p>
        </w:tc>
        <w:tc>
          <w:tcPr>
            <w:tcW w:w="3144" w:type="pct"/>
            <w:noWrap w:val="0"/>
            <w:vAlign w:val="center"/>
          </w:tcPr>
          <w:p w14:paraId="0F071465">
            <w:pPr>
              <w:pStyle w:val="13"/>
              <w:spacing w:line="400" w:lineRule="exact"/>
              <w:ind w:firstLine="420" w:firstLineChars="200"/>
              <w:rPr>
                <w:rFonts w:hint="eastAsia" w:hAnsi="宋体" w:cs="Courier New"/>
                <w:b/>
                <w:color w:val="auto"/>
                <w:kern w:val="2"/>
                <w:sz w:val="21"/>
                <w:highlight w:val="none"/>
                <w:lang w:val="en-US" w:eastAsia="zh-CN"/>
              </w:rPr>
            </w:pPr>
            <w:r>
              <w:rPr>
                <w:rFonts w:hint="eastAsia" w:hAnsi="宋体" w:eastAsia="宋体" w:cs="Courier New"/>
                <w:color w:val="auto"/>
                <w:kern w:val="2"/>
                <w:sz w:val="21"/>
                <w:highlight w:val="none"/>
                <w:lang w:val="en-US" w:eastAsia="zh-CN"/>
              </w:rPr>
              <w:t>投标人或所投药品生产企业具有如：麻黄、乌梢蛇、羚羊角、</w:t>
            </w:r>
            <w:r>
              <w:rPr>
                <w:rFonts w:hint="eastAsia" w:hAnsi="宋体" w:cs="Courier New"/>
                <w:color w:val="auto"/>
                <w:kern w:val="2"/>
                <w:sz w:val="21"/>
                <w:highlight w:val="none"/>
                <w:lang w:val="en-US" w:eastAsia="zh-CN"/>
              </w:rPr>
              <w:t>海马、</w:t>
            </w:r>
            <w:r>
              <w:rPr>
                <w:rFonts w:hint="eastAsia" w:hAnsi="宋体" w:eastAsia="宋体" w:cs="Courier New"/>
                <w:color w:val="auto"/>
                <w:kern w:val="2"/>
                <w:sz w:val="21"/>
                <w:highlight w:val="none"/>
                <w:lang w:val="en-US" w:eastAsia="zh-CN"/>
              </w:rPr>
              <w:t>穿山甲、</w:t>
            </w:r>
            <w:r>
              <w:rPr>
                <w:rFonts w:hint="eastAsia" w:hAnsi="宋体" w:cs="Courier New"/>
                <w:color w:val="auto"/>
                <w:kern w:val="2"/>
                <w:sz w:val="21"/>
                <w:highlight w:val="none"/>
                <w:lang w:val="en-US" w:eastAsia="zh-CN"/>
              </w:rPr>
              <w:t>蛤蚧、</w:t>
            </w:r>
            <w:r>
              <w:rPr>
                <w:rFonts w:hint="eastAsia" w:hAnsi="宋体" w:eastAsia="宋体" w:cs="Courier New"/>
                <w:color w:val="auto"/>
                <w:kern w:val="2"/>
                <w:sz w:val="21"/>
                <w:highlight w:val="none"/>
                <w:lang w:val="en-US" w:eastAsia="zh-CN"/>
              </w:rPr>
              <w:t>狗脊等供货保障能力，每满足一项得1分，最多得3分。投标文件中需提供相关产品的合法获取证明材料以保证货源合法及渠道稳定，未提供的不予计分。</w:t>
            </w:r>
          </w:p>
        </w:tc>
      </w:tr>
      <w:tr w14:paraId="3FF92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 w:type="pct"/>
            <w:vMerge w:val="continue"/>
            <w:noWrap w:val="0"/>
            <w:vAlign w:val="center"/>
          </w:tcPr>
          <w:p w14:paraId="70537DBB">
            <w:pPr>
              <w:adjustRightInd w:val="0"/>
              <w:snapToGrid w:val="0"/>
              <w:spacing w:line="400" w:lineRule="exact"/>
              <w:jc w:val="center"/>
              <w:textAlignment w:val="baseline"/>
              <w:rPr>
                <w:rFonts w:hint="eastAsia" w:ascii="宋体" w:hAnsi="宋体"/>
                <w:color w:val="auto"/>
                <w:szCs w:val="21"/>
                <w:highlight w:val="none"/>
              </w:rPr>
            </w:pPr>
          </w:p>
        </w:tc>
        <w:tc>
          <w:tcPr>
            <w:tcW w:w="740" w:type="pct"/>
            <w:vMerge w:val="continue"/>
            <w:noWrap w:val="0"/>
            <w:vAlign w:val="center"/>
          </w:tcPr>
          <w:p w14:paraId="2880C803">
            <w:pPr>
              <w:adjustRightInd w:val="0"/>
              <w:snapToGrid w:val="0"/>
              <w:spacing w:line="400" w:lineRule="exact"/>
              <w:ind w:left="-105" w:leftChars="-50" w:right="-105" w:rightChars="-50"/>
              <w:jc w:val="center"/>
              <w:textAlignment w:val="baseline"/>
              <w:rPr>
                <w:rFonts w:hint="eastAsia" w:ascii="宋体" w:hAnsi="宋体"/>
                <w:b/>
                <w:bCs/>
                <w:color w:val="auto"/>
                <w:szCs w:val="21"/>
                <w:highlight w:val="none"/>
              </w:rPr>
            </w:pPr>
          </w:p>
        </w:tc>
        <w:tc>
          <w:tcPr>
            <w:tcW w:w="823" w:type="pct"/>
            <w:noWrap w:val="0"/>
            <w:vAlign w:val="center"/>
          </w:tcPr>
          <w:p w14:paraId="1BC6BFBA">
            <w:pPr>
              <w:adjustRightInd w:val="0"/>
              <w:spacing w:line="400" w:lineRule="exact"/>
              <w:jc w:val="center"/>
              <w:textAlignment w:val="baseline"/>
              <w:rPr>
                <w:rFonts w:ascii="宋体" w:hAnsi="宋体"/>
                <w:color w:val="auto"/>
                <w:szCs w:val="21"/>
                <w:highlight w:val="none"/>
              </w:rPr>
            </w:pPr>
            <w:r>
              <w:rPr>
                <w:rFonts w:hint="eastAsia" w:ascii="宋体" w:hAnsi="宋体"/>
                <w:color w:val="auto"/>
                <w:szCs w:val="21"/>
                <w:highlight w:val="none"/>
              </w:rPr>
              <w:t>售后服务方案分（满分1</w:t>
            </w:r>
            <w:r>
              <w:rPr>
                <w:rFonts w:hint="eastAsia" w:ascii="宋体" w:hAnsi="宋体"/>
                <w:color w:val="auto"/>
                <w:szCs w:val="21"/>
                <w:highlight w:val="none"/>
                <w:lang w:val="en-US" w:eastAsia="zh-CN"/>
              </w:rPr>
              <w:t>5</w:t>
            </w:r>
            <w:r>
              <w:rPr>
                <w:rFonts w:hint="eastAsia" w:ascii="宋体" w:hAnsi="宋体"/>
                <w:color w:val="auto"/>
                <w:szCs w:val="21"/>
                <w:highlight w:val="none"/>
              </w:rPr>
              <w:t>分）</w:t>
            </w:r>
          </w:p>
        </w:tc>
        <w:tc>
          <w:tcPr>
            <w:tcW w:w="3144" w:type="pct"/>
            <w:noWrap w:val="0"/>
            <w:vAlign w:val="center"/>
          </w:tcPr>
          <w:p w14:paraId="1A0E1060">
            <w:pPr>
              <w:pStyle w:val="13"/>
              <w:spacing w:line="400" w:lineRule="exact"/>
              <w:ind w:firstLine="420" w:firstLineChars="200"/>
              <w:rPr>
                <w:rFonts w:hint="eastAsia" w:hAnsi="宋体" w:cs="Courier New"/>
                <w:color w:val="auto"/>
                <w:kern w:val="2"/>
                <w:sz w:val="21"/>
                <w:highlight w:val="none"/>
                <w:lang w:val="en-US" w:eastAsia="zh-CN"/>
              </w:rPr>
            </w:pPr>
            <w:r>
              <w:rPr>
                <w:rFonts w:hint="eastAsia" w:hAnsi="宋体" w:cs="Courier New"/>
                <w:color w:val="auto"/>
                <w:kern w:val="2"/>
                <w:sz w:val="21"/>
                <w:highlight w:val="none"/>
                <w:lang w:val="en-US" w:eastAsia="zh-CN"/>
              </w:rPr>
              <w:t>一档（3分）：提供有售后服务方案及服务承诺，仅能满足招标文件要求。</w:t>
            </w:r>
          </w:p>
          <w:p w14:paraId="618E1A2D">
            <w:pPr>
              <w:pStyle w:val="13"/>
              <w:spacing w:line="400" w:lineRule="exact"/>
              <w:ind w:firstLine="420" w:firstLineChars="200"/>
              <w:rPr>
                <w:rFonts w:hint="eastAsia" w:hAnsi="宋体" w:cs="Courier New"/>
                <w:color w:val="auto"/>
                <w:kern w:val="2"/>
                <w:sz w:val="21"/>
                <w:highlight w:val="none"/>
                <w:lang w:val="en-US" w:eastAsia="zh-CN"/>
              </w:rPr>
            </w:pPr>
            <w:r>
              <w:rPr>
                <w:rFonts w:hint="eastAsia" w:hAnsi="宋体" w:cs="Courier New"/>
                <w:color w:val="auto"/>
                <w:kern w:val="2"/>
                <w:sz w:val="21"/>
                <w:highlight w:val="none"/>
                <w:lang w:val="en-US" w:eastAsia="zh-CN"/>
              </w:rPr>
              <w:t>二档（7分）：投标人提供有售后服务方案及承诺，能满足招标文件要求，有详细的配送方案、产品退换货措施，对医疗纠纷、药检质量、不良反应、产品价格调整、应急供货等情况有提供具体的措施方案，且方案完善合理。</w:t>
            </w:r>
          </w:p>
          <w:p w14:paraId="6BB74814">
            <w:pPr>
              <w:pStyle w:val="13"/>
              <w:spacing w:line="400" w:lineRule="exact"/>
              <w:ind w:firstLine="420" w:firstLineChars="200"/>
              <w:rPr>
                <w:rFonts w:hint="eastAsia" w:hAnsi="宋体" w:cs="Courier New"/>
                <w:color w:val="auto"/>
                <w:kern w:val="2"/>
                <w:sz w:val="21"/>
                <w:highlight w:val="none"/>
                <w:lang w:val="en-US" w:eastAsia="zh-CN"/>
              </w:rPr>
            </w:pPr>
            <w:r>
              <w:rPr>
                <w:rFonts w:hint="eastAsia" w:hAnsi="宋体" w:cs="Courier New"/>
                <w:color w:val="auto"/>
                <w:kern w:val="2"/>
                <w:sz w:val="21"/>
                <w:highlight w:val="none"/>
                <w:lang w:val="en-US" w:eastAsia="zh-CN"/>
              </w:rPr>
              <w:t>三档（11分）：有明确的服务团队组织架构、应急联系人员、服务流程、应急预案，配备专职服务经理对接采购人，有固定的联系电话，售后服务及服务承诺等相关方案更加合理和完善。</w:t>
            </w:r>
          </w:p>
          <w:p w14:paraId="7BA1E55D">
            <w:pPr>
              <w:pStyle w:val="13"/>
              <w:spacing w:line="400" w:lineRule="exact"/>
              <w:ind w:firstLine="420" w:firstLineChars="200"/>
              <w:rPr>
                <w:rFonts w:hint="eastAsia" w:hAnsi="宋体" w:cs="Courier New"/>
                <w:color w:val="auto"/>
                <w:kern w:val="2"/>
                <w:sz w:val="21"/>
                <w:highlight w:val="none"/>
                <w:lang w:val="en-US" w:eastAsia="zh-CN"/>
              </w:rPr>
            </w:pPr>
            <w:r>
              <w:rPr>
                <w:rFonts w:hint="eastAsia" w:hAnsi="宋体" w:cs="Courier New"/>
                <w:color w:val="auto"/>
                <w:kern w:val="2"/>
                <w:sz w:val="21"/>
                <w:highlight w:val="none"/>
                <w:lang w:val="en-US" w:eastAsia="zh-CN"/>
              </w:rPr>
              <w:t>四档（15分）：在三档基础上，能提供专门针对中药饮片仓储场地（附场地购置或租赁合同或租赁意向协议、仓库平面图），并有相关说明材料，能应对采购人可能的相关紧急需求。提供有贴合采购单位行业特点及有利于本项目实施的意见建议或服务保障的内容，且被评委认可的。</w:t>
            </w:r>
          </w:p>
          <w:p w14:paraId="1FABFB59">
            <w:pPr>
              <w:pStyle w:val="13"/>
              <w:spacing w:line="400" w:lineRule="exact"/>
              <w:ind w:firstLine="422" w:firstLineChars="200"/>
              <w:rPr>
                <w:rFonts w:hint="eastAsia" w:hAnsi="宋体" w:cs="Courier New"/>
                <w:b/>
                <w:color w:val="auto"/>
                <w:kern w:val="2"/>
                <w:sz w:val="21"/>
                <w:highlight w:val="none"/>
                <w:lang w:val="en-US" w:eastAsia="zh-CN"/>
              </w:rPr>
            </w:pPr>
            <w:r>
              <w:rPr>
                <w:rFonts w:hint="eastAsia" w:hAnsi="宋体" w:cs="Courier New"/>
                <w:b/>
                <w:color w:val="auto"/>
                <w:kern w:val="2"/>
                <w:sz w:val="21"/>
                <w:highlight w:val="none"/>
                <w:lang w:val="en-US" w:eastAsia="zh-CN"/>
              </w:rPr>
              <w:t>注：未达最低档（一档）要求的，得0分。</w:t>
            </w:r>
          </w:p>
        </w:tc>
      </w:tr>
      <w:tr w14:paraId="3B960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 w:type="pct"/>
            <w:vMerge w:val="continue"/>
            <w:noWrap w:val="0"/>
            <w:vAlign w:val="center"/>
          </w:tcPr>
          <w:p w14:paraId="6675800C">
            <w:pPr>
              <w:adjustRightInd w:val="0"/>
              <w:snapToGrid w:val="0"/>
              <w:spacing w:line="400" w:lineRule="exact"/>
              <w:jc w:val="center"/>
              <w:textAlignment w:val="baseline"/>
              <w:rPr>
                <w:rFonts w:hint="eastAsia" w:ascii="宋体" w:hAnsi="宋体"/>
                <w:color w:val="auto"/>
                <w:szCs w:val="21"/>
                <w:highlight w:val="none"/>
              </w:rPr>
            </w:pPr>
          </w:p>
        </w:tc>
        <w:tc>
          <w:tcPr>
            <w:tcW w:w="740" w:type="pct"/>
            <w:vMerge w:val="continue"/>
            <w:noWrap w:val="0"/>
            <w:vAlign w:val="center"/>
          </w:tcPr>
          <w:p w14:paraId="3AA85F0A">
            <w:pPr>
              <w:adjustRightInd w:val="0"/>
              <w:snapToGrid w:val="0"/>
              <w:spacing w:line="400" w:lineRule="exact"/>
              <w:ind w:left="-105" w:leftChars="-50" w:right="-105" w:rightChars="-50"/>
              <w:jc w:val="center"/>
              <w:textAlignment w:val="baseline"/>
              <w:rPr>
                <w:rFonts w:hint="eastAsia" w:ascii="宋体" w:hAnsi="宋体"/>
                <w:b/>
                <w:bCs/>
                <w:color w:val="auto"/>
                <w:szCs w:val="21"/>
                <w:highlight w:val="none"/>
              </w:rPr>
            </w:pPr>
          </w:p>
        </w:tc>
        <w:tc>
          <w:tcPr>
            <w:tcW w:w="823" w:type="pct"/>
            <w:noWrap w:val="0"/>
            <w:vAlign w:val="center"/>
          </w:tcPr>
          <w:p w14:paraId="7CC9227E">
            <w:pPr>
              <w:adjustRightInd w:val="0"/>
              <w:spacing w:line="400" w:lineRule="exact"/>
              <w:jc w:val="center"/>
              <w:textAlignment w:val="baseline"/>
              <w:rPr>
                <w:rFonts w:ascii="宋体" w:hAnsi="宋体"/>
                <w:color w:val="auto"/>
                <w:szCs w:val="21"/>
                <w:highlight w:val="none"/>
              </w:rPr>
            </w:pPr>
            <w:r>
              <w:rPr>
                <w:rFonts w:hint="eastAsia" w:ascii="宋体" w:hAnsi="宋体"/>
                <w:color w:val="auto"/>
                <w:szCs w:val="21"/>
                <w:highlight w:val="none"/>
              </w:rPr>
              <w:t>合同管控便捷度分（满分</w:t>
            </w:r>
            <w:r>
              <w:rPr>
                <w:rFonts w:hint="eastAsia" w:ascii="宋体" w:hAnsi="宋体"/>
                <w:color w:val="auto"/>
                <w:szCs w:val="21"/>
                <w:highlight w:val="none"/>
                <w:lang w:val="en-US" w:eastAsia="zh-CN"/>
              </w:rPr>
              <w:t>2</w:t>
            </w:r>
            <w:r>
              <w:rPr>
                <w:rFonts w:hint="eastAsia" w:ascii="宋体" w:hAnsi="宋体"/>
                <w:color w:val="auto"/>
                <w:szCs w:val="21"/>
                <w:highlight w:val="none"/>
              </w:rPr>
              <w:t>分）</w:t>
            </w:r>
          </w:p>
        </w:tc>
        <w:tc>
          <w:tcPr>
            <w:tcW w:w="3144" w:type="pct"/>
            <w:noWrap w:val="0"/>
            <w:vAlign w:val="center"/>
          </w:tcPr>
          <w:p w14:paraId="032D1191">
            <w:pPr>
              <w:pStyle w:val="13"/>
              <w:spacing w:line="400" w:lineRule="exact"/>
              <w:ind w:firstLine="420" w:firstLineChars="200"/>
              <w:rPr>
                <w:rFonts w:hAnsi="宋体" w:cs="Courier New"/>
                <w:color w:val="auto"/>
                <w:kern w:val="2"/>
                <w:sz w:val="21"/>
                <w:highlight w:val="none"/>
                <w:lang w:val="en-US" w:eastAsia="zh-CN"/>
              </w:rPr>
            </w:pPr>
            <w:r>
              <w:rPr>
                <w:rFonts w:hint="eastAsia" w:hAnsi="宋体" w:cs="Courier New"/>
                <w:color w:val="auto"/>
                <w:kern w:val="2"/>
                <w:sz w:val="21"/>
                <w:highlight w:val="none"/>
                <w:lang w:val="en-US" w:eastAsia="zh-CN"/>
              </w:rPr>
              <w:t>为了便于为饮片供应厂家履行合同及少量饮片临时供应的响应，对于投标人或生产厂家的集中度进行评分，根据投标人提供饮片供货渠道有效证明材料（如供货意向协议等），同时承诺对所投分标附件品种清单所供给采购人的饮片均由以上饮片生产企业生产（精制饮片、实行批准文号管理品种除外），根据投标人提供的生产厂家的数量情况进行评价：</w:t>
            </w:r>
          </w:p>
          <w:p w14:paraId="04F5B6BF">
            <w:pPr>
              <w:pStyle w:val="13"/>
              <w:spacing w:line="400" w:lineRule="exact"/>
              <w:ind w:firstLine="420" w:firstLineChars="200"/>
              <w:rPr>
                <w:rFonts w:hint="eastAsia" w:hAnsi="宋体" w:cs="Courier New"/>
                <w:color w:val="auto"/>
                <w:kern w:val="2"/>
                <w:sz w:val="21"/>
                <w:highlight w:val="none"/>
                <w:lang w:val="en-US" w:eastAsia="zh-CN"/>
              </w:rPr>
            </w:pPr>
            <w:r>
              <w:rPr>
                <w:rFonts w:hint="eastAsia" w:hAnsi="宋体" w:cs="Courier New"/>
                <w:color w:val="auto"/>
                <w:kern w:val="2"/>
                <w:sz w:val="21"/>
                <w:highlight w:val="none"/>
                <w:lang w:val="en-US" w:eastAsia="zh-CN"/>
              </w:rPr>
              <w:t>数量为1-3家的得2分，4家及以上的得1分。如果投标人自行是生产厂家的，说明情况，不需要提供供货意向协议。</w:t>
            </w:r>
          </w:p>
        </w:tc>
      </w:tr>
      <w:tr w14:paraId="70861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 w:type="pct"/>
            <w:vMerge w:val="restart"/>
            <w:noWrap w:val="0"/>
            <w:vAlign w:val="center"/>
          </w:tcPr>
          <w:p w14:paraId="5A4E9AC4">
            <w:pPr>
              <w:snapToGrid w:val="0"/>
              <w:spacing w:line="40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3</w:t>
            </w:r>
          </w:p>
        </w:tc>
        <w:tc>
          <w:tcPr>
            <w:tcW w:w="740" w:type="pct"/>
            <w:vMerge w:val="restart"/>
            <w:noWrap w:val="0"/>
            <w:vAlign w:val="center"/>
          </w:tcPr>
          <w:p w14:paraId="147EA7F9">
            <w:pPr>
              <w:snapToGrid w:val="0"/>
              <w:spacing w:line="400" w:lineRule="exact"/>
              <w:jc w:val="center"/>
              <w:rPr>
                <w:rFonts w:ascii="宋体" w:hAnsi="宋体"/>
                <w:b/>
                <w:color w:val="auto"/>
                <w:szCs w:val="21"/>
                <w:highlight w:val="none"/>
              </w:rPr>
            </w:pPr>
            <w:r>
              <w:rPr>
                <w:rFonts w:hint="eastAsia" w:ascii="宋体" w:hAnsi="宋体"/>
                <w:b/>
                <w:color w:val="auto"/>
                <w:szCs w:val="21"/>
                <w:highlight w:val="none"/>
              </w:rPr>
              <w:t>商务分</w:t>
            </w:r>
            <w:r>
              <w:rPr>
                <w:rFonts w:hint="eastAsia" w:ascii="宋体" w:hAnsi="宋体"/>
                <w:b/>
                <w:bCs/>
                <w:color w:val="auto"/>
                <w:szCs w:val="21"/>
                <w:highlight w:val="none"/>
              </w:rPr>
              <w:t>（</w:t>
            </w:r>
            <w:r>
              <w:rPr>
                <w:rFonts w:hint="eastAsia" w:ascii="宋体" w:hAnsi="宋体"/>
                <w:b/>
                <w:color w:val="auto"/>
                <w:szCs w:val="21"/>
                <w:highlight w:val="none"/>
              </w:rPr>
              <w:t>满分</w:t>
            </w:r>
            <w:r>
              <w:rPr>
                <w:rFonts w:hint="eastAsia" w:ascii="宋体" w:hAnsi="宋体"/>
                <w:b/>
                <w:color w:val="auto"/>
                <w:szCs w:val="21"/>
                <w:highlight w:val="none"/>
                <w:u w:val="none"/>
                <w:lang w:val="en-US" w:eastAsia="zh-CN"/>
              </w:rPr>
              <w:t>5</w:t>
            </w:r>
            <w:r>
              <w:rPr>
                <w:rFonts w:hint="eastAsia" w:ascii="宋体" w:hAnsi="宋体"/>
                <w:b/>
                <w:color w:val="auto"/>
                <w:szCs w:val="21"/>
                <w:highlight w:val="none"/>
              </w:rPr>
              <w:t>分</w:t>
            </w:r>
            <w:r>
              <w:rPr>
                <w:rFonts w:hint="eastAsia" w:ascii="宋体" w:hAnsi="宋体"/>
                <w:b/>
                <w:bCs/>
                <w:color w:val="auto"/>
                <w:szCs w:val="21"/>
                <w:highlight w:val="none"/>
              </w:rPr>
              <w:t>）</w:t>
            </w:r>
          </w:p>
        </w:tc>
        <w:tc>
          <w:tcPr>
            <w:tcW w:w="823" w:type="pct"/>
            <w:noWrap w:val="0"/>
            <w:vAlign w:val="center"/>
          </w:tcPr>
          <w:p w14:paraId="29130C23">
            <w:pPr>
              <w:adjustRightInd w:val="0"/>
              <w:spacing w:line="400" w:lineRule="exact"/>
              <w:jc w:val="center"/>
              <w:textAlignment w:val="baseline"/>
              <w:rPr>
                <w:rFonts w:hint="eastAsia" w:ascii="宋体" w:hAnsi="宋体"/>
                <w:color w:val="auto"/>
                <w:szCs w:val="21"/>
                <w:highlight w:val="none"/>
              </w:rPr>
            </w:pPr>
            <w:r>
              <w:rPr>
                <w:rFonts w:hint="eastAsia" w:ascii="宋体" w:hAnsi="宋体"/>
                <w:color w:val="auto"/>
                <w:szCs w:val="21"/>
                <w:highlight w:val="none"/>
                <w:lang w:val="en-US" w:eastAsia="zh-CN"/>
              </w:rPr>
              <w:t>业绩</w:t>
            </w:r>
            <w:r>
              <w:rPr>
                <w:rFonts w:hint="eastAsia" w:ascii="宋体" w:hAnsi="宋体"/>
                <w:color w:val="auto"/>
                <w:szCs w:val="21"/>
                <w:highlight w:val="none"/>
              </w:rPr>
              <w:t>分（满分</w:t>
            </w:r>
            <w:r>
              <w:rPr>
                <w:rFonts w:hint="eastAsia" w:ascii="宋体" w:hAnsi="宋体"/>
                <w:color w:val="auto"/>
                <w:szCs w:val="21"/>
                <w:highlight w:val="none"/>
                <w:lang w:val="en-US" w:eastAsia="zh-CN"/>
              </w:rPr>
              <w:t>2</w:t>
            </w:r>
            <w:r>
              <w:rPr>
                <w:rFonts w:hint="eastAsia" w:ascii="宋体" w:hAnsi="宋体"/>
                <w:color w:val="auto"/>
                <w:szCs w:val="21"/>
                <w:highlight w:val="none"/>
              </w:rPr>
              <w:t>分）</w:t>
            </w:r>
          </w:p>
        </w:tc>
        <w:tc>
          <w:tcPr>
            <w:tcW w:w="3144" w:type="pct"/>
            <w:noWrap w:val="0"/>
            <w:vAlign w:val="center"/>
          </w:tcPr>
          <w:p w14:paraId="09B92A73">
            <w:pPr>
              <w:pStyle w:val="13"/>
              <w:spacing w:line="400" w:lineRule="exact"/>
              <w:ind w:firstLine="420" w:firstLineChars="200"/>
              <w:rPr>
                <w:rFonts w:hint="eastAsia" w:hAnsi="宋体" w:cs="Courier New"/>
                <w:color w:val="auto"/>
                <w:kern w:val="2"/>
                <w:sz w:val="21"/>
                <w:highlight w:val="none"/>
                <w:lang w:val="en-US" w:eastAsia="zh-CN"/>
              </w:rPr>
            </w:pPr>
            <w:r>
              <w:rPr>
                <w:rFonts w:hint="eastAsia" w:ascii="宋体" w:hAnsi="宋体" w:eastAsia="宋体" w:cs="宋体"/>
                <w:color w:val="auto"/>
                <w:kern w:val="0"/>
                <w:sz w:val="21"/>
                <w:szCs w:val="21"/>
                <w:highlight w:val="none"/>
              </w:rPr>
              <w:t>投标人需提供202</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年1月1日以来</w:t>
            </w:r>
            <w:r>
              <w:rPr>
                <w:rFonts w:hint="eastAsia" w:hAnsi="宋体" w:cs="宋体"/>
                <w:color w:val="auto"/>
                <w:kern w:val="0"/>
                <w:sz w:val="21"/>
                <w:szCs w:val="21"/>
                <w:highlight w:val="none"/>
                <w:lang w:val="en-US" w:eastAsia="zh-CN"/>
              </w:rPr>
              <w:t>具有同类项目业绩的，</w:t>
            </w:r>
            <w:r>
              <w:rPr>
                <w:rFonts w:hint="eastAsia" w:ascii="宋体" w:hAnsi="宋体" w:eastAsia="宋体" w:cs="宋体"/>
                <w:color w:val="auto"/>
                <w:spacing w:val="0"/>
                <w:sz w:val="21"/>
                <w:szCs w:val="21"/>
                <w:highlight w:val="none"/>
              </w:rPr>
              <w:t>每提供1个</w:t>
            </w:r>
            <w:r>
              <w:rPr>
                <w:rFonts w:hint="eastAsia" w:ascii="宋体" w:hAnsi="宋体" w:eastAsia="宋体" w:cs="宋体"/>
                <w:color w:val="auto"/>
                <w:spacing w:val="0"/>
                <w:sz w:val="21"/>
                <w:szCs w:val="21"/>
                <w:highlight w:val="none"/>
                <w:lang w:val="en-US" w:eastAsia="zh-CN"/>
              </w:rPr>
              <w:t>有效的</w:t>
            </w:r>
            <w:r>
              <w:rPr>
                <w:rFonts w:hint="eastAsia" w:ascii="宋体" w:hAnsi="宋体" w:eastAsia="宋体" w:cs="宋体"/>
                <w:color w:val="auto"/>
                <w:kern w:val="0"/>
                <w:sz w:val="21"/>
                <w:szCs w:val="21"/>
                <w:highlight w:val="none"/>
              </w:rPr>
              <w:t>签订的合同或供货验收清单（验收清单需盖医疗机构章）复印件（后期原件备查，复印件留存）及合作期间内连续三个月的购销发票</w:t>
            </w:r>
            <w:r>
              <w:rPr>
                <w:rFonts w:hint="eastAsia" w:hAnsi="宋体" w:cs="宋体"/>
                <w:color w:val="auto"/>
                <w:kern w:val="0"/>
                <w:sz w:val="21"/>
                <w:szCs w:val="21"/>
                <w:highlight w:val="none"/>
                <w:lang w:eastAsia="zh-CN"/>
              </w:rPr>
              <w:t>的</w:t>
            </w:r>
            <w:r>
              <w:rPr>
                <w:rFonts w:hint="eastAsia" w:ascii="宋体" w:hAnsi="宋体" w:eastAsia="宋体" w:cs="宋体"/>
                <w:color w:val="auto"/>
                <w:kern w:val="0"/>
                <w:sz w:val="21"/>
                <w:szCs w:val="21"/>
                <w:highlight w:val="none"/>
              </w:rPr>
              <w:t>得</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w:t>
            </w:r>
            <w:r>
              <w:rPr>
                <w:rFonts w:hint="eastAsia" w:hAnsi="宋体" w:cs="宋体"/>
                <w:color w:val="auto"/>
                <w:kern w:val="0"/>
                <w:sz w:val="21"/>
                <w:szCs w:val="21"/>
                <w:highlight w:val="none"/>
                <w:lang w:val="en-US" w:eastAsia="zh-CN"/>
              </w:rPr>
              <w:t>满分</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w:t>
            </w:r>
          </w:p>
        </w:tc>
      </w:tr>
      <w:tr w14:paraId="1ECEC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 w:type="pct"/>
            <w:vMerge w:val="continue"/>
            <w:noWrap w:val="0"/>
            <w:vAlign w:val="center"/>
          </w:tcPr>
          <w:p w14:paraId="75D21AFD">
            <w:pPr>
              <w:snapToGrid w:val="0"/>
              <w:spacing w:line="400" w:lineRule="exact"/>
              <w:jc w:val="center"/>
              <w:rPr>
                <w:rFonts w:hint="eastAsia" w:ascii="宋体" w:hAnsi="宋体"/>
                <w:color w:val="auto"/>
                <w:szCs w:val="21"/>
                <w:highlight w:val="none"/>
              </w:rPr>
            </w:pPr>
          </w:p>
        </w:tc>
        <w:tc>
          <w:tcPr>
            <w:tcW w:w="740" w:type="pct"/>
            <w:vMerge w:val="continue"/>
            <w:noWrap w:val="0"/>
            <w:vAlign w:val="center"/>
          </w:tcPr>
          <w:p w14:paraId="307063D0">
            <w:pPr>
              <w:snapToGrid w:val="0"/>
              <w:spacing w:line="400" w:lineRule="exact"/>
              <w:jc w:val="center"/>
              <w:rPr>
                <w:rFonts w:ascii="宋体" w:hAnsi="宋体"/>
                <w:b/>
                <w:color w:val="auto"/>
                <w:szCs w:val="21"/>
                <w:highlight w:val="none"/>
              </w:rPr>
            </w:pPr>
          </w:p>
        </w:tc>
        <w:tc>
          <w:tcPr>
            <w:tcW w:w="823" w:type="pct"/>
            <w:noWrap w:val="0"/>
            <w:vAlign w:val="center"/>
          </w:tcPr>
          <w:p w14:paraId="09858EE7">
            <w:pPr>
              <w:widowControl/>
              <w:spacing w:line="400" w:lineRule="exact"/>
              <w:jc w:val="center"/>
              <w:rPr>
                <w:rFonts w:ascii="宋体" w:hAnsi="宋体" w:cs="Tahoma"/>
                <w:color w:val="auto"/>
                <w:kern w:val="0"/>
                <w:szCs w:val="21"/>
                <w:highlight w:val="none"/>
              </w:rPr>
            </w:pPr>
            <w:r>
              <w:rPr>
                <w:rFonts w:hint="eastAsia" w:ascii="宋体" w:hAnsi="宋体" w:eastAsia="宋体" w:cs="宋体"/>
                <w:bCs/>
                <w:color w:val="auto"/>
                <w:spacing w:val="0"/>
                <w:sz w:val="21"/>
                <w:szCs w:val="21"/>
                <w:highlight w:val="none"/>
                <w:lang w:val="en-US" w:eastAsia="zh-CN"/>
              </w:rPr>
              <w:t>信誉</w:t>
            </w:r>
            <w:r>
              <w:rPr>
                <w:rFonts w:hint="eastAsia" w:ascii="宋体" w:hAnsi="宋体"/>
                <w:color w:val="auto"/>
                <w:szCs w:val="21"/>
                <w:highlight w:val="none"/>
              </w:rPr>
              <w:t>分（满分</w:t>
            </w:r>
            <w:r>
              <w:rPr>
                <w:rFonts w:hint="eastAsia" w:ascii="宋体" w:hAnsi="宋体"/>
                <w:color w:val="auto"/>
                <w:szCs w:val="21"/>
                <w:highlight w:val="none"/>
                <w:lang w:val="en-US" w:eastAsia="zh-CN"/>
              </w:rPr>
              <w:t>3</w:t>
            </w:r>
            <w:r>
              <w:rPr>
                <w:rFonts w:hint="eastAsia" w:ascii="宋体" w:hAnsi="宋体"/>
                <w:color w:val="auto"/>
                <w:szCs w:val="21"/>
                <w:highlight w:val="none"/>
              </w:rPr>
              <w:t>分）</w:t>
            </w:r>
          </w:p>
        </w:tc>
        <w:tc>
          <w:tcPr>
            <w:tcW w:w="3144" w:type="pct"/>
            <w:noWrap w:val="0"/>
            <w:vAlign w:val="top"/>
          </w:tcPr>
          <w:p w14:paraId="223C3EB4">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投标人或所投药品生产企业具备有效的质量管理体系认证证书、环境管理体系认证证书、职业健康安全管理体系认证证书，</w:t>
            </w:r>
            <w:r>
              <w:rPr>
                <w:rFonts w:hint="eastAsia" w:ascii="宋体" w:hAnsi="宋体" w:eastAsia="宋体" w:cs="Times New Roman"/>
                <w:color w:val="auto"/>
                <w:szCs w:val="21"/>
                <w:highlight w:val="none"/>
              </w:rPr>
              <w:t xml:space="preserve">每提供一份提供有效的证书得 </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rPr>
              <w:t>分，满分</w:t>
            </w: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rPr>
              <w:t>分</w:t>
            </w:r>
            <w:r>
              <w:rPr>
                <w:rFonts w:hint="eastAsia" w:ascii="宋体" w:hAnsi="宋体"/>
                <w:color w:val="auto"/>
                <w:szCs w:val="21"/>
                <w:highlight w:val="none"/>
              </w:rPr>
              <w:t>。</w:t>
            </w:r>
          </w:p>
        </w:tc>
      </w:tr>
      <w:tr w14:paraId="014B1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000" w:type="pct"/>
            <w:gridSpan w:val="4"/>
            <w:noWrap w:val="0"/>
            <w:vAlign w:val="center"/>
          </w:tcPr>
          <w:p w14:paraId="3EC8D00B">
            <w:pPr>
              <w:pStyle w:val="13"/>
              <w:snapToGrid w:val="0"/>
              <w:spacing w:line="400" w:lineRule="exact"/>
              <w:rPr>
                <w:rFonts w:hAnsi="宋体"/>
                <w:b/>
                <w:bCs/>
                <w:color w:val="auto"/>
                <w:sz w:val="21"/>
                <w:highlight w:val="none"/>
                <w:lang w:val="en-US" w:eastAsia="zh-CN"/>
              </w:rPr>
            </w:pPr>
            <w:r>
              <w:rPr>
                <w:rFonts w:hint="eastAsia" w:hAnsi="宋体"/>
                <w:b/>
                <w:bCs/>
                <w:color w:val="auto"/>
                <w:sz w:val="21"/>
                <w:highlight w:val="none"/>
                <w:lang w:val="en-US" w:eastAsia="zh-CN"/>
              </w:rPr>
              <w:t>总得分=1+2+3</w:t>
            </w:r>
          </w:p>
        </w:tc>
      </w:tr>
    </w:tbl>
    <w:p w14:paraId="4D43F230">
      <w:pPr>
        <w:pStyle w:val="13"/>
        <w:spacing w:line="360" w:lineRule="auto"/>
        <w:ind w:firstLine="420"/>
        <w:rPr>
          <w:rFonts w:hAnsi="宋体" w:cs="宋体"/>
          <w:bCs/>
          <w:color w:val="auto"/>
          <w:sz w:val="21"/>
          <w:highlight w:val="none"/>
        </w:rPr>
      </w:pPr>
      <w:r>
        <w:rPr>
          <w:rFonts w:hint="eastAsia" w:hAnsi="宋体" w:cs="宋体"/>
          <w:bCs/>
          <w:color w:val="auto"/>
          <w:sz w:val="21"/>
          <w:highlight w:val="none"/>
        </w:rPr>
        <w:t>注：1.计分方法按四舍五入取至百分位；</w:t>
      </w:r>
    </w:p>
    <w:p w14:paraId="4131DFC8">
      <w:pPr>
        <w:pStyle w:val="13"/>
        <w:spacing w:line="360" w:lineRule="auto"/>
        <w:ind w:firstLine="420"/>
        <w:rPr>
          <w:rFonts w:hAnsi="宋体" w:cs="宋体"/>
          <w:bCs/>
          <w:color w:val="auto"/>
          <w:sz w:val="21"/>
          <w:highlight w:val="none"/>
        </w:rPr>
      </w:pPr>
      <w:r>
        <w:rPr>
          <w:rFonts w:hint="eastAsia" w:hAnsi="宋体" w:cs="宋体"/>
          <w:bCs/>
          <w:color w:val="auto"/>
          <w:sz w:val="21"/>
          <w:highlight w:val="none"/>
        </w:rPr>
        <w:t xml:space="preserve">    </w:t>
      </w:r>
    </w:p>
    <w:p w14:paraId="0A4C676C">
      <w:pPr>
        <w:spacing w:line="48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四、中标候选人推荐原则</w:t>
      </w:r>
    </w:p>
    <w:p w14:paraId="7441B54B">
      <w:pPr>
        <w:pStyle w:val="13"/>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①评标委员会将根据总得分由高到低排列次序并推荐中标候选人。</w:t>
      </w:r>
      <w:r>
        <w:rPr>
          <w:rFonts w:hint="eastAsia" w:ascii="宋体" w:hAnsi="宋体" w:eastAsia="宋体" w:cs="Times New Roman"/>
          <w:bCs/>
          <w:color w:val="auto"/>
          <w:kern w:val="2"/>
          <w:sz w:val="21"/>
          <w:szCs w:val="21"/>
          <w:highlight w:val="none"/>
          <w:lang w:val="en-US" w:eastAsia="zh-CN" w:bidi="ar-SA"/>
        </w:rPr>
        <w:t>得分相同的，以投标报价由低到高顺序排列。得分相同且投标报价相同的并列，投标文件满足招标文件全部实质性要求，依次按技术评分高的优先、商务评分高的优先、质保期长优先、交货时间短优先、问题响应时间短优先的顺序确定。</w:t>
      </w:r>
    </w:p>
    <w:p w14:paraId="47C4E7B9">
      <w:pPr>
        <w:pStyle w:val="13"/>
        <w:spacing w:line="360" w:lineRule="auto"/>
        <w:ind w:firstLine="422" w:firstLineChars="200"/>
        <w:contextualSpacing/>
        <w:rPr>
          <w:rFonts w:hint="eastAsia" w:ascii="宋体" w:hAnsi="宋体" w:eastAsia="宋体" w:cs="Times New Roman"/>
          <w:b/>
          <w:bCs w:val="0"/>
          <w:color w:val="auto"/>
          <w:kern w:val="2"/>
          <w:sz w:val="21"/>
          <w:highlight w:val="none"/>
        </w:rPr>
      </w:pPr>
      <w:r>
        <w:rPr>
          <w:rFonts w:hint="eastAsia" w:ascii="宋体" w:hAnsi="宋体" w:eastAsia="宋体" w:cs="Times New Roman"/>
          <w:b/>
          <w:bCs w:val="0"/>
          <w:color w:val="auto"/>
          <w:kern w:val="2"/>
          <w:sz w:val="21"/>
          <w:highlight w:val="none"/>
          <w:lang w:eastAsia="zh-CN"/>
        </w:rPr>
        <w:t>本项目划分2个分标，投标人可以对某个或某几个分标同时进行投标报价，但最多只能中标其中的一个分标，投标人在其中一个分标被评标委员会推荐为第一中标候选人的，不再参与后续其他分标的中标候选人推荐。本项目评标、定标顺序为分标1→分标2的先后顺序进行评审及推荐。</w:t>
      </w:r>
    </w:p>
    <w:p w14:paraId="2B35C7BC">
      <w:pPr>
        <w:pStyle w:val="13"/>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中标人未按招标文件规定提交履约保证金（如有要求）、放弃中标或未在规定时间内签订合同的视为中标人拒绝与采购人签订合同，采购人可以按照评审报告推荐的中标候选人名单排序，确定下一候选人为中标人，也可以重新开展政府采购活动。以此类推。</w:t>
      </w:r>
    </w:p>
    <w:p w14:paraId="415B8026">
      <w:pPr>
        <w:pStyle w:val="13"/>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②签订合同后，如中标人不按双方签订的合同规定履约，则没收其全部履约保证金，履约保证金不足以赔偿损失的，按实际损失赔偿。</w:t>
      </w:r>
    </w:p>
    <w:p w14:paraId="43ABCEDA">
      <w:pPr>
        <w:rPr>
          <w:rFonts w:ascii="宋体" w:hAnsi="宋体" w:cs="宋体"/>
          <w:color w:val="auto"/>
          <w:highlight w:val="none"/>
        </w:rPr>
      </w:pPr>
    </w:p>
    <w:p w14:paraId="73CAA392">
      <w:pPr>
        <w:pStyle w:val="19"/>
        <w:rPr>
          <w:rFonts w:ascii="宋体" w:hAnsi="宋体" w:cs="宋体"/>
          <w:color w:val="auto"/>
          <w:highlight w:val="none"/>
        </w:rPr>
      </w:pPr>
    </w:p>
    <w:p w14:paraId="7E0F39F2">
      <w:pPr>
        <w:rPr>
          <w:rFonts w:ascii="宋体" w:hAnsi="宋体" w:cs="宋体"/>
          <w:color w:val="auto"/>
          <w:highlight w:val="none"/>
        </w:rPr>
      </w:pPr>
    </w:p>
    <w:p w14:paraId="5031549E">
      <w:pPr>
        <w:rPr>
          <w:rFonts w:ascii="宋体" w:hAnsi="宋体" w:cs="宋体"/>
          <w:color w:val="auto"/>
          <w:highlight w:val="none"/>
        </w:rPr>
      </w:pPr>
    </w:p>
    <w:p w14:paraId="326E0343">
      <w:pPr>
        <w:rPr>
          <w:rFonts w:ascii="宋体" w:hAnsi="宋体" w:cs="宋体"/>
          <w:color w:val="auto"/>
          <w:highlight w:val="none"/>
        </w:rPr>
      </w:pPr>
    </w:p>
    <w:p w14:paraId="00656233">
      <w:pPr>
        <w:rPr>
          <w:rFonts w:ascii="宋体" w:hAnsi="宋体" w:cs="宋体"/>
          <w:color w:val="auto"/>
          <w:highlight w:val="none"/>
        </w:rPr>
      </w:pPr>
    </w:p>
    <w:p w14:paraId="577A4DB9">
      <w:pPr>
        <w:rPr>
          <w:rFonts w:ascii="宋体" w:hAnsi="宋体" w:cs="宋体"/>
          <w:color w:val="auto"/>
          <w:highlight w:val="none"/>
        </w:rPr>
      </w:pPr>
    </w:p>
    <w:p w14:paraId="3CCC6FFF">
      <w:pPr>
        <w:rPr>
          <w:rFonts w:ascii="宋体" w:hAnsi="宋体" w:cs="宋体"/>
          <w:color w:val="auto"/>
          <w:highlight w:val="none"/>
        </w:rPr>
      </w:pPr>
    </w:p>
    <w:p w14:paraId="01E77B0B">
      <w:pPr>
        <w:rPr>
          <w:rFonts w:ascii="宋体" w:hAnsi="宋体" w:cs="宋体"/>
          <w:color w:val="auto"/>
          <w:highlight w:val="none"/>
        </w:rPr>
      </w:pPr>
    </w:p>
    <w:p w14:paraId="6CE0A0A1">
      <w:pPr>
        <w:rPr>
          <w:rFonts w:ascii="宋体" w:hAnsi="宋体" w:cs="宋体"/>
          <w:color w:val="auto"/>
          <w:highlight w:val="none"/>
        </w:rPr>
      </w:pPr>
    </w:p>
    <w:p w14:paraId="10B1DC4E">
      <w:pPr>
        <w:rPr>
          <w:rFonts w:ascii="宋体" w:hAnsi="宋体" w:cs="宋体"/>
          <w:color w:val="auto"/>
          <w:highlight w:val="none"/>
        </w:rPr>
      </w:pPr>
    </w:p>
    <w:p w14:paraId="383C5001">
      <w:pPr>
        <w:rPr>
          <w:rFonts w:ascii="宋体" w:hAnsi="宋体" w:cs="宋体"/>
          <w:color w:val="auto"/>
          <w:highlight w:val="none"/>
        </w:rPr>
      </w:pPr>
    </w:p>
    <w:p w14:paraId="5C15CB10">
      <w:pPr>
        <w:pStyle w:val="19"/>
        <w:rPr>
          <w:rFonts w:ascii="宋体" w:hAnsi="宋体" w:cs="宋体"/>
          <w:color w:val="auto"/>
          <w:highlight w:val="none"/>
        </w:rPr>
      </w:pPr>
    </w:p>
    <w:p w14:paraId="438DE698">
      <w:pPr>
        <w:rPr>
          <w:rFonts w:ascii="宋体" w:hAnsi="宋体" w:cs="宋体"/>
          <w:color w:val="auto"/>
          <w:highlight w:val="none"/>
        </w:rPr>
      </w:pPr>
    </w:p>
    <w:p w14:paraId="53CBF6F5">
      <w:pPr>
        <w:pStyle w:val="19"/>
        <w:rPr>
          <w:rFonts w:ascii="宋体" w:hAnsi="宋体" w:cs="宋体"/>
          <w:color w:val="auto"/>
          <w:highlight w:val="none"/>
        </w:rPr>
      </w:pPr>
    </w:p>
    <w:p w14:paraId="4BF6AD2E">
      <w:pPr>
        <w:rPr>
          <w:rFonts w:ascii="宋体" w:hAnsi="宋体" w:cs="宋体"/>
          <w:color w:val="auto"/>
          <w:highlight w:val="none"/>
        </w:rPr>
      </w:pPr>
    </w:p>
    <w:p w14:paraId="6316C4C9">
      <w:pPr>
        <w:pStyle w:val="19"/>
        <w:rPr>
          <w:rFonts w:ascii="宋体" w:hAnsi="宋体" w:cs="宋体"/>
          <w:color w:val="auto"/>
          <w:highlight w:val="none"/>
        </w:rPr>
      </w:pPr>
    </w:p>
    <w:p w14:paraId="5C971181">
      <w:pPr>
        <w:rPr>
          <w:rFonts w:ascii="宋体" w:hAnsi="宋体" w:cs="宋体"/>
          <w:color w:val="auto"/>
          <w:highlight w:val="none"/>
        </w:rPr>
      </w:pPr>
    </w:p>
    <w:p w14:paraId="1E27687F">
      <w:pPr>
        <w:pStyle w:val="19"/>
        <w:rPr>
          <w:rFonts w:ascii="宋体" w:hAnsi="宋体" w:cs="宋体"/>
          <w:color w:val="auto"/>
          <w:highlight w:val="none"/>
        </w:rPr>
      </w:pPr>
    </w:p>
    <w:p w14:paraId="34C35AC3">
      <w:pPr>
        <w:pStyle w:val="19"/>
        <w:rPr>
          <w:rFonts w:ascii="宋体" w:hAnsi="宋体" w:cs="宋体"/>
          <w:color w:val="auto"/>
          <w:highlight w:val="none"/>
        </w:rPr>
      </w:pPr>
    </w:p>
    <w:p w14:paraId="19946823">
      <w:pPr>
        <w:rPr>
          <w:rFonts w:ascii="宋体" w:hAnsi="宋体" w:cs="宋体"/>
          <w:color w:val="auto"/>
          <w:highlight w:val="none"/>
        </w:rPr>
      </w:pPr>
    </w:p>
    <w:p w14:paraId="20AA49C4">
      <w:pPr>
        <w:pStyle w:val="19"/>
        <w:rPr>
          <w:rFonts w:ascii="宋体" w:hAnsi="宋体" w:cs="宋体"/>
          <w:color w:val="auto"/>
          <w:highlight w:val="none"/>
        </w:rPr>
      </w:pPr>
    </w:p>
    <w:p w14:paraId="753CF606">
      <w:pPr>
        <w:pStyle w:val="2"/>
        <w:jc w:val="center"/>
        <w:rPr>
          <w:rFonts w:ascii="宋体" w:hAnsi="宋体" w:cs="宋体"/>
          <w:color w:val="auto"/>
          <w:highlight w:val="none"/>
        </w:rPr>
      </w:pPr>
      <w:bookmarkStart w:id="152" w:name="_Toc88"/>
      <w:bookmarkStart w:id="153" w:name="_Toc74320804"/>
      <w:bookmarkStart w:id="154" w:name="_Toc6218"/>
      <w:r>
        <w:rPr>
          <w:rFonts w:hint="eastAsia" w:ascii="宋体" w:hAnsi="宋体" w:cs="宋体"/>
          <w:color w:val="auto"/>
          <w:highlight w:val="none"/>
        </w:rPr>
        <w:t>第五章 拟签订的合同文本</w:t>
      </w:r>
      <w:bookmarkEnd w:id="152"/>
      <w:bookmarkEnd w:id="153"/>
      <w:bookmarkEnd w:id="154"/>
    </w:p>
    <w:p w14:paraId="52936F19">
      <w:pPr>
        <w:spacing w:line="360" w:lineRule="auto"/>
        <w:jc w:val="center"/>
        <w:rPr>
          <w:rFonts w:ascii="宋体" w:hAnsi="宋体" w:cs="宋体"/>
          <w:b/>
          <w:bCs/>
          <w:color w:val="auto"/>
          <w:sz w:val="44"/>
          <w:highlight w:val="none"/>
        </w:rPr>
      </w:pPr>
      <w:r>
        <w:rPr>
          <w:rFonts w:hint="eastAsia" w:ascii="宋体" w:hAnsi="宋体" w:cs="宋体"/>
          <w:b/>
          <w:bCs/>
          <w:color w:val="auto"/>
          <w:sz w:val="44"/>
          <w:highlight w:val="none"/>
          <w:lang w:eastAsia="zh-CN"/>
        </w:rPr>
        <w:t>广西中医药研究院2025年中药饮片配送服务采购</w:t>
      </w:r>
      <w:r>
        <w:rPr>
          <w:rFonts w:hint="eastAsia" w:ascii="宋体" w:hAnsi="宋体" w:cs="宋体"/>
          <w:b/>
          <w:bCs/>
          <w:color w:val="auto"/>
          <w:sz w:val="44"/>
          <w:highlight w:val="none"/>
        </w:rPr>
        <w:t>合同</w:t>
      </w:r>
    </w:p>
    <w:p w14:paraId="6CDE8593">
      <w:pPr>
        <w:spacing w:line="360" w:lineRule="auto"/>
        <w:jc w:val="center"/>
        <w:rPr>
          <w:rFonts w:ascii="宋体" w:hAnsi="宋体" w:cs="宋体"/>
          <w:b/>
          <w:bCs/>
          <w:color w:val="auto"/>
          <w:sz w:val="44"/>
          <w:highlight w:val="none"/>
        </w:rPr>
      </w:pPr>
    </w:p>
    <w:p w14:paraId="43C08127">
      <w:pPr>
        <w:spacing w:line="360" w:lineRule="auto"/>
        <w:jc w:val="center"/>
        <w:rPr>
          <w:rFonts w:ascii="宋体" w:hAnsi="宋体" w:cs="宋体"/>
          <w:b/>
          <w:bCs/>
          <w:color w:val="auto"/>
          <w:sz w:val="44"/>
          <w:highlight w:val="none"/>
        </w:rPr>
      </w:pPr>
    </w:p>
    <w:p w14:paraId="54041905">
      <w:pPr>
        <w:spacing w:line="360" w:lineRule="auto"/>
        <w:ind w:firstLine="3507" w:firstLineChars="794"/>
        <w:rPr>
          <w:rFonts w:ascii="宋体" w:hAnsi="宋体" w:cs="宋体"/>
          <w:b/>
          <w:bCs/>
          <w:color w:val="auto"/>
          <w:sz w:val="44"/>
          <w:highlight w:val="none"/>
        </w:rPr>
      </w:pPr>
    </w:p>
    <w:p w14:paraId="3E1D5014">
      <w:pPr>
        <w:spacing w:line="360" w:lineRule="auto"/>
        <w:ind w:firstLine="3507" w:firstLineChars="794"/>
        <w:rPr>
          <w:rFonts w:ascii="宋体" w:hAnsi="宋体" w:cs="宋体"/>
          <w:b/>
          <w:bCs/>
          <w:color w:val="auto"/>
          <w:sz w:val="44"/>
          <w:highlight w:val="none"/>
        </w:rPr>
      </w:pPr>
    </w:p>
    <w:p w14:paraId="38B557BB">
      <w:pPr>
        <w:spacing w:line="360" w:lineRule="auto"/>
        <w:ind w:firstLine="1995" w:firstLineChars="552"/>
        <w:rPr>
          <w:rFonts w:ascii="宋体" w:hAnsi="宋体" w:cs="宋体"/>
          <w:b/>
          <w:color w:val="auto"/>
          <w:sz w:val="36"/>
          <w:szCs w:val="36"/>
          <w:highlight w:val="none"/>
        </w:rPr>
      </w:pPr>
      <w:r>
        <w:rPr>
          <w:rFonts w:hint="eastAsia" w:ascii="宋体" w:hAnsi="宋体" w:cs="宋体"/>
          <w:b/>
          <w:color w:val="auto"/>
          <w:sz w:val="36"/>
          <w:szCs w:val="36"/>
          <w:highlight w:val="none"/>
        </w:rPr>
        <w:t>项目编号：</w:t>
      </w:r>
      <w:r>
        <w:rPr>
          <w:rFonts w:hint="eastAsia" w:ascii="宋体" w:hAnsi="宋体" w:cs="宋体"/>
          <w:b/>
          <w:color w:val="auto"/>
          <w:sz w:val="36"/>
          <w:szCs w:val="36"/>
          <w:highlight w:val="none"/>
          <w:u w:val="single"/>
        </w:rPr>
        <w:t xml:space="preserve"> </w:t>
      </w:r>
      <w:r>
        <w:rPr>
          <w:rFonts w:hint="eastAsia" w:ascii="宋体" w:hAnsi="宋体" w:cs="宋体"/>
          <w:b/>
          <w:color w:val="auto"/>
          <w:sz w:val="36"/>
          <w:szCs w:val="36"/>
          <w:highlight w:val="none"/>
          <w:u w:val="single"/>
          <w:lang w:eastAsia="zh-CN"/>
        </w:rPr>
        <w:t>GXZC2025-G3-003287-GTZB</w:t>
      </w:r>
      <w:r>
        <w:rPr>
          <w:rFonts w:hint="eastAsia" w:ascii="宋体" w:hAnsi="宋体" w:cs="宋体"/>
          <w:b/>
          <w:color w:val="auto"/>
          <w:sz w:val="36"/>
          <w:szCs w:val="36"/>
          <w:highlight w:val="none"/>
          <w:u w:val="single"/>
        </w:rPr>
        <w:t xml:space="preserve">  </w:t>
      </w:r>
    </w:p>
    <w:p w14:paraId="43DCC6FD">
      <w:pPr>
        <w:spacing w:line="360" w:lineRule="auto"/>
        <w:ind w:firstLine="1807" w:firstLineChars="500"/>
        <w:rPr>
          <w:rFonts w:ascii="宋体" w:hAnsi="宋体" w:cs="宋体"/>
          <w:b/>
          <w:color w:val="auto"/>
          <w:sz w:val="36"/>
          <w:szCs w:val="36"/>
          <w:highlight w:val="none"/>
        </w:rPr>
      </w:pPr>
      <w:r>
        <w:rPr>
          <w:rFonts w:hint="eastAsia" w:ascii="宋体" w:hAnsi="宋体" w:cs="宋体"/>
          <w:b/>
          <w:color w:val="auto"/>
          <w:sz w:val="36"/>
          <w:szCs w:val="36"/>
          <w:highlight w:val="none"/>
        </w:rPr>
        <w:t>采购计划编号：</w:t>
      </w:r>
      <w:r>
        <w:rPr>
          <w:rFonts w:hint="eastAsia" w:ascii="宋体" w:hAnsi="宋体" w:cs="宋体"/>
          <w:b/>
          <w:color w:val="auto"/>
          <w:sz w:val="36"/>
          <w:szCs w:val="36"/>
          <w:highlight w:val="none"/>
          <w:u w:val="single"/>
        </w:rPr>
        <w:t xml:space="preserve">                          </w:t>
      </w:r>
    </w:p>
    <w:p w14:paraId="09EBE69A">
      <w:pPr>
        <w:tabs>
          <w:tab w:val="left" w:pos="7200"/>
        </w:tabs>
        <w:spacing w:line="360" w:lineRule="auto"/>
        <w:ind w:firstLine="1995" w:firstLineChars="552"/>
        <w:rPr>
          <w:rFonts w:ascii="宋体" w:hAnsi="宋体" w:cs="宋体"/>
          <w:b/>
          <w:color w:val="auto"/>
          <w:sz w:val="36"/>
          <w:szCs w:val="36"/>
          <w:highlight w:val="none"/>
          <w:u w:val="single"/>
        </w:rPr>
      </w:pPr>
      <w:r>
        <w:rPr>
          <w:rFonts w:hint="eastAsia" w:ascii="宋体" w:hAnsi="宋体" w:cs="宋体"/>
          <w:b/>
          <w:color w:val="auto"/>
          <w:sz w:val="36"/>
          <w:szCs w:val="36"/>
          <w:highlight w:val="none"/>
        </w:rPr>
        <w:t>采购人：</w:t>
      </w:r>
      <w:r>
        <w:rPr>
          <w:rFonts w:hint="eastAsia" w:ascii="宋体" w:hAnsi="宋体" w:cs="宋体"/>
          <w:b/>
          <w:color w:val="auto"/>
          <w:sz w:val="36"/>
          <w:szCs w:val="36"/>
          <w:highlight w:val="none"/>
          <w:u w:val="single"/>
          <w:lang w:eastAsia="zh-CN"/>
        </w:rPr>
        <w:t>广西壮族自治区中医药研究院</w:t>
      </w:r>
      <w:r>
        <w:rPr>
          <w:rFonts w:hint="eastAsia" w:ascii="宋体" w:hAnsi="宋体" w:cs="宋体"/>
          <w:b/>
          <w:color w:val="auto"/>
          <w:sz w:val="36"/>
          <w:szCs w:val="36"/>
          <w:highlight w:val="none"/>
          <w:u w:val="single"/>
        </w:rPr>
        <w:t xml:space="preserve">  </w:t>
      </w:r>
    </w:p>
    <w:p w14:paraId="6F251D35">
      <w:pPr>
        <w:tabs>
          <w:tab w:val="left" w:pos="7380"/>
        </w:tabs>
        <w:spacing w:line="360" w:lineRule="auto"/>
        <w:ind w:firstLine="1995" w:firstLineChars="552"/>
        <w:rPr>
          <w:rFonts w:ascii="宋体" w:hAnsi="宋体" w:cs="宋体"/>
          <w:b/>
          <w:bCs/>
          <w:color w:val="auto"/>
          <w:sz w:val="44"/>
          <w:highlight w:val="none"/>
        </w:rPr>
      </w:pPr>
      <w:r>
        <w:rPr>
          <w:rFonts w:hint="eastAsia" w:ascii="宋体" w:hAnsi="宋体" w:cs="宋体"/>
          <w:b/>
          <w:color w:val="auto"/>
          <w:sz w:val="36"/>
          <w:szCs w:val="36"/>
          <w:highlight w:val="none"/>
          <w:lang w:eastAsia="zh-CN"/>
        </w:rPr>
        <w:t>中标人</w:t>
      </w:r>
      <w:r>
        <w:rPr>
          <w:rFonts w:hint="eastAsia" w:ascii="宋体" w:hAnsi="宋体" w:cs="宋体"/>
          <w:b/>
          <w:color w:val="auto"/>
          <w:sz w:val="36"/>
          <w:szCs w:val="36"/>
          <w:highlight w:val="none"/>
        </w:rPr>
        <w:t>：</w:t>
      </w:r>
      <w:r>
        <w:rPr>
          <w:rFonts w:hint="eastAsia" w:ascii="宋体" w:hAnsi="宋体" w:cs="宋体"/>
          <w:b/>
          <w:color w:val="auto"/>
          <w:sz w:val="36"/>
          <w:szCs w:val="36"/>
          <w:highlight w:val="none"/>
          <w:u w:val="single"/>
        </w:rPr>
        <w:t xml:space="preserve">                   </w:t>
      </w:r>
    </w:p>
    <w:p w14:paraId="2E05FD2F">
      <w:pPr>
        <w:spacing w:before="120" w:line="360" w:lineRule="auto"/>
        <w:ind w:firstLine="960" w:firstLineChars="400"/>
        <w:rPr>
          <w:rFonts w:ascii="宋体" w:hAnsi="宋体" w:cs="宋体"/>
          <w:color w:val="auto"/>
          <w:sz w:val="24"/>
          <w:highlight w:val="none"/>
        </w:rPr>
      </w:pPr>
    </w:p>
    <w:p w14:paraId="1AF1733E">
      <w:pPr>
        <w:spacing w:before="120" w:line="360" w:lineRule="auto"/>
        <w:ind w:firstLine="1807" w:firstLineChars="500"/>
        <w:rPr>
          <w:rFonts w:ascii="宋体" w:hAnsi="宋体" w:cs="宋体"/>
          <w:b/>
          <w:bCs/>
          <w:color w:val="auto"/>
          <w:sz w:val="36"/>
          <w:szCs w:val="36"/>
          <w:highlight w:val="none"/>
        </w:rPr>
      </w:pPr>
      <w:r>
        <w:rPr>
          <w:rFonts w:hint="eastAsia" w:ascii="宋体" w:hAnsi="宋体" w:cs="宋体"/>
          <w:b/>
          <w:bCs/>
          <w:color w:val="auto"/>
          <w:sz w:val="36"/>
          <w:szCs w:val="36"/>
          <w:highlight w:val="none"/>
        </w:rPr>
        <w:t>签订日期：</w:t>
      </w:r>
      <w:r>
        <w:rPr>
          <w:rFonts w:hint="eastAsia" w:ascii="宋体" w:hAnsi="宋体" w:cs="宋体"/>
          <w:b/>
          <w:bCs/>
          <w:color w:val="auto"/>
          <w:sz w:val="36"/>
          <w:szCs w:val="36"/>
          <w:highlight w:val="none"/>
          <w:u w:val="single"/>
        </w:rPr>
        <w:t xml:space="preserve">        </w:t>
      </w:r>
      <w:r>
        <w:rPr>
          <w:rFonts w:hint="eastAsia" w:ascii="宋体" w:hAnsi="宋体" w:cs="宋体"/>
          <w:b/>
          <w:bCs/>
          <w:color w:val="auto"/>
          <w:sz w:val="36"/>
          <w:szCs w:val="36"/>
          <w:highlight w:val="none"/>
        </w:rPr>
        <w:t>年</w:t>
      </w:r>
      <w:r>
        <w:rPr>
          <w:rFonts w:hint="eastAsia" w:ascii="宋体" w:hAnsi="宋体" w:cs="宋体"/>
          <w:b/>
          <w:bCs/>
          <w:color w:val="auto"/>
          <w:sz w:val="36"/>
          <w:szCs w:val="36"/>
          <w:highlight w:val="none"/>
          <w:u w:val="single"/>
        </w:rPr>
        <w:t xml:space="preserve">       </w:t>
      </w:r>
      <w:r>
        <w:rPr>
          <w:rFonts w:hint="eastAsia" w:ascii="宋体" w:hAnsi="宋体" w:cs="宋体"/>
          <w:b/>
          <w:bCs/>
          <w:color w:val="auto"/>
          <w:sz w:val="36"/>
          <w:szCs w:val="36"/>
          <w:highlight w:val="none"/>
        </w:rPr>
        <w:t>月</w:t>
      </w:r>
      <w:r>
        <w:rPr>
          <w:rFonts w:hint="eastAsia" w:ascii="宋体" w:hAnsi="宋体" w:cs="宋体"/>
          <w:b/>
          <w:bCs/>
          <w:color w:val="auto"/>
          <w:sz w:val="36"/>
          <w:szCs w:val="36"/>
          <w:highlight w:val="none"/>
          <w:u w:val="single"/>
        </w:rPr>
        <w:t xml:space="preserve">       </w:t>
      </w:r>
      <w:r>
        <w:rPr>
          <w:rFonts w:hint="eastAsia" w:ascii="宋体" w:hAnsi="宋体" w:cs="宋体"/>
          <w:b/>
          <w:bCs/>
          <w:color w:val="auto"/>
          <w:sz w:val="36"/>
          <w:szCs w:val="36"/>
          <w:highlight w:val="none"/>
        </w:rPr>
        <w:t>日</w:t>
      </w:r>
    </w:p>
    <w:p w14:paraId="3C846038">
      <w:pPr>
        <w:snapToGrid w:val="0"/>
        <w:jc w:val="center"/>
        <w:rPr>
          <w:rFonts w:ascii="宋体" w:hAnsi="宋体" w:cs="宋体"/>
          <w:bCs/>
          <w:color w:val="auto"/>
          <w:sz w:val="32"/>
          <w:szCs w:val="32"/>
          <w:highlight w:val="none"/>
        </w:rPr>
      </w:pPr>
    </w:p>
    <w:p w14:paraId="0DA61E70">
      <w:pPr>
        <w:pStyle w:val="17"/>
        <w:ind w:firstLine="321"/>
        <w:rPr>
          <w:rFonts w:cs="宋体"/>
          <w:bCs w:val="0"/>
          <w:color w:val="auto"/>
          <w:sz w:val="32"/>
          <w:szCs w:val="32"/>
          <w:highlight w:val="none"/>
        </w:rPr>
      </w:pPr>
    </w:p>
    <w:p w14:paraId="43C0B60A">
      <w:pPr>
        <w:rPr>
          <w:rFonts w:ascii="宋体" w:hAnsi="宋体" w:cs="宋体"/>
          <w:bCs/>
          <w:color w:val="auto"/>
          <w:sz w:val="32"/>
          <w:szCs w:val="32"/>
          <w:highlight w:val="none"/>
        </w:rPr>
      </w:pPr>
    </w:p>
    <w:p w14:paraId="569663C9">
      <w:pPr>
        <w:spacing w:line="240" w:lineRule="auto"/>
        <w:ind w:firstLine="0" w:firstLineChars="0"/>
        <w:jc w:val="left"/>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p>
    <w:p w14:paraId="7E410EC6">
      <w:pPr>
        <w:spacing w:line="460" w:lineRule="exact"/>
        <w:ind w:firstLine="723" w:firstLineChars="200"/>
        <w:jc w:val="center"/>
        <w:rPr>
          <w:rFonts w:ascii="宋体" w:hAnsi="宋体" w:cs="宋体"/>
          <w:b/>
          <w:color w:val="auto"/>
          <w:sz w:val="36"/>
          <w:szCs w:val="36"/>
          <w:highlight w:val="none"/>
        </w:rPr>
      </w:pPr>
      <w:r>
        <w:rPr>
          <w:rFonts w:hint="eastAsia" w:ascii="宋体" w:hAnsi="宋体" w:cs="宋体"/>
          <w:b/>
          <w:color w:val="auto"/>
          <w:sz w:val="36"/>
          <w:szCs w:val="36"/>
          <w:highlight w:val="none"/>
        </w:rPr>
        <w:t>合同目录</w:t>
      </w:r>
    </w:p>
    <w:p w14:paraId="1C720162">
      <w:pPr>
        <w:snapToGrid w:val="0"/>
        <w:spacing w:line="360" w:lineRule="auto"/>
        <w:ind w:firstLine="480" w:firstLineChars="200"/>
        <w:rPr>
          <w:rFonts w:ascii="宋体" w:hAnsi="宋体" w:cs="宋体"/>
          <w:color w:val="auto"/>
          <w:kern w:val="0"/>
          <w:szCs w:val="21"/>
          <w:highlight w:val="none"/>
        </w:rPr>
      </w:pPr>
      <w:r>
        <w:rPr>
          <w:rFonts w:hint="eastAsia" w:ascii="宋体" w:hAnsi="宋体" w:cs="宋体"/>
          <w:color w:val="auto"/>
          <w:kern w:val="0"/>
          <w:sz w:val="24"/>
          <w:highlight w:val="none"/>
        </w:rPr>
        <w:t>一</w:t>
      </w:r>
      <w:r>
        <w:rPr>
          <w:rFonts w:hint="eastAsia" w:ascii="宋体" w:hAnsi="宋体" w:cs="宋体"/>
          <w:color w:val="auto"/>
          <w:kern w:val="0"/>
          <w:szCs w:val="21"/>
          <w:highlight w:val="none"/>
        </w:rPr>
        <w:t>、</w:t>
      </w:r>
      <w:r>
        <w:rPr>
          <w:rFonts w:hint="eastAsia" w:ascii="宋体" w:hAnsi="宋体" w:cs="宋体"/>
          <w:color w:val="auto"/>
          <w:szCs w:val="21"/>
          <w:highlight w:val="none"/>
        </w:rPr>
        <w:t>第一部分 合同书</w:t>
      </w:r>
      <w:r>
        <w:rPr>
          <w:rFonts w:hint="eastAsia" w:ascii="宋体" w:hAnsi="宋体" w:cs="宋体"/>
          <w:color w:val="auto"/>
          <w:kern w:val="0"/>
          <w:szCs w:val="21"/>
          <w:highlight w:val="none"/>
        </w:rPr>
        <w:t>……………………………………………………………</w:t>
      </w:r>
      <w:r>
        <w:rPr>
          <w:rFonts w:hint="eastAsia" w:ascii="宋体" w:hAnsi="宋体" w:cs="宋体"/>
          <w:color w:val="auto"/>
          <w:szCs w:val="21"/>
          <w:highlight w:val="none"/>
        </w:rPr>
        <w:t>…………………</w:t>
      </w:r>
      <w:r>
        <w:rPr>
          <w:rFonts w:hint="eastAsia" w:ascii="宋体" w:hAnsi="宋体" w:cs="宋体"/>
          <w:color w:val="auto"/>
          <w:kern w:val="0"/>
          <w:szCs w:val="21"/>
          <w:highlight w:val="none"/>
        </w:rPr>
        <w:t>（页码）</w:t>
      </w:r>
    </w:p>
    <w:p w14:paraId="094DB289">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二、第二部分</w:t>
      </w:r>
      <w:r>
        <w:rPr>
          <w:rFonts w:hint="eastAsia" w:ascii="宋体" w:hAnsi="宋体" w:cs="宋体"/>
          <w:color w:val="auto"/>
          <w:szCs w:val="21"/>
          <w:highlight w:val="none"/>
        </w:rPr>
        <w:t xml:space="preserve"> 合同附件</w:t>
      </w:r>
      <w:r>
        <w:rPr>
          <w:rFonts w:hint="eastAsia" w:ascii="宋体" w:hAnsi="宋体" w:cs="宋体"/>
          <w:color w:val="auto"/>
          <w:kern w:val="0"/>
          <w:szCs w:val="21"/>
          <w:highlight w:val="none"/>
        </w:rPr>
        <w:t>…………………………………………………………</w:t>
      </w:r>
      <w:r>
        <w:rPr>
          <w:rFonts w:hint="eastAsia" w:ascii="宋体" w:hAnsi="宋体" w:cs="宋体"/>
          <w:color w:val="auto"/>
          <w:szCs w:val="21"/>
          <w:highlight w:val="none"/>
        </w:rPr>
        <w:t>…………………</w:t>
      </w:r>
      <w:r>
        <w:rPr>
          <w:rFonts w:hint="eastAsia" w:ascii="宋体" w:hAnsi="宋体" w:cs="宋体"/>
          <w:color w:val="auto"/>
          <w:kern w:val="0"/>
          <w:szCs w:val="21"/>
          <w:highlight w:val="none"/>
        </w:rPr>
        <w:t>（页码）</w:t>
      </w:r>
    </w:p>
    <w:p w14:paraId="5EB3B935">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1、采购需求 </w:t>
      </w:r>
      <w:r>
        <w:rPr>
          <w:rFonts w:hint="eastAsia" w:ascii="宋体" w:hAnsi="宋体" w:cs="宋体"/>
          <w:color w:val="auto"/>
          <w:kern w:val="0"/>
          <w:szCs w:val="21"/>
          <w:highlight w:val="none"/>
        </w:rPr>
        <w:t>…………………………………………………………</w:t>
      </w:r>
      <w:r>
        <w:rPr>
          <w:rFonts w:hint="eastAsia" w:ascii="宋体" w:hAnsi="宋体" w:cs="宋体"/>
          <w:color w:val="auto"/>
          <w:szCs w:val="21"/>
          <w:highlight w:val="none"/>
        </w:rPr>
        <w:t>………………………………</w:t>
      </w:r>
      <w:r>
        <w:rPr>
          <w:rFonts w:hint="eastAsia" w:ascii="宋体" w:hAnsi="宋体" w:cs="宋体"/>
          <w:color w:val="auto"/>
          <w:kern w:val="0"/>
          <w:szCs w:val="21"/>
          <w:highlight w:val="none"/>
        </w:rPr>
        <w:t>（页码）</w:t>
      </w:r>
    </w:p>
    <w:p w14:paraId="16879144">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2、采购文件的澄清或更正公告（如有） </w:t>
      </w:r>
      <w:r>
        <w:rPr>
          <w:rFonts w:hint="eastAsia" w:ascii="宋体" w:hAnsi="宋体" w:cs="宋体"/>
          <w:color w:val="auto"/>
          <w:kern w:val="0"/>
          <w:szCs w:val="21"/>
          <w:highlight w:val="none"/>
        </w:rPr>
        <w:t>……………………………………………</w:t>
      </w:r>
      <w:r>
        <w:rPr>
          <w:rFonts w:hint="eastAsia" w:ascii="宋体" w:hAnsi="宋体" w:cs="宋体"/>
          <w:color w:val="auto"/>
          <w:szCs w:val="21"/>
          <w:highlight w:val="none"/>
        </w:rPr>
        <w:t>………………</w:t>
      </w:r>
      <w:r>
        <w:rPr>
          <w:rFonts w:hint="eastAsia" w:ascii="宋体" w:hAnsi="宋体" w:cs="宋体"/>
          <w:color w:val="auto"/>
          <w:kern w:val="0"/>
          <w:szCs w:val="21"/>
          <w:highlight w:val="none"/>
        </w:rPr>
        <w:t>（页码）</w:t>
      </w:r>
    </w:p>
    <w:p w14:paraId="32153EAE">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xml:space="preserve">、开标一览表 </w:t>
      </w:r>
      <w:r>
        <w:rPr>
          <w:rFonts w:hint="eastAsia" w:ascii="宋体" w:hAnsi="宋体" w:cs="宋体"/>
          <w:color w:val="auto"/>
          <w:kern w:val="0"/>
          <w:szCs w:val="21"/>
          <w:highlight w:val="none"/>
        </w:rPr>
        <w:t>…………………………………………………………</w:t>
      </w:r>
      <w:r>
        <w:rPr>
          <w:rFonts w:hint="eastAsia" w:ascii="宋体" w:hAnsi="宋体" w:cs="宋体"/>
          <w:color w:val="auto"/>
          <w:szCs w:val="21"/>
          <w:highlight w:val="none"/>
        </w:rPr>
        <w:t>……………………………</w:t>
      </w:r>
      <w:r>
        <w:rPr>
          <w:rFonts w:hint="eastAsia" w:ascii="宋体" w:hAnsi="宋体" w:cs="宋体"/>
          <w:color w:val="auto"/>
          <w:kern w:val="0"/>
          <w:szCs w:val="21"/>
          <w:highlight w:val="none"/>
        </w:rPr>
        <w:t>（页码）</w:t>
      </w:r>
    </w:p>
    <w:p w14:paraId="6B9C39FC">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 xml:space="preserve">、商务要求偏离表和技术要求偏离表 </w:t>
      </w:r>
      <w:r>
        <w:rPr>
          <w:rFonts w:hint="eastAsia" w:ascii="宋体" w:hAnsi="宋体" w:cs="宋体"/>
          <w:color w:val="auto"/>
          <w:kern w:val="0"/>
          <w:szCs w:val="21"/>
          <w:highlight w:val="none"/>
        </w:rPr>
        <w:t>…………………………………………………</w:t>
      </w:r>
      <w:r>
        <w:rPr>
          <w:rFonts w:hint="eastAsia" w:ascii="宋体" w:hAnsi="宋体" w:cs="宋体"/>
          <w:color w:val="auto"/>
          <w:szCs w:val="21"/>
          <w:highlight w:val="none"/>
        </w:rPr>
        <w:t>……………</w:t>
      </w:r>
      <w:r>
        <w:rPr>
          <w:rFonts w:hint="eastAsia" w:ascii="宋体" w:hAnsi="宋体" w:cs="宋体"/>
          <w:color w:val="auto"/>
          <w:kern w:val="0"/>
          <w:szCs w:val="21"/>
          <w:highlight w:val="none"/>
        </w:rPr>
        <w:t>（页码）</w:t>
      </w:r>
    </w:p>
    <w:p w14:paraId="55DE91E7">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 xml:space="preserve">的澄清通知及澄清函（如有） </w:t>
      </w:r>
      <w:r>
        <w:rPr>
          <w:rFonts w:hint="eastAsia" w:ascii="宋体" w:hAnsi="宋体" w:cs="宋体"/>
          <w:color w:val="auto"/>
          <w:kern w:val="0"/>
          <w:szCs w:val="21"/>
          <w:highlight w:val="none"/>
        </w:rPr>
        <w:t>……………………………………………</w:t>
      </w:r>
      <w:r>
        <w:rPr>
          <w:rFonts w:hint="eastAsia" w:ascii="宋体" w:hAnsi="宋体" w:cs="宋体"/>
          <w:color w:val="auto"/>
          <w:szCs w:val="21"/>
          <w:highlight w:val="none"/>
        </w:rPr>
        <w:t>…………</w:t>
      </w:r>
      <w:r>
        <w:rPr>
          <w:rFonts w:hint="eastAsia" w:ascii="宋体" w:hAnsi="宋体" w:cs="宋体"/>
          <w:color w:val="auto"/>
          <w:kern w:val="0"/>
          <w:szCs w:val="21"/>
          <w:highlight w:val="none"/>
        </w:rPr>
        <w:t>（页码）</w:t>
      </w:r>
    </w:p>
    <w:p w14:paraId="5162A014">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、中标通知书 </w:t>
      </w:r>
      <w:r>
        <w:rPr>
          <w:rFonts w:hint="eastAsia" w:ascii="宋体" w:hAnsi="宋体" w:cs="宋体"/>
          <w:color w:val="auto"/>
          <w:kern w:val="0"/>
          <w:szCs w:val="21"/>
          <w:highlight w:val="none"/>
        </w:rPr>
        <w:t>…………………………………………………………</w:t>
      </w:r>
      <w:r>
        <w:rPr>
          <w:rFonts w:hint="eastAsia" w:ascii="宋体" w:hAnsi="宋体" w:cs="宋体"/>
          <w:color w:val="auto"/>
          <w:szCs w:val="21"/>
          <w:highlight w:val="none"/>
        </w:rPr>
        <w:t>………………………………</w:t>
      </w:r>
      <w:r>
        <w:rPr>
          <w:rFonts w:hint="eastAsia" w:ascii="宋体" w:hAnsi="宋体" w:cs="宋体"/>
          <w:color w:val="auto"/>
          <w:kern w:val="0"/>
          <w:szCs w:val="21"/>
          <w:highlight w:val="none"/>
        </w:rPr>
        <w:t>（页码）</w:t>
      </w:r>
    </w:p>
    <w:p w14:paraId="25F224C0">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 xml:space="preserve">、其他合同文件 </w:t>
      </w:r>
      <w:r>
        <w:rPr>
          <w:rFonts w:hint="eastAsia" w:ascii="宋体" w:hAnsi="宋体" w:cs="宋体"/>
          <w:color w:val="auto"/>
          <w:kern w:val="0"/>
          <w:szCs w:val="21"/>
          <w:highlight w:val="none"/>
        </w:rPr>
        <w:t>…………………………………………………………</w:t>
      </w:r>
      <w:r>
        <w:rPr>
          <w:rFonts w:hint="eastAsia" w:ascii="宋体" w:hAnsi="宋体" w:cs="宋体"/>
          <w:color w:val="auto"/>
          <w:szCs w:val="21"/>
          <w:highlight w:val="none"/>
        </w:rPr>
        <w:t>……………………………</w:t>
      </w:r>
      <w:r>
        <w:rPr>
          <w:rFonts w:hint="eastAsia" w:ascii="宋体" w:hAnsi="宋体" w:cs="宋体"/>
          <w:color w:val="auto"/>
          <w:kern w:val="0"/>
          <w:szCs w:val="21"/>
          <w:highlight w:val="none"/>
        </w:rPr>
        <w:t>（页码）</w:t>
      </w:r>
    </w:p>
    <w:p w14:paraId="11097514">
      <w:pPr>
        <w:rPr>
          <w:color w:val="auto"/>
          <w:highlight w:val="none"/>
        </w:rPr>
      </w:pPr>
    </w:p>
    <w:p w14:paraId="3DB66922">
      <w:pPr>
        <w:snapToGrid w:val="0"/>
        <w:jc w:val="center"/>
        <w:rPr>
          <w:rFonts w:ascii="宋体" w:hAnsi="宋体" w:cs="宋体"/>
          <w:bCs/>
          <w:color w:val="auto"/>
          <w:sz w:val="32"/>
          <w:szCs w:val="32"/>
          <w:highlight w:val="none"/>
        </w:rPr>
      </w:pPr>
    </w:p>
    <w:p w14:paraId="3EC25008">
      <w:pPr>
        <w:pStyle w:val="17"/>
        <w:ind w:firstLine="321"/>
        <w:rPr>
          <w:rFonts w:cs="宋体"/>
          <w:bCs w:val="0"/>
          <w:color w:val="auto"/>
          <w:sz w:val="32"/>
          <w:szCs w:val="32"/>
          <w:highlight w:val="none"/>
        </w:rPr>
      </w:pPr>
    </w:p>
    <w:p w14:paraId="6CECB910">
      <w:pPr>
        <w:rPr>
          <w:rFonts w:ascii="宋体" w:hAnsi="宋体" w:cs="宋体"/>
          <w:bCs/>
          <w:color w:val="auto"/>
          <w:sz w:val="32"/>
          <w:szCs w:val="32"/>
          <w:highlight w:val="none"/>
        </w:rPr>
      </w:pPr>
    </w:p>
    <w:p w14:paraId="7A902AD4">
      <w:pPr>
        <w:rPr>
          <w:rFonts w:ascii="宋体" w:hAnsi="宋体" w:cs="宋体"/>
          <w:bCs/>
          <w:color w:val="auto"/>
          <w:sz w:val="32"/>
          <w:szCs w:val="32"/>
          <w:highlight w:val="none"/>
        </w:rPr>
      </w:pPr>
    </w:p>
    <w:p w14:paraId="6F89728F">
      <w:pPr>
        <w:rPr>
          <w:rFonts w:ascii="宋体" w:hAnsi="宋体" w:cs="宋体"/>
          <w:bCs/>
          <w:color w:val="auto"/>
          <w:sz w:val="32"/>
          <w:szCs w:val="32"/>
          <w:highlight w:val="none"/>
        </w:rPr>
      </w:pPr>
    </w:p>
    <w:p w14:paraId="1817EEC1">
      <w:pPr>
        <w:rPr>
          <w:rFonts w:ascii="宋体" w:hAnsi="宋体" w:cs="宋体"/>
          <w:bCs/>
          <w:color w:val="auto"/>
          <w:sz w:val="32"/>
          <w:szCs w:val="32"/>
          <w:highlight w:val="none"/>
        </w:rPr>
      </w:pPr>
    </w:p>
    <w:p w14:paraId="75D60B33">
      <w:pPr>
        <w:rPr>
          <w:rFonts w:ascii="宋体" w:hAnsi="宋体" w:cs="宋体"/>
          <w:bCs/>
          <w:color w:val="auto"/>
          <w:sz w:val="32"/>
          <w:szCs w:val="32"/>
          <w:highlight w:val="none"/>
        </w:rPr>
      </w:pPr>
    </w:p>
    <w:p w14:paraId="359D4BBD">
      <w:pPr>
        <w:rPr>
          <w:rFonts w:ascii="宋体" w:hAnsi="宋体" w:cs="宋体"/>
          <w:bCs/>
          <w:color w:val="auto"/>
          <w:sz w:val="32"/>
          <w:szCs w:val="32"/>
          <w:highlight w:val="none"/>
        </w:rPr>
      </w:pPr>
    </w:p>
    <w:p w14:paraId="34025CC6">
      <w:pPr>
        <w:pStyle w:val="17"/>
        <w:ind w:firstLine="241"/>
        <w:rPr>
          <w:rFonts w:cs="宋体"/>
          <w:color w:val="auto"/>
          <w:highlight w:val="none"/>
        </w:rPr>
      </w:pPr>
    </w:p>
    <w:p w14:paraId="390B8E40">
      <w:pPr>
        <w:rPr>
          <w:color w:val="auto"/>
          <w:highlight w:val="none"/>
        </w:rPr>
      </w:pPr>
    </w:p>
    <w:p w14:paraId="5CF96A02">
      <w:pPr>
        <w:snapToGrid w:val="0"/>
        <w:jc w:val="center"/>
        <w:rPr>
          <w:rFonts w:ascii="宋体" w:hAnsi="宋体" w:cs="宋体"/>
          <w:bCs/>
          <w:color w:val="auto"/>
          <w:sz w:val="32"/>
          <w:szCs w:val="32"/>
          <w:highlight w:val="none"/>
        </w:rPr>
      </w:pPr>
    </w:p>
    <w:p w14:paraId="72BD7A63">
      <w:pPr>
        <w:snapToGrid w:val="0"/>
        <w:jc w:val="center"/>
        <w:rPr>
          <w:rFonts w:ascii="宋体" w:hAnsi="宋体" w:cs="宋体"/>
          <w:bCs/>
          <w:color w:val="auto"/>
          <w:sz w:val="32"/>
          <w:szCs w:val="32"/>
          <w:highlight w:val="none"/>
        </w:rPr>
      </w:pPr>
    </w:p>
    <w:p w14:paraId="52943168">
      <w:pPr>
        <w:snapToGrid w:val="0"/>
        <w:jc w:val="center"/>
        <w:rPr>
          <w:rFonts w:ascii="宋体" w:hAnsi="宋体" w:cs="宋体"/>
          <w:bCs/>
          <w:color w:val="auto"/>
          <w:sz w:val="32"/>
          <w:szCs w:val="32"/>
          <w:highlight w:val="none"/>
        </w:rPr>
      </w:pPr>
    </w:p>
    <w:p w14:paraId="22989B95">
      <w:pPr>
        <w:snapToGrid w:val="0"/>
        <w:jc w:val="center"/>
        <w:rPr>
          <w:rFonts w:ascii="宋体" w:hAnsi="宋体" w:cs="宋体"/>
          <w:bCs/>
          <w:color w:val="auto"/>
          <w:sz w:val="32"/>
          <w:szCs w:val="32"/>
          <w:highlight w:val="none"/>
        </w:rPr>
      </w:pPr>
    </w:p>
    <w:p w14:paraId="0501D785">
      <w:pPr>
        <w:rPr>
          <w:rFonts w:ascii="宋体" w:hAnsi="宋体" w:cs="宋体"/>
          <w:b/>
          <w:color w:val="auto"/>
          <w:sz w:val="32"/>
          <w:szCs w:val="32"/>
          <w:highlight w:val="none"/>
        </w:rPr>
      </w:pPr>
      <w:bookmarkStart w:id="155" w:name="_Hlk55381736"/>
      <w:r>
        <w:rPr>
          <w:rFonts w:hint="eastAsia" w:ascii="宋体" w:hAnsi="宋体" w:cs="宋体"/>
          <w:b/>
          <w:color w:val="auto"/>
          <w:sz w:val="32"/>
          <w:szCs w:val="32"/>
          <w:highlight w:val="none"/>
        </w:rPr>
        <w:br w:type="page"/>
      </w:r>
    </w:p>
    <w:p w14:paraId="78E10C9E">
      <w:pPr>
        <w:snapToGrid w:val="0"/>
        <w:spacing w:line="400" w:lineRule="exact"/>
        <w:ind w:right="480"/>
        <w:jc w:val="center"/>
        <w:rPr>
          <w:rFonts w:hint="eastAsia" w:ascii="宋体" w:hAnsi="宋体" w:cs="宋体"/>
          <w:color w:val="auto"/>
          <w:szCs w:val="21"/>
          <w:highlight w:val="none"/>
        </w:rPr>
      </w:pPr>
      <w:r>
        <w:rPr>
          <w:rFonts w:hint="eastAsia" w:ascii="宋体" w:hAnsi="宋体" w:eastAsia="宋体" w:cs="宋体"/>
          <w:b/>
          <w:bCs/>
          <w:color w:val="auto"/>
          <w:sz w:val="36"/>
          <w:szCs w:val="36"/>
          <w:highlight w:val="none"/>
          <w:lang w:eastAsia="zh-CN"/>
        </w:rPr>
        <w:t>广西中医药研究院2025年中药饮片配送服务采购</w:t>
      </w:r>
      <w:r>
        <w:rPr>
          <w:rFonts w:hint="eastAsia" w:ascii="宋体" w:hAnsi="宋体" w:eastAsia="宋体" w:cs="宋体"/>
          <w:b/>
          <w:bCs/>
          <w:color w:val="auto"/>
          <w:sz w:val="36"/>
          <w:szCs w:val="36"/>
          <w:highlight w:val="none"/>
        </w:rPr>
        <w:t>（</w:t>
      </w:r>
      <w:r>
        <w:rPr>
          <w:rFonts w:hint="eastAsia" w:ascii="宋体" w:hAnsi="宋体" w:cs="宋体"/>
          <w:b/>
          <w:bCs/>
          <w:color w:val="auto"/>
          <w:sz w:val="36"/>
          <w:szCs w:val="36"/>
          <w:highlight w:val="none"/>
          <w:lang w:eastAsia="zh-CN"/>
        </w:rPr>
        <w:t>GXZC2025-G3-003287-GTZB</w:t>
      </w:r>
      <w:r>
        <w:rPr>
          <w:rFonts w:hint="eastAsia" w:ascii="宋体" w:hAnsi="宋体" w:eastAsia="宋体" w:cs="宋体"/>
          <w:b/>
          <w:bCs/>
          <w:color w:val="auto"/>
          <w:sz w:val="36"/>
          <w:szCs w:val="36"/>
          <w:highlight w:val="none"/>
        </w:rPr>
        <w:t>）政府采购合同</w:t>
      </w:r>
    </w:p>
    <w:p w14:paraId="4648FEE1">
      <w:pPr>
        <w:snapToGrid w:val="0"/>
        <w:spacing w:line="400" w:lineRule="exact"/>
        <w:ind w:right="480"/>
        <w:rPr>
          <w:rFonts w:hint="eastAsia" w:ascii="宋体" w:hAnsi="宋体" w:cs="宋体"/>
          <w:color w:val="auto"/>
          <w:szCs w:val="21"/>
          <w:highlight w:val="none"/>
        </w:rPr>
      </w:pPr>
    </w:p>
    <w:p w14:paraId="0885C966">
      <w:pPr>
        <w:snapToGrid w:val="0"/>
        <w:spacing w:line="400" w:lineRule="exact"/>
        <w:ind w:right="480"/>
        <w:rPr>
          <w:rFonts w:ascii="宋体" w:hAnsi="宋体" w:cs="宋体"/>
          <w:bCs/>
          <w:color w:val="auto"/>
          <w:szCs w:val="21"/>
          <w:highlight w:val="none"/>
          <w:u w:val="single"/>
        </w:rPr>
      </w:pPr>
      <w:r>
        <w:rPr>
          <w:rFonts w:hint="eastAsia" w:ascii="宋体" w:hAnsi="宋体" w:cs="宋体"/>
          <w:color w:val="auto"/>
          <w:szCs w:val="21"/>
          <w:highlight w:val="none"/>
        </w:rPr>
        <w:t>广西政府采购云平台合同编号：</w:t>
      </w:r>
      <w:r>
        <w:rPr>
          <w:rFonts w:hint="eastAsia" w:ascii="宋体" w:hAnsi="宋体" w:cs="宋体"/>
          <w:color w:val="auto"/>
          <w:szCs w:val="21"/>
          <w:highlight w:val="none"/>
          <w:u w:val="single"/>
        </w:rPr>
        <w:t xml:space="preserve">                    </w:t>
      </w:r>
    </w:p>
    <w:p w14:paraId="5FA596BA">
      <w:pPr>
        <w:snapToGrid w:val="0"/>
        <w:spacing w:line="360" w:lineRule="exact"/>
        <w:rPr>
          <w:rFonts w:ascii="宋体" w:hAnsi="宋体" w:cs="宋体"/>
          <w:color w:val="auto"/>
          <w:szCs w:val="21"/>
          <w:highlight w:val="none"/>
        </w:rPr>
      </w:pPr>
    </w:p>
    <w:p w14:paraId="214D39DC">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采购人（甲方）：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广西壮族自治区中医药研究院</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pacing w:val="-20"/>
          <w:szCs w:val="21"/>
          <w:highlight w:val="none"/>
        </w:rPr>
        <w:t>采 购 计 划 号</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14CFFE3C">
      <w:pPr>
        <w:snapToGrid w:val="0"/>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供应商（乙方）：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项目编号</w:t>
      </w:r>
      <w:r>
        <w:rPr>
          <w:rFonts w:hint="eastAsia" w:ascii="宋体" w:hAnsi="宋体" w:cs="宋体"/>
          <w:color w:val="auto"/>
          <w:spacing w:val="-20"/>
          <w:szCs w:val="21"/>
          <w:highlight w:val="none"/>
        </w:rPr>
        <w:t>：</w:t>
      </w:r>
      <w:r>
        <w:rPr>
          <w:rFonts w:hint="eastAsia" w:ascii="宋体" w:hAnsi="宋体" w:cs="宋体"/>
          <w:color w:val="auto"/>
          <w:szCs w:val="21"/>
          <w:highlight w:val="none"/>
          <w:u w:val="single"/>
          <w:lang w:eastAsia="zh-CN"/>
        </w:rPr>
        <w:t>GXZC2025-G3-003287-GTZB</w:t>
      </w:r>
    </w:p>
    <w:p w14:paraId="6D1F91A0">
      <w:pPr>
        <w:spacing w:line="360" w:lineRule="auto"/>
        <w:rPr>
          <w:rFonts w:ascii="宋体" w:hAnsi="宋体" w:cs="宋体"/>
          <w:color w:val="auto"/>
          <w:highlight w:val="none"/>
        </w:rPr>
      </w:pPr>
      <w:r>
        <w:rPr>
          <w:rFonts w:hint="eastAsia" w:ascii="宋体" w:hAnsi="宋体" w:cs="宋体"/>
          <w:color w:val="auto"/>
          <w:szCs w:val="21"/>
          <w:highlight w:val="none"/>
        </w:rPr>
        <w:t>签订地点：</w:t>
      </w:r>
      <w:r>
        <w:rPr>
          <w:rFonts w:hint="eastAsia" w:ascii="宋体" w:hAnsi="宋体" w:cs="宋体"/>
          <w:color w:val="auto"/>
          <w:szCs w:val="21"/>
          <w:highlight w:val="none"/>
          <w:u w:val="single"/>
          <w:lang w:eastAsia="zh-CN"/>
        </w:rPr>
        <w:t>南宁市东葛路20-1号</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eastAsia="zh-CN"/>
        </w:rPr>
        <w:t>广西壮族自治区中医药研究院</w:t>
      </w:r>
      <w:r>
        <w:rPr>
          <w:rFonts w:hint="eastAsia" w:ascii="宋体" w:hAnsi="宋体" w:cs="宋体"/>
          <w:color w:val="auto"/>
          <w:szCs w:val="21"/>
          <w:highlight w:val="none"/>
          <w:u w:val="single"/>
        </w:rPr>
        <w:t>）</w:t>
      </w:r>
      <w:r>
        <w:rPr>
          <w:rFonts w:hint="eastAsia" w:ascii="宋体" w:hAnsi="宋体" w:cs="宋体"/>
          <w:color w:val="auto"/>
          <w:szCs w:val="21"/>
          <w:highlight w:val="none"/>
        </w:rPr>
        <w:t xml:space="preserve">  签订时间：</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14A1E76A">
      <w:pPr>
        <w:spacing w:line="360" w:lineRule="auto"/>
        <w:rPr>
          <w:rFonts w:ascii="宋体" w:hAnsi="宋体" w:cs="宋体"/>
          <w:color w:val="auto"/>
          <w:szCs w:val="21"/>
          <w:highlight w:val="none"/>
        </w:rPr>
      </w:pPr>
      <w:r>
        <w:rPr>
          <w:rFonts w:hint="eastAsia" w:ascii="宋体" w:hAnsi="宋体" w:cs="宋体"/>
          <w:color w:val="auto"/>
          <w:szCs w:val="21"/>
          <w:highlight w:val="none"/>
        </w:rPr>
        <w:t>本合同为中小企业预留合同：</w:t>
      </w:r>
      <w:r>
        <w:rPr>
          <w:rFonts w:hint="eastAsia" w:ascii="宋体" w:hAnsi="宋体" w:cs="宋体"/>
          <w:color w:val="auto"/>
          <w:szCs w:val="21"/>
          <w:highlight w:val="none"/>
          <w:u w:val="single"/>
          <w:lang w:eastAsia="zh-CN"/>
        </w:rPr>
        <w:t>是</w:t>
      </w:r>
      <w:r>
        <w:rPr>
          <w:rFonts w:hint="eastAsia" w:ascii="宋体" w:hAnsi="宋体" w:cs="宋体"/>
          <w:color w:val="auto"/>
          <w:szCs w:val="21"/>
          <w:highlight w:val="none"/>
        </w:rPr>
        <w:t>。</w:t>
      </w:r>
    </w:p>
    <w:p w14:paraId="64E14A1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根据《中华人民共和国政府采购法》《中华人民共和国民法典》等法律、法规规定，按照招标文件（招标文件）规定条款和中标（成交）供应商承诺，甲乙双方签订本合同。</w:t>
      </w:r>
    </w:p>
    <w:p w14:paraId="3F728111">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第一条　合同标的</w:t>
      </w:r>
    </w:p>
    <w:p w14:paraId="5D57F2DC">
      <w:pPr>
        <w:pStyle w:val="7"/>
        <w:spacing w:line="400" w:lineRule="exact"/>
        <w:ind w:firstLine="420" w:firstLineChars="200"/>
        <w:rPr>
          <w:rFonts w:hint="eastAsia"/>
          <w:color w:val="auto"/>
          <w:highlight w:val="none"/>
        </w:rPr>
      </w:pPr>
      <w:r>
        <w:rPr>
          <w:rFonts w:hint="eastAsia"/>
          <w:color w:val="auto"/>
          <w:highlight w:val="none"/>
        </w:rPr>
        <w:t>1.本合同的标的为招标（采购）文件中所列相关品种中药饮片供应及相关服务。投标服务的技术规范应与招标（采购）文件规定的采购需求、参数及技术规范相一致。若无相应说明，国家有关部门相关管理规范或标准在合同期内有更新的，应适用最新标准。</w:t>
      </w:r>
    </w:p>
    <w:p w14:paraId="4B9665B9">
      <w:pPr>
        <w:pStyle w:val="7"/>
        <w:spacing w:line="400" w:lineRule="exact"/>
        <w:ind w:firstLine="420" w:firstLineChars="200"/>
        <w:rPr>
          <w:color w:val="auto"/>
          <w:highlight w:val="none"/>
        </w:rPr>
      </w:pPr>
      <w:r>
        <w:rPr>
          <w:rFonts w:hint="eastAsia"/>
          <w:color w:val="auto"/>
          <w:highlight w:val="none"/>
        </w:rPr>
        <w:t>2.供货种类：具体见合同附件“开标一览表”；乙方的各中药饮片中标单价作为各中药饮片的结算单价。</w:t>
      </w:r>
    </w:p>
    <w:p w14:paraId="1E01E287">
      <w:pPr>
        <w:snapToGrid w:val="0"/>
        <w:spacing w:line="4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第二条　质量要求</w:t>
      </w:r>
    </w:p>
    <w:p w14:paraId="177C286F">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所供应中药饮片的质量应符合国家药品标准或药品监督管理部门制定的标准以及样品的质量。乙方所供应中药饮片质量保证期应不低于药品有效期。若甲乙双方对质量有争议，双方应共同委托广西区内市级以上药检机构检验检测，检验检测报告作为评判中药饮片质量依据。检验检测的费用由乙方先行垫付，如检验检测结果为不符合标准的，由乙方承担检测费用及违约责任；若检验检测结果为符合标准的，由甲方承担费用。</w:t>
      </w:r>
    </w:p>
    <w:p w14:paraId="2C087DD8">
      <w:pPr>
        <w:snapToGrid w:val="0"/>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2.乙方中药饮片供应及相关服务应与招标（采购）文件规定采购需求及投标文件中投标响应表一致。</w:t>
      </w:r>
    </w:p>
    <w:p w14:paraId="103BD0DF">
      <w:pPr>
        <w:snapToGrid w:val="0"/>
        <w:spacing w:line="400" w:lineRule="exact"/>
        <w:ind w:firstLine="422" w:firstLineChars="200"/>
        <w:rPr>
          <w:rFonts w:ascii="宋体" w:hAnsi="宋体" w:cs="宋体"/>
          <w:color w:val="auto"/>
          <w:szCs w:val="21"/>
          <w:highlight w:val="none"/>
        </w:rPr>
      </w:pPr>
      <w:r>
        <w:rPr>
          <w:rFonts w:hint="eastAsia" w:ascii="宋体" w:hAnsi="宋体"/>
          <w:b/>
          <w:color w:val="auto"/>
          <w:szCs w:val="21"/>
          <w:highlight w:val="none"/>
        </w:rPr>
        <w:t>第三条  供货价格</w:t>
      </w:r>
    </w:p>
    <w:p w14:paraId="24F811E7">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rPr>
        <w:t>1.招标的中标价格为中药饮片供货价格，乙方不得以任何理由申请调高价格，如遇国家政策调整相关品</w:t>
      </w:r>
      <w:r>
        <w:rPr>
          <w:rFonts w:hint="eastAsia" w:ascii="宋体" w:hAnsi="宋体" w:eastAsia="宋体" w:cs="宋体"/>
          <w:color w:val="auto"/>
          <w:szCs w:val="21"/>
          <w:highlight w:val="none"/>
        </w:rPr>
        <w:t>种价格低于中标价的乙方需按政策调低价格。</w:t>
      </w:r>
    </w:p>
    <w:p w14:paraId="21361530">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2.签订合同后，除与国家政策相冲突以外，合同履约服务期内中标单价不能增涨。</w:t>
      </w:r>
    </w:p>
    <w:p w14:paraId="79B5368E">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3.甲方不承诺业务量，最终结算金额以实际发生采购量×中标单价为准。</w:t>
      </w:r>
    </w:p>
    <w:p w14:paraId="6B1199CA">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合同</w:t>
      </w:r>
      <w:r>
        <w:rPr>
          <w:rFonts w:hint="eastAsia" w:ascii="宋体" w:hAnsi="宋体" w:eastAsia="宋体" w:cs="宋体"/>
          <w:b w:val="0"/>
          <w:color w:val="auto"/>
          <w:sz w:val="21"/>
          <w:szCs w:val="21"/>
          <w:highlight w:val="none"/>
        </w:rPr>
        <w:t>价款</w:t>
      </w:r>
    </w:p>
    <w:p w14:paraId="7DF94D90">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合同总价</w:t>
      </w:r>
      <w:r>
        <w:rPr>
          <w:rFonts w:hint="eastAsia" w:ascii="宋体" w:hAnsi="宋体" w:eastAsia="宋体" w:cs="宋体"/>
          <w:color w:val="auto"/>
          <w:sz w:val="21"/>
          <w:szCs w:val="21"/>
          <w:highlight w:val="none"/>
        </w:rPr>
        <w:t>为：大写人民币</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，含税）。</w:t>
      </w:r>
      <w:r>
        <w:rPr>
          <w:rFonts w:hint="eastAsia" w:ascii="宋体" w:hAnsi="宋体" w:cs="宋体"/>
          <w:color w:val="auto"/>
          <w:sz w:val="21"/>
          <w:szCs w:val="21"/>
          <w:highlight w:val="none"/>
          <w:lang w:eastAsia="zh-CN"/>
        </w:rPr>
        <w:t>结算总金额=</w:t>
      </w:r>
      <w:r>
        <w:rPr>
          <w:rFonts w:hint="eastAsia" w:ascii="宋体" w:hAnsi="宋体" w:cs="宋体"/>
          <w:color w:val="auto"/>
          <w:sz w:val="21"/>
          <w:szCs w:val="21"/>
          <w:highlight w:val="none"/>
          <w:lang w:val="en-US" w:eastAsia="zh-CN"/>
        </w:rPr>
        <w:t>实际使用</w:t>
      </w:r>
      <w:r>
        <w:rPr>
          <w:rFonts w:hint="eastAsia" w:ascii="宋体" w:hAnsi="宋体" w:cs="宋体"/>
          <w:color w:val="auto"/>
          <w:sz w:val="21"/>
          <w:szCs w:val="21"/>
          <w:highlight w:val="none"/>
          <w:lang w:eastAsia="zh-CN"/>
        </w:rPr>
        <w:t>数量×</w:t>
      </w:r>
      <w:r>
        <w:rPr>
          <w:rFonts w:hint="eastAsia" w:ascii="宋体" w:hAnsi="宋体" w:cs="宋体"/>
          <w:color w:val="auto"/>
          <w:sz w:val="21"/>
          <w:szCs w:val="21"/>
          <w:highlight w:val="none"/>
          <w:lang w:val="en-US" w:eastAsia="zh-CN"/>
        </w:rPr>
        <w:t>中标</w:t>
      </w:r>
      <w:r>
        <w:rPr>
          <w:rFonts w:hint="eastAsia" w:ascii="宋体" w:hAnsi="宋体" w:cs="宋体"/>
          <w:color w:val="auto"/>
          <w:sz w:val="21"/>
          <w:szCs w:val="21"/>
          <w:highlight w:val="none"/>
          <w:lang w:eastAsia="zh-CN"/>
        </w:rPr>
        <w:t>单价。</w:t>
      </w:r>
    </w:p>
    <w:p w14:paraId="11BA75A1">
      <w:pPr>
        <w:snapToGrid w:val="0"/>
        <w:spacing w:line="400" w:lineRule="exact"/>
        <w:ind w:firstLine="420" w:firstLineChars="200"/>
        <w:rPr>
          <w:rFonts w:hint="eastAsia" w:ascii="宋体" w:hAnsi="宋体" w:eastAsia="宋体" w:cs="宋体"/>
          <w:b w:val="0"/>
          <w:color w:val="auto"/>
          <w:szCs w:val="21"/>
          <w:highlight w:val="none"/>
          <w:lang w:eastAsia="zh-CN"/>
        </w:rPr>
      </w:pPr>
      <w:r>
        <w:rPr>
          <w:rFonts w:hint="eastAsia" w:ascii="宋体" w:hAnsi="宋体" w:eastAsia="宋体" w:cs="宋体"/>
          <w:color w:val="auto"/>
          <w:sz w:val="21"/>
          <w:szCs w:val="21"/>
          <w:highlight w:val="none"/>
          <w:lang w:val="en-US" w:eastAsia="zh-CN"/>
        </w:rPr>
        <w:t>合同单价</w:t>
      </w:r>
      <w:r>
        <w:rPr>
          <w:rFonts w:hint="eastAsia" w:ascii="宋体" w:hAnsi="宋体" w:eastAsia="宋体" w:cs="宋体"/>
          <w:color w:val="auto"/>
          <w:sz w:val="21"/>
          <w:szCs w:val="21"/>
          <w:highlight w:val="none"/>
        </w:rPr>
        <w:t>为：大写人民币</w:t>
      </w:r>
      <w:r>
        <w:rPr>
          <w:rFonts w:hint="eastAsia" w:ascii="宋体" w:hAnsi="宋体" w:eastAsia="宋体" w:cs="宋体"/>
          <w:color w:val="auto"/>
          <w:sz w:val="21"/>
          <w:szCs w:val="21"/>
          <w:highlight w:val="none"/>
          <w:u w:val="none"/>
        </w:rPr>
        <w:t xml:space="preserve"> 具体见合同附件“开标一览表”</w:t>
      </w:r>
      <w:r>
        <w:rPr>
          <w:rFonts w:hint="eastAsia" w:ascii="宋体" w:hAnsi="宋体" w:eastAsia="宋体" w:cs="宋体"/>
          <w:color w:val="auto"/>
          <w:sz w:val="21"/>
          <w:szCs w:val="21"/>
          <w:highlight w:val="none"/>
        </w:rPr>
        <w:t>，含税</w:t>
      </w:r>
      <w:r>
        <w:rPr>
          <w:rFonts w:hint="eastAsia" w:ascii="宋体" w:hAnsi="宋体" w:eastAsia="宋体" w:cs="宋体"/>
          <w:color w:val="auto"/>
          <w:sz w:val="21"/>
          <w:szCs w:val="21"/>
          <w:highlight w:val="none"/>
          <w:lang w:eastAsia="zh-CN"/>
        </w:rPr>
        <w:t>。</w:t>
      </w:r>
    </w:p>
    <w:p w14:paraId="6A9137D7">
      <w:pPr>
        <w:snapToGrid w:val="0"/>
        <w:spacing w:line="400" w:lineRule="exact"/>
        <w:ind w:firstLine="422" w:firstLineChars="200"/>
        <w:rPr>
          <w:rFonts w:hint="eastAsia" w:ascii="宋体" w:hAnsi="宋体" w:cs="Times New Roman"/>
          <w:b/>
          <w:color w:val="auto"/>
          <w:szCs w:val="21"/>
          <w:highlight w:val="none"/>
        </w:rPr>
      </w:pPr>
      <w:r>
        <w:rPr>
          <w:rFonts w:hint="eastAsia" w:ascii="宋体" w:hAnsi="宋体" w:cs="Times New Roman"/>
          <w:b/>
          <w:color w:val="auto"/>
          <w:szCs w:val="21"/>
          <w:highlight w:val="none"/>
        </w:rPr>
        <w:t>第四条  供货要求</w:t>
      </w:r>
    </w:p>
    <w:p w14:paraId="1A67601F">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乙方根据甲方每次出具的釆购计划数量进行分批供货，乙方每次接到甲方供货通知单后，在甲方指定的时间（一般用药务必在2个工作日内，紧急用药在4小时内）和地点交付产地、质量、包装、有效期等均符合条件的药品，且产品外包装标签上必须标示有品名、规格、产地、等级、生产企业、产品批号、生产日期并附质量合格标志。中药饮片出库单须与药品同行并附上与药品批次对应的成品检验报告单。甲方根据中药饮片验收时的质量状况确定是否收货或者退货。</w:t>
      </w:r>
    </w:p>
    <w:p w14:paraId="31F6AED3">
      <w:pPr>
        <w:snapToGrid w:val="0"/>
        <w:spacing w:line="400" w:lineRule="exact"/>
        <w:ind w:firstLine="422" w:firstLineChars="200"/>
        <w:rPr>
          <w:rFonts w:hint="eastAsia" w:ascii="宋体" w:hAnsi="宋体" w:cs="Times New Roman"/>
          <w:b/>
          <w:color w:val="auto"/>
          <w:szCs w:val="21"/>
          <w:highlight w:val="none"/>
        </w:rPr>
      </w:pPr>
      <w:r>
        <w:rPr>
          <w:rFonts w:hint="eastAsia" w:ascii="宋体" w:hAnsi="宋体" w:cs="Times New Roman"/>
          <w:b/>
          <w:color w:val="auto"/>
          <w:szCs w:val="21"/>
          <w:highlight w:val="none"/>
        </w:rPr>
        <w:t>第五条  药品验收</w:t>
      </w:r>
    </w:p>
    <w:p w14:paraId="48ECF14F">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甲方按照合同有关标准和甲方中药饮片入库验收制度和流程进行入库验收，对不符合质量标准的药品有权拒绝接收，乙方应在3日内及时更换质量合格的药品。甲方入库验收合格仅作为中药饮片表面质量验收，并不代表甲方对内在质量的确认。如经甲方或有资质机构的检验检测发现已经入库中药饮片存在质量问题的，乙方不能以入库验收合格作为否认质量问题的依据。</w:t>
      </w:r>
    </w:p>
    <w:p w14:paraId="58A439CE">
      <w:pPr>
        <w:snapToGrid w:val="0"/>
        <w:spacing w:line="400" w:lineRule="exact"/>
        <w:ind w:firstLine="422" w:firstLineChars="200"/>
        <w:rPr>
          <w:rFonts w:hint="eastAsia" w:ascii="宋体" w:hAnsi="宋体" w:cs="Times New Roman"/>
          <w:b/>
          <w:color w:val="auto"/>
          <w:szCs w:val="21"/>
          <w:highlight w:val="none"/>
        </w:rPr>
      </w:pPr>
      <w:r>
        <w:rPr>
          <w:rFonts w:hint="eastAsia" w:ascii="宋体" w:hAnsi="宋体" w:cs="Times New Roman"/>
          <w:b/>
          <w:color w:val="auto"/>
          <w:szCs w:val="21"/>
          <w:highlight w:val="none"/>
        </w:rPr>
        <w:t>第六条  货款结算</w:t>
      </w:r>
    </w:p>
    <w:p w14:paraId="10173824">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1.本项目合同无预付款。</w:t>
      </w:r>
    </w:p>
    <w:p w14:paraId="51BA1037">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2.合同履行期间，按采购计划分批次交货，每批次交货验收合格按合同规定的时间内付清该批货款；乙方每月15日-20日与甲方的药库进行对账，甲方结清每批次货款前，乙方必须提供对应金额的合法、有效发票给甲方。</w:t>
      </w:r>
    </w:p>
    <w:p w14:paraId="29540B1F">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3.甲方以转账、承兑汇票等方式付清该批货款。货款金额按照中标价格*实际采购数量确定。</w:t>
      </w:r>
    </w:p>
    <w:p w14:paraId="3805F2AD">
      <w:pPr>
        <w:snapToGrid w:val="0"/>
        <w:spacing w:line="400" w:lineRule="exact"/>
        <w:ind w:firstLine="422" w:firstLineChars="200"/>
        <w:rPr>
          <w:rFonts w:hint="eastAsia" w:ascii="宋体" w:hAnsi="宋体" w:cs="Times New Roman"/>
          <w:b/>
          <w:color w:val="auto"/>
          <w:szCs w:val="21"/>
          <w:highlight w:val="none"/>
        </w:rPr>
      </w:pPr>
      <w:r>
        <w:rPr>
          <w:rFonts w:hint="eastAsia" w:ascii="宋体" w:hAnsi="宋体" w:cs="Times New Roman"/>
          <w:b/>
          <w:color w:val="auto"/>
          <w:szCs w:val="21"/>
          <w:highlight w:val="none"/>
        </w:rPr>
        <w:t>第七条  履约保证</w:t>
      </w:r>
    </w:p>
    <w:p w14:paraId="1D185EDA">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1.合同双方在执行本合同时，应严格遵守国家相关法律、法规有关规定。因一方违反国家相关法规而给对方造成不良后果及损失的，有过错方承担赔偿责任；双方都有过错的，各自承担相应的责任。</w:t>
      </w:r>
    </w:p>
    <w:p w14:paraId="2FCAD4FD">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2.甲方必须按合同约定执行，无正当理由不得终止合同。</w:t>
      </w:r>
    </w:p>
    <w:p w14:paraId="01FA060D">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3.甲方须按照合同规定及时结算货款。</w:t>
      </w:r>
    </w:p>
    <w:p w14:paraId="058A71DF">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4.乙方应保证有足够的备货数量，以免产生缺货现象，并且按购销合同向甲方供应药品。</w:t>
      </w:r>
    </w:p>
    <w:p w14:paraId="5171DC71">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5.乙方所供应药品的质量应符合国家和合同约定的标准。甲方对不符合要求的中药饮片有权拒收，乙方负责退换货、更换新批次等方式处理。</w:t>
      </w:r>
    </w:p>
    <w:p w14:paraId="4F3A848B">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6.乙方投入至少一辆配送车辆，并配备至少两名配送人员提供现场搬运、入库、开箱、上架等伴随服务；安排至少一名固定人员在医院进行质量跟踪服务，随时了解产品使用情况，解决医院需求。</w:t>
      </w:r>
    </w:p>
    <w:p w14:paraId="1A8508E0">
      <w:pPr>
        <w:snapToGrid w:val="0"/>
        <w:spacing w:line="400" w:lineRule="exact"/>
        <w:ind w:firstLine="422" w:firstLineChars="200"/>
        <w:rPr>
          <w:rFonts w:hint="eastAsia" w:ascii="宋体" w:hAnsi="宋体" w:cs="Times New Roman"/>
          <w:b/>
          <w:color w:val="auto"/>
          <w:szCs w:val="21"/>
          <w:highlight w:val="none"/>
        </w:rPr>
      </w:pPr>
      <w:r>
        <w:rPr>
          <w:rFonts w:hint="eastAsia" w:ascii="宋体" w:hAnsi="宋体" w:cs="Times New Roman"/>
          <w:b/>
          <w:color w:val="auto"/>
          <w:szCs w:val="21"/>
          <w:highlight w:val="none"/>
        </w:rPr>
        <w:t>第八条 违约责任</w:t>
      </w:r>
    </w:p>
    <w:p w14:paraId="6C94E7A8">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1.甲方发出的订单通知经乙方确认后违反合同拒绝供货或药品入库验收、检验检测不合格的，乙方应按订单金额的30%向甲方支付违约金，并赔偿甲方的损失。如乙方的违约次数达到三次（不含本条款第4项）的，甲方有权单方解除合同，乙方应赔偿甲方的损失。</w:t>
      </w:r>
    </w:p>
    <w:p w14:paraId="45FBDE0B">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2.甲方无正当理由违反合同规定拒绝收货或违约付款的，甲方应当承担乙方由此造成的损失。</w:t>
      </w:r>
    </w:p>
    <w:p w14:paraId="68281F65">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3.因乙方原因，药品检验部门在甲方药房药库抽检药品时发现的质量问题，由乙方承担相应的责任（包括但不限于药品检验部门的处罚、对第三人的赔偿、甲方为应对第三人索赔而支出的诉讼费、保全费、律师费等）。但如因甲方使用、保存、养护不当等原因造成药品变质产生产品质量问题，由甲方承担相应的责任。</w:t>
      </w:r>
    </w:p>
    <w:p w14:paraId="272FABD8">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4.中药饮片品种一旦中标确定，不得无故不予配送。乙方必须交付与投标时承诺的质量相同的中药饮片，验收时如发现与投标时承诺的质量要求不相符的，予以退货处理。一个月内若不按规定时间配送，乙方向采购人按下列约定支付违约金：第一次1000元，第二次3000元，第三次5000元，第四次10000元，第五次及以上20000元/次，5次以上不按规定时间配送，甲方有权单方面终止合同，并书面通知乙方。</w:t>
      </w:r>
    </w:p>
    <w:p w14:paraId="78803CF9">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5.本合同中所称的甲方的损失包括但不限于甲方为应对第三人索赔或向乙方主张权利而支出的诉讼费、保全费、律师费。</w:t>
      </w:r>
    </w:p>
    <w:p w14:paraId="488E60CC">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6.招投标及合同履行过程中，如乙方存在违约、违法行为的，甲方将按照其内部相关规定纳入供应商评价和黑名单。</w:t>
      </w:r>
    </w:p>
    <w:p w14:paraId="5E92F06E">
      <w:pPr>
        <w:snapToGrid w:val="0"/>
        <w:spacing w:line="400" w:lineRule="exact"/>
        <w:ind w:firstLine="422" w:firstLineChars="200"/>
        <w:rPr>
          <w:rFonts w:hint="eastAsia" w:ascii="宋体" w:hAnsi="宋体" w:cs="Times New Roman"/>
          <w:b/>
          <w:color w:val="auto"/>
          <w:szCs w:val="21"/>
          <w:highlight w:val="none"/>
        </w:rPr>
      </w:pPr>
      <w:r>
        <w:rPr>
          <w:rFonts w:hint="eastAsia" w:ascii="宋体" w:hAnsi="宋体" w:cs="Times New Roman"/>
          <w:b/>
          <w:color w:val="auto"/>
          <w:szCs w:val="21"/>
          <w:highlight w:val="none"/>
        </w:rPr>
        <w:t>第九条 不可抗力</w:t>
      </w:r>
    </w:p>
    <w:p w14:paraId="2F570FFE">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1.合同双方或一方因不可抗力而导致合同实施延误或不能履行合同义务，不承担误期赔偿或终止合同的责任。不可抗力包括但不限于：战争、严重火灾、洪水、台风、地震及其它双方商定的事件。受影响方需在事件发生后3日内书面通知对方说明不可抗力事由、影响、应对方案和影响期限，并提供证明文件。</w:t>
      </w:r>
    </w:p>
    <w:p w14:paraId="1EF58B98">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2.在不可抗力事件发生后，合同双方应以书面形式将不可抗力的情况和原因通知对方。合同双方应尽实际可能继续履行合同义务，以及寻求采取合理的方案履行不受不可抗力影响的其他事项。不可抗力事件影响消除后，双方可通过协商在合理的时间内达成进一步履行合同的协议。</w:t>
      </w:r>
    </w:p>
    <w:p w14:paraId="2C819FAD">
      <w:pPr>
        <w:snapToGrid w:val="0"/>
        <w:spacing w:line="400" w:lineRule="exact"/>
        <w:ind w:firstLine="422" w:firstLineChars="200"/>
        <w:rPr>
          <w:rFonts w:hint="eastAsia" w:ascii="宋体" w:hAnsi="宋体" w:cs="Times New Roman"/>
          <w:b/>
          <w:color w:val="auto"/>
          <w:szCs w:val="21"/>
          <w:highlight w:val="none"/>
        </w:rPr>
      </w:pPr>
      <w:r>
        <w:rPr>
          <w:rFonts w:hint="eastAsia" w:ascii="宋体" w:hAnsi="宋体" w:cs="Times New Roman"/>
          <w:b/>
          <w:color w:val="auto"/>
          <w:szCs w:val="21"/>
          <w:highlight w:val="none"/>
        </w:rPr>
        <w:t>第十条 合同的变更及解除</w:t>
      </w:r>
    </w:p>
    <w:p w14:paraId="49533DBF">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由于乙方企业关、停、并、转的原因造成合同不能履行的，双方可以协商解除合同。乙方应按药品购销合同中甲方规定的时间配送药品，如乙方不能按时配送药品时，应及时告知甲方，并以书面形式将拖延的事实、可能拖延的时间和原因通知甲方，甲方在收到乙方通知后核实并酌情给予乙方延长交货时间。乙方拖延交货超过7日且未提前通知并取得甲方同意的，甲方有权单方解除合同并要求赔偿损失。</w:t>
      </w:r>
    </w:p>
    <w:p w14:paraId="60ABF438">
      <w:pPr>
        <w:snapToGrid w:val="0"/>
        <w:spacing w:line="400" w:lineRule="exact"/>
        <w:ind w:firstLine="422" w:firstLineChars="200"/>
        <w:rPr>
          <w:rFonts w:hint="eastAsia" w:ascii="宋体" w:hAnsi="宋体" w:cs="Times New Roman"/>
          <w:b/>
          <w:color w:val="auto"/>
          <w:szCs w:val="21"/>
          <w:highlight w:val="none"/>
        </w:rPr>
      </w:pPr>
      <w:r>
        <w:rPr>
          <w:rFonts w:hint="eastAsia" w:ascii="宋体" w:hAnsi="宋体" w:cs="Times New Roman"/>
          <w:b/>
          <w:color w:val="auto"/>
          <w:szCs w:val="21"/>
          <w:highlight w:val="none"/>
        </w:rPr>
        <w:t>第十一条  药品召回</w:t>
      </w:r>
    </w:p>
    <w:p w14:paraId="1403D68E">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乙方应建立药品质量追溯体系，若药品存在安全隐患，需在24小时内通知甲方并主动召回，并承担全部费用。</w:t>
      </w:r>
    </w:p>
    <w:p w14:paraId="6CB434DB">
      <w:pPr>
        <w:snapToGrid w:val="0"/>
        <w:spacing w:line="400" w:lineRule="exact"/>
        <w:ind w:firstLine="422" w:firstLineChars="200"/>
        <w:rPr>
          <w:rFonts w:hint="eastAsia" w:ascii="宋体" w:hAnsi="宋体" w:cs="Times New Roman"/>
          <w:b/>
          <w:color w:val="auto"/>
          <w:szCs w:val="21"/>
          <w:highlight w:val="none"/>
        </w:rPr>
      </w:pPr>
      <w:r>
        <w:rPr>
          <w:rFonts w:hint="eastAsia" w:ascii="宋体" w:hAnsi="宋体" w:cs="Times New Roman"/>
          <w:b/>
          <w:color w:val="auto"/>
          <w:szCs w:val="21"/>
          <w:highlight w:val="none"/>
        </w:rPr>
        <w:t>第十二条  保密条款</w:t>
      </w:r>
    </w:p>
    <w:p w14:paraId="196C6D21">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双方对合同内容及交易信息保密，保密义务持续至合同终止后5年。</w:t>
      </w:r>
    </w:p>
    <w:p w14:paraId="0F05996B">
      <w:pPr>
        <w:snapToGrid w:val="0"/>
        <w:spacing w:line="400" w:lineRule="exact"/>
        <w:ind w:firstLine="422" w:firstLineChars="200"/>
        <w:rPr>
          <w:rFonts w:hint="eastAsia" w:ascii="宋体" w:hAnsi="宋体" w:cs="Times New Roman"/>
          <w:b/>
          <w:color w:val="auto"/>
          <w:szCs w:val="21"/>
          <w:highlight w:val="none"/>
        </w:rPr>
      </w:pPr>
      <w:r>
        <w:rPr>
          <w:rFonts w:hint="eastAsia" w:ascii="宋体" w:hAnsi="宋体" w:cs="Times New Roman"/>
          <w:b/>
          <w:color w:val="auto"/>
          <w:szCs w:val="21"/>
          <w:highlight w:val="none"/>
        </w:rPr>
        <w:t>第十三条  合同文件组成</w:t>
      </w:r>
    </w:p>
    <w:p w14:paraId="3EEF75C4">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本合同的招标文件（含招标答疑）、符合招标要求的投标文件、中标通知书、本合同履行过程中双方签章确认的协议或其他文件均为本合同的组成部分。若合同组成文件之间发生矛盾的，以下排列顺序为合同组成文件之间的优先解释顺序：</w:t>
      </w:r>
    </w:p>
    <w:p w14:paraId="09EB3A5C">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1.本合同及其附件；</w:t>
      </w:r>
    </w:p>
    <w:p w14:paraId="2CFAF3E0">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2.合同履行过程中双方签章确认的协议或其他文件；</w:t>
      </w:r>
    </w:p>
    <w:p w14:paraId="731A3BF3">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3.符合招标要求的投标文件；</w:t>
      </w:r>
    </w:p>
    <w:p w14:paraId="1CB5E4BF">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4.招标文件(招标答疑)；</w:t>
      </w:r>
    </w:p>
    <w:p w14:paraId="525FD45C">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5.中标通知书；</w:t>
      </w:r>
    </w:p>
    <w:p w14:paraId="7C7ABEE0">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6.国家及地方强制标准、规范及有关技术文件；</w:t>
      </w:r>
    </w:p>
    <w:p w14:paraId="3040AA91">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7.其他合同文件。</w:t>
      </w:r>
    </w:p>
    <w:p w14:paraId="03A0E701">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前述文件应认为是互为补充和解释的，如有互相矛盾之处，以前述文件所列顺序作为其优先解释的顺序，但如果某一文件对甲方权利维护更有利或对乙方有更高、更严格要求的以该文件内容为准。</w:t>
      </w:r>
    </w:p>
    <w:p w14:paraId="6B26C30D">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前述各项文件包括双方就该合同组成文件所作出的补充和修改，属于同一项文件的，应以最新签署的为准。</w:t>
      </w:r>
    </w:p>
    <w:p w14:paraId="359D73BC">
      <w:pPr>
        <w:snapToGrid w:val="0"/>
        <w:spacing w:line="400" w:lineRule="exact"/>
        <w:ind w:firstLine="422" w:firstLineChars="200"/>
        <w:rPr>
          <w:rFonts w:hint="eastAsia" w:ascii="宋体" w:hAnsi="宋体" w:cs="Times New Roman"/>
          <w:b/>
          <w:color w:val="auto"/>
          <w:szCs w:val="21"/>
          <w:highlight w:val="none"/>
        </w:rPr>
      </w:pPr>
      <w:r>
        <w:rPr>
          <w:rFonts w:hint="eastAsia" w:ascii="宋体" w:hAnsi="宋体" w:cs="Times New Roman"/>
          <w:b/>
          <w:color w:val="auto"/>
          <w:szCs w:val="21"/>
          <w:highlight w:val="none"/>
        </w:rPr>
        <w:t>第十四条  交易约定取代及书面修订</w:t>
      </w:r>
    </w:p>
    <w:p w14:paraId="3C2B3F85">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本合同及其所附文件构成各方关于药品购销交易之全部协议，且取代所有之前与该等交易有关的各方之间口头或书面的约定。如需要补充或修订，合同各方需在日后以书面形式作出；非经书面形式的补充和修订，不构成对本合同的有效修改。</w:t>
      </w:r>
    </w:p>
    <w:p w14:paraId="419054B2">
      <w:pPr>
        <w:snapToGrid w:val="0"/>
        <w:spacing w:line="400" w:lineRule="exact"/>
        <w:ind w:firstLine="422" w:firstLineChars="200"/>
        <w:rPr>
          <w:rFonts w:hint="eastAsia" w:ascii="宋体" w:hAnsi="宋体" w:cs="Times New Roman"/>
          <w:b/>
          <w:color w:val="auto"/>
          <w:szCs w:val="21"/>
          <w:highlight w:val="none"/>
        </w:rPr>
      </w:pPr>
      <w:r>
        <w:rPr>
          <w:rFonts w:hint="eastAsia" w:ascii="宋体" w:hAnsi="宋体" w:cs="Times New Roman"/>
          <w:b/>
          <w:color w:val="auto"/>
          <w:szCs w:val="21"/>
          <w:highlight w:val="none"/>
        </w:rPr>
        <w:t>第十五条  通知及送达</w:t>
      </w:r>
    </w:p>
    <w:p w14:paraId="61CB741C">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1.本合同履行过程中，甲乙双方按照合同尾部所列通讯地址向对方发出的书面通知，以快递形式寄出的，寄出三日后视为对方收到；以邮件、电话、传真、短信、微信形式发出的，发出当天视为对方收到；以其他方式送达的，本合同约定的联系人收到时即视为送达。</w:t>
      </w:r>
    </w:p>
    <w:p w14:paraId="343FB6A3">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2.如双方变更地址的，应当在变更当日以书面形式通知对方，否则对方按本合同地址发出的通知，一经发出并达到上述约定条件即视为送达。</w:t>
      </w:r>
    </w:p>
    <w:p w14:paraId="4CAC03BB">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3.合同双方因履行合同发生争议的，本合同地址可同时作为法院送达司法文书的送达地址。本合同约定的电子送达方式适用于法院送达司法文书。</w:t>
      </w:r>
    </w:p>
    <w:p w14:paraId="7962C122">
      <w:pPr>
        <w:snapToGrid w:val="0"/>
        <w:spacing w:line="400" w:lineRule="exact"/>
        <w:ind w:firstLine="422" w:firstLineChars="200"/>
        <w:rPr>
          <w:rFonts w:hint="eastAsia" w:ascii="宋体" w:hAnsi="宋体" w:cs="Times New Roman"/>
          <w:b/>
          <w:color w:val="auto"/>
          <w:szCs w:val="21"/>
          <w:highlight w:val="none"/>
        </w:rPr>
      </w:pPr>
      <w:r>
        <w:rPr>
          <w:rFonts w:hint="eastAsia" w:ascii="宋体" w:hAnsi="宋体" w:cs="Times New Roman"/>
          <w:b/>
          <w:color w:val="auto"/>
          <w:szCs w:val="21"/>
          <w:highlight w:val="none"/>
        </w:rPr>
        <w:t>第十六条  争议的解决</w:t>
      </w:r>
    </w:p>
    <w:p w14:paraId="11B63EDF">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本合同有关的任何争议，由双方协商解决；协商不成，应将争议提交甲方所在地人民法院裁决。</w:t>
      </w:r>
    </w:p>
    <w:p w14:paraId="3FBE80D5">
      <w:pPr>
        <w:snapToGrid w:val="0"/>
        <w:spacing w:line="400" w:lineRule="exact"/>
        <w:ind w:firstLine="422" w:firstLineChars="200"/>
        <w:rPr>
          <w:rFonts w:hint="eastAsia" w:ascii="宋体" w:hAnsi="宋体" w:cs="Times New Roman"/>
          <w:b/>
          <w:color w:val="auto"/>
          <w:szCs w:val="21"/>
          <w:highlight w:val="none"/>
        </w:rPr>
      </w:pPr>
      <w:r>
        <w:rPr>
          <w:rFonts w:hint="eastAsia" w:ascii="宋体" w:hAnsi="宋体" w:cs="Times New Roman"/>
          <w:b/>
          <w:color w:val="auto"/>
          <w:szCs w:val="21"/>
          <w:highlight w:val="none"/>
        </w:rPr>
        <w:t>第十七条  协议补充</w:t>
      </w:r>
    </w:p>
    <w:p w14:paraId="576BB93A">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本合同未尽事项，双方共同协商，可签订补充协议，补充协议与本合同具有同等法律效力。</w:t>
      </w:r>
    </w:p>
    <w:p w14:paraId="543E0FF4">
      <w:pPr>
        <w:snapToGrid w:val="0"/>
        <w:spacing w:line="400" w:lineRule="exact"/>
        <w:ind w:firstLine="422" w:firstLineChars="200"/>
        <w:rPr>
          <w:rFonts w:hint="eastAsia" w:ascii="宋体" w:hAnsi="宋体" w:cs="Times New Roman"/>
          <w:b/>
          <w:color w:val="auto"/>
          <w:szCs w:val="21"/>
          <w:highlight w:val="none"/>
        </w:rPr>
      </w:pPr>
      <w:r>
        <w:rPr>
          <w:rFonts w:hint="eastAsia" w:ascii="宋体" w:hAnsi="宋体" w:cs="Times New Roman"/>
          <w:b/>
          <w:color w:val="auto"/>
          <w:szCs w:val="21"/>
          <w:highlight w:val="none"/>
        </w:rPr>
        <w:t>第十八条  其他</w:t>
      </w:r>
    </w:p>
    <w:p w14:paraId="0D6727DE">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本合同有效期1年，从</w:t>
      </w:r>
      <w:r>
        <w:rPr>
          <w:rFonts w:hint="eastAsia" w:ascii="宋体" w:hAnsi="宋体" w:cs="宋体"/>
          <w:b w:val="0"/>
          <w:bCs/>
          <w:color w:val="auto"/>
          <w:szCs w:val="21"/>
          <w:highlight w:val="none"/>
          <w:u w:val="single"/>
        </w:rPr>
        <w:t xml:space="preserve">    </w:t>
      </w:r>
      <w:r>
        <w:rPr>
          <w:rFonts w:hint="eastAsia" w:ascii="宋体" w:hAnsi="宋体" w:cs="宋体"/>
          <w:b w:val="0"/>
          <w:bCs/>
          <w:color w:val="auto"/>
          <w:szCs w:val="21"/>
          <w:highlight w:val="none"/>
        </w:rPr>
        <w:t>年</w:t>
      </w:r>
      <w:r>
        <w:rPr>
          <w:rFonts w:hint="eastAsia" w:ascii="宋体" w:hAnsi="宋体" w:cs="宋体"/>
          <w:b w:val="0"/>
          <w:bCs/>
          <w:color w:val="auto"/>
          <w:szCs w:val="21"/>
          <w:highlight w:val="none"/>
          <w:u w:val="single"/>
        </w:rPr>
        <w:t xml:space="preserve">    </w:t>
      </w:r>
      <w:r>
        <w:rPr>
          <w:rFonts w:hint="eastAsia" w:ascii="宋体" w:hAnsi="宋体" w:cs="宋体"/>
          <w:b w:val="0"/>
          <w:bCs/>
          <w:color w:val="auto"/>
          <w:szCs w:val="21"/>
          <w:highlight w:val="none"/>
        </w:rPr>
        <w:t>月</w:t>
      </w:r>
      <w:r>
        <w:rPr>
          <w:rFonts w:hint="eastAsia" w:ascii="宋体" w:hAnsi="宋体" w:cs="宋体"/>
          <w:b w:val="0"/>
          <w:bCs/>
          <w:color w:val="auto"/>
          <w:szCs w:val="21"/>
          <w:highlight w:val="none"/>
          <w:u w:val="single"/>
        </w:rPr>
        <w:t xml:space="preserve">    </w:t>
      </w:r>
      <w:r>
        <w:rPr>
          <w:rFonts w:hint="eastAsia" w:ascii="宋体" w:hAnsi="宋体" w:cs="宋体"/>
          <w:b w:val="0"/>
          <w:bCs/>
          <w:color w:val="auto"/>
          <w:szCs w:val="21"/>
          <w:highlight w:val="none"/>
        </w:rPr>
        <w:t>日至</w:t>
      </w:r>
      <w:r>
        <w:rPr>
          <w:rFonts w:hint="eastAsia" w:ascii="宋体" w:hAnsi="宋体" w:cs="宋体"/>
          <w:b w:val="0"/>
          <w:bCs/>
          <w:color w:val="auto"/>
          <w:szCs w:val="21"/>
          <w:highlight w:val="none"/>
          <w:u w:val="single"/>
        </w:rPr>
        <w:t xml:space="preserve">    </w:t>
      </w:r>
      <w:r>
        <w:rPr>
          <w:rFonts w:hint="eastAsia" w:ascii="宋体" w:hAnsi="宋体" w:cs="宋体"/>
          <w:b w:val="0"/>
          <w:bCs/>
          <w:color w:val="auto"/>
          <w:szCs w:val="21"/>
          <w:highlight w:val="none"/>
        </w:rPr>
        <w:t>年</w:t>
      </w:r>
      <w:r>
        <w:rPr>
          <w:rFonts w:hint="eastAsia" w:ascii="宋体" w:hAnsi="宋体" w:cs="宋体"/>
          <w:b w:val="0"/>
          <w:bCs/>
          <w:color w:val="auto"/>
          <w:szCs w:val="21"/>
          <w:highlight w:val="none"/>
          <w:u w:val="single"/>
        </w:rPr>
        <w:t xml:space="preserve">    </w:t>
      </w:r>
      <w:r>
        <w:rPr>
          <w:rFonts w:hint="eastAsia" w:ascii="宋体" w:hAnsi="宋体" w:cs="宋体"/>
          <w:b w:val="0"/>
          <w:bCs/>
          <w:color w:val="auto"/>
          <w:szCs w:val="21"/>
          <w:highlight w:val="none"/>
        </w:rPr>
        <w:t>月</w:t>
      </w:r>
      <w:r>
        <w:rPr>
          <w:rFonts w:hint="eastAsia" w:ascii="宋体" w:hAnsi="宋体" w:cs="宋体"/>
          <w:b w:val="0"/>
          <w:bCs/>
          <w:color w:val="auto"/>
          <w:szCs w:val="21"/>
          <w:highlight w:val="none"/>
          <w:u w:val="single"/>
        </w:rPr>
        <w:t xml:space="preserve">    </w:t>
      </w:r>
      <w:r>
        <w:rPr>
          <w:rFonts w:hint="eastAsia" w:ascii="宋体" w:hAnsi="宋体" w:cs="宋体"/>
          <w:b w:val="0"/>
          <w:bCs/>
          <w:color w:val="auto"/>
          <w:szCs w:val="21"/>
          <w:highlight w:val="none"/>
        </w:rPr>
        <w:t>日。</w:t>
      </w:r>
    </w:p>
    <w:p w14:paraId="52AEF73B">
      <w:pPr>
        <w:snapToGrid w:val="0"/>
        <w:spacing w:line="40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合同附件：</w:t>
      </w:r>
    </w:p>
    <w:p w14:paraId="6A2734DF">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b w:val="0"/>
          <w:bCs/>
          <w:color w:val="auto"/>
          <w:szCs w:val="21"/>
          <w:highlight w:val="none"/>
        </w:rPr>
        <w:t>.</w:t>
      </w:r>
      <w:r>
        <w:rPr>
          <w:rFonts w:hint="eastAsia" w:ascii="宋体" w:hAnsi="宋体" w:cs="宋体"/>
          <w:color w:val="auto"/>
          <w:szCs w:val="21"/>
          <w:highlight w:val="none"/>
        </w:rPr>
        <w:t>采购需求</w:t>
      </w:r>
      <w:r>
        <w:rPr>
          <w:rFonts w:hint="eastAsia" w:ascii="宋体" w:hAnsi="宋体"/>
          <w:color w:val="auto"/>
          <w:szCs w:val="21"/>
          <w:highlight w:val="none"/>
        </w:rPr>
        <w:t>；</w:t>
      </w:r>
    </w:p>
    <w:p w14:paraId="4C54EF9E">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 w:val="0"/>
          <w:bCs/>
          <w:color w:val="auto"/>
          <w:szCs w:val="21"/>
          <w:highlight w:val="none"/>
        </w:rPr>
        <w:t>.</w:t>
      </w:r>
      <w:r>
        <w:rPr>
          <w:rFonts w:hint="eastAsia" w:ascii="宋体" w:hAnsi="宋体" w:cs="宋体"/>
          <w:color w:val="auto"/>
          <w:szCs w:val="21"/>
          <w:highlight w:val="none"/>
        </w:rPr>
        <w:t>采购文件的澄清或更正公告（如有）</w:t>
      </w:r>
      <w:r>
        <w:rPr>
          <w:rFonts w:hint="eastAsia" w:ascii="宋体" w:hAnsi="宋体"/>
          <w:color w:val="auto"/>
          <w:szCs w:val="21"/>
          <w:highlight w:val="none"/>
        </w:rPr>
        <w:t>；</w:t>
      </w:r>
    </w:p>
    <w:p w14:paraId="45D3A194">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b w:val="0"/>
          <w:bCs/>
          <w:color w:val="auto"/>
          <w:szCs w:val="21"/>
          <w:highlight w:val="none"/>
        </w:rPr>
        <w:t>.</w:t>
      </w:r>
      <w:r>
        <w:rPr>
          <w:rFonts w:hint="eastAsia" w:ascii="宋体" w:hAnsi="宋体" w:cs="宋体"/>
          <w:color w:val="auto"/>
          <w:szCs w:val="21"/>
          <w:highlight w:val="none"/>
        </w:rPr>
        <w:t>开标一览表</w:t>
      </w:r>
      <w:r>
        <w:rPr>
          <w:rFonts w:hint="eastAsia" w:ascii="宋体" w:hAnsi="宋体"/>
          <w:color w:val="auto"/>
          <w:szCs w:val="21"/>
          <w:highlight w:val="none"/>
        </w:rPr>
        <w:t>；</w:t>
      </w:r>
    </w:p>
    <w:p w14:paraId="2BCA518C">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b w:val="0"/>
          <w:bCs/>
          <w:color w:val="auto"/>
          <w:szCs w:val="21"/>
          <w:highlight w:val="none"/>
        </w:rPr>
        <w:t>.</w:t>
      </w:r>
      <w:r>
        <w:rPr>
          <w:rFonts w:hint="eastAsia" w:ascii="宋体" w:hAnsi="宋体" w:cs="宋体"/>
          <w:color w:val="auto"/>
          <w:szCs w:val="21"/>
          <w:highlight w:val="none"/>
        </w:rPr>
        <w:t>商务要求偏离表和技术要求偏离表</w:t>
      </w:r>
      <w:r>
        <w:rPr>
          <w:rFonts w:hint="eastAsia" w:ascii="宋体" w:hAnsi="宋体"/>
          <w:color w:val="auto"/>
          <w:szCs w:val="21"/>
          <w:highlight w:val="none"/>
        </w:rPr>
        <w:t>；</w:t>
      </w:r>
    </w:p>
    <w:p w14:paraId="56225C72">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b w:val="0"/>
          <w:bCs/>
          <w:color w:val="auto"/>
          <w:szCs w:val="21"/>
          <w:highlight w:val="none"/>
        </w:rPr>
        <w:t>.</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的澄清通知及澄清函（如有）</w:t>
      </w:r>
      <w:r>
        <w:rPr>
          <w:rFonts w:hint="eastAsia" w:ascii="宋体" w:hAnsi="宋体"/>
          <w:color w:val="auto"/>
          <w:szCs w:val="21"/>
          <w:highlight w:val="none"/>
        </w:rPr>
        <w:t>；</w:t>
      </w:r>
    </w:p>
    <w:p w14:paraId="06C89050">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b w:val="0"/>
          <w:bCs/>
          <w:color w:val="auto"/>
          <w:szCs w:val="21"/>
          <w:highlight w:val="none"/>
        </w:rPr>
        <w:t>.</w:t>
      </w:r>
      <w:r>
        <w:rPr>
          <w:rFonts w:hint="eastAsia" w:ascii="宋体" w:hAnsi="宋体" w:cs="宋体"/>
          <w:color w:val="auto"/>
          <w:szCs w:val="21"/>
          <w:highlight w:val="none"/>
        </w:rPr>
        <w:t>中标通知书</w:t>
      </w:r>
      <w:r>
        <w:rPr>
          <w:rFonts w:hint="eastAsia" w:ascii="宋体" w:hAnsi="宋体"/>
          <w:color w:val="auto"/>
          <w:szCs w:val="21"/>
          <w:highlight w:val="none"/>
        </w:rPr>
        <w:t>；</w:t>
      </w:r>
    </w:p>
    <w:p w14:paraId="6D4E40AD">
      <w:pPr>
        <w:spacing w:line="4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b w:val="0"/>
          <w:bCs/>
          <w:color w:val="auto"/>
          <w:szCs w:val="21"/>
          <w:highlight w:val="none"/>
        </w:rPr>
        <w:t>.</w:t>
      </w:r>
      <w:r>
        <w:rPr>
          <w:rFonts w:hint="eastAsia" w:ascii="宋体" w:hAnsi="宋体" w:cs="宋体"/>
          <w:color w:val="auto"/>
          <w:szCs w:val="21"/>
          <w:highlight w:val="none"/>
        </w:rPr>
        <w:t>其他合同文件</w:t>
      </w:r>
      <w:r>
        <w:rPr>
          <w:rFonts w:hint="eastAsia" w:ascii="宋体" w:hAnsi="宋体"/>
          <w:color w:val="auto"/>
          <w:szCs w:val="21"/>
          <w:highlight w:val="none"/>
        </w:rPr>
        <w:t>；</w:t>
      </w:r>
    </w:p>
    <w:p w14:paraId="589AEBF5">
      <w:pPr>
        <w:snapToGrid w:val="0"/>
        <w:spacing w:line="34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第十九条　</w:t>
      </w:r>
      <w:r>
        <w:rPr>
          <w:rFonts w:hint="eastAsia" w:ascii="宋体" w:hAnsi="宋体" w:cs="宋体"/>
          <w:color w:val="auto"/>
          <w:szCs w:val="21"/>
          <w:highlight w:val="none"/>
        </w:rPr>
        <w:t>本合同一式五份，具有同等法律效力，采购代理机构一份，甲乙双方各二份（可根据需要另增加）。</w:t>
      </w:r>
    </w:p>
    <w:p w14:paraId="0627BB0E">
      <w:pPr>
        <w:snapToGrid w:val="0"/>
        <w:spacing w:line="340" w:lineRule="exact"/>
        <w:ind w:left="-61" w:firstLine="514"/>
        <w:rPr>
          <w:rFonts w:ascii="宋体" w:hAnsi="宋体" w:cs="宋体"/>
          <w:color w:val="auto"/>
          <w:szCs w:val="21"/>
          <w:highlight w:val="none"/>
        </w:rPr>
      </w:pPr>
      <w:r>
        <w:rPr>
          <w:rFonts w:hint="eastAsia" w:ascii="宋体" w:hAnsi="宋体" w:cs="宋体"/>
          <w:color w:val="auto"/>
          <w:szCs w:val="21"/>
          <w:highlight w:val="none"/>
        </w:rPr>
        <w:t>本合同甲乙双方签字盖章后生效。</w:t>
      </w:r>
    </w:p>
    <w:p w14:paraId="36D2B449">
      <w:pPr>
        <w:spacing w:line="3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本合同自签订之日起2个工作日内，甲方应当将采购合同在广西壮族自治区财政厅指定的媒体上公告。</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36D16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jc w:val="center"/>
        </w:trPr>
        <w:tc>
          <w:tcPr>
            <w:tcW w:w="4516" w:type="dxa"/>
            <w:noWrap w:val="0"/>
            <w:vAlign w:val="center"/>
          </w:tcPr>
          <w:p w14:paraId="01EF6D73">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甲方（章）           </w:t>
            </w:r>
          </w:p>
          <w:p w14:paraId="62E10C2B">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广西壮族自治区中医药研究院</w:t>
            </w:r>
          </w:p>
        </w:tc>
        <w:tc>
          <w:tcPr>
            <w:tcW w:w="4517" w:type="dxa"/>
            <w:noWrap w:val="0"/>
            <w:vAlign w:val="center"/>
          </w:tcPr>
          <w:p w14:paraId="0AFA0FB1">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乙方（章）              </w:t>
            </w:r>
          </w:p>
          <w:p w14:paraId="2C335681">
            <w:pPr>
              <w:snapToGrid w:val="0"/>
              <w:spacing w:line="360" w:lineRule="auto"/>
              <w:jc w:val="both"/>
              <w:rPr>
                <w:rFonts w:hint="eastAsia" w:ascii="宋体" w:hAnsi="宋体" w:cs="宋体"/>
                <w:color w:val="auto"/>
                <w:szCs w:val="21"/>
                <w:highlight w:val="none"/>
              </w:rPr>
            </w:pPr>
          </w:p>
        </w:tc>
      </w:tr>
      <w:tr w14:paraId="731E2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4516" w:type="dxa"/>
            <w:noWrap w:val="0"/>
            <w:vAlign w:val="center"/>
          </w:tcPr>
          <w:p w14:paraId="73CA049B">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地址：南宁市东葛路20-1号</w:t>
            </w:r>
          </w:p>
        </w:tc>
        <w:tc>
          <w:tcPr>
            <w:tcW w:w="4517" w:type="dxa"/>
            <w:noWrap w:val="0"/>
            <w:vAlign w:val="center"/>
          </w:tcPr>
          <w:p w14:paraId="19A02CE6">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地址：</w:t>
            </w:r>
          </w:p>
        </w:tc>
      </w:tr>
      <w:tr w14:paraId="07D0E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4516" w:type="dxa"/>
            <w:noWrap w:val="0"/>
            <w:vAlign w:val="top"/>
          </w:tcPr>
          <w:p w14:paraId="79407745">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法定代表人（负责人）或者委托代理人：</w:t>
            </w:r>
          </w:p>
        </w:tc>
        <w:tc>
          <w:tcPr>
            <w:tcW w:w="4517" w:type="dxa"/>
            <w:noWrap w:val="0"/>
            <w:vAlign w:val="top"/>
          </w:tcPr>
          <w:p w14:paraId="1B9B9896">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法定代表人（负责人）或者委托代理人：</w:t>
            </w:r>
          </w:p>
        </w:tc>
      </w:tr>
      <w:tr w14:paraId="53646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16" w:type="dxa"/>
            <w:noWrap w:val="0"/>
            <w:vAlign w:val="center"/>
          </w:tcPr>
          <w:p w14:paraId="3ED26402">
            <w:pPr>
              <w:snapToGrid w:val="0"/>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电话：</w:t>
            </w:r>
            <w:r>
              <w:rPr>
                <w:rFonts w:hint="eastAsia" w:ascii="宋体" w:hAnsi="宋体" w:cs="宋体"/>
                <w:color w:val="auto"/>
                <w:szCs w:val="21"/>
                <w:highlight w:val="none"/>
                <w:lang w:eastAsia="zh-CN"/>
              </w:rPr>
              <w:t>0771-</w:t>
            </w:r>
            <w:r>
              <w:rPr>
                <w:rFonts w:hint="eastAsia" w:ascii="宋体" w:hAnsi="宋体" w:cs="宋体"/>
                <w:color w:val="auto"/>
                <w:szCs w:val="21"/>
                <w:highlight w:val="none"/>
                <w:lang w:val="en-US" w:eastAsia="zh-CN"/>
              </w:rPr>
              <w:t>5874431</w:t>
            </w:r>
          </w:p>
        </w:tc>
        <w:tc>
          <w:tcPr>
            <w:tcW w:w="4517" w:type="dxa"/>
            <w:noWrap w:val="0"/>
            <w:vAlign w:val="center"/>
          </w:tcPr>
          <w:p w14:paraId="2CA1D884">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电话：</w:t>
            </w:r>
          </w:p>
        </w:tc>
      </w:tr>
      <w:tr w14:paraId="209CA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noWrap w:val="0"/>
            <w:vAlign w:val="center"/>
          </w:tcPr>
          <w:p w14:paraId="634C53B0">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电子邮箱：</w:t>
            </w:r>
          </w:p>
        </w:tc>
        <w:tc>
          <w:tcPr>
            <w:tcW w:w="4517" w:type="dxa"/>
            <w:noWrap w:val="0"/>
            <w:vAlign w:val="center"/>
          </w:tcPr>
          <w:p w14:paraId="772798F0">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电子邮箱：</w:t>
            </w:r>
          </w:p>
        </w:tc>
      </w:tr>
      <w:tr w14:paraId="49F8E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noWrap w:val="0"/>
            <w:vAlign w:val="center"/>
          </w:tcPr>
          <w:p w14:paraId="579D0C07">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eastAsia="宋体" w:cs="宋体"/>
                <w:color w:val="auto"/>
                <w:kern w:val="1"/>
                <w:szCs w:val="21"/>
                <w:highlight w:val="none"/>
              </w:rPr>
              <w:t>建行南宁市新城支行营业部</w:t>
            </w:r>
          </w:p>
        </w:tc>
        <w:tc>
          <w:tcPr>
            <w:tcW w:w="4517" w:type="dxa"/>
            <w:noWrap w:val="0"/>
            <w:vAlign w:val="center"/>
          </w:tcPr>
          <w:p w14:paraId="58B77818">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开户银行：</w:t>
            </w:r>
          </w:p>
        </w:tc>
      </w:tr>
      <w:tr w14:paraId="4539A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noWrap w:val="0"/>
            <w:vAlign w:val="center"/>
          </w:tcPr>
          <w:p w14:paraId="42A6B945">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账号：</w:t>
            </w:r>
            <w:r>
              <w:rPr>
                <w:rFonts w:hint="eastAsia" w:ascii="宋体" w:hAnsi="宋体" w:eastAsia="宋体" w:cs="宋体"/>
                <w:color w:val="auto"/>
                <w:kern w:val="1"/>
                <w:szCs w:val="21"/>
                <w:highlight w:val="none"/>
              </w:rPr>
              <w:t>45001604254050503752</w:t>
            </w:r>
          </w:p>
        </w:tc>
        <w:tc>
          <w:tcPr>
            <w:tcW w:w="4517" w:type="dxa"/>
            <w:noWrap w:val="0"/>
            <w:vAlign w:val="center"/>
          </w:tcPr>
          <w:p w14:paraId="75D0B473">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账号：</w:t>
            </w:r>
          </w:p>
        </w:tc>
      </w:tr>
      <w:tr w14:paraId="7DD63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noWrap w:val="0"/>
            <w:vAlign w:val="center"/>
          </w:tcPr>
          <w:p w14:paraId="73338D40">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邮政编码：530022</w:t>
            </w:r>
          </w:p>
        </w:tc>
        <w:tc>
          <w:tcPr>
            <w:tcW w:w="4517" w:type="dxa"/>
            <w:noWrap w:val="0"/>
            <w:vAlign w:val="center"/>
          </w:tcPr>
          <w:p w14:paraId="6EF905A2">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邮政编码：</w:t>
            </w:r>
          </w:p>
        </w:tc>
      </w:tr>
      <w:tr w14:paraId="4A658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noWrap w:val="0"/>
            <w:vAlign w:val="center"/>
          </w:tcPr>
          <w:p w14:paraId="5480FC39">
            <w:pPr>
              <w:snapToGrid w:val="0"/>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签订日期：</w:t>
            </w:r>
            <w:r>
              <w:rPr>
                <w:rFonts w:hint="eastAsia" w:ascii="宋体" w:hAnsi="宋体" w:cs="宋体"/>
                <w:color w:val="auto"/>
                <w:szCs w:val="21"/>
                <w:highlight w:val="none"/>
              </w:rPr>
              <w:t xml:space="preserve"> 年   月   日</w:t>
            </w:r>
          </w:p>
        </w:tc>
        <w:tc>
          <w:tcPr>
            <w:tcW w:w="4517" w:type="dxa"/>
            <w:noWrap w:val="0"/>
            <w:vAlign w:val="center"/>
          </w:tcPr>
          <w:p w14:paraId="683E69DD">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签订日期：</w:t>
            </w:r>
            <w:r>
              <w:rPr>
                <w:rFonts w:hint="eastAsia" w:ascii="宋体" w:hAnsi="宋体" w:cs="宋体"/>
                <w:color w:val="auto"/>
                <w:szCs w:val="21"/>
                <w:highlight w:val="none"/>
              </w:rPr>
              <w:t xml:space="preserve"> 年   月   日</w:t>
            </w:r>
          </w:p>
        </w:tc>
      </w:tr>
    </w:tbl>
    <w:p w14:paraId="3E9EA2FB">
      <w:pPr>
        <w:snapToGrid w:val="0"/>
        <w:jc w:val="left"/>
        <w:rPr>
          <w:rFonts w:ascii="宋体" w:hAnsi="宋体" w:cs="宋体"/>
          <w:bCs/>
          <w:color w:val="auto"/>
          <w:sz w:val="32"/>
          <w:szCs w:val="32"/>
          <w:highlight w:val="none"/>
        </w:rPr>
      </w:pPr>
    </w:p>
    <w:bookmarkEnd w:id="155"/>
    <w:p w14:paraId="124DABF9">
      <w:pPr>
        <w:snapToGrid w:val="0"/>
        <w:spacing w:line="480" w:lineRule="auto"/>
        <w:rPr>
          <w:rFonts w:ascii="宋体" w:hAnsi="宋体" w:cs="宋体"/>
          <w:bCs/>
          <w:color w:val="auto"/>
          <w:sz w:val="32"/>
          <w:szCs w:val="32"/>
          <w:highlight w:val="none"/>
        </w:rPr>
      </w:pPr>
    </w:p>
    <w:p w14:paraId="77636E75">
      <w:pPr>
        <w:rPr>
          <w:rFonts w:hint="eastAsia" w:ascii="宋体" w:hAnsi="宋体" w:cs="宋体"/>
          <w:color w:val="auto"/>
          <w:highlight w:val="none"/>
        </w:rPr>
      </w:pPr>
      <w:bookmarkStart w:id="156" w:name="_Toc18373"/>
      <w:bookmarkStart w:id="157" w:name="_Toc74320805"/>
      <w:bookmarkStart w:id="158" w:name="_Toc26426"/>
      <w:r>
        <w:rPr>
          <w:rFonts w:hint="eastAsia" w:ascii="宋体" w:hAnsi="宋体" w:cs="宋体"/>
          <w:color w:val="auto"/>
          <w:highlight w:val="none"/>
        </w:rPr>
        <w:br w:type="page"/>
      </w:r>
    </w:p>
    <w:p w14:paraId="6BC12B47">
      <w:pPr>
        <w:pStyle w:val="2"/>
        <w:jc w:val="center"/>
        <w:rPr>
          <w:rFonts w:ascii="宋体" w:hAnsi="宋体" w:cs="宋体"/>
          <w:color w:val="auto"/>
          <w:highlight w:val="none"/>
        </w:rPr>
      </w:pPr>
      <w:r>
        <w:rPr>
          <w:rFonts w:hint="eastAsia" w:ascii="宋体" w:hAnsi="宋体" w:cs="宋体"/>
          <w:color w:val="auto"/>
          <w:highlight w:val="none"/>
        </w:rPr>
        <w:t>第六章　投标文件格式</w:t>
      </w:r>
      <w:bookmarkEnd w:id="156"/>
      <w:bookmarkEnd w:id="157"/>
      <w:bookmarkEnd w:id="158"/>
    </w:p>
    <w:p w14:paraId="0887A6B5">
      <w:pPr>
        <w:rPr>
          <w:rFonts w:ascii="宋体" w:hAnsi="宋体" w:cs="宋体"/>
          <w:b/>
          <w:color w:val="auto"/>
          <w:sz w:val="28"/>
          <w:szCs w:val="28"/>
          <w:highlight w:val="none"/>
        </w:rPr>
      </w:pPr>
      <w:bookmarkStart w:id="159" w:name="_Toc19686836"/>
      <w:bookmarkStart w:id="160" w:name="_Toc254970698"/>
      <w:bookmarkStart w:id="161" w:name="_Toc254970557"/>
      <w:r>
        <w:rPr>
          <w:rFonts w:hint="eastAsia" w:ascii="宋体" w:hAnsi="宋体" w:cs="宋体"/>
          <w:b/>
          <w:color w:val="auto"/>
          <w:sz w:val="28"/>
          <w:szCs w:val="28"/>
          <w:highlight w:val="none"/>
        </w:rPr>
        <w:t>一、报价文件格式</w:t>
      </w:r>
      <w:bookmarkEnd w:id="159"/>
    </w:p>
    <w:p w14:paraId="650B771E">
      <w:pPr>
        <w:snapToGrid w:val="0"/>
        <w:spacing w:before="120" w:beforeLines="50" w:after="50" w:line="360" w:lineRule="auto"/>
        <w:ind w:left="142"/>
        <w:jc w:val="left"/>
        <w:rPr>
          <w:rFonts w:ascii="宋体" w:hAnsi="宋体" w:cs="宋体"/>
          <w:color w:val="auto"/>
          <w:sz w:val="24"/>
          <w:szCs w:val="20"/>
          <w:highlight w:val="none"/>
        </w:rPr>
      </w:pPr>
      <w:r>
        <w:rPr>
          <w:rFonts w:hint="eastAsia" w:ascii="宋体" w:hAnsi="宋体" w:cs="宋体"/>
          <w:b/>
          <w:color w:val="auto"/>
          <w:sz w:val="24"/>
          <w:highlight w:val="none"/>
        </w:rPr>
        <w:t xml:space="preserve">1. 报价文件封面格式： </w:t>
      </w:r>
    </w:p>
    <w:p w14:paraId="55B7D1B2">
      <w:pPr>
        <w:snapToGrid w:val="0"/>
        <w:spacing w:before="120" w:beforeLines="50" w:after="50" w:line="400" w:lineRule="exact"/>
        <w:rPr>
          <w:rFonts w:ascii="宋体" w:hAnsi="宋体" w:cs="宋体"/>
          <w:bCs/>
          <w:color w:val="auto"/>
          <w:sz w:val="32"/>
          <w:szCs w:val="20"/>
          <w:highlight w:val="none"/>
        </w:rPr>
      </w:pPr>
      <w:r>
        <w:rPr>
          <w:rFonts w:hint="eastAsia" w:ascii="宋体" w:hAnsi="宋体" w:cs="宋体"/>
          <w:color w:val="auto"/>
          <w:sz w:val="24"/>
          <w:highlight w:val="none"/>
        </w:rPr>
        <w:t xml:space="preserve">                                                   </w:t>
      </w:r>
    </w:p>
    <w:p w14:paraId="157D1F26">
      <w:pPr>
        <w:snapToGrid w:val="0"/>
        <w:spacing w:before="120" w:beforeLines="50" w:after="50" w:line="400" w:lineRule="exact"/>
        <w:jc w:val="center"/>
        <w:rPr>
          <w:rFonts w:ascii="宋体" w:hAnsi="宋体" w:cs="宋体"/>
          <w:bCs/>
          <w:color w:val="auto"/>
          <w:sz w:val="24"/>
          <w:szCs w:val="20"/>
          <w:highlight w:val="none"/>
        </w:rPr>
      </w:pPr>
    </w:p>
    <w:p w14:paraId="7F2C888E">
      <w:pPr>
        <w:snapToGrid w:val="0"/>
        <w:spacing w:before="120" w:beforeLines="50" w:after="50"/>
        <w:jc w:val="center"/>
        <w:rPr>
          <w:rFonts w:ascii="宋体" w:hAnsi="宋体" w:cs="宋体"/>
          <w:color w:val="auto"/>
          <w:sz w:val="84"/>
          <w:szCs w:val="84"/>
          <w:highlight w:val="none"/>
        </w:rPr>
      </w:pPr>
      <w:r>
        <w:rPr>
          <w:rFonts w:hint="eastAsia" w:ascii="宋体" w:hAnsi="宋体" w:cs="宋体"/>
          <w:color w:val="auto"/>
          <w:sz w:val="84"/>
          <w:szCs w:val="84"/>
          <w:highlight w:val="none"/>
        </w:rPr>
        <w:t>投  标  文  件</w:t>
      </w:r>
    </w:p>
    <w:p w14:paraId="58750551">
      <w:pPr>
        <w:snapToGrid w:val="0"/>
        <w:spacing w:before="120" w:beforeLines="50" w:after="50" w:line="400" w:lineRule="exact"/>
        <w:jc w:val="center"/>
        <w:rPr>
          <w:rFonts w:ascii="宋体" w:hAnsi="宋体" w:cs="宋体"/>
          <w:bCs/>
          <w:color w:val="auto"/>
          <w:sz w:val="32"/>
          <w:szCs w:val="32"/>
          <w:highlight w:val="none"/>
        </w:rPr>
      </w:pPr>
    </w:p>
    <w:p w14:paraId="6771DD4A">
      <w:pPr>
        <w:snapToGrid w:val="0"/>
        <w:spacing w:before="120" w:beforeLines="50" w:after="50" w:line="40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报  价  文  件</w:t>
      </w:r>
    </w:p>
    <w:p w14:paraId="17E8844E">
      <w:pPr>
        <w:snapToGrid w:val="0"/>
        <w:spacing w:before="120" w:beforeLines="50" w:after="50" w:line="400" w:lineRule="exact"/>
        <w:rPr>
          <w:rFonts w:ascii="宋体" w:hAnsi="宋体" w:cs="宋体"/>
          <w:bCs/>
          <w:color w:val="auto"/>
          <w:sz w:val="24"/>
          <w:szCs w:val="20"/>
          <w:highlight w:val="none"/>
        </w:rPr>
      </w:pPr>
    </w:p>
    <w:p w14:paraId="2CFA810D">
      <w:pPr>
        <w:snapToGrid w:val="0"/>
        <w:spacing w:before="120" w:beforeLines="50" w:after="50" w:line="400" w:lineRule="exact"/>
        <w:rPr>
          <w:rFonts w:ascii="宋体" w:hAnsi="宋体" w:cs="宋体"/>
          <w:bCs/>
          <w:color w:val="auto"/>
          <w:sz w:val="24"/>
          <w:szCs w:val="20"/>
          <w:highlight w:val="none"/>
        </w:rPr>
      </w:pPr>
    </w:p>
    <w:p w14:paraId="1711F813">
      <w:pPr>
        <w:snapToGrid w:val="0"/>
        <w:spacing w:before="120" w:beforeLines="50" w:after="50" w:line="400" w:lineRule="exact"/>
        <w:rPr>
          <w:rFonts w:ascii="宋体" w:hAnsi="宋体" w:cs="宋体"/>
          <w:bCs/>
          <w:color w:val="auto"/>
          <w:sz w:val="24"/>
          <w:szCs w:val="20"/>
          <w:highlight w:val="none"/>
        </w:rPr>
      </w:pPr>
    </w:p>
    <w:p w14:paraId="4E15A6E8">
      <w:pPr>
        <w:snapToGrid w:val="0"/>
        <w:spacing w:before="120" w:beforeLines="50" w:after="50" w:line="400" w:lineRule="exact"/>
        <w:rPr>
          <w:rFonts w:ascii="宋体" w:hAnsi="宋体" w:cs="宋体"/>
          <w:bCs/>
          <w:color w:val="auto"/>
          <w:sz w:val="24"/>
          <w:szCs w:val="20"/>
          <w:highlight w:val="none"/>
        </w:rPr>
      </w:pPr>
    </w:p>
    <w:p w14:paraId="6F6F3240">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278EE368">
      <w:pPr>
        <w:snapToGrid w:val="0"/>
        <w:spacing w:before="120" w:beforeLines="50" w:after="50" w:line="400" w:lineRule="exact"/>
        <w:ind w:firstLine="360" w:firstLineChars="150"/>
        <w:rPr>
          <w:rFonts w:ascii="宋体" w:hAnsi="宋体" w:cs="宋体"/>
          <w:bCs/>
          <w:color w:val="auto"/>
          <w:sz w:val="24"/>
          <w:highlight w:val="none"/>
        </w:rPr>
      </w:pPr>
    </w:p>
    <w:p w14:paraId="2A85254D">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14:paraId="0B3993B0">
      <w:pPr>
        <w:snapToGrid w:val="0"/>
        <w:spacing w:before="120" w:beforeLines="50" w:after="50" w:line="400" w:lineRule="exact"/>
        <w:ind w:firstLine="360" w:firstLineChars="150"/>
        <w:rPr>
          <w:rFonts w:ascii="宋体" w:hAnsi="宋体" w:cs="宋体"/>
          <w:bCs/>
          <w:color w:val="auto"/>
          <w:sz w:val="24"/>
          <w:highlight w:val="none"/>
        </w:rPr>
      </w:pPr>
    </w:p>
    <w:p w14:paraId="20B99885">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lang w:eastAsia="zh-CN"/>
        </w:rPr>
        <w:t>分标</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标项名称（如有则填写，无分标时填写“无”或者留空）：</w:t>
      </w:r>
    </w:p>
    <w:p w14:paraId="3074441B">
      <w:pPr>
        <w:snapToGrid w:val="0"/>
        <w:spacing w:before="120" w:beforeLines="50" w:after="50" w:line="400" w:lineRule="exact"/>
        <w:ind w:firstLine="360" w:firstLineChars="150"/>
        <w:rPr>
          <w:rFonts w:ascii="宋体" w:hAnsi="宋体" w:cs="宋体"/>
          <w:bCs/>
          <w:color w:val="auto"/>
          <w:sz w:val="24"/>
          <w:highlight w:val="none"/>
        </w:rPr>
      </w:pPr>
    </w:p>
    <w:p w14:paraId="42E71036">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13D34BA3">
      <w:pPr>
        <w:snapToGrid w:val="0"/>
        <w:spacing w:before="120" w:beforeLines="50" w:after="50" w:line="400" w:lineRule="exact"/>
        <w:ind w:firstLine="360" w:firstLineChars="150"/>
        <w:rPr>
          <w:rFonts w:ascii="宋体" w:hAnsi="宋体" w:cs="宋体"/>
          <w:bCs/>
          <w:color w:val="auto"/>
          <w:sz w:val="24"/>
          <w:highlight w:val="none"/>
        </w:rPr>
      </w:pPr>
    </w:p>
    <w:p w14:paraId="4DB51E45">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0EDC61A8">
      <w:pPr>
        <w:pStyle w:val="4"/>
        <w:snapToGrid w:val="0"/>
        <w:spacing w:before="50" w:after="50" w:line="400" w:lineRule="exact"/>
        <w:ind w:firstLine="960" w:firstLineChars="400"/>
        <w:rPr>
          <w:rFonts w:ascii="宋体" w:hAnsi="宋体" w:cs="宋体"/>
          <w:bCs/>
          <w:color w:val="auto"/>
          <w:sz w:val="24"/>
          <w:szCs w:val="24"/>
          <w:highlight w:val="none"/>
        </w:rPr>
      </w:pPr>
    </w:p>
    <w:p w14:paraId="5DBD282E">
      <w:pPr>
        <w:snapToGrid w:val="0"/>
        <w:spacing w:before="120" w:beforeLines="50" w:after="50" w:line="400" w:lineRule="exact"/>
        <w:rPr>
          <w:rFonts w:ascii="宋体" w:hAnsi="宋体" w:cs="宋体"/>
          <w:color w:val="auto"/>
          <w:sz w:val="30"/>
          <w:szCs w:val="20"/>
          <w:highlight w:val="none"/>
        </w:rPr>
      </w:pPr>
      <w:r>
        <w:rPr>
          <w:rFonts w:hint="eastAsia" w:ascii="宋体" w:hAnsi="宋体" w:cs="宋体"/>
          <w:color w:val="auto"/>
          <w:sz w:val="24"/>
          <w:highlight w:val="none"/>
        </w:rPr>
        <w:t xml:space="preserve">                                   年  月  日</w:t>
      </w:r>
    </w:p>
    <w:p w14:paraId="4E458E7B">
      <w:pPr>
        <w:snapToGrid w:val="0"/>
        <w:spacing w:before="120" w:beforeLines="50" w:after="50" w:line="360" w:lineRule="auto"/>
        <w:jc w:val="left"/>
        <w:rPr>
          <w:rFonts w:ascii="宋体" w:hAnsi="宋体" w:cs="宋体"/>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w:t>
      </w:r>
      <w:r>
        <w:rPr>
          <w:rFonts w:hint="eastAsia" w:ascii="宋体" w:hAnsi="宋体" w:cs="宋体"/>
          <w:b/>
          <w:bCs/>
          <w:color w:val="auto"/>
          <w:sz w:val="24"/>
          <w:highlight w:val="none"/>
        </w:rPr>
        <w:t>报价文件目录</w:t>
      </w:r>
    </w:p>
    <w:p w14:paraId="6A9D8A96">
      <w:pPr>
        <w:snapToGrid w:val="0"/>
        <w:spacing w:before="50" w:after="120" w:afterLines="50" w:line="360" w:lineRule="auto"/>
        <w:jc w:val="left"/>
        <w:rPr>
          <w:rFonts w:ascii="宋体" w:hAnsi="宋体" w:cs="宋体"/>
          <w:b/>
          <w:color w:val="auto"/>
          <w:sz w:val="24"/>
          <w:highlight w:val="none"/>
        </w:rPr>
      </w:pPr>
      <w:r>
        <w:rPr>
          <w:rFonts w:hint="eastAsia" w:ascii="宋体" w:hAnsi="宋体" w:cs="宋体"/>
          <w:color w:val="auto"/>
          <w:szCs w:val="21"/>
          <w:highlight w:val="none"/>
        </w:rPr>
        <w:t>根据招标文件规定及投标人提供的材料自行编写目录。</w:t>
      </w:r>
    </w:p>
    <w:p w14:paraId="113FD328">
      <w:pPr>
        <w:snapToGrid w:val="0"/>
        <w:spacing w:before="120" w:beforeLines="50" w:after="50"/>
        <w:rPr>
          <w:rFonts w:ascii="宋体" w:hAnsi="宋体" w:cs="宋体"/>
          <w:b/>
          <w:color w:val="auto"/>
          <w:sz w:val="24"/>
          <w:highlight w:val="none"/>
        </w:rPr>
      </w:pPr>
    </w:p>
    <w:p w14:paraId="6CF7B149">
      <w:pPr>
        <w:snapToGrid w:val="0"/>
        <w:spacing w:before="120" w:beforeLines="50" w:after="50"/>
        <w:rPr>
          <w:rFonts w:ascii="宋体" w:hAnsi="宋体" w:cs="宋体"/>
          <w:b/>
          <w:color w:val="auto"/>
          <w:sz w:val="24"/>
          <w:highlight w:val="none"/>
        </w:rPr>
      </w:pPr>
    </w:p>
    <w:p w14:paraId="1DC06CAE">
      <w:pPr>
        <w:snapToGrid w:val="0"/>
        <w:spacing w:before="120" w:beforeLines="50" w:after="50"/>
        <w:rPr>
          <w:rFonts w:ascii="宋体" w:hAnsi="宋体" w:cs="宋体"/>
          <w:b/>
          <w:color w:val="auto"/>
          <w:sz w:val="24"/>
          <w:highlight w:val="none"/>
        </w:rPr>
      </w:pPr>
    </w:p>
    <w:p w14:paraId="1CA228D9">
      <w:pPr>
        <w:snapToGrid w:val="0"/>
        <w:spacing w:before="120" w:beforeLines="50" w:after="50"/>
        <w:ind w:left="142"/>
        <w:jc w:val="left"/>
        <w:rPr>
          <w:rFonts w:hint="eastAsia" w:ascii="宋体" w:hAnsi="宋体" w:cs="宋体"/>
          <w:b/>
          <w:color w:val="auto"/>
          <w:sz w:val="24"/>
          <w:highlight w:val="none"/>
        </w:rPr>
      </w:pPr>
    </w:p>
    <w:p w14:paraId="6EA1F09D">
      <w:pPr>
        <w:snapToGrid/>
        <w:spacing w:before="0" w:beforeLines="-2147483648" w:after="0"/>
        <w:ind w:left="0"/>
        <w:jc w:val="left"/>
        <w:rPr>
          <w:rFonts w:hint="eastAsia" w:ascii="宋体" w:hAnsi="宋体" w:cs="宋体"/>
          <w:b/>
          <w:color w:val="auto"/>
          <w:sz w:val="24"/>
          <w:highlight w:val="none"/>
        </w:rPr>
      </w:pPr>
    </w:p>
    <w:p w14:paraId="69682A21">
      <w:pPr>
        <w:snapToGrid/>
        <w:spacing w:before="0" w:beforeLines="-2147483648" w:after="0"/>
        <w:ind w:left="0"/>
        <w:jc w:val="left"/>
        <w:rPr>
          <w:rFonts w:hint="eastAsia" w:ascii="宋体" w:hAnsi="宋体" w:cs="宋体"/>
          <w:b/>
          <w:color w:val="auto"/>
          <w:sz w:val="24"/>
          <w:highlight w:val="none"/>
        </w:rPr>
      </w:pPr>
    </w:p>
    <w:p w14:paraId="56791E70">
      <w:pPr>
        <w:snapToGrid/>
        <w:spacing w:before="0" w:beforeLines="-2147483648" w:after="0"/>
        <w:ind w:left="0"/>
        <w:jc w:val="left"/>
        <w:rPr>
          <w:rFonts w:hint="eastAsia" w:ascii="宋体" w:hAnsi="宋体" w:cs="宋体"/>
          <w:b/>
          <w:color w:val="auto"/>
          <w:sz w:val="24"/>
          <w:highlight w:val="none"/>
        </w:rPr>
      </w:pPr>
    </w:p>
    <w:p w14:paraId="384189CE">
      <w:pPr>
        <w:snapToGrid/>
        <w:spacing w:before="0" w:beforeLines="-2147483648" w:after="0"/>
        <w:ind w:left="0"/>
        <w:jc w:val="left"/>
        <w:rPr>
          <w:rFonts w:hint="eastAsia" w:ascii="宋体" w:hAnsi="宋体" w:cs="宋体"/>
          <w:b/>
          <w:color w:val="auto"/>
          <w:sz w:val="24"/>
          <w:highlight w:val="none"/>
        </w:rPr>
      </w:pPr>
    </w:p>
    <w:p w14:paraId="5D72EB15">
      <w:pPr>
        <w:snapToGrid/>
        <w:spacing w:before="0" w:beforeLines="-2147483648" w:after="0"/>
        <w:ind w:left="0"/>
        <w:jc w:val="left"/>
        <w:rPr>
          <w:rFonts w:hint="eastAsia" w:ascii="宋体" w:hAnsi="宋体" w:cs="宋体"/>
          <w:b/>
          <w:color w:val="auto"/>
          <w:sz w:val="24"/>
          <w:highlight w:val="none"/>
        </w:rPr>
      </w:pPr>
    </w:p>
    <w:p w14:paraId="4A35FD8A">
      <w:pPr>
        <w:snapToGrid/>
        <w:spacing w:before="0" w:beforeLines="-2147483648" w:after="0"/>
        <w:ind w:left="0"/>
        <w:jc w:val="left"/>
        <w:rPr>
          <w:rFonts w:hint="eastAsia" w:ascii="宋体" w:hAnsi="宋体" w:cs="宋体"/>
          <w:b/>
          <w:color w:val="auto"/>
          <w:sz w:val="24"/>
          <w:highlight w:val="none"/>
        </w:rPr>
      </w:pPr>
    </w:p>
    <w:p w14:paraId="3FF02030">
      <w:pPr>
        <w:snapToGrid/>
        <w:spacing w:before="0" w:beforeLines="-2147483648" w:after="0"/>
        <w:ind w:left="0"/>
        <w:jc w:val="left"/>
        <w:rPr>
          <w:rFonts w:hint="eastAsia" w:ascii="宋体" w:hAnsi="宋体" w:cs="宋体"/>
          <w:b/>
          <w:color w:val="auto"/>
          <w:sz w:val="24"/>
          <w:highlight w:val="none"/>
        </w:rPr>
      </w:pPr>
    </w:p>
    <w:p w14:paraId="7F897445">
      <w:pPr>
        <w:snapToGrid/>
        <w:spacing w:before="0" w:beforeLines="-2147483648" w:after="0"/>
        <w:ind w:left="0"/>
        <w:jc w:val="left"/>
        <w:rPr>
          <w:rFonts w:hint="eastAsia" w:ascii="宋体" w:hAnsi="宋体" w:cs="宋体"/>
          <w:b/>
          <w:color w:val="auto"/>
          <w:sz w:val="24"/>
          <w:highlight w:val="none"/>
        </w:rPr>
      </w:pPr>
    </w:p>
    <w:p w14:paraId="4D0DBF91">
      <w:pPr>
        <w:snapToGrid/>
        <w:spacing w:before="0" w:beforeLines="-2147483648" w:after="0"/>
        <w:ind w:left="0"/>
        <w:jc w:val="left"/>
        <w:rPr>
          <w:rFonts w:hint="eastAsia" w:ascii="宋体" w:hAnsi="宋体" w:cs="宋体"/>
          <w:b/>
          <w:color w:val="auto"/>
          <w:sz w:val="24"/>
          <w:highlight w:val="none"/>
        </w:rPr>
      </w:pPr>
    </w:p>
    <w:p w14:paraId="2FDD7993">
      <w:pPr>
        <w:snapToGrid/>
        <w:spacing w:before="0" w:beforeLines="-2147483648" w:after="0"/>
        <w:ind w:left="0"/>
        <w:jc w:val="left"/>
        <w:rPr>
          <w:rFonts w:hint="eastAsia" w:ascii="宋体" w:hAnsi="宋体" w:cs="宋体"/>
          <w:b/>
          <w:color w:val="auto"/>
          <w:sz w:val="24"/>
          <w:highlight w:val="none"/>
        </w:rPr>
      </w:pPr>
    </w:p>
    <w:p w14:paraId="1C1294A4">
      <w:pPr>
        <w:snapToGrid/>
        <w:spacing w:before="0" w:beforeLines="-2147483648" w:after="0"/>
        <w:ind w:left="0"/>
        <w:jc w:val="left"/>
        <w:rPr>
          <w:rFonts w:hint="eastAsia" w:ascii="宋体" w:hAnsi="宋体" w:cs="宋体"/>
          <w:b/>
          <w:color w:val="auto"/>
          <w:sz w:val="24"/>
          <w:highlight w:val="none"/>
        </w:rPr>
      </w:pPr>
    </w:p>
    <w:p w14:paraId="30525FE3">
      <w:pPr>
        <w:snapToGrid/>
        <w:spacing w:before="0" w:beforeLines="-2147483648" w:after="0"/>
        <w:ind w:left="0"/>
        <w:jc w:val="left"/>
        <w:rPr>
          <w:rFonts w:hint="eastAsia" w:ascii="宋体" w:hAnsi="宋体" w:cs="宋体"/>
          <w:b/>
          <w:color w:val="auto"/>
          <w:sz w:val="24"/>
          <w:highlight w:val="none"/>
        </w:rPr>
      </w:pPr>
    </w:p>
    <w:p w14:paraId="68038AC8">
      <w:pPr>
        <w:snapToGrid/>
        <w:spacing w:before="0" w:beforeLines="-2147483648" w:after="0"/>
        <w:ind w:left="0"/>
        <w:jc w:val="left"/>
        <w:rPr>
          <w:rFonts w:hint="eastAsia" w:ascii="宋体" w:hAnsi="宋体" w:cs="宋体"/>
          <w:b/>
          <w:color w:val="auto"/>
          <w:sz w:val="24"/>
          <w:highlight w:val="none"/>
        </w:rPr>
      </w:pPr>
    </w:p>
    <w:p w14:paraId="0184B8DC">
      <w:pPr>
        <w:snapToGrid/>
        <w:spacing w:before="0" w:beforeLines="-2147483648" w:after="0"/>
        <w:ind w:left="0"/>
        <w:jc w:val="left"/>
        <w:rPr>
          <w:rFonts w:hint="eastAsia" w:ascii="宋体" w:hAnsi="宋体" w:cs="宋体"/>
          <w:b/>
          <w:color w:val="auto"/>
          <w:sz w:val="24"/>
          <w:highlight w:val="none"/>
        </w:rPr>
      </w:pPr>
    </w:p>
    <w:p w14:paraId="57657235">
      <w:pPr>
        <w:snapToGrid/>
        <w:spacing w:before="0" w:beforeLines="-2147483648" w:after="0"/>
        <w:ind w:left="0"/>
        <w:jc w:val="left"/>
        <w:rPr>
          <w:rFonts w:hint="eastAsia" w:ascii="宋体" w:hAnsi="宋体" w:cs="宋体"/>
          <w:b/>
          <w:color w:val="auto"/>
          <w:sz w:val="24"/>
          <w:highlight w:val="none"/>
        </w:rPr>
      </w:pPr>
    </w:p>
    <w:p w14:paraId="0907795D">
      <w:pPr>
        <w:snapToGrid/>
        <w:spacing w:before="0" w:beforeLines="-2147483648" w:after="0"/>
        <w:ind w:left="0"/>
        <w:jc w:val="left"/>
        <w:rPr>
          <w:rFonts w:hint="eastAsia" w:ascii="宋体" w:hAnsi="宋体" w:cs="宋体"/>
          <w:b/>
          <w:color w:val="auto"/>
          <w:sz w:val="24"/>
          <w:highlight w:val="none"/>
        </w:rPr>
      </w:pPr>
    </w:p>
    <w:p w14:paraId="3ED3F418">
      <w:pPr>
        <w:snapToGrid/>
        <w:spacing w:before="0" w:beforeLines="-2147483648" w:after="0"/>
        <w:ind w:left="0"/>
        <w:jc w:val="left"/>
        <w:rPr>
          <w:rFonts w:hint="eastAsia" w:ascii="宋体" w:hAnsi="宋体" w:cs="宋体"/>
          <w:b/>
          <w:color w:val="auto"/>
          <w:sz w:val="24"/>
          <w:highlight w:val="none"/>
        </w:rPr>
      </w:pPr>
    </w:p>
    <w:p w14:paraId="09A3C729">
      <w:pPr>
        <w:snapToGrid/>
        <w:spacing w:before="0" w:beforeLines="-2147483648" w:after="0"/>
        <w:ind w:left="0"/>
        <w:jc w:val="left"/>
        <w:rPr>
          <w:rFonts w:hint="eastAsia" w:ascii="宋体" w:hAnsi="宋体" w:cs="宋体"/>
          <w:b/>
          <w:color w:val="auto"/>
          <w:sz w:val="24"/>
          <w:highlight w:val="none"/>
        </w:rPr>
      </w:pPr>
    </w:p>
    <w:p w14:paraId="5848988B">
      <w:pPr>
        <w:snapToGrid/>
        <w:spacing w:before="0" w:beforeLines="-2147483648" w:after="0"/>
        <w:ind w:left="0"/>
        <w:jc w:val="left"/>
        <w:rPr>
          <w:rFonts w:hint="eastAsia" w:ascii="宋体" w:hAnsi="宋体" w:cs="宋体"/>
          <w:b/>
          <w:color w:val="auto"/>
          <w:sz w:val="24"/>
          <w:highlight w:val="none"/>
        </w:rPr>
      </w:pPr>
    </w:p>
    <w:p w14:paraId="601FE8BC">
      <w:pPr>
        <w:snapToGrid/>
        <w:spacing w:before="0" w:beforeLines="-2147483648" w:after="0"/>
        <w:ind w:left="0"/>
        <w:jc w:val="left"/>
        <w:rPr>
          <w:rFonts w:hint="eastAsia" w:ascii="宋体" w:hAnsi="宋体" w:cs="宋体"/>
          <w:b/>
          <w:color w:val="auto"/>
          <w:sz w:val="24"/>
          <w:highlight w:val="none"/>
        </w:rPr>
      </w:pPr>
    </w:p>
    <w:p w14:paraId="745CA782">
      <w:pPr>
        <w:snapToGrid/>
        <w:spacing w:before="0" w:beforeLines="-2147483648" w:after="0"/>
        <w:ind w:left="0"/>
        <w:jc w:val="left"/>
        <w:rPr>
          <w:rFonts w:hint="eastAsia" w:ascii="宋体" w:hAnsi="宋体" w:cs="宋体"/>
          <w:b/>
          <w:color w:val="auto"/>
          <w:sz w:val="24"/>
          <w:highlight w:val="none"/>
        </w:rPr>
      </w:pPr>
    </w:p>
    <w:p w14:paraId="1192C502">
      <w:pPr>
        <w:snapToGrid/>
        <w:spacing w:before="0" w:beforeLines="-2147483648" w:after="0"/>
        <w:ind w:left="0"/>
        <w:jc w:val="left"/>
        <w:rPr>
          <w:rFonts w:hint="eastAsia" w:ascii="宋体" w:hAnsi="宋体" w:cs="宋体"/>
          <w:b/>
          <w:color w:val="auto"/>
          <w:sz w:val="24"/>
          <w:highlight w:val="none"/>
        </w:rPr>
      </w:pPr>
    </w:p>
    <w:p w14:paraId="4887560D">
      <w:pPr>
        <w:snapToGrid/>
        <w:spacing w:before="0" w:beforeLines="-2147483648" w:after="0"/>
        <w:ind w:left="0"/>
        <w:jc w:val="left"/>
        <w:rPr>
          <w:rFonts w:hint="eastAsia" w:ascii="宋体" w:hAnsi="宋体" w:cs="宋体"/>
          <w:b/>
          <w:color w:val="auto"/>
          <w:sz w:val="24"/>
          <w:highlight w:val="none"/>
        </w:rPr>
      </w:pPr>
    </w:p>
    <w:p w14:paraId="4B4C5B03">
      <w:pPr>
        <w:snapToGrid/>
        <w:spacing w:before="0" w:beforeLines="-2147483648" w:after="0"/>
        <w:ind w:left="0"/>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 投标函格式：</w:t>
      </w:r>
    </w:p>
    <w:p w14:paraId="15E78D8E">
      <w:pPr>
        <w:snapToGrid w:val="0"/>
        <w:spacing w:before="120" w:beforeLines="50" w:after="50" w:line="360" w:lineRule="auto"/>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投 标 函</w:t>
      </w:r>
    </w:p>
    <w:p w14:paraId="399B30C3">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p>
    <w:p w14:paraId="6E708E05">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rPr>
        <w:t>根据贵方</w:t>
      </w:r>
      <w:r>
        <w:rPr>
          <w:rFonts w:hint="eastAsia" w:ascii="宋体" w:hAnsi="宋体" w:cs="宋体"/>
          <w:color w:val="auto"/>
          <w:sz w:val="24"/>
          <w:highlight w:val="none"/>
          <w:u w:val="single"/>
        </w:rPr>
        <w:t xml:space="preserve"> 项目名称</w:t>
      </w: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）的招标公告，签字代表______</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（姓名）经正式授权并代表投标人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（投标人名称）提交投标文件。</w:t>
      </w:r>
    </w:p>
    <w:p w14:paraId="2648E310">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据此函，我方宣布同意如下：</w:t>
      </w:r>
    </w:p>
    <w:p w14:paraId="1582C661">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296BD475">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2.我方在投标之前已经完全理解并接受招标文件的各项规定和要求，对招标文件的合理性、合法性不再有异议。</w:t>
      </w:r>
    </w:p>
    <w:p w14:paraId="775A061E">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3.本投标有效期自投标截止之日起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7DDAF3BF">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4.如中标，本投标文件至本项目合同履行完毕止均保持有效，我方将按“招标文件”及政府采购法律、法规的规定履行合同责任和义务。</w:t>
      </w:r>
    </w:p>
    <w:p w14:paraId="4D28F8CB">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5.我方同意按照贵方要求提供与投标有关的一切数据或者资料。</w:t>
      </w:r>
    </w:p>
    <w:p w14:paraId="22AF5CD9">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6.我方向贵方提交的所有投标文件、资料都是准确的和真实的。</w:t>
      </w:r>
    </w:p>
    <w:p w14:paraId="11BC9DB0">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7.以上事项如有虚假或者隐瞒，我方愿意承担一切后果，并不再寻求任何旨在减轻或者免除法律责任的辩解。</w:t>
      </w:r>
    </w:p>
    <w:p w14:paraId="653515DE">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1A57CA27">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□我方本次投标文件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43DDC745">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□我方本次投标文件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4C333BEB">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9.与本投标有关的一切正式往来信函请寄：</w:t>
      </w:r>
    </w:p>
    <w:p w14:paraId="5352630F">
      <w:pPr>
        <w:spacing w:line="440" w:lineRule="exact"/>
        <w:ind w:firstLine="480" w:firstLineChars="200"/>
        <w:contextualSpacing/>
        <w:rPr>
          <w:rFonts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w:t>
      </w:r>
    </w:p>
    <w:p w14:paraId="65C5217A">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传真：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联系邮箱：</w:t>
      </w:r>
      <w:r>
        <w:rPr>
          <w:rFonts w:hint="eastAsia" w:ascii="宋体" w:hAnsi="宋体" w:cs="宋体"/>
          <w:color w:val="auto"/>
          <w:sz w:val="24"/>
          <w:highlight w:val="none"/>
          <w:u w:val="single"/>
        </w:rPr>
        <w:t xml:space="preserve">          </w:t>
      </w:r>
    </w:p>
    <w:p w14:paraId="4830B04C">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p>
    <w:p w14:paraId="30D66D38">
      <w:pPr>
        <w:spacing w:line="44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银行账号：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1A767F2D">
      <w:pPr>
        <w:spacing w:line="44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 xml:space="preserve">法定代表人或者委托代理人签字:___________ </w:t>
      </w:r>
    </w:p>
    <w:p w14:paraId="31A7A2F7">
      <w:pPr>
        <w:pStyle w:val="13"/>
        <w:spacing w:line="440" w:lineRule="exact"/>
        <w:contextualSpacing/>
        <w:jc w:val="center"/>
        <w:rPr>
          <w:rFonts w:hAnsi="宋体" w:cs="宋体"/>
          <w:color w:val="auto"/>
          <w:sz w:val="24"/>
          <w:szCs w:val="24"/>
          <w:highlight w:val="none"/>
          <w:u w:val="single"/>
        </w:rPr>
      </w:pPr>
      <w:r>
        <w:rPr>
          <w:rFonts w:hint="eastAsia" w:hAnsi="宋体" w:cs="宋体"/>
          <w:color w:val="auto"/>
          <w:sz w:val="24"/>
          <w:highlight w:val="none"/>
        </w:rPr>
        <w:t xml:space="preserve">                                    投标人（盖公章）：</w:t>
      </w:r>
    </w:p>
    <w:p w14:paraId="06430611">
      <w:pPr>
        <w:pStyle w:val="13"/>
        <w:spacing w:line="440" w:lineRule="exact"/>
        <w:contextualSpacing/>
        <w:rPr>
          <w:rFonts w:hAnsi="宋体" w:cs="宋体"/>
          <w:color w:val="auto"/>
          <w:sz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p>
    <w:p w14:paraId="2C6CA21A">
      <w:pPr>
        <w:snapToGrid w:val="0"/>
        <w:spacing w:before="120" w:beforeLines="50" w:after="50" w:line="440" w:lineRule="exact"/>
        <w:jc w:val="left"/>
        <w:rPr>
          <w:rFonts w:hint="eastAsia" w:ascii="宋体" w:hAnsi="宋体" w:cs="宋体"/>
          <w:color w:val="auto"/>
          <w:highlight w:val="none"/>
          <w:u w:val="single"/>
        </w:rPr>
        <w:sectPr>
          <w:pgSz w:w="11906" w:h="16838"/>
          <w:pgMar w:top="1134" w:right="1134" w:bottom="1020" w:left="1134" w:header="851" w:footer="567" w:gutter="0"/>
          <w:cols w:space="720" w:num="1"/>
          <w:titlePg/>
          <w:docGrid w:linePitch="312" w:charSpace="0"/>
        </w:sectPr>
      </w:pPr>
    </w:p>
    <w:p w14:paraId="4D60CA1A">
      <w:pPr>
        <w:snapToGrid w:val="0"/>
        <w:spacing w:before="120" w:beforeLines="50" w:after="50" w:line="440" w:lineRule="exact"/>
        <w:jc w:val="left"/>
        <w:rPr>
          <w:rFonts w:ascii="宋体" w:hAnsi="宋体" w:cs="宋体"/>
          <w:b/>
          <w:color w:val="auto"/>
          <w:sz w:val="24"/>
          <w:szCs w:val="20"/>
          <w:highlight w:val="none"/>
        </w:rPr>
      </w:pPr>
      <w:r>
        <w:rPr>
          <w:rFonts w:hint="eastAsia" w:ascii="宋体" w:hAnsi="宋体" w:cs="宋体"/>
          <w:b/>
          <w:color w:val="auto"/>
          <w:sz w:val="24"/>
          <w:highlight w:val="none"/>
        </w:rPr>
        <w:t>4. 开标一览表</w:t>
      </w:r>
    </w:p>
    <w:p w14:paraId="0B627D68">
      <w:pPr>
        <w:snapToGrid w:val="0"/>
        <w:spacing w:before="50" w:after="50"/>
        <w:jc w:val="center"/>
        <w:rPr>
          <w:rFonts w:ascii="宋体" w:hAnsi="宋体" w:cs="宋体"/>
          <w:b/>
          <w:color w:val="auto"/>
          <w:sz w:val="30"/>
          <w:highlight w:val="none"/>
        </w:rPr>
      </w:pPr>
      <w:r>
        <w:rPr>
          <w:rFonts w:hint="eastAsia" w:ascii="宋体" w:hAnsi="宋体" w:cs="宋体"/>
          <w:b/>
          <w:color w:val="auto"/>
          <w:sz w:val="30"/>
          <w:highlight w:val="none"/>
        </w:rPr>
        <w:t>开标一览表</w:t>
      </w:r>
    </w:p>
    <w:p w14:paraId="6E3F16F5">
      <w:pPr>
        <w:snapToGrid w:val="0"/>
        <w:spacing w:before="50" w:after="50"/>
        <w:jc w:val="center"/>
        <w:rPr>
          <w:rFonts w:ascii="宋体" w:hAnsi="宋体" w:cs="宋体"/>
          <w:b/>
          <w:color w:val="auto"/>
          <w:sz w:val="30"/>
          <w:szCs w:val="20"/>
          <w:highlight w:val="none"/>
        </w:rPr>
      </w:pPr>
    </w:p>
    <w:p w14:paraId="548EAB85">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719DF32F">
      <w:pPr>
        <w:snapToGrid w:val="0"/>
        <w:spacing w:before="50" w:after="50" w:line="360" w:lineRule="auto"/>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单位：元</w:t>
      </w:r>
    </w:p>
    <w:p w14:paraId="7AD07AD5">
      <w:pPr>
        <w:spacing w:line="360" w:lineRule="auto"/>
        <w:ind w:firstLine="0" w:firstLineChars="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分标1标项名称：</w:t>
      </w:r>
      <w:r>
        <w:rPr>
          <w:rFonts w:hint="eastAsia" w:asciiTheme="minorEastAsia" w:hAnsiTheme="minorEastAsia" w:eastAsiaTheme="minorEastAsia" w:cstheme="minorEastAsia"/>
          <w:b/>
          <w:color w:val="auto"/>
          <w:szCs w:val="21"/>
          <w:highlight w:val="none"/>
          <w:lang w:val="en-US" w:eastAsia="zh-CN"/>
        </w:rPr>
        <w:t>广西中医药研究院2025年中药饮片配送服务</w:t>
      </w:r>
      <w:r>
        <w:rPr>
          <w:rFonts w:hint="eastAsia" w:asciiTheme="minorEastAsia" w:hAnsiTheme="minorEastAsia" w:eastAsiaTheme="minorEastAsia" w:cstheme="minorEastAsia"/>
          <w:b/>
          <w:color w:val="auto"/>
          <w:szCs w:val="21"/>
          <w:highlight w:val="none"/>
        </w:rPr>
        <w:t>（1）</w:t>
      </w:r>
    </w:p>
    <w:tbl>
      <w:tblPr>
        <w:tblStyle w:val="22"/>
        <w:tblW w:w="153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9"/>
        <w:gridCol w:w="713"/>
        <w:gridCol w:w="1375"/>
        <w:gridCol w:w="689"/>
        <w:gridCol w:w="912"/>
        <w:gridCol w:w="2964"/>
        <w:gridCol w:w="3108"/>
        <w:gridCol w:w="1068"/>
        <w:gridCol w:w="708"/>
        <w:gridCol w:w="456"/>
        <w:gridCol w:w="804"/>
        <w:gridCol w:w="924"/>
        <w:gridCol w:w="924"/>
      </w:tblGrid>
      <w:tr w14:paraId="4505A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8F330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6F439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药物名称</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C72DE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参考执行标准</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E12B8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炮制要求</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8E372A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片型</w:t>
            </w:r>
          </w:p>
          <w:p w14:paraId="50BAE9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规格</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6668C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基源</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A1D61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质量要求</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D154A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包装规格（g/袋）</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6A6702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年拟采购量①</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CFB34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单位</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73011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上限单价（元）</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F3AF0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sz w:val="22"/>
                <w:szCs w:val="22"/>
                <w:highlight w:val="none"/>
                <w:u w:val="none"/>
                <w:lang w:val="en-US" w:eastAsia="zh-CN"/>
              </w:rPr>
              <w:t>投标</w:t>
            </w:r>
            <w:r>
              <w:rPr>
                <w:rFonts w:hint="eastAsia" w:ascii="宋体" w:hAnsi="宋体" w:eastAsia="宋体" w:cs="宋体"/>
                <w:i w:val="0"/>
                <w:iCs w:val="0"/>
                <w:color w:val="auto"/>
                <w:sz w:val="22"/>
                <w:szCs w:val="22"/>
                <w:highlight w:val="none"/>
                <w:u w:val="none"/>
              </w:rPr>
              <w:t>单价报价</w:t>
            </w:r>
            <w:r>
              <w:rPr>
                <w:rFonts w:hint="eastAsia" w:ascii="宋体" w:hAnsi="宋体" w:eastAsia="宋体" w:cs="宋体"/>
                <w:i w:val="0"/>
                <w:iCs w:val="0"/>
                <w:color w:val="auto"/>
                <w:sz w:val="22"/>
                <w:szCs w:val="22"/>
                <w:highlight w:val="none"/>
                <w:u w:val="none"/>
                <w:lang w:val="en-US" w:eastAsia="zh-CN"/>
              </w:rPr>
              <w:t>（元</w:t>
            </w:r>
            <w:r>
              <w:rPr>
                <w:rFonts w:hint="eastAsia" w:ascii="宋体" w:hAnsi="宋体" w:eastAsia="宋体" w:cs="宋体"/>
                <w:i w:val="0"/>
                <w:iCs w:val="0"/>
                <w:color w:val="auto"/>
                <w:kern w:val="0"/>
                <w:sz w:val="22"/>
                <w:szCs w:val="22"/>
                <w:highlight w:val="none"/>
                <w:u w:val="none"/>
                <w:lang w:val="en-US" w:eastAsia="zh-CN" w:bidi="ar"/>
              </w:rPr>
              <w:t>）②</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EF07E8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小计</w:t>
            </w:r>
          </w:p>
          <w:p w14:paraId="41B443F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③=①×②</w:t>
            </w:r>
          </w:p>
        </w:tc>
      </w:tr>
      <w:tr w14:paraId="5EFAF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996C4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4F6F6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阿胶</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46D0A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2C08A4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固体胶</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7FD55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F9EFB8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本品为马科动物驴Equus asinus L. 的干燥皮或鲜皮经煎煮、浓缩制成的固体胶。</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5A4C40A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有国药准字，与现行《中国药典》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9D2B9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33B6A0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E3075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8FE96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3088.47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BD8FC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2C0C06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00FC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AF0BA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0A6EA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矮地茶</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B1463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1D58C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2D100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短段/（选货）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6B7F90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本品为紫金牛科植物紫金牛Ardisia   japonica（Thunb.） Blume的干燥全草。</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6FD87D7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茎色红棕、叶色绿。其它应与现行《中国药典》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A7CEE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4C3DD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8AF5B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BF17C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57.99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F8BC1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C20D77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9685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971E4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96E7B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艾叶</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E00F4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25D2D8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D4382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D2D499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本品为菊科植物艾Artemisia argyi Levl.et Vant.的干燥叶。</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6CC964A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新货：表面灰绿色或深黄绿色，气清香明显，无枯叶、枝梗。其它应与现行《中国药典》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2BA9B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23CBD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72FB0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FF16C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47.18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D32CA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02FADA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94CA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E6F9B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49C41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艾叶炭</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4EC05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28E6E2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炒炭</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95BEE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1F6186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本品为艾叶的炮制加工品。</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D8FE18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呈焦黑色，有存性。其它应与《广西中药饮片炮制规范》2022年版相符。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72C74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A92EC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FE244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22015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73.20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5698B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D4BCE0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0527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5C7A0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D4C5B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菝葜</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F9C79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4B75E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5BCE3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749A0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本品为百合科植物菝葜 Smilax china L. 的干燥根茎。秋末至次年春采挖，除去须根，洗净，晒干或趁鲜切片，干燥。</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60DB81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本品为不规则块状或弯曲扁柱形，有结节状隆起，长 10～20cm，直径 2～4cm。</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221F9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9AAEC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69B53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3442C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37.53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55EB8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9453F9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FF27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42F05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BD364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白矾</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299B6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E99C1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44333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块状、颗粒或粉末/（选货）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204998F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本品为硫酸盐类矿物明矾石族明矾石经加工提炼制成。主含含水硫酸铝钾〔KAl（SO4）2·12H2O〕。</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192894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无色透明，无杂质，有玻璃样光泽，味酸、微甘而极涩。其它应与现行《中国药典》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16069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3611DA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28516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2FAAC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34.44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617C8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F727CA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241E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1AC55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BADA3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白果仁</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2E763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FA017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34B1D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7CC37C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本品为银杏科植物银杏Ginkgo biloba L.的干燥成熟种子的炮制加工品。</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7BD3CFA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粒大、种仁饱满、断面色淡黄。其它应与现行《中国药典》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B72B2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31FA5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E2B46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2E492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56.65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BBB8D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F56233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1248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8971C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DF5E8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白花蛇舌草</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6718D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《广西壮族自治区壮药质量标准》（第一卷）</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9927B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97BC9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短段/（选货）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A83690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本品为茜草科植物白花蛇舌草Hedyotis diffusa Willd.的干燥全草。</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8ED0D7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无异味、无杂质。颜色黄绿色为佳。其它应与《广西壮族自治区壮药质量标准》第一卷相符。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7E025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738AE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E0E04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800F4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66.69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D9C99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00537E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3034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06837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9D1FB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白及</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1D528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B09F5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4B36A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8B1650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本品为兰科植物白及Bletilla striata（Thunb.）Reichb.f.的干燥块茎。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A5BEAD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大小均一，苦味明显，嚼之粘性大，长度大于3cm，其它应与现行《中国药典》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CF674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8015B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01F44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9DB4C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504.92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DF293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0FEA98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E0AC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2CDAD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421EF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白芥子</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EF21A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5F68E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A2DBA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420284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本品为十字花科植物白芥Sinapis alba L. 或芥Brassica juncea（L. ）Czern. et Coss. 的干燥成熟种子。</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CA3260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无杂质，味辛辣。粒大，饱满。其它应与现行《中国药典》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FA1F2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DB3CC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32E4F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60426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50.93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27DAC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6903A1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546D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D22C8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04048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白蔹</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C7398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D1F19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F10D4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5793139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本品为葡萄科植物白蔹Ampelopsis japonica（Thunb.）Makino的干燥块根。</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68493D6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断面色白，粉性足。应与现行《中国药典》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BA43C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2ABB5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40B8B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5AE1F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190.66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F032B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31158E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1171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26B04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C73A5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白前</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EA6A0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8DD71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E55F6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D0BD7D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本品为萝藦科植物柳叶白前Cynanchum stauntonii（Decne.）Schltr.ex Lévl.或芫花叶白前Cynanchum glaucescens（Decne.）Hand.-Mazz.的干燥根茎和根。</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083528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根茎粗，色黄白，无地上部分，无杂质其它应与现行《中国药典》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0972F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14393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D5DFD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5189D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182.30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2135C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F2FE7F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D6EC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AE44E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E8442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白首乌</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ECA46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《河南省中药饮片炮制规范》2005版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09768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B43C4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0A02A3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萝藦科植物白首乌 Cynanchum bungei Decne. 的干燥块根。春初或秋季采挖，除去外皮，晒干或趁鲜切片，晒干。</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1A3CCF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本品呈纺锤形、葫芦形或不规则的团块状，长 3～10cm，直径 1.5～5cm，或为大小不一的块片。</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C1F47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74BFE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0A70B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BE624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162.42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D2FFE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C020E8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AD48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65877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8A524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白头翁</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BB9E5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49E16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D32F4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E24C1C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本品为毛茛科植物白头翁Pulsatilla chinensis（Bge.）Regel的干燥根。</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7A1300A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片大，外表灰黄色，根头有白色茸毛。质坚实。其它应与现行《中国药典》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7C439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00AE3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6FABE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6DCCE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676.15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76FAC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F0F89C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D3F1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5383E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7F2EB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半边莲</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339AC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1B861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589C7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F9CD8A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本品为桔梗科植物半边莲Lobelia chinensis Lour.的干燥全草。</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C17A38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根占比大于15%。叶绿，根黄，无泥沙杂质。其它应与现行《中国药典》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36F65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F5021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091BF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0C44D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105.40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C2BDD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D4B29B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06A2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41D89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E5AD8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半枝莲</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6A4F4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E0F1A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EF685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5A1875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本品为唇形科植物半枝莲Scutellaria barbata D.Don的干燥全草。</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1525C1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新货，色紫绿，带叶。其它应与现行《中国药典》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B0CEC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77F7F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C6813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807CB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58.90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22EA7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EDD15E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683B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0E40D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43B4A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薄荷脑</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58589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42577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粉末</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F6FB9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E110118">
            <w:pPr>
              <w:jc w:val="left"/>
              <w:rPr>
                <w:rFonts w:hint="eastAsia" w:ascii="宋体" w:hAnsi="宋体" w:eastAsia="宋体" w:cs="宋体"/>
                <w:i w:val="0"/>
                <w:iCs w:val="0"/>
                <w:color w:val="auto"/>
                <w:sz w:val="22"/>
                <w:szCs w:val="22"/>
                <w:highlight w:val="none"/>
                <w:u w:val="none"/>
              </w:rPr>
            </w:pP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6133C9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无色针状或棱柱状结晶或者白色结晶性粉末。</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B870B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BB0F3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1C7EF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B2C8E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826.60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2C518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156344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C786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62E11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4D113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北沙参</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FAD3D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6854E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D7093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1817075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本品为伞形科植物珊瑚菜Glehnia littoralis Fr. Schmidt ex Miq.的干燥根。</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03675C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直径大于0.8cm，无根头片，无空洞。其它应与现行《中国药典》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63189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557A3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7D731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646DC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176.37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8DE52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F7FEF5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851F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7E24F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F5EF9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萹蓄</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58C2F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31EE2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BCF16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68D3E6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本品为蓼科植物萹蓄Polygonum aviculare L.  的干燥地上部分。</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B49EFB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色灰绿、叶多、质嫩。其它应与现行《中国药典》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8F631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8CE68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96096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B38B2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54.82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BBD63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13E541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83B6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3A5AE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363AB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槟榔</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0FD80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35DEA7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B3DE4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5183D4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本品为棕榈科植物槟榔Areca catechu L.的干燥成熟种子。</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8730F7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直径1.5〜3cm，大小均一，无碎渣。切面大理石花纹明显、无虫蛀。切薄片其它应与现行《中国药典》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1717D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6D7B22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FE94B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CC137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100.40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54BEC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4092B4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9048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3AEF7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209C4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布渣叶</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9DA0A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136BC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72226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4436D8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本品为椴树科植物破布叶Microcos paniculata L.的干燥叶。</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B33856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叶片大而完整，色绿，少叶柄。其它应与现行《中国药典》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D5F9D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0C24C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B3EAA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5BACE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52.06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B9E5D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6CA8AE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60B0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25773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8967E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苍耳子</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BEE95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A5742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B1D5D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0830F8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本品为菊科植物苍耳Xanthium sibiricum Patr. 的干燥成熟带总苞的果实的炮制加工品。</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5A94EF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去刺，有刺痕。微有香气，粒大、饱满。其它应与现行《中国药典》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6B1AB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1002A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AF92E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1CDD4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57.39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BA2D1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8E46F1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0417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71304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BF0DB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侧柏叶</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3E270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195A1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379E1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6E769F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本品为柏科植物侧柏Platycladus orientalis（L.）Franco 的干燥枝梢和叶。</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C82737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叶、枝嫩、色青绿 ，无碎末。其它应与现行《中国药典》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D9CAA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B790E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1FFF1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87C6A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34.25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482B5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7ED41F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B1E8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F797D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BFFE0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燀苦杏仁</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DF000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0B147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燀法去皮</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B8C3D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DEAFDA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本品为蔷薇科植物山杏Prunus armeniaca L.var.ansu Maxim.、西伯利亚杏Prunus sibirica L.、东北杏Prunus mandshurica（Maxim.）Koehne 或杏Prunus armeniaca L. 的干燥成熟种子。</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B6F9EF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颗粒饱满完整，大小均一，厚度大于0.5cm，碎粒不超过3%。其它应与现行《中国药典》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84649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BBF25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084EA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B6A94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114.70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49B85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6BEA45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312B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21669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DE9DC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炒谷芽（炒稻芽）</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07053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30613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B0F84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4A566C0">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本品为禾本科植物粟</w:t>
            </w:r>
            <w:r>
              <w:rPr>
                <w:rFonts w:hint="default" w:ascii="Times New Roman" w:hAnsi="Times New Roman" w:eastAsia="宋体" w:cs="Times New Roman"/>
                <w:i w:val="0"/>
                <w:iCs w:val="0"/>
                <w:color w:val="auto"/>
                <w:kern w:val="0"/>
                <w:sz w:val="22"/>
                <w:szCs w:val="22"/>
                <w:highlight w:val="none"/>
                <w:u w:val="none"/>
                <w:lang w:val="en-US" w:eastAsia="zh-CN" w:bidi="ar"/>
              </w:rPr>
              <w:t xml:space="preserve">Setaria italica </w:t>
            </w:r>
            <w:r>
              <w:rPr>
                <w:rFonts w:hint="eastAsia" w:ascii="宋体" w:hAnsi="宋体" w:eastAsia="宋体" w:cs="宋体"/>
                <w:i w:val="0"/>
                <w:iCs w:val="0"/>
                <w:color w:val="auto"/>
                <w:kern w:val="0"/>
                <w:sz w:val="22"/>
                <w:szCs w:val="22"/>
                <w:highlight w:val="none"/>
                <w:u w:val="none"/>
                <w:lang w:val="en-US" w:eastAsia="zh-CN" w:bidi="ar"/>
              </w:rPr>
              <w:t>（</w:t>
            </w:r>
            <w:r>
              <w:rPr>
                <w:rFonts w:hint="default" w:ascii="Times New Roman" w:hAnsi="Times New Roman" w:eastAsia="宋体" w:cs="Times New Roman"/>
                <w:i w:val="0"/>
                <w:iCs w:val="0"/>
                <w:color w:val="auto"/>
                <w:kern w:val="0"/>
                <w:sz w:val="22"/>
                <w:szCs w:val="22"/>
                <w:highlight w:val="none"/>
                <w:u w:val="none"/>
                <w:lang w:val="en-US" w:eastAsia="zh-CN" w:bidi="ar"/>
              </w:rPr>
              <w:t xml:space="preserve">L. </w:t>
            </w:r>
            <w:r>
              <w:rPr>
                <w:rFonts w:hint="eastAsia" w:ascii="宋体" w:hAnsi="宋体" w:eastAsia="宋体" w:cs="宋体"/>
                <w:i w:val="0"/>
                <w:iCs w:val="0"/>
                <w:color w:val="auto"/>
                <w:kern w:val="0"/>
                <w:sz w:val="22"/>
                <w:szCs w:val="22"/>
                <w:highlight w:val="none"/>
                <w:u w:val="none"/>
                <w:lang w:val="en-US" w:eastAsia="zh-CN" w:bidi="ar"/>
              </w:rPr>
              <w:t>）</w:t>
            </w:r>
            <w:r>
              <w:rPr>
                <w:rFonts w:hint="default" w:ascii="Times New Roman" w:hAnsi="Times New Roman" w:eastAsia="宋体" w:cs="Times New Roman"/>
                <w:i w:val="0"/>
                <w:iCs w:val="0"/>
                <w:color w:val="auto"/>
                <w:kern w:val="0"/>
                <w:sz w:val="22"/>
                <w:szCs w:val="22"/>
                <w:highlight w:val="none"/>
                <w:u w:val="none"/>
                <w:lang w:val="en-US" w:eastAsia="zh-CN" w:bidi="ar"/>
              </w:rPr>
              <w:t xml:space="preserve"> Beauv. </w:t>
            </w:r>
            <w:r>
              <w:rPr>
                <w:rFonts w:hint="eastAsia" w:ascii="宋体" w:hAnsi="宋体" w:eastAsia="宋体" w:cs="宋体"/>
                <w:i w:val="0"/>
                <w:iCs w:val="0"/>
                <w:color w:val="auto"/>
                <w:kern w:val="0"/>
                <w:sz w:val="22"/>
                <w:szCs w:val="22"/>
                <w:highlight w:val="none"/>
                <w:u w:val="none"/>
                <w:lang w:val="en-US" w:eastAsia="zh-CN" w:bidi="ar"/>
              </w:rPr>
              <w:t>的成熟果实经发芽干燥的炮制加工品。取净谷芽，照清炒法（通则</w:t>
            </w:r>
            <w:r>
              <w:rPr>
                <w:rFonts w:hint="default" w:ascii="Times New Roman" w:hAnsi="Times New Roman" w:eastAsia="宋体" w:cs="Times New Roman"/>
                <w:i w:val="0"/>
                <w:iCs w:val="0"/>
                <w:color w:val="auto"/>
                <w:kern w:val="0"/>
                <w:sz w:val="22"/>
                <w:szCs w:val="22"/>
                <w:highlight w:val="none"/>
                <w:u w:val="none"/>
                <w:lang w:val="en-US" w:eastAsia="zh-CN" w:bidi="ar"/>
              </w:rPr>
              <w:t>0213</w:t>
            </w:r>
            <w:r>
              <w:rPr>
                <w:rFonts w:hint="eastAsia" w:ascii="宋体" w:hAnsi="宋体" w:eastAsia="宋体" w:cs="宋体"/>
                <w:i w:val="0"/>
                <w:iCs w:val="0"/>
                <w:color w:val="auto"/>
                <w:kern w:val="0"/>
                <w:sz w:val="22"/>
                <w:szCs w:val="22"/>
                <w:highlight w:val="none"/>
                <w:u w:val="none"/>
                <w:lang w:val="en-US" w:eastAsia="zh-CN" w:bidi="ar"/>
              </w:rPr>
              <w:t>）炒至深黄色。</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8455E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形如谷芽，表面深黄色。其它应与现行《中国药典》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B9229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EE8DD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0F8AE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85097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36.71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078B9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5B2039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37D0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11325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85DB7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炒僵蚕</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C002E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12C69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麸炒</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09707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1C64F53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本品为蚕蛾科昆虫家蚕Bombyx mori Linnaeus 4～5龄的幼虫感染（或人工接种）白僵菌Beauveria bassiana（Bals.） Vuillant而致死的干燥体。</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5CA9D0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虫体饱满，大小均一，条粗、质硬、断面显光亮。其它应与现行《中国药典》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6ADD5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254BF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7C010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A887B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483.91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573FF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F03481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1DEB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C5F8C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1963E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炒牛蒡子</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8E39B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9BF19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炒制</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A7BBD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个子/用时捣碎/（选货）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1BC967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本品为菊科植物牛蒡Arctium lappa L. 的干燥成熟果实。</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4200A8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颗粒饱满，色泽加深，略鼓起，无杂质。微有香气。其它应与现行《中国药典》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C574A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3CEF22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11AF1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41A11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94.86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C63FB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89614E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BD77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A429C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03A21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炒王不留行</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DCEF1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37F814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F3363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53B2BB2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本品为石竹科植物麦蓝菜Vaccaria segetalis（Neck.）Garcke的干燥成熟种子。</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F6BFB6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爆花率大于95%，无焦花。与现行《中国药典》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FCEED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1A62A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356FD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0822B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55.73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71FC8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001BDB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B461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29594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9981C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炒栀子</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07044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FACF5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647D7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碎块/（选货）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8915E3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本品为茜草科植物栀子Gardenia jasminoides Ellis的干燥成熟果实的炮制加工品。</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F15EE4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无杂质。黄褐色，大小均匀。其它应与现行《中国药典》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835B0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C8490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6E013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7F39F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177.38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1FD24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036F04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7CA9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0DCFA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C79C1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赤芍</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FA2AF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17E8A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CB4F3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2421B29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本品为毛茛科植物芍药Paeonia lactiflora Pall. 或川赤芍Paeonia veitchii Lynch的干燥根。</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201797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直径大于1.0cm。其它应与现行《中国药典》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6C9E9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5AC3D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450AA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49670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212.38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8440D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0F45B7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D198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EDBA0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56C0E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赤小豆</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0D6DF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8A030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21F92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69C236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本品为豆科植物赤小豆Vigna umbellata Ohwi et Ohashi或赤豆Vigna angularis Ohwi et Ohashi的干燥成熟种子。</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5315664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体实饱满，色紫红发暗。其它应与现行《中国药典》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F1FD0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4FBB9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805D3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20124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43.86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DEA8B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E40420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2142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76594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549BC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臭牡丹</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64CEC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湖南省中药材质量标准　2009年版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98083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68065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33D12D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本品为马鞭草科植物臭牡丹 Clerodendrum bungei Steudel 的新鲜或干燥地上部分</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4BD4CD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本品茎呈圆柱形，长1～1.5 m，直径0.3～1.2 cm。</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D3ACF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D89BB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8ECAD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81004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123.75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3D751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1751A5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9CF3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0BE90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8F7D1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穿破石</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E38B4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6A1F0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4358C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C94491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本品为桑科植物构棘Cudrania cochinchinensis(Lour.)Kudo et  Masam 或柘树 Cudrania tri-cuspidata(Carr.)Bur.  的干燥根</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2C9BC0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外皮橙黄色。其它应与《广西壮族自治区中药饮片炮制规范》2007年版相符。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06EC3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D812F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8A791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4E8A1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55.78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44EB4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1C4C74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FDF0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0CEB9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6022C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垂盆草</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1A388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93092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8CEFF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526CF34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本品为景天科植物垂盆草Sedum sarmentosum Bunge 的干燥全草。</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4207E8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叶多、色绿。无杂草。其它应与现行《中国药典》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DCBC6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8B9FA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52C0D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58169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105.72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D5801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2C7D61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9C5A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C74CF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B8E65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醋甘遂</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93E16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0344B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醋炙</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2A96D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短段/（选货）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D868A6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本品为大戟科植物甘遂Euphorbia kansui T.N.Liou ex T.P.Wang的干燥块根的炮制加工品。</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5B4D56D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表面棕黄色，偶有焦斑，略有醋香味。其它应与现行《中国药典》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7911F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3E7155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D1901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85CE1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493.24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DFF29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0BBA97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8F89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E04DF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5F59E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醋龟甲</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A6136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D91D0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砂烫、醋淬</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FD93B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462EAF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本品为龟科动物乌龟Chinemys reevesii （Gray） 的背甲及腹甲。</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4F3440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微有醋香气、无异味、无油板。大小均匀，颜色均匀。其它应与现行《中国药典》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1EDDC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82EEE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8355C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0D491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388.83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B914B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7E988A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30B8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D4810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24CAB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醋没药</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1B382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C1328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醋炙</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32964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6570A0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本品为橄榄科植物地丁树Commiphora myrrha Engl. 或哈地丁树Commiphora molmol Engl. 的干燥树脂。</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192125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不含有木屑、杂质。其它应与现行《中国药典》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FB742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F58CA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DF38F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6601A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272.43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65358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B4B69C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4E27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45075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26BDF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醋五灵脂</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5BC17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1D605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醋制</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23208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4FF2E8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本品为鼯鼠科动物复齿鼯鼠Trogopterus xanthipes的干燥。</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07AB6F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体轻，质松，易折断，纤维性，大小、颜色均匀，无碎裂，无杂质。其它应与《广西壮族自治区中药饮片炮制规范》2007版相符。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E41A3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E65EF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6831D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2A04F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367.34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CA2D8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6629D1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DA23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C6582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1C4E9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醋延胡索</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61F3A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42754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醋炙</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708B2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1FFCFF0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本品为罂粟科植物延胡索Corydalis yanhusuo W.T.Wang的干燥块茎。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7CF2503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类圆形的厚片，直径大于0.8cm，其它应与现行《中国药典》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EB2C9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A8811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C465E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4319D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330.45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4DBE2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10D56E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48A4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FCD29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767D1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大腹皮</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92A03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2C8B94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41712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BB3A58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本品为棕榈科植物槟榔Areca catechu L.的干燥果皮。</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163C69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无杂质， 色深褐，皱皮结实。（不用大腹毛）其它应与现行《中国药典》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F3DBF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A467C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B8BB9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6A029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54.49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75291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859F6C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6099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1976E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C126D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大黄炭</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97772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6899E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炒炭</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ACBCD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CD3627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本品为大黄的炮制加工品。</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6B6632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表面焦黑色，内部深棕色或焦褐色，具焦香气。其它应与现行《中国药典》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3D9A3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A7311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0C94F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7677D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128.07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C6DE9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8574CC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7A98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49A43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FD425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大青盐</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58E45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A6A83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结晶</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319D5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10589C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本品为卤化物类石盐族湖盐结晶体，主含氯化钠 (NaCl) </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7CFDB9C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本品为立方体、八面体或菱形的结晶，有的为歪晶，直径0.5～1.5cm。白色或灰白色，半透明，具玻璃样光泽。</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AA135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83F39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4921F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761BE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21.11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A51BC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26ED50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B3C5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36F91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8B46B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大青叶</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5DB4B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C7230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CD75C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38434F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本品为十字花科植物菘蓝Isatis indigotica Fort.的干燥叶。</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663E4D4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叶片大，完整，色暗灰绿。其它应与现行《中国药典》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2F73F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AFA7D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518AD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03130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49.56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076A1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AF64DA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2821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90281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FEB41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大血藤</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6FF0F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1A8C5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F652A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厚片/横切/（选货）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2B5E406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本品为木通科植物大血藤Sargentodoxa cuneata （Oliv.） Rehd. et Wils.的干燥藤茎。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AC8592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片大、质坚、纹理清晰。其它应与现行《中国药典》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3386A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81E96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E215B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FC766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52.27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CC0FF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6D5E99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9408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9A577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DAD2C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大枣</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6E982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3BD25C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6BC4C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2A59334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本品为鼠李科植物枣Ziziphus jujuba Mill.的干燥成熟果实。</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4C3056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大小均一，直径1.5~2.5cm，肉质肥厚，味甜，无破皮。应与现行《中国药典》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9E3CE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E1556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8889C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5C575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46.69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F550F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F9D562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F7AB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73BD9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6E67E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大钻</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F96F5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《广西壮族自治区壮药质量标准》第二卷</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D64B0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F6D10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8BFC54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本品为木兰科植物厚叶五味子Kadsura coccinea (Lem．) A．C．Smith的干燥根。</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DEE94A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大小均匀。皮厚，表面黑褐色。无须根并香气浓。其它应与《广西壮族自治区壮药质量标准》第二卷相符。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AADFD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0A79E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7A594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C002E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91.89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5EB55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11E3D0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BFC6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C1CAF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6B8EE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淡竹叶</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90756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3C3BB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905FD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8D87FC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本品为禾本科植物淡竹叶Lophatherum gracile Brongn.  的干燥茎叶。</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982A90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叶片浅绿色或黄绿色。其它应与现行《中国药典》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A293C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CF827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62923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50933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63.94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A0A43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344BC4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CD95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5136C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FCB7B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当归藤</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4523D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《广西壮族自治区壮药质量标准》第一卷</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3765B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64822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不规则段/（选货）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65327B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本品为紫金牛科植物当归藤Embelia parviflora Wall. 的干燥地上部分。</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70FE80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有茎、叶。其它应与《广西壮族自治区壮药质量标准》第一卷相符。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957C4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5A24D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15B7C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6C78B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87.11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87FD8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EE9DBC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A048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F30AD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63F1B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当归尾</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D9EB4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《广西壮族自治区中药饮片炮制规范》2022年版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C9A68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F7BA2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25F179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本品为伞形科植物当归Angelica sinensis（Oliv.）Diels的干燥支根。</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935EF6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气香而浓。其它应与《广西壮族自治区中药饮片炮制规范》2022年版相符。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D41AB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6B37F8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214BB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8424F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299.89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5CE1F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4EB684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02CB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8A395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3FA5B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地耳草(田基王)</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14828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《广西壮族自治区壮药质量标准》第二卷</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D7FB6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98499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3F5E48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本品为金丝桃科植物地耳草Hypericum japonicum Thunb.的干燥全草。</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62208B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色黄绿，带花，无杂质。其它应与《广西壮族自治区壮药质量标准》第二卷相符。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11D17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33C82E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DA066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024B6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120.17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C956B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8BE276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F870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EB628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732DD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地龙</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7B2F1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886CF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040DC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AD7282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本品为钜蚓科动物参环毛蚓Pheretima aspergillum(E.Perrier）、通俗环毛蚓Pheretima vulgaris Chen、威廉环毛蚓Pheretima guillelmi（Michaelsen）或栉盲环毛蚓Pheretima pectinifera Michaelsen的干燥体。</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91465C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广地龙，段宽1.2cm以上，含圆柱形片不得超过2%。大小均一。无泥杂。其它应与现行《中国药典》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6749A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3AD2B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ABEFC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257B7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743.69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1D678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C8E95F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752F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A938A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87E69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地榆</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9819E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0C755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EFEC7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E521E5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本品为蔷薇科植物地榆Sanguisorba officinalis L.或长叶地榆Sanguisorba officinalis L. var. longifolia（Bert.）Yü et Li的干燥根。</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F9689E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直径大于0.7cm。其它应与现行《中国药典》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AD948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FA9E0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C90AF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1DFDA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82.25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BC6A1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10E5F8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38D2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515C5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07E63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地榆炭</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45C86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10028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炒炭</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90F91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ECD754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本品为蔷薇科植物地榆Sanguisorba officinalis L.或长叶地榆Sanguisorba officinalis L. var. longifolia（Bert.）Yü et Li的干燥根的加工炮制品。</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6F62AE5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直径大于0.5cm。表面焦黑色，内部棕褐色。具焦香气，味微苦涩。其它应与现行《中国药典》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FA6D6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3A8E42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70B1F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F0284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104.15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FA98C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5389A5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4D8D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D66C7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6083E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灯心草</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C3314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72064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A1E87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565929C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本品为灯心草科植物灯心草Juncus effusus L. 的干燥茎髓。</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6C4EE34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表面白色或淡黄白色，无杂质，体轻，质软，略有弹性，易拉断。其它应与现行《中国药典》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87D08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10F94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313CE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F8BE7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498.88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4BE6C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30E7E8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C224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5660D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31A8E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豆蔻</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CDF45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33CB3E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042F1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0FB1A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本品为姜科植物白豆蔻Amomum kravanh Pierre ex Gagnep.或爪哇白豆蔻 Amomum compactum Soland ex Maton 的干燥成熟果实。</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9E87DA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直径大于1.2cm；杂质不得多于0.5%，瘪仁不得多于1%，大小均一，无瘪子及空壳。其它应与现行《中国药典》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42EF0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B0D37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C2D3E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562C6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211.84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AE8F0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9FB7BE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0E8D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FF2DD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6A144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独活</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8FCE8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9C6CB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60417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245885D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本品为伞形科植物重齿毛当归Angelica pubescens Maxim.f. biserrata Shan et Yuan的干燥根。</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7D3C6F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质油润，无焦枯片，直径大于2.0cm。其它应与现行《中国药典》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6A427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859ED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22B97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E8DEE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118.77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237A0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B5A309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84E5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A2C1B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66F4F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煅龙骨</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63542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E9D8D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明煅</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71E0A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碎块状/（选货）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2C63111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本品为古代哺乳动物如三趾马、犀类、鹿类、牛类、象类等的骨骼化石或象类门齿的化石。</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6A51F4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酥脆易碎，吸湿性强，质松，舐之粘舌。其它应与《广西壮族自治区中药饮片炮制规范》（2007年版）相符。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68214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3DA0B0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44755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26702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843.02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55ABF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153D7F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05DF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378F9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354B8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煅牡蛎</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664FC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20FF79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明煅</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15CCF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A243F2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本品为牡蛎科动物长牡蛎Ostrea gigas Thunberg、大连湾牡蛎 Ostrea talienwhanensis Crosse 或近江牡蛎 Ostrea rivularis Gould 的贝壳。</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76A5C65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煅至酥脆，无臭气，无杂质，断面层状。其它应与现行《中国药典》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11ABD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0A3AE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CF196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4DF21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26.97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34A7F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93A299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7302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D0808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2D068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煅瓦楞子</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F8A0B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F8551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明煅</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F34D8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碎块或粉末/（选货）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1664575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本品为蚶科动物毛蚶Arca subcrenata Lischke、泥蚶Arca granosa Linnaeus或魁蚶Arca inflata Reeve的贝壳。</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9425EE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灰白色至深灰色，质酥脆，气微，味淡。其它应与现行《中国药典》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665E1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5ED49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688CD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FE4B6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26.00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0514F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5AA65E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51B0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49724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3619F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煅自然铜</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A5835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B63E5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煅淬</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5CABC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6A336C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本品为硫化物类矿物黄铁矿族黄铁矿，主含二硫化铁（FeS2）。</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6500FD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无金属光泽，质地疏松，微有醋味。其它应与现行《中国药典》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EC373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9F2DD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303E7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D368B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54.63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BA9D6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89DF62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4000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F7767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CA836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法半夏</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AB0F9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D578E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生石灰、甘草制</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CD26C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19D028B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本品为天南星科植物半夏Pinellia ternata（Thunb.） Breit.的干燥块茎。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F29A2D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饮片个子直径大于0.8cm，颜色均一，无杂质。其它应与现行《中国药典》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C5FC4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D906D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40276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7BB2C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262.42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1318D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491ACF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B113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1DCEF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727EF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防己</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0A8CD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280EA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43A22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19D3BA9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本品为防己科植物粉防己Stephania tetrandra S.Moore的干燥根。</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27899A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直径大于2.0cm，切面粉性足。其它应与现行《中国药典》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E8EEF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512D7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9890B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76DA3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829.64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3A8F3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A6D5AD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C1A6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803D9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3261E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飞龙掌血</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3F781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《广西中药材标准》第二册）</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C4BC5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04DE7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DAE345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本品为芸香科植物飞龙掌血 Toddalia asiatica (Linnaeus) Lamarck 的干燥根及茎。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DC9833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本品呈圆柱形，略弯曲，直径 2～4 cm，有的根头部直径可达 8 cm。</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C2300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BC1B3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D508F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5BCDE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63.58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E272D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6908E1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C098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7ED94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14709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麸炒枳壳</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54862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388A2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麸炒</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9CB4F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2CAE452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本品为芸香科植物酸橙Citrus  aurantium L.及其栽培变种的干燥未成熟果实。</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636DC5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中果皮厚度大于0.4cm，边片不超过5%。其它应与现行《中国药典》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716E9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3B452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1847E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6084D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85.50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05847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C4A21F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2B26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1C7F9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5AB59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佛手</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FEFDC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6F453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A7DE5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6AC48E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本品为芸香科植物佛手Citrus medica L. var. sarcodactylis Swingle 的干燥果实。</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7C9ADBA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片大，绿皮白肉，香气明显，无杂质，常有3～5个手指状的裂瓣，气香。其它应与现行《中国药典》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35573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F7C3D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8478D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ABFFC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152.69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D8DDB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F5F81E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F578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3C893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C75B4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茯苓皮</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8DA61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ED8DA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7559E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块或宽丝/（选货）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C8C5BA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本品为多孔菌科真菌茯苓Poria cocos（Schw.）Wolf 菌核的干燥外皮。</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FC2649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无异味。质较松软，略具弹性。其它应与现行《中国药典》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A0BFA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3F87A0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B9847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0FBB3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39.38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6F71B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091EA8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5490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78B10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EA251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茯神</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2CF20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《湖北省中药材质量标准》2018年版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09B3B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D956F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301845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本品为多孔菌科真菌茯苓Poria cocos（Schw.）Wolf的干燥菌核。</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93D30D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质坚实，具粉质。可见切断的松根。其它应与《湖北省中药材质量标准》2018年版相符。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D6D9B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ED53A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0AF8F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19BA1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182.04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FC4AD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16CEAD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FC85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58CA0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9B28D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浮石</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6A619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《中国药典》1977年版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1C3F1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F8864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18611BC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本品为鲍科动物脊突苔虫的干燥骨骼或火山喷出的岩浆凝固形成的多孔状石块。</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AE9AE8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体轻，色灰白。无杂质。其它应与《中国药典》1977年版相符。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0795E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06CCF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38534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28FA1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33.88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E859B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C00DFF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0872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7CA66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A4547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浮小麦</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FF4D6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376FF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CA403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20660B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本品为禾本科植物小麦Triticum aestivum L.的轻浮瘪瘦的果实。</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F2088B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呈瘪廋而轻浮，刚入水不下沉。其它应与《广西壮族自治区中药饮片炮制规范》2007年版相符。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D48DC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69ABA3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5773D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FCA72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36.78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05D87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82D2BB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A7B4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0002A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866AB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覆盆子</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C65D3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D0CBA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AD965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7FFB3B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本品为蔷薇科植物华东覆盆子Rubus chingii Hu 的干燥果实。</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63C8FBA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完整，表面黄绿色或淡棕色，无果梗，直径大于0.8cm。其它应与现行《中国药典》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16F8E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EEAC7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C5CD5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2DCE0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459.89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1F60E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60453F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444E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FD13E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7CAA8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干姜</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C6EB2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C9CC6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C2FB3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5738967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本品为姜科植物姜Zingiber officinale Rosc.的干燥根茎。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22A152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略具粉性，无边片，可见指状分枝。其它应与现行《中国药典》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36D81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5FF86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71A47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7BA39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82.51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FF700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269CDD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8D4F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6A82D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80B65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干石斛</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97BD6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FAACA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5E3AF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11D459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本品为兰科植物金钗石斛Dendrobium nobile Lindl.、霍山石斛Dendrobium huoshanense C.Z.Tang et S.J.Cheng、鼓槌石斛Dendrobium chrysotoxum Lindl.或流苏石斛Dendrobium fimbriatum Hook.的栽培品及其同属植物近似种的新鲜或干燥茎。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F80A37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表面有光泽，嚼之有黏性。无碎渣。其它应与现行《中国药典》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9A5DB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92551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1BD5B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D25DC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395.57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49056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7D8ED8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F6FB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03894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5E62D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干鱼腥草</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9BFCE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AB7B5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44DCF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214EDF1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本品为三白草科植物蕺菜Houttuynia cordata Thunb.的新鲜全草或干燥地上部分。</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02EEEE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叶黄棕色至暗棕色，穗状花序黄棕色，搓碎具鱼腥气，茎叶完整，无杂质。其它应与现行《中国药典》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1EC8A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3A61AC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E63B3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D5F47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51.70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854E2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72AB0D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CADF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ED5CE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75363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高良姜</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5162A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C8A83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64B5E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5919BBB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本品为姜科植物高良姜Alpinia officinarum Hance的干燥根茎。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B83CE5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色棕红，直径大于1.3cm，质坚实，味辛辣。其它应与现行《中国药典》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9146C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6E2CEA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2F2DC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6DEDD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134.52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BC807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75FD2F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3A39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12518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7361A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藁本片</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5188B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3F58AC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ABF81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AD289A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本品为伞形科植物藁本 Ligusticum sinense Oliv. 或辽藁本 Ligusticum jeholense Nakai et Kitag. 的干燥根茎和根。</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0C0FA2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切厚片。外表皮 色棕褐、切面黄色、香气浓。其它应与现行《中国药典》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EA608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6FAE73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F71FF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59CAB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347.51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55C9A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BDB2DC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AB45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87956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888E7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葛根</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FFDAD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39AF73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47DA6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厚片或小方块/（选货）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D40F85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本品为豆科植物野葛Pueraria lobata（Willd.）Ohwi 的干燥根。</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7B99DEB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呈边长为0.5～1.2cm的方块，切面黄白色至淡黄棕色，纤维性强。片型均匀，无碎屑。其它应与现行《中国药典》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4AC2D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81180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DBB2D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24786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57.66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93FF3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C5A757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BC1C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3D648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E7E5A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葛花</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354C2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3B840D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2CAB6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DF1964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本品为豆科植物野葛Pueraria lobata(Willd.)Ohwi或甘葛藤Pueraria thomsonii Benth.的干燥花。</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64E7390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朵大，淡紫色，花未全开放，无杂质。其它应与《广西壮族自治区中药饮片炮制规范》2007年版相符。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62076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CE476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3806D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14723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99.20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A66B0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E4091D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006A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B52D1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78</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E951B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钩藤</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848FB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2D84B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BEDF4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2B9D17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本品为茜草科植物钩藤Uncaria rhynchophylla（Miq.）Miq. ex Havil.、大叶钩藤Uncaria macrophylla Wall.、毛钩藤Uncaria hirsuta Havil.、华钩藤Uncaria sinensis（Oliv.）Havil.或无柄果钩藤Uncaria sessilifructus Roxb.的干燥带钩茎枝。</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55CFD0E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无钩的光枝不超过10%。其它应与现行《中国药典》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B5B38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3BBF20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6A905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039D9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275.02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FF9B0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9B438C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1D79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628A8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FE4FC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枸杞子</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7A66E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346871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B16AD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E7FA3A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本品为茄科植物宁夏枸杞Lycium barbarum L.的干燥成熟果实。</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897A63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产地宁夏，无黏连，破粒率小于1%。每50克250粒以内。其它应与现行《中国药典》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37CB3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F2245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DE992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76FD3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143.82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22925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62018B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A6F5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E7140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5CA1B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谷芽（稻芽）</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E4CAE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C85E3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8AD97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4B381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本品为禾本科植物粟Setaria italica （L. ） Beauv. 的成熟果实经发芽干燥的炮制加工品。</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6FEAA9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呈类圆球形，直径约2mm，顶端钝圆，基部略尖。外壳为革质的稃片，淡黄色，具点状皱纹，下端有初生的细须根，长约3～6mm，剥去稃片，内含淡黄色或黄白色颖果（小米）1粒。气微，味微甘。。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ED196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A8475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512C1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519C7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41.40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A95A6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464B52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BDE7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00890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F6FA6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瓜蒌子</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5CBF0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582D0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1B0A2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个子/用时打碎/（选货）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2FE3077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本品为葫芦科植物栝楼Trichosanthes kirilowii Maxim.或双边栝楼Trichosanthes rosthornii Harms的干燥成熟种子。</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008E6F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粒大饱满，无干瘪，大小均一，表面浅棕色至棕褐色，平滑，沿边缘有1圈沟纹。其它应与现行《中国药典》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5138F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A4BC9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5ADD6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5B254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99.00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FE267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5B762F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F770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AC6A8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C31A4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广藿香</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2E949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579EF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242BA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245CCB6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本品为唇形科植物广藿香Pogostemon cablin（Blanco）Benth.的干燥地上部分</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75FC466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含叶量大于20%。其它应与现行《中国药典》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682C5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64467D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F50C2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4AA57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58.20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E5086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B3FC00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2F51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9F4CC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E45A3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龟甲胶</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2CF72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EAC4F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固体胶，国药准字</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DF53F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扁块或丁状/（选货）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2FB8A7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本品为龟甲经水煎煮、浓缩制成的固体胶。</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79452C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断面光亮，对光照视时呈半透明状。  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年版相符，符合野生动物管理，有国药准字。</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F42EE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FC6F7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2C948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ADDD7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3950.03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85118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3043AE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A70C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58B08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6101C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海风藤</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E430A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974B9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C6FA2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E72FCE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本品为胡椒科植物风藤Piper kadsura（Choisy）Ohwi 的干燥藤茎。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63FAD2D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直径大于0.5cm，均匀、气香 。切厚片。其它应与现行《中国药典》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FAF8B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8C836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9D977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28908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132.71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CBE71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923D09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0A68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0369B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D7886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海金沙</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21068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2D6BC7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C59B3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粉末状/（选货）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51CF95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本品为海金沙科植物海金沙Lygodium japonicum (Thunb.)Sw.的干燥成熟孢子。</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6A7A782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体轻，无掺杂。其它应与现行《中国药典》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CC242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F92E3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DF4AD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D7B36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468.31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76D45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437A64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305B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924FB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863AA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海桐皮</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668F5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E3948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7EAFB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6586C1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本品为豆科植物刺桐Erythrina wariesata L. var.orientalis(L. )Merr. 或乔木刺桐Erychri- naarborescensRoxb. 的干燥树皮。</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8C50B4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外表面灰褐色，具纵裂纹，有的具乳头状的钉刺，断面粗糙，纤维性，呈层片状。其它应与《广西壮族自治区中药饮片炮制规范》2007年版相符。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B573B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00440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6E477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E9172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74.78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2D515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59DCBB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A451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BA5D8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9416E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海藻</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5294B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C6120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5ED93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ACBCB8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本品为马尾藻科植物海蒿子Sargassum pallidum（Turn.）C.Ag.或羊栖菜Sargassum fusiforme （Harv.）Setch.的干燥藻体。</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6F872C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来源仅限小叶海藻，色黑褐，白霜少。其它应与现行《中国药典》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64A37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713F6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F6557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374A8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102.37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E8106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3FF4B7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EB72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2B6E2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C4AEC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诃子</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F8BD8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D00F8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DE845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428B0D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本品为使君子科植物诃子Terminalia chebula Retz. 或绒毛诃子Terminalia chebula Retz.var.tomentella Kurt. 的干燥成熟果实。</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75B8AF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表面黄棕色，微皱，有光泽，肉厚。无虫蛀。其它应与现行《中国药典》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27D4B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F56E2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BF116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C7423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57.98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FD94A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26EA27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0D6C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45D52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29D03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黑顺片</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90084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456ED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胆巴水制</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BA7A3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厚片/纵切/（选货）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7D33E1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本品为毛茛科植物乌头Aconitum carmichaelii Debx. 的子根的加工品。</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758DD2C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产地四川江油，直径大于3.0cm。其它应与现行《中国药典》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7DBCA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1EC73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34125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20B05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225.52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523B7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3F4132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465D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0FE89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25ED3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红杜仲</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11231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《广西壮族自治区壮药质量标准》第二卷</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F9A38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55A48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5C10D35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本品为夹竹桃科植物红杜仲藤Parabarium chunianum Tsiang、毛杜仲藤Parabarium huaitingii Chun et Tsiang、杜仲藤Parabarium micranthun(A．DC．)Pierre的干燥树皮。</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6BEF5D2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皮厚，质硬而脆，易折断，断面有白色胶丝相连。其它应与《广西壮族自治区壮药质量标准》第二卷相符。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DF0BF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7DBBB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17C94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A572F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90.50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7EE4D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166050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8B8E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B912F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65446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红曲</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6B3BC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《浙江省中药饮片炮制规范》2015年版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09B1E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净制</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45FFF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A3B118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本品为曲霉科真菌紫色红曲霉Monascus purpureus Went寄生在禾本科植物稻Oryza sativa L.的种仁上形成的红色米。</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301C9A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除去杂质。筛去灰屑。表面紫红色或暗红色，断面粉红色，无白心，气香、无异味。其它应与《浙江省中药饮片炮制规范》2015年版</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9CBF7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49E5E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C570A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C9C8C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252.00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20034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B8A5B0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795E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73570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957AB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厚朴</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C4048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0084A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03678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5EE5DA3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本品为木兰科植物厚朴Magnolia officinalis Rehd.et Wils.或凹叶厚朴Magnolia officinalis Rehd.et Wils.var.biloba Rehd.et Wils.的干燥干皮、根皮及枝皮。</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B656E3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厚薄均一，厚度大于0.3cm。其它应与现行《中国药典》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32D58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6AF673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65205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E2E77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68.37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EF630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C24D7F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3C94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DB9DD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52364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胡黄连</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B1CA3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9492A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8DA71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5789D8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本品为玄参科植物胡黄连Picrorhiza scrophulariiflora Pennell的干燥根茎。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7470EC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直径大于0.5cm，切面灰黑色、味苦。筛去碎渣.其它应与现行《中国药典》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1BE4C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8B373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FE055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68FF6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1140.30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A5F96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0397A0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F6FA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3B597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83E54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花椒</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C28BE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83CDB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4DE4E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8A30EC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本品为芸香科植物青椒Zanthoxylum schinifolium Sieb. et Zucc. 或花椒Zanthoxylum bungeanum Maxim. 的干 燥成熟果皮。</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7B0AF91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紫红色，含种子不得超过2%。其它应与现行《中国药典》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33A94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E0FF4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13565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592AA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178.03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694AD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02A9F0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4318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28509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E6A90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滑石</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F27E1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A3D89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3D5A8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细粉/（选货）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D80A55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本品为硅酸盐类矿物滑石族滑石，主含含水硅酸镁[Mg3(Si4O10)(OH)2]。</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FEF1B5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色白、滑润。其它应与现行《中国药典》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938D4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83751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A09AF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5919D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27.18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E4E4E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7047DC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5F05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62950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58474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槐花</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B976B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DD36D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49327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E112D9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本品为豆科植物槐Sophora japonica L.的干燥花及花蕾。</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95A58D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花蕾，黄绿色，杂质量小于1%，不得有色泽发黑的花蕾。其它应与现行《中国药典》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C6414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6047A1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0B6AE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5936E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101.48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03C1A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E66982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AF6C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77C70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6B230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黄连片</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C4E82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29FE0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0608E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526C86C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本品为毛茛科植物黄连Coptis chinensis Franch.、三角叶黄连Coptis deltoidea C.Y.Cheng et Hsiao或云连Coptis teeta Wall.的干燥根茎。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79CFB26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直径大于0.4cm，无碎屑，焦片不得过2%。其它应与现行《中国药典》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B2CFC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8542D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D8D63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18CC3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1166.24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A65A8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F67880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CB81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768AD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D7850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火麻仁</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71E34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F0320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去壳</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B9208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D0BA61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本品为桑科植物大麻Cannabis sativa L.的干燥成熟果实。</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5A527DA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颗粒饱满，乳白色，富油性。其它应与现行《中国药典》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1EF13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F0AE3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30D77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FB9F8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115.26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1A9CB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6F8B1D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0A30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755E8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24E4C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鸡血藤</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0D164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582EA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447D1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1521B6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本品为豆科植物密花豆Spatholobus suberectus Dunn 的干燥藤茎。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624067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切面红棕色，树脂状分泌物明显。以树脂状分泌物多者为佳。其它应与现行《中国药典》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792BA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300DE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F8445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AE537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45.07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5334D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EE84A7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229E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9156E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01297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姜黄</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C5AA6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EC33D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67832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52D815E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本品为姜科植物姜黄Curcuma Longa L.的干燥根茎。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72AD43C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以质坚实、断面金黄色、气香者为佳。其它应与现行《中国药典》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6BA15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B1559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25E96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65D6F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94.29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75C75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FBE373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A42A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4CC0D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38D82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姜炭</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40005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8C977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炒炭</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96972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厚片或块/（选货）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1D74F89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本品为姜科植物姜Zingiber officinale Rosc.的干燥根茎的炮制加工品。</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D97847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有存性，表面黑色，内部棕褐色，无杂质。其它应与现行《中国药典》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F8A61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5F341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2C2FC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F36BF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131.25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A0DFC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494ABE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CB58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889A6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9468B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荆芥炭</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46017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EFF55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炒炭</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480EF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544D0B2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本品为荆芥的炮制加工品。</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4A2AAE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黑褐色，存性。其它应与现行《中国药典》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CCB81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116F8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61934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62F56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70.28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FA6A5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6DB044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912F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57F32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E1045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韭菜子</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963DE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A295C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1E981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1DD6384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本品为百合科植物韭菜Allium tuberosum RottL.ex Spreng.的干燥成熟种子的炮制加工品。</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2AE3F4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气特异而微香，粒大饱满、色黑、无果皮。其它应与现行《中国药典》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24AAB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B30F5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75870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0F0EE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178.54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9A83D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01903D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988A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670C6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6743D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酒黄精</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5B99C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A59B4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照酒炖法或酒蒸法，炖透或蒸透</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5584F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5781D4F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本品为百合科植物滇黄精Polygonatum kingianum Coll.et Hemsl.、黄精Polygonatum sibiricum Red.或多花黄精Polygonatum cyrtonema Hua的干燥根茎。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663DEB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片型大小均匀，质油润，有光泽。其它应与现行《中国药典》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B0866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BC9E9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8AA27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0D422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210.01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DEC61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C8299E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D1F5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70712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F0769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卷柏</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543A6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6148E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9BD7D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0D2ED3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本品为卷柏科植物卷柏Selaginella  tamariscina（Beauv.）  Spring或垫状卷柏Selaginella  pulvinata（Hook，etGrev.）Maxim.的干燥全草。</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2194EA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色绿，叶多，完整。其它应与现行《中国药典》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A44DB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66DAA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C1A76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F9F27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147.63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ABC34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EDA6E6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88F1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5A5FC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5EF82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决明子</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BD1F0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3E5069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CF087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625BF4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本品为豆科植物钝叶决明Cassia obtusifolia L.或决明（小决明）Cassia tora L.的干燥成熟种子。</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8E436C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颗粒均匀、饱满、色绿棕。其它应与现行《中国药典》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711C0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53850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7475E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4BC1D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70.14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3D9C0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F4AB69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58EA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86B29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21820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苦参</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840C3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2EDBD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9A6FE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53D97E4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本品为豆科植物苦参Sophora flavescens Ait. 的干燥根。</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C2EE89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大小均一，无异形片，除去根头，直径大于2.5cm。其它应与现行《中国药典》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B59DB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EC3BA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D0B29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385EE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97.31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3362D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77EDB5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9C62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176A2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0A8E5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款冬花</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A852D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6C394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E3C2B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A0221F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本品为菊科植物款冬Tussilago farfara L.  的干燥花蕾。</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208AA2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无花柄、无开头、枝杆。其它应与现行《中国药典》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C4456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190BF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A8A06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30535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580.18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B557E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FF9CF9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052F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CA063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E84AA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莱菔子</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B1463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CF27E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DF845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07AFDC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本品为十字花科植物萝卜Raphanus sativus L.的干燥成熟种子。</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69B3A0F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颗粒饱满，无杂质，瘪子率1%以下。其它应与现行《中国药典》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0719F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63EAC2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9D077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F2490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59.99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27680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A6A002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4ED9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FF42E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CD986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荔枝核</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E1C67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F5EB1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6DD86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5355CA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本品为无患子科植物荔枝 Litchi chinensis Sonn. 的干燥成熟种子。</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51EC608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粒大、饱满、光亮。其它应与现行《中国药典》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00BF8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067B7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E5296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3D422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49.30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2AB3A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7CC5A1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5293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BE422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C2A2A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莲子</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D9C6F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3E5D78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去心、切开</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05081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12CC40A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本品为睡莲科植物莲Nelumbo nucifera Gaertn.的干燥成熟种子。</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5A7E4E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表面红棕色，直径大于1.0cm，纯两半，无碎粒。其它应与现行《中国药典》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7F781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39E36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DDC24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64393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111.25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DF7B9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7685F3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DA97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C666E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BFBDF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硫黄</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0BB93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47523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A564B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3107B5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本品为自然元素类矿物硫族自然硫，采挖后，加热熔化，除去杂质；或用含硫矿物经加工制得。</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C6E2D1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色黄、光亮、质松脆。其它应与现行《中国药典》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99490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55AA4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D646B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D9F05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28.17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1781C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62A506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FD8F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E24F5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34DE7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六棱菊</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D9E61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《广西中药材标准》1990版（第一册）</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716B0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79B15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57AC197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本品为菊科植物六棱菊Laggera alata (D. Don) Sch. -Bip. ex Oliv.的干燥全草。</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838BC3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茎枝幼嫩、未开花、叶多、绿黄色。其它应与《广西中药材标准1990版》第一册相符。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4C2E1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C941A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931B3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22381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172.00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CA218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F7BFA7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0576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5533A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A7DD9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龙胆</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7B778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CDC02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82BA9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D65E8E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本品为龙胆科植物条叶龙胆Gentiana manshurica Kitag.、龙胆Gentiana scabra Bge.、三花龙胆Gentiana triflora Pall.或坚龙胆Gentiana rigescens Franch.的干燥根和根茎。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2529E7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来源为龙胆。根茎占比小于15%，无杂质。味极苦。其它应与现行《中国药典》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09EB2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6826AF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0AB5C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7171E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475.05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AEA70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61E9B6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C5FF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A35EC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E25A8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龙骨</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1DE1A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576CB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36D03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2C1ED7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本品为古代哺乳动物如三趾马、犀类、鹿类、牛类、象类等的骨骼化石或象类门齿的化石。</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50C40BA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质地重，部分有龙骨斑，吸湿性强。其它应与《广西壮族自治区中药饮片炮制规范》2007年版相符。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901B2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D27F1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031F0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CF9A2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799.53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7D3BF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8AD8BF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7C98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2B111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F0158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龙血竭</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429B3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E4CA6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国药准字</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B74B5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细末/（选货）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2857A75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本品为百合科植物剑叶龙血树Dracaenacochinchinensis(Lour.)S.C.Chen的含脂木材经提取得到的树脂。</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E2B116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无杂质，红棕色有光泽，嚼之有炭粒感并微粘齿。其它应与《广西壮族自治区中药饮片炮制规范》2007版相符。有国药准字。</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C7466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3D6949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ABDA9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86038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1519.45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7D571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7843B1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61F4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5C4F8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A6C03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芦根</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6E6CB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86854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7FF58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25D2720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本品为禾本科植物芦苇Phragmites communis Trin. 的新鲜或干燥根茎。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5E44BA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长短均一，表面黄白色，内面不发黑。直径大于1.5cm。含灰褐色不得超过2%。其它应与现行《中国药典》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16C7A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DB468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23CEA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34FAA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74.47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C0443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CF9D31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339D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699D3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118</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B523D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路路通</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C02EE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7442F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7A752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13EF9C1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本品为金缕梅科植物枫香树Liquidambar formosana Hance的干燥成熟果序。</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02527D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直径大于2cm。无柄，无树脂。其它应与现行《中国药典》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F32C2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2A6BF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EDBF6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DC353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38.45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45DDB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BDDF9E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03EF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9E4D7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A7710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麻黄</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85AE2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04FC1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068E9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856E02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本品为麻黄科植物草麻黄Ephedra sinica Stapf、中麻黄Ephedra intermedia Schrenk et C.A.Mey.  或木贼麻黄Ephedra equisetina Bge.  的干燥草质茎。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5C3BAF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长短均一，表面淡绿色，玫瑰心明显，粗细均匀，木质茎不超过3%。其它应与现行《中国药典》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3596D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7DBFD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46E3E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641A0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66.00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E5A7F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1C5536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8F7A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55F8A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E6693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麻黄根</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31E1D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54EBA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D8083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F4E12F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本品为麻黄科植物草麻黄Ephedra sinica Stapf 或中麻黄Ephedra intermedia Schrenk et C. A. Mey.  的干燥根和根茎。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51F0890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直径0.8〜1.5cm。无杂质，无地上部分。外皮色红棕，切面色黄白。其它应与现行《中国药典》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68657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F6492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DC590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47AC6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155.62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8D901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986D63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ED16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B3398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11630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马鞭草</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412E9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7CF26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94EBD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2BF24E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本品为马鞭草科植物马鞭草Verbena officinalis L.的干燥地上部分。</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3C0344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色青绿，带花穗，无根及杂质。其它应与现行《中国药典》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DE028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19BAF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9FA16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56CAD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58.15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4FDCB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149E2F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5DE9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BF468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14274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马勃</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8E748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5CE7D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16294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D96FFF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灰包科真菌脱皮马勃Lasiosphaera  fenzlii  Reich.、大马勃Calvatia  gigantea（Batsch ex Pers.）Lloyd或紫色马勃Calvatia  lilacina（Mont. et Berk.）Lloyd的干燥子实体。</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248658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呈不规则的小块，触之则孢子呈尘土样飞扬，臭似尘土。其它应与现行《中国药典》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5B085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637733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9D064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465DA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2091.20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2844A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83C6DA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A8F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E91CF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B48A8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玫瑰花</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CD853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3A5DA8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4420C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E4F49C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本品为蔷薇科植物玫瑰Rosa rugosa Thunb. 的干燥花蕾。</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3FB149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色紫红，朵完整，香气浓。其它应与现行《中国药典》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75452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04C0B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62E9E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68EB8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203.85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B7B06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248333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A799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44974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6B851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密陀僧</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1E52D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上海市中药饮片炮制规范 - 2018年版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627FB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结晶</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98D17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58B60B0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本品为硝酸盐类矿物硝石经加工而成的结晶体，主含硝酸钾（KNO₃）。</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AEA9CE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本品为白色柱状结晶或结晶性粉末，具玻璃样光泽。质脆。气微，味苦而凉。</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4958B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0CBB7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4C7C4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2786E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143.53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95C09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ECFACB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7E75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C99E4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C728F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绵萆薢</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FE58A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93EA5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755FE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AFC922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本品为薯蓣科植物绵萆薢Dioscorea spongiosa J. Q. Xi，M. Mizuno et W. L.  Zhao或福州薯蓣Dioscorea futschauensis Uline ex R. Kunth的干燥根茎。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29471B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质疏松，略呈海绵状，切面灰白色至浅灰棕色，无黑片，无边片。其它应与现行《中国药典》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0B16B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6B6E1B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D7A11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5DCD0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88.02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4ABF3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8FD55D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E2B8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3B225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220E6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绵马贯众</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F0686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AA6F1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42F4E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厚片/横切/（选货）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6A08E8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本品为鳞毛蕨科植物粗茎鳞毛蕨Dryopteris crassirhizoma Nakai的干燥根茎和叶柄残基。</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A0B49D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切面棕色、须根少。其它应与现行《中国药典》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025B4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368D26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99F1C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C56E9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79.62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BE180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BA74A7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E01A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94C83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662E6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墨旱莲</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E1CFE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0D70D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130EC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12E04BC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本品为菊科植物鳢肠Eclipta prostrata L.的干燥地上部分。</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542581C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色墨绿色，密生白毛。其它应与现行《中国药典》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E78DD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A53ED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11C38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24978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65.69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DC935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2246EF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C50E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D9D70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128</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8B912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木棉花</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8D832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85934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FAB4D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002F2A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本品为木棉科植物木棉Gossampinus malabarica（DC.）Merr.的干燥花。</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F5729C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花朵大，完整，色棕黄。其它应与现行《中国药典》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3DE50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352EE2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7F2AA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048AB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46.03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F2BC8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AF330B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ACD1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E5E23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2DBB9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木通</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8F74B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D54F0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0A28E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厚片/横切/（选货）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195B4E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本品为木通科植物木通Akebia quinata （Thunb.）Decne.、三叶木通Akebia trifoliata（Thunb.）Koidz.或白木通Akebia trifoliata（Thunb.）Koidz. var. australis（Diels）Rehd.的干燥藤茎。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32E1FE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切面黄白色、具放射状纹。其它应与现行《中国药典》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1270B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06A50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DFF28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C5C8C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71.32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66402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CB614D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6FB7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AA98B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49AA8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木香</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E5E41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274617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141BB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80D039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本品为菊科植物木香Aucklandia lappa Decne.的干燥根。</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035C1D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直径大于2.0cm,无芦头，不走油。其它应与现行《中国药典》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10C3C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88914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2CF64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EE547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134.81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28D1E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7B664D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3660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1FD46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0E0EC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牛大力</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5E62E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《广西壮族自治区壮药质量标准》（第一卷）</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241FFF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9AE06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厚片/斜切/（选货）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E2102D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本品为豆科植物美丽崖豆藤Millettia speciosa Champ. 的干燥块根。</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35CA0C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断面不平，有裂隙。味甘。其它与《广西壮族自治区壮药质量标准》（第一卷）。</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D778A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73463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79B40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145ED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195.56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BBF67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5F63A9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AE42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D7EA2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81234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硼砂</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F394C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7CDFC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DE1EF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研成细粉</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7A77B5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本品为四硼酸钠经精制而成的结晶。</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5CC89EA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除去杂质，研成细粉</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C40D6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3F5FAC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37BE2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58211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39.22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13E82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57FD09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4285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26CFE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280C7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枇杷叶</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A28BF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D1A3C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8EBAE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5D9E48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本品为蔷薇科植物枇杷Eriobotrya  japonica（Thunb.）Lindl. 的干燥叶。</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7A3DC46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除去绒毛。叶大，色灰绿。其它应与现行《中国药典》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8E93D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FB517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8812B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18EDD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39.94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F5E3E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F5B8AB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41CE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F26D1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8F966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蒲黄炭</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365FF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18940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炒炭</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828E9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粉末/（选货）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1AED458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本品为香蒲科植物水烛香蒲Typha angustifolia L.、东方香蒲Typha orientalis Presl或同属植物的干燥花粉。</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A604AC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具焦香气。其它应与现行《中国药典》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DAA5B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10E00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99229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8127C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238.84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80978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FE7547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0821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FDEF9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5D987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千斤拔</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807E6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《广西壮族自治区壮药质量标准》第一卷</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17781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C3D34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BD2C57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本品为豆科植物蔓性千斤拔Flemingia philippinensisMerr.et Rolfe或大叶千斤拔 Flemingia macrophylla(Willd)Prain的干燥根 。</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DAFD4E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外表面棕红色，或灰褐色，断面菊花心，皮部薄。与《广西壮族自治区壮药质量标准》第一卷相符。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06F50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9F5BD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C701C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3227F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172.06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68B76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481234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099D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BDABB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5FBF1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千里光</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A5FC2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F111A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2806A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256B07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本品为菊科植物千里光Senecio scandens Buch.-Ham.的干燥地上部分。</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84C062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茎叶表面灰绿色，叶两面有细柔毛。其它应与现行《中国药典》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95CD4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5B816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110F6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808F1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46.64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D9456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EECC1C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BD89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F56D6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5B797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千年健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61C72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296EE1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834B3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A99A52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本品为天南星科植物千年健Homalomena occulta（Lour.）Schott的干燥根茎。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CD2D98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直径1cm以上，断面可见深褐色具光泽的油点。香气浓。其它应与现行《中国药典》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60D11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D35B8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0993D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66669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126.87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19572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587E21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3DA3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66CC3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138</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DD227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芡实</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343C9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391967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生品且半</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AB1CE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7C81B3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本品为睡莲科植物芡Euryale ferox Salisb. 的干燥成熟种仁。</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819CA9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对开粒，直径大于0.6cm，粉性足，无变色。其它应与现行《中国药典》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18FA0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C2280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39DB6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06644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121.20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B8459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D25A25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CC1C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4A123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BF6CE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茜草</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8D8A7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683C7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E6124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厚片或段/ （选货）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22F8A6F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本品为茜草科植物茜草Rubia cordifolia L.的干燥根和根茎。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877183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直径大于0.3cm。根占比大于80%，无灰屑。无杂质。其它应与现行《中国药典》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C978E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CD5C0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10D0E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33082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829.53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A5AC8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51EA2D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22A3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FA07E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37109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秦艽</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CCB9E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FEEFC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DE7A7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CE9562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本品为龙胆科植物秦艽Gentiana macrophylla Pall.、麻花秦艽Gentiana straminea Maxim.、粗茎秦艽Gentiana crassicaulis Duthie ex Burk.或小秦艽Gentiana dahurica Fisch.的干燥根。</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8EAFEE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来源仅限秦艽，质硬而脆，易折断，断面略显油性。其它应与现行《中国药典》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FB7D3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65398F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7D98A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CF4DB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243.65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01731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CDF70D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FC20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1515E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3ED6E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秦皮</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C3FF8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E555B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30BEB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47B1A3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本品为木犀科植物苦枥白蜡树Fraxinus rhynchophylla Hance、白蜡树Fraxinus chinensis Roxb.、尖叶白蜡树Fraxinus szaboana Lingelsh.或宿柱白蜡树Fraxinus stylosa Lingelsh.的干燥枝皮或干皮。</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1FD4B3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外表皮薄而光滑、色灰白、味苦。其它应与现行《中国药典》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4F3E5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9B19D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D2C1F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2A243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57.20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23B63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349DB3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9FFA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A164E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6D45F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青天葵</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A8548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《广西壮族自治区壮药质量标准》（第二卷）</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9336D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1A6C6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E43658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本品为兰科植物毛唇芋兰Nervilia fordii(Hance)Schltr.的干燥叶。</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24505F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干燥，叶小，有草菇香味，叶灰绿色或黄绿色。其它应与广西壮族自治区壮药质量标准（第二卷）相符。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F650D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6CB41B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E3D74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0B987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936.06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E40E7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F0678B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CCF1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B2F02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F4DDD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瞿麦</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7EC0E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83A6E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9ABCF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短段/（选货）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BD9434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本品为石竹科植物瞿麦 Dianthus superbus L. 或石竹 Dianthus chinensis L. 的干燥地上部分。</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CD5D0A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色黄绿、穗及叶多。其它应与现行《中国药典》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715A2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D8DCE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95483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77EBA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60.68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216EE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6920E8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B0D4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6E579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ECB4A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全蝎</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3E30B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209ECB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清水货</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69ACA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2B7CD6F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本品为钳蝎科动物东亚钳蝎Buthus martensii Karsch的干燥体。</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7E052A3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完整且体长约6cm。其它应与现行《中国药典》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9B6EB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395E7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E44DB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49872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4702.26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F38D3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31CDAE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B8E7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96BAE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B6ED0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人参叶</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35601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04A56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A7F84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263AC2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本品为五加科植物人参Panax ginseng C. A. Mey. 的干燥叶。</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9841C7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干燥，色绿，完整气香。其它应与现行《中国药典》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FDE6D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79E08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FDE93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3DE24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282.95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DD678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725D95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CC67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7DED7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510CA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忍冬藤</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4BBBD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324D34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41CE6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8DB397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本品为忍冬科植物忍冬Lonicera japonica Thunb. 的干燥茎枝。</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4DB9F7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直径0.15～0.6cm，质嫩。无老茎，无残叶，无杂质。其它应与现行《中国药典》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30D78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67286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CB0E3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8E4C1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34.10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B1555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F0BD86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6F98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E740D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B8545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肉苁蓉</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1F910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223C04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7901D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2BB6A5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本品为列当科植物肉苁蓉Cistanche deserticola Y.C.Ma或管花肉苁蓉Cistanche tubulosa（Schenk）Wight的干燥带鳞叶的肉质茎。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637F02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来源仅限肉苁蓉，直径大于3.0cm，厚薄均匀。其它应与现行《中国药典》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AD13A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00A93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98DB1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18406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224.96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F4710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009095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7CFE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C19C8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148</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FA4ED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三七花</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FB941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《广西壮族自治区壮药质量标准》第二卷</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1ECB7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E9BF6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43154C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本品为五加科植物三七 Panax notoginseng(Burk．)F．H．Chen的干燥花序。</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3A3873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黄绿色干燥的花，无杂质。其它应与《广西壮族自治区壮药质量标准》第二卷相符。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A588F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192B8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402F7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6A1A3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670.56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70773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8B2832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1909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67930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4FE49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桑螵蛸</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EA41C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EAEC3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蒸制</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8D65B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3311E2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本品为螳螂科昆虫大刀螂Tenodera sinensis Saussure、小刀螂Statilia maculata（Thunberg）或巨斧螳螂Hierodula patellifera（Serville）的干燥卵鞘。</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A02B03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体轻，质松而韧。其它应与现行《中国药典》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CA542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30526B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5DAA0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C5B5E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2607.70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46309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E176D2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584A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091A8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2602F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桑椹</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14D6D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DC8E5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CC02F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224D111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本品为桑科植物桑Morus alba L.的干燥果穗。</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9B1548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由多数小瘦果集合而成，大小均一，完整。其它应与现行《中国药典》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6BE35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D2581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D911F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BC2D6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73.25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9E0E8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5CA3D1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ED8D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E6482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490B9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桑叶</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8FBE3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34E43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1B14B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239133C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本品为桑科植物桑Morus alba L.的干燥叶。</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994C3A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上表面黄绿色或浅黄棕色，下表面颜色稍浅。其它应与现行《中国药典》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A6DEC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577E7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0CFBA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28AD7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40.88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525B3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2B1498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63EE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AE51C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1AFD6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桑枝</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12C02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DE493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FB16A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2C24CE1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本品为桑科植物桑Morus alba L.的干燥嫩枝。</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6EA7EC2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无异形片、黑片。质嫩、断面黄白色，直径小于1cm。其它应与现行《中国药典》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854BF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BEF4E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7097A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1B635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26.51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64F6B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E60CBA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8CAD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3D694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D3D7B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沙苑子</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05900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4AB5F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929A3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103264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本品为豆科植物扁茎黄芪Astragalus complanatus R. Br. 的干燥成熟种子。</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1124D3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略呈肾形而稍扁，嚼之有豆腥味。其它应与现行《中国药典》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23CF2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35C83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6A2BD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07EE8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172.25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11A31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C1EFDD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4C8B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DB7F3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63997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砂仁</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BB7E1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E8D26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AF573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071371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本品为姜科植物阳春砂Amomum villosum Lour.、绿壳砂Amomum villosum Lour.var.xanthioides T.L.Wu et Senjen或海南砂Amomum longiligulare T.L.Wu的干燥成熟果实。</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671C14C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来源仅限阳春砂，直径大于1cm，种子团饱满，无碎粒，无油籽。其它应与现行《中国药典》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D5DEC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65585F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8307A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6DC15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572.93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E92AC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4DADFA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2969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4C7E7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A0A19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山豆根</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F4846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B16D5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1849F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9D4BDA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本品为豆科植物越南槐Sophora tonkinensis Gagnep.的干燥根和根茎。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0146D6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横切面可出现“月饼边”。有豆腥气，味极苦。其它应与现行《中国药典》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1223D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6CD97D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5E92A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E9D51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541.91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28A0E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8061CF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BD39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9D6F6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85A47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山银花</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06C92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FAC5C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E004C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E2CBDE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本品为忍冬科植物灰毡毛忍冬Lonicera macranthoides Hand.-Mazz.、红腺忍冬Lonicera hypoglauca Miq.、华南忍冬Lonicera confusa DC.或黄褐毛忍冬Lonicera fulvotomentosa  Hsu  et S.C.Cheng的干燥花蕾或带初开的花。</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1995E0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气清香</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C760F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C35C8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4AACB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DB57A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212.31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2C472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2F2081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6ACA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21033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91FCC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山楂炭</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4611B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6FB00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炒炭</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02943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5653ED0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本品为蔷薇科植物山里红Crataegus pinnatifida Bge. var. major N. E. Br.或山楂Crataegus pinnatifida Bge.的干燥成熟果实的炮制加工品。</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7C1501E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无杂质、无虫蛀。表面黑色，内部黄褐色，存性，无子粒。其它应与《广西壮族自治区中药饮片炮制规范》2007年版相符。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EDE77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3C5CD9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C7349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45C25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69.39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F4CF3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EDD925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B0D4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0E465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158</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633C8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山芝麻</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F05E7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2393D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4B44D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厚片或段/（选货）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ECD31B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本品为梧桐科植物山芝麻Helicteres angustifolia L.的干燥根或全株。</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50E6D74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可见蒴果卵形,略似芝麻果实。其它应与《广西壮族自治区中药饮片炮制规范》2007年版相符。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5B295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A5002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5646A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F3121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83.25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F262E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94C064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DDB5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F087A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B15D3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蛇床子</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7A1E6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3DDB5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35A4B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1728D0F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本品为伞形科植物蛇床Cnidium monnieri（L.）Cuss.  的干燥成熟果实。</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F2B7F9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直径约0.2cm，表面灰黄色或灰褐色，气清香无杂质，味辛凉，有麻舌感。其它应与现行《中国药典》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46242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F324F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2CD6B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B6A79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120.20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AB777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B09937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83A3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BBD07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47DA7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蛇蜕</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DDB52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2BB94B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5DC5F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2EECECA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本品为蛇蜕的炮制加工品。</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AACEB2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皮膜完整，具有光泽。其它应与现行《中国药典》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06E9E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C4D93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F8C2B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83620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368.20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1EE17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F4C5AD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E094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7B46A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FC32C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射干</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08EEA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AE1D1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C41FB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FB2BDA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本品为鸢尾科植物射干Belamcanda chinensis（L.）DC.的干燥根茎。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5A61D36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切面黄色，味苦，偶见细根，直径大于1.0cm。其它应与现行《中国药典》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20AEE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127B1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2E446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362AC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296.34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6B597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DEB343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808B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38E8F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0E84A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伸筋草</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91420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3892D3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7DCE5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D9F5CA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本品为石松科植物石松Lycopodium japonicum Thunb.  的干燥全草。</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7678F0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黄绿色。灰屑率≤2%。其它应与现行《中国药典》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B84B0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D01F0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DE073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4C6A0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55.55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3BB2D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AA5854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9DA5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B7831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03958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生石膏</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84E0C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94FEE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EFF9F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粗粉/（选货）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10F6680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本品为硫酸盐类矿物石膏族石膏，主含含水硫酸钙（CaSO4·2H2O）</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4ACFB6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白色、半透明，纵断面有绢丝样光泽，无杂质。其它应与现行《中国药典》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0C5C7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945B0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B4B90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3ADBA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25.32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B08E9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8764F9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46A7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76486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A07C3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石菖蒲</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10742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326EB4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60ECE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23F2EB3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本品为天南星科植物石菖蒲Acorus tatarinowii Schott的干燥根茎。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3EC26F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香气浓郁，直径大于0.5cm。其它应与现行《中国药典》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4927A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374E92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9FB3E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D310E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274.90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AD8F0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AD1A2A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5E0C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DAF73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D5D33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石决明</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9313A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3F63BC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30532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0BD0A9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本品为鲍科动物杂色鲍Haliotis diversicolor Reeve、皱纹盘鲍Haliotis discus hannai Ino、羊鲍Haliotis ovina Gmelin、澳洲鲍Haliotis ruber( Leach)、耳鲍Haliotis asinina Linnaeus或白鲍Haliotis laevigata(Donovan)的贝壳。</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679845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无臭气，味微咸。内面具有珍珠样光彩。其它应与现行《中国药典》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1667D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B8B63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1835C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2113E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35.80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5F03D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634C70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3A21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A50E1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2455B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首乌藤</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D2203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5FC29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F3888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54431C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本品为蓼科植物何首乌Polygonum  multiflorum Thunb.的干燥藤茎。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741029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外表面紫红色或紫褐色。其它应与现行《中国药典》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88828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AE5F3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E219B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96111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54.65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9EA59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F53781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F5D6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A9263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6FB6C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熟大黄</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9571A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4B713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酒炖或酒蒸法</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DD997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厚片或块/（选货）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238D54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本品为蓼科植物掌叶大黄Rheum palmatum L.、唐古特大黄 Rheum tanguticum Maxim. ex Balf.或药用大黄 Rheum officinale Baill.的干燥根和根茎。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EDE922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内外均呈黑色，切面平整，星点片占比大于60%，无空心片。碎屑率小于5%。质坚硬，气微香。其它应与现行《中国药典》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85D56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B6576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D3CB7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EB239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112.92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6E118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0E4763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A602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4F269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168</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64CC3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熟地黄</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27C60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F10DC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蒸法或酒炖法</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EC9EE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A7AF59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本品为玄参科植物地黄Rehmannia glutinosa Libosch.的新鲜或干燥块根。</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844D67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质柔韧，直径大于2.0cm。其它应与现行《中国药典》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28873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71C9F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21C29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84278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76.65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6B0DE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07EB66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0D97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7EB1D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ED7AE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水牛角</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7FEE0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313C0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A1165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镑片/（选货）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26C626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本品为牛科动物水牛Bubalus bubalis Linnaeus 的角。</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5E194B5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气微腥，味淡。有纹理。角质坚韧。其它应与现行《中国药典》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503E7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80D91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CB547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23F1E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165.14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0FBF7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5F879C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1D3C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E0B63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65250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松子仁</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51E67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天津市中药饮片炮制规范　2012年版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3E25E2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种仁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63292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6819BC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品为松科植物红松 Pinus koraiensis Sieb. et Zucc.、华山松 Pinus armandii Franch. 或白皮松 Pinus bungeana Zucc. 的干燥成熟的种仁</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6668194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本品呈倒卵三角形，长0.8-1.2 cm，直径0.4-0.7 cm，表面类白色或淡黄色，外包红棕色至棕褐色的膜质内种皮。</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79BB8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53BDD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A30A7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1A031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430.13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184E8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88EC96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431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A30DA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61BE4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酸枣仁</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8FCB0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C5DB5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677D2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13D14F9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本品为鼠李科植物酸枣Ziziphus jujuba Mill. var. spinosa（Bunge）Hu ex H. F. Chou的干燥成熟种子。</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3801CA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呈扁圆形或扁椭圆形，瘪子率3%以下。其它应与现行《中国药典》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47F93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801BE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877F3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C25E4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1374.46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6890A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38C021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CCF5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BB7EC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62562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烫水蛭</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D1D69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03B64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滑石粉烫</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62EF8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1C1877F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本品为水蛭科动物蚂蟥Whitmania pigra Whitman、水蛭Hirudo nipponica Whitman或柳叶蚂蟥Whitmania acranulata Whitman的干燥全体。</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7B4B2E2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宽0.8～2cm，略鼓起，断面松泡，气微腥。其它应与现行《中国药典》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C7FCD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B582F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04F09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7AD9A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3093.47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6EE02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5E97E0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9716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D035E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CFCF8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田七须(三七须)</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7D90E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云南省中药材标准2005年版　第一册</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BB083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D3E7F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263B59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五加科植物三七 Panax notoginseng (Burk.) F. H. Chen 的干燥须根</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5B0DAE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常缠绕成疏松团状。表面灰褐色或灰黄色，断面灰绿色、黄绿色或灰白色。</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93FE3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3C2F0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E7DA7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5B9C9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456.00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DB92C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06E6BE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37DC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DB4BE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F7B72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铁皮石斛</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6769A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70940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精制饮片</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BB923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E1018E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本品为兰科植物铁皮石斛Dendrobium officinale Kimura et Migo的干燥茎。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2D479F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直径大于0.2cm。表面黄绿色或略带金黄色，略角质状。气微，味淡，嚼之有黏性。其它应与现行《中国药典》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DAD94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DAACB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C0710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A33B4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2606.27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05640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43A439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2810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581CD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8D4A2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葶苈子</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5D90A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8025D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3663F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0B88D2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本品为十字花科植物播娘蒿Descurainia sophia（L.）Webb. ex Prantl.  或独行菜Lepidium apetalum Willd.  的干燥成熟种子。</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71D80A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颗粒饱满、棕色。无杂质。其它应与现行《中国药典》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E7BDA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387E3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3766E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E44BA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58.17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2645A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3C1534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4A67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2B1B7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DCFD9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土鳖虫</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EBEAD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809E2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A6FD3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C2782C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本品为鳖蠊科昆虫地鳖Eupolyphaga sinensis Walker 或冀地鳖Steleophaga plancyi （Boleny）的雌虫干燥体。</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643369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虫体完整，大小均一，具光泽，无翅。其它应与现行《中国药典》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E4925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6B200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F076C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453FF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232.77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E82F2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FCC474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36D1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89D0E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8186C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土茯苓</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6E8DC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54BB5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0BFB5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5BD016B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本品为百合科植物光叶菝葜Smilax glabra Roxb.的干燥根茎。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E45E91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水湿润后有明显粘滑感，粉性足，直径大于3cm。其它应与现行《中国药典》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EB419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89852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21DF4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F4CA5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120.67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C8FC1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B3C3EB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F171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0AB8E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178</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0758C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土荆皮</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1EE8B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EE3F4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07444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条片状或卷筒状/（选货）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232D066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本品为松科植物金钱松Pseudolarix amabilis （Nelson） Rehd.的干燥根皮或近根树皮。</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5690C6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外表面可见灰白色横向皮孔样突起。其它应与现行《中国药典》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95BA4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EFBD3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2674F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1AA59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214.26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BA5F5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23FF48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31A9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55C38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C2AF7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威灵仙</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EE13D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D9124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E3E19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7DFCF3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本品为毛茛科植物威灵仙Clematis chinensis Osbeck、棉团铁线莲Clematis hexapetala Pall.或东北铁线莲Clematis manshurica Rupr.的干燥根和根茎。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AB435D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无根茎，根粗细均匀，无碎屑。其它应与现行《中国药典》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B1E46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42860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309DC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76167D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339.57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C9A8C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909265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808F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CA906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20323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乌梅</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4565A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F2AED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闷至色变黑</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4F753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9F3B34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本品为蔷薇科植物梅Prunus mume（Sieb.）Sieb.etZucc.的干燥近成熟果实。</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9A5B9A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直径大于1.5cm，个大，肉厚，质润。其它应与现行《中国药典》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446BF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BC27A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E5E30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462E2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67.81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F02D2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D674CD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48AC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87077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11B31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吴茱萸</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BDCFC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C5F76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AA94E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55BE528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本品为芸香科植物吴茱萸Euodia rutaecarpa （Juss.） Benth.、石虎 Euodia rutaecarpa （ Juss. ） Benth. var. officinalis （Dode） Huang 或疏毛吴茱萸 Euodia rutaecarpa （Juss. ） Benth. var. bodinieri （Dode） Huang 的干燥近成熟果实。</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5D5B9FF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小花：直径0.2~0.5cm，含开花、梗不得超过2%，果实未开裂，大小均一，色绿为佳。其它应与现行《中国药典》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B4895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08213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124A9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4EE6D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158.62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71C49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94C2A8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9E6F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C6AD9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764D8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五倍子</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5C20F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34B0EC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2EFF7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个子/捣碎/（选货）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5A6BAC4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本品为漆树科植物盐肤木Rhus chinensis Mill.、青麸杨Rhus potaninii Maxim.或红麸杨Rhus punjabensis Stew. var. sinica（Diels）Rehd. et Wils.叶上的虫瘿，主要由五倍子蚜Melaphis chinensis（Bell）Baker寄生而形成。</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185252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表面微有柔毛，断面角质样，有光泽。其它应与现行《中国药典》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DABBD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693E18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2566C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1420D0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293.86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F5B4B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E1A774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F92C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E03A2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7BFFF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五加皮</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D3426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396837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0AA04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厚片/横切/（选货）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18BD64F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本品为五加科植物细柱五加Acanthopanax gracilistylus W. W. Smith的干燥根皮。</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0A1685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不规则卷筒状，气微香，味微辣而苦。其它应与现行《中国药典》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946F6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BE979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998C8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D2F05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324.93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7D6AF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603221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2A16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BD5C6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ACB10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五味子</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A64A3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273A88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3C123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F38ABB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本品为木兰科植物五味子Schisandra chinensis（Turcz.）Baill.的干燥成熟果实。</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615457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果肉柔软，味酸；干瘪粒不超过2%。其它应与现行《中国药典》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56853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B0A82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BA6E7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9231A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159.50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63C3E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93633C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CE86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D3D95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56FBF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西红花</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A0729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62B94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32086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17EB73F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本品为鸢尾科植物番红花Crocus sativus L.的干燥柱头。</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64EDDAF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身长，色紫红，味辛凉。其它应与现行《中国药典》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0F2B6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09385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5DDCD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E78E8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35724.72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CE195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C3FE30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2451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FDE7C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7DBA7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香附</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2AA73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E5195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醋炙</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41842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C4DFD8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本品为莎草科植物莎草Cyperus rotundus L.的干燥根茎。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2CDA2B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除去毛须及杂质，直径0.6cm以上的片占比大于80%。表面颜色均匀。其它应与现行《中国药典》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BBDFB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65188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7B4F2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C48E3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58.93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51EA3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2E82C2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E5B7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1C7E2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74E7E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小麦</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44E47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《广东省中药材标准》2011年版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E7288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9851E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807772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本品为禾本科植物小麦Triticum aestivum L.的干燥成熟果实。</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7F9532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身干、粒大小均匀、无杂质，断面微有粉性。其它应与《广东省中药材标准》2011年版相符。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AF7FC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74330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8F169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94B11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24.33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DC24A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12F090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E72A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ADA2B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188</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BEA27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熊胆粉</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5086E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新药转正标准第11册</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0C4A1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u w:val="none"/>
                <w:lang w:val="en-US" w:eastAsia="zh-CN" w:bidi="ar"/>
              </w:rPr>
              <w:t>精制饮片</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1DF3A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10F497E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本品为熊科动物黑熊Selenarctos thibetanus Cuvier或棕熊Ursus arctos Linnaeus经胆囊手术引流胆汁而得的干燥品。</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F1B6D8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本品为不规则碎片、颗粒或粉末。</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92654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1000、500、0.1</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D5CC8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0.015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E2F9E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094B6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216066</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A190B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B5493A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D4C1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77BFD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0F0A2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旋覆花</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01B87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2B8169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F6142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DED167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本品为菊科植物旋覆花Inula japonica Thunb.或欧亚旋覆花Inula britannica L.</w:t>
            </w:r>
            <w:bookmarkStart w:id="166" w:name="_GoBack"/>
            <w:bookmarkEnd w:id="166"/>
            <w:r>
              <w:rPr>
                <w:rFonts w:hint="eastAsia" w:ascii="宋体" w:hAnsi="宋体" w:eastAsia="宋体" w:cs="宋体"/>
                <w:i w:val="0"/>
                <w:iCs w:val="0"/>
                <w:color w:val="auto"/>
                <w:kern w:val="0"/>
                <w:sz w:val="22"/>
                <w:szCs w:val="22"/>
                <w:highlight w:val="none"/>
                <w:u w:val="none"/>
                <w:lang w:val="en-US" w:eastAsia="zh-CN" w:bidi="ar"/>
              </w:rPr>
              <w:t>的干燥头状花序。</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68A8605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体轻，易散碎，无杂质。其它应与现行《中国药典》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6EE9D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C2295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C6DB8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E25EF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175.03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DBB60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703133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252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56C68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E3305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盐菟丝子</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69A57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B196F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盐炙</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56C1C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16AE937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本品为旋花科植物南方菟丝子Cuscuta australis R.Br.或菟丝子Cuscuta chinensis Lam.的干燥成熟种子。</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65B8970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直径1～2mm，颗粒饱满，大小色泽均一，无灰屑，裂开，略有香气。其它应与现行《中国药典》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A04B4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68C85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1322C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7F217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99.60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19CCB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23F905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20C2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1ED7C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3C734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阳起石</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2B9DD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11CEB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B355B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颗粒或纤维状粉末/(选货)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2319C76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本品为硅酸盐类角闪石族矿物透闪石Tremolite及其异种透闪石石棉，主含碱性硅酸镁钙。</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AC1641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色灰白、有光 泽、质松软。其它应与《广西壮族自治区中药饮片炮制规范》2007年版相符。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642F4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A47FC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C37CF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56B21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34.18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55B8A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8D2778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403D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9E1CE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033DD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野菊花</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3AA5D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F5264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28770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1B3CE53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本品为菊科植物野菊Chrysanthemum indicum L.  的干燥头状花序。</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5C9669F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呈类球形，体轻，花序完整。气芳香。其它应与现行《中国药典》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6EC86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65E66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938DA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A6338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175.55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8112C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946010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24C4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C2A90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560BD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叶下珠</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7EC8C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《广西壮族自治区壮药质量标准》第二卷</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327FC5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13D33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1C8955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本品为大戟科植物叶下珠Phyllanthus urinaria Linn.的干燥全草。</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65CDDEB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去杂质，筛去灰屑。叶多，色绿。其它应与《广西壮族自治区壮药质量标准》第二卷相符。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44C22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D850C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5D152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B45E0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67.37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3BEF3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A27664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FD47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94474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57F24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银柴胡</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A70E4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23CCF1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0A8C4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2B03EB5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本品为石竹科植物银柴胡Stellaria dichotoma L. var.lanceolata Bge.的干燥根。</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86C01F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直径大于0.6cm，均匀。其它应与现行《中国药典》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F1E42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C520F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DC9BF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81D7B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652.65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E674F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956840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1592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8AE5F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CF773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玉米须</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A0EB1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8E61D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46CE4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须状/（选货）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263DDB9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本品为禾本科植物玉蜀黍Zea mays L.的干燥花柱。</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A4CA26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疏松团簇，花柱线状或须状，有光泽、无霉味、无杂质。其它应与现行《中国药典》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D08BE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F5A86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7CE9A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0370DA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65.77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33071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1EEAD6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36B0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1A0BC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9A48D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玉竹</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ACC51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58BCB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7887EE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46C15A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本品为百合科植物玉竹Polygonatum odoratum（Mill.）Druce的干燥根茎。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1185408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直径大于0.6cm，大小均一，黄白色无油片。其它应与现行《中国药典》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79306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B9CD0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83384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7F004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191.67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DC270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DF59C9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E1B4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B6627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64F09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郁李仁</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6C6DC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7DC8F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69447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488377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本品为蔷薇科植物欧李Prunus humilis Bge.、郁李Prunus japonica Thunb. 或长柄扁桃Prunus pedunculata Maxim. 的干燥成熟种子。</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424A47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种仁饱满，无油粒，自合点处向上具多条纵向维管束脉纹。其它应与现行《中国药典》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42C2F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77949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6A398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57994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306.29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9524F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19FC2B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B135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1775B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198</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ECFEC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泽兰</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99AB1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2A1A0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F6DA8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8DF696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本品为唇形科植物毛叶地瓜儿苗Lycopus  lucidus  Turcz. var. hirtus  Regel的干燥地上部分。</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CAA310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茎方柱形，叶边缘有锯齿。其它应与现行《中国药典》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DC390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210F88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848FB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1C310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42.32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B5D77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5C3672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D925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4B9C3F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0AE3A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制白附子</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89912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B04D5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生姜、白矾制</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1D854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厚片/横切/（选货）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0D9D3F8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本品为天南星科独角莲Typhonium giganteum Engl.的干燥块茎的炮制加工品。</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C6746F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片大，长2.5cm以上，直径1.5cm以上。外表皮淡棕色，切面黄色，角质。微有麻舌感。其它应与现行《中国药典》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6606B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57409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2631E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E8AE1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248.74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5C6FE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C20BEB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A1F1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09DB5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40B48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制草乌</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22240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96D56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水煮至内无白心、口尝微有麻感。</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5926B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3604A4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本品为毛茛科植物北乌头Aconitum kusnezoffii Reichb.的干燥块根。</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467FFA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炮制到位。片大。质坚实，表面黑褐色，气微，味微辛辣，稍有麻舌感。其它应与现行《中国药典》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3CA59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6B4200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30A11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F08B4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417.53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3812D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456A43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ECC6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E7FA4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527CA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制蜂房</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EF8A7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B667D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甘草制</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A5FFA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943DB2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本品为胡蜂科昆虫果马蜂Polistes　olivaceous（DeGeer），日本长脚胡蜂Polistes　japonicus　Saussure或异腹胡蜂Parapolybia　varia　Fabricius的巢。</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4F413E4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体轻，质韧，味甘。略有弹性，质酥脆或坚硬者不可供药用，无虫串，灰屑率小于2%。其它应与《广西壮族自治区中药饮片炮制规范》2007年版相符。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EFA7C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3C35F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3BF17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A092F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4977.45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19806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452D23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4DA0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0B6C2D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0C6FB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制何首乌</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C9341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238878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黑豆制</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BB27D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DCD1FB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本品为蓼科植物何首乌Polygonum multiflorum Thunb.  的干燥块根。</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74DC8C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大小均匀，体重，质坚，折断面有的可见光泽，无碎渣。其它应与现行《中国药典》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D51CC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0BB21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2AF1B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38586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147.09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91FAC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C97EF6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0AB5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9DC29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F7836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制天南星</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B0632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0EBA1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生姜、白矾制</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EE625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5E165E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本品为天南星的炮制加工品。</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3CCE411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无黑片及白心片。片大，黄色或淡棕色，质脆易碎，断面角质状。味涩，微麻。其它应与现行《中国药典》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02EFF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59C21D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E6ED0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D64AA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204.24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806BE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EC369D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FF17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E9946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76920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制远志</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4DB40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9A900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甘草制、去心</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3858E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B4AFD8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本品为远志科植物远志Polygala tenuifolia Willd. 或卵叶远志Polygala sibirica L. 的干燥根。</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17A82B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直径大于0.4cm，含未抽芯不得超过5%。其它应与现行《中国药典》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DC985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4C60E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0795E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678E5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816.01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4C6F2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3DB018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1C1C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3B8BA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21E0F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猪苓</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E2052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722B1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C4065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5DA264D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本品为多孔菌科真菌猪苓Polyporus umbellatus（Pers.） Fries  的干燥菌核。</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88CB61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直径大于3.0cm，大小均匀，无菌斑片。其它应与现行《中国药典》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5948C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3C869A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2AABF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55F2C1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509.37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E710F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4D88AB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3336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AD226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C14ED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紫河车</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C2747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D9E92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生品（极细粉）</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2DBA9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48EC8A4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本品为健康人的干燥胎盘。</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3A346B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饮片为细粉状。其它应与现行《中国药典》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95D34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3D7172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8447A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2757A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6175.65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9DD5F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2BBE0B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7650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186CE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28840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紫花地丁</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0F5A3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16B9B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E0F61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545A9A2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本品为堇菜科植物紫花地丁Viola yedoensis Makino  的干燥全草。</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94CCFC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叶绿，带根，无杂质，叶基生，两面有毛。其它应与现行《中国药典》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01BAE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72FD7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922F5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0B5AE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87.54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5A102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54E39D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4D70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DF3AF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E0F49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紫石英</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16F05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DB9C4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C406A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59F19FC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本品为氟化物类矿物萤石族萤石，主含氟化钙（CaF2）。</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5B724E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夹杂的不透明块状物(杂石)比例小于1%。色紫，质坚，半透明至透明，具玻璃光泽。其它应与现行《中国药典》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14E45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70FE1F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453D0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01F09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39.64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D24E3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272538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08D7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48568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E27CC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紫苏梗</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D7B68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A90CA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B1416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7F0023D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本品为唇形科植物紫苏Perilla frutescens（L.）Britt.的干燥茎。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24E2CC7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直径小于1cm，表面紫棕色或暗紫色，气微香。其它应与现行《中国药典》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FF4B4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96E43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93283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4D65C3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58.33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3E9C9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32C6BE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16C1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CF55A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F3130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紫苏叶</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2F3B7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CF700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69ECD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6C632A8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本品为唇形科植物紫苏Perilla frutescens（L.）Britt.的干燥叶（或带嫩枝）。</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9DC78F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两面紫色或上表面绿色，下表面紫色，气清香，味微辛。其它应与现行《中国药典》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A51AF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C8F0C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CD70F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6C6CE9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76.17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253A8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5AF92D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EE47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4C949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7F4DA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紫菀</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09019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7A0C03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814AC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短段/（选货）</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35920B7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本品为菊科植物紫菀Aster tataricus L. f. 的干燥根和根茎。</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67988C2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纯根，粗细均匀，无1mm以下的细根，色紫，质柔韧。其它应与现行《中国药典》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A67DF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477DEB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38E36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363257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171.79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6E374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918CCB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2099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663FD1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103EA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鲜竹沥</w:t>
            </w: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310E3D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《江西省中药饮片炮制规范》2008年版</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7375F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u w:val="none"/>
                <w:lang w:val="en-US" w:eastAsia="zh-CN" w:bidi="ar"/>
              </w:rPr>
              <w:t>精制饮片</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3534F9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液体</w:t>
            </w:r>
          </w:p>
        </w:tc>
        <w:tc>
          <w:tcPr>
            <w:tcW w:w="2964" w:type="dxa"/>
            <w:tcBorders>
              <w:top w:val="single" w:color="000000" w:sz="4" w:space="0"/>
              <w:left w:val="single" w:color="000000" w:sz="4" w:space="0"/>
              <w:bottom w:val="single" w:color="000000" w:sz="4" w:space="0"/>
              <w:right w:val="single" w:color="000000" w:sz="4" w:space="0"/>
            </w:tcBorders>
            <w:noWrap w:val="0"/>
            <w:vAlign w:val="center"/>
          </w:tcPr>
          <w:p w14:paraId="5981E78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本品为禾科植物淡竹 Phyllostachys glauca McCiure，净竹 Phyllostachys nuda McCiure及其同属数种植物的鲜杆经加热后自然沥出的液体，煮沸之后，加适量防腐剂。</w:t>
            </w:r>
          </w:p>
        </w:tc>
        <w:tc>
          <w:tcPr>
            <w:tcW w:w="3108" w:type="dxa"/>
            <w:tcBorders>
              <w:top w:val="single" w:color="000000" w:sz="4" w:space="0"/>
              <w:left w:val="single" w:color="000000" w:sz="4" w:space="0"/>
              <w:bottom w:val="single" w:color="000000" w:sz="4" w:space="0"/>
              <w:right w:val="single" w:color="000000" w:sz="4" w:space="0"/>
            </w:tcBorders>
            <w:noWrap w:val="0"/>
            <w:vAlign w:val="center"/>
          </w:tcPr>
          <w:p w14:paraId="00EDE8F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本品为淡黄色至红色液体。具竹香气，味微甘。</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0A0A81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30ml</w:t>
            </w:r>
          </w:p>
        </w:tc>
        <w:tc>
          <w:tcPr>
            <w:tcW w:w="708" w:type="dxa"/>
            <w:tcBorders>
              <w:top w:val="single" w:color="000000" w:sz="4" w:space="0"/>
              <w:left w:val="single" w:color="000000" w:sz="4" w:space="0"/>
              <w:bottom w:val="single" w:color="000000" w:sz="4" w:space="0"/>
              <w:right w:val="single" w:color="000000" w:sz="4" w:space="0"/>
            </w:tcBorders>
            <w:noWrap/>
            <w:vAlign w:val="center"/>
          </w:tcPr>
          <w:p w14:paraId="7D9A20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456" w:type="dxa"/>
            <w:tcBorders>
              <w:top w:val="single" w:color="000000" w:sz="4" w:space="0"/>
              <w:left w:val="single" w:color="000000" w:sz="4" w:space="0"/>
              <w:bottom w:val="single" w:color="000000" w:sz="4" w:space="0"/>
              <w:right w:val="single" w:color="000000" w:sz="4" w:space="0"/>
            </w:tcBorders>
            <w:noWrap/>
            <w:vAlign w:val="center"/>
          </w:tcPr>
          <w:p w14:paraId="7A7150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14:paraId="242328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28.63 </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CD3BD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7429A5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CC0C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354" w:type="dxa"/>
            <w:gridSpan w:val="13"/>
            <w:tcBorders>
              <w:top w:val="single" w:color="000000" w:sz="4" w:space="0"/>
              <w:left w:val="single" w:color="000000" w:sz="4" w:space="0"/>
              <w:bottom w:val="single" w:color="000000" w:sz="4" w:space="0"/>
              <w:right w:val="single" w:color="000000" w:sz="4" w:space="0"/>
            </w:tcBorders>
            <w:noWrap/>
            <w:vAlign w:val="center"/>
          </w:tcPr>
          <w:p w14:paraId="6B06A8BD">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auto"/>
                <w:spacing w:val="20"/>
                <w:szCs w:val="21"/>
                <w:highlight w:val="none"/>
              </w:rPr>
              <w:t>投标报价</w:t>
            </w:r>
            <w:r>
              <w:rPr>
                <w:rFonts w:hint="eastAsia" w:ascii="宋体" w:hAnsi="宋体" w:cs="宋体"/>
                <w:color w:val="auto"/>
                <w:spacing w:val="20"/>
                <w:szCs w:val="21"/>
                <w:highlight w:val="none"/>
                <w:lang w:eastAsia="zh-CN"/>
              </w:rPr>
              <w:t>合计</w:t>
            </w:r>
            <w:r>
              <w:rPr>
                <w:rFonts w:hint="eastAsia" w:ascii="宋体" w:hAnsi="宋体" w:cs="宋体"/>
                <w:color w:val="auto"/>
                <w:spacing w:val="20"/>
                <w:szCs w:val="21"/>
                <w:highlight w:val="none"/>
              </w:rPr>
              <w:t>：</w:t>
            </w:r>
            <w:r>
              <w:rPr>
                <w:rFonts w:hint="eastAsia" w:ascii="宋体" w:hAnsi="宋体" w:cs="宋体"/>
                <w:color w:val="auto"/>
                <w:szCs w:val="21"/>
                <w:highlight w:val="none"/>
              </w:rPr>
              <w:t>（大写）人民币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pacing w:val="20"/>
                <w:szCs w:val="21"/>
                <w:highlight w:val="none"/>
                <w:lang w:eastAsia="zh-CN"/>
              </w:rPr>
              <w:t>，</w:t>
            </w:r>
            <w:r>
              <w:rPr>
                <w:rFonts w:hint="eastAsia" w:ascii="宋体" w:hAnsi="宋体" w:cs="宋体"/>
                <w:color w:val="auto"/>
                <w:spacing w:val="20"/>
                <w:szCs w:val="21"/>
                <w:highlight w:val="none"/>
              </w:rPr>
              <w:t>报价保留小数点后2位</w:t>
            </w:r>
            <w:r>
              <w:rPr>
                <w:rFonts w:hint="eastAsia" w:ascii="宋体" w:hAnsi="宋体" w:cs="宋体"/>
                <w:color w:val="auto"/>
                <w:spacing w:val="20"/>
                <w:szCs w:val="21"/>
                <w:highlight w:val="none"/>
                <w:lang w:eastAsia="zh-CN"/>
              </w:rPr>
              <w:t>。</w:t>
            </w:r>
          </w:p>
        </w:tc>
      </w:tr>
      <w:tr w14:paraId="32512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354" w:type="dxa"/>
            <w:gridSpan w:val="13"/>
            <w:tcBorders>
              <w:top w:val="single" w:color="000000" w:sz="4" w:space="0"/>
              <w:left w:val="single" w:color="000000" w:sz="4" w:space="0"/>
              <w:bottom w:val="single" w:color="000000" w:sz="4" w:space="0"/>
              <w:right w:val="single" w:color="000000" w:sz="4" w:space="0"/>
            </w:tcBorders>
            <w:noWrap/>
            <w:vAlign w:val="center"/>
          </w:tcPr>
          <w:p w14:paraId="5083434D">
            <w:pPr>
              <w:keepNext w:val="0"/>
              <w:keepLines w:val="0"/>
              <w:widowControl/>
              <w:suppressLineNumbers w:val="0"/>
              <w:jc w:val="both"/>
              <w:textAlignment w:val="center"/>
              <w:rPr>
                <w:rFonts w:hint="eastAsia" w:ascii="宋体" w:hAnsi="宋体" w:eastAsia="宋体" w:cs="宋体"/>
                <w:color w:val="auto"/>
                <w:spacing w:val="20"/>
                <w:szCs w:val="21"/>
                <w:highlight w:val="none"/>
                <w:lang w:val="en-US" w:eastAsia="zh-CN"/>
              </w:rPr>
            </w:pPr>
            <w:r>
              <w:rPr>
                <w:rFonts w:hint="eastAsia" w:ascii="宋体" w:hAnsi="宋体" w:cs="宋体"/>
                <w:color w:val="auto"/>
                <w:spacing w:val="20"/>
                <w:szCs w:val="21"/>
                <w:highlight w:val="none"/>
                <w:lang w:val="en-US" w:eastAsia="zh-CN"/>
              </w:rPr>
              <w:t>服务期限：</w:t>
            </w:r>
            <w:r>
              <w:rPr>
                <w:rFonts w:hint="eastAsia" w:ascii="宋体" w:hAnsi="宋体" w:cs="宋体"/>
                <w:color w:val="auto"/>
                <w:spacing w:val="20"/>
                <w:sz w:val="21"/>
                <w:szCs w:val="21"/>
                <w:highlight w:val="none"/>
                <w:u w:val="single"/>
              </w:rPr>
              <w:t xml:space="preserve">             </w:t>
            </w:r>
            <w:r>
              <w:rPr>
                <w:rFonts w:hint="eastAsia" w:ascii="宋体" w:hAnsi="宋体" w:cs="宋体"/>
                <w:color w:val="auto"/>
                <w:sz w:val="21"/>
                <w:szCs w:val="21"/>
                <w:highlight w:val="none"/>
              </w:rPr>
              <w:t xml:space="preserve"> </w:t>
            </w:r>
          </w:p>
        </w:tc>
      </w:tr>
      <w:tr w14:paraId="6CEF0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354" w:type="dxa"/>
            <w:gridSpan w:val="13"/>
            <w:tcBorders>
              <w:top w:val="single" w:color="000000" w:sz="4" w:space="0"/>
              <w:left w:val="single" w:color="000000" w:sz="4" w:space="0"/>
              <w:bottom w:val="single" w:color="000000" w:sz="4" w:space="0"/>
              <w:right w:val="single" w:color="000000" w:sz="4" w:space="0"/>
            </w:tcBorders>
            <w:noWrap/>
            <w:vAlign w:val="center"/>
          </w:tcPr>
          <w:p w14:paraId="3BE936F0">
            <w:pPr>
              <w:keepNext w:val="0"/>
              <w:keepLines w:val="0"/>
              <w:widowControl/>
              <w:suppressLineNumbers w:val="0"/>
              <w:jc w:val="both"/>
              <w:textAlignment w:val="center"/>
              <w:rPr>
                <w:rFonts w:hint="eastAsia" w:ascii="宋体" w:hAnsi="宋体" w:cs="宋体"/>
                <w:color w:val="auto"/>
                <w:spacing w:val="20"/>
                <w:szCs w:val="21"/>
                <w:highlight w:val="none"/>
              </w:rPr>
            </w:pPr>
            <w:r>
              <w:rPr>
                <w:rFonts w:hint="eastAsia" w:ascii="宋体" w:hAnsi="宋体" w:cs="宋体"/>
                <w:color w:val="auto"/>
                <w:sz w:val="21"/>
                <w:szCs w:val="21"/>
                <w:highlight w:val="none"/>
              </w:rPr>
              <w:t>法定代表人或者委托代理人（签字）：</w:t>
            </w:r>
            <w:r>
              <w:rPr>
                <w:rFonts w:hint="eastAsia" w:ascii="宋体" w:hAnsi="宋体" w:cs="宋体"/>
                <w:color w:val="auto"/>
                <w:spacing w:val="20"/>
                <w:sz w:val="21"/>
                <w:szCs w:val="21"/>
                <w:highlight w:val="none"/>
                <w:u w:val="single"/>
              </w:rPr>
              <w:t xml:space="preserve">             </w:t>
            </w:r>
            <w:r>
              <w:rPr>
                <w:rFonts w:hint="eastAsia" w:ascii="宋体" w:hAnsi="宋体" w:cs="宋体"/>
                <w:color w:val="auto"/>
                <w:sz w:val="21"/>
                <w:szCs w:val="21"/>
                <w:highlight w:val="none"/>
              </w:rPr>
              <w:t xml:space="preserve"> </w:t>
            </w:r>
          </w:p>
        </w:tc>
      </w:tr>
      <w:tr w14:paraId="3DAFF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354" w:type="dxa"/>
            <w:gridSpan w:val="13"/>
            <w:tcBorders>
              <w:top w:val="single" w:color="000000" w:sz="4" w:space="0"/>
              <w:left w:val="single" w:color="000000" w:sz="4" w:space="0"/>
              <w:bottom w:val="single" w:color="000000" w:sz="4" w:space="0"/>
              <w:right w:val="single" w:color="000000" w:sz="4" w:space="0"/>
            </w:tcBorders>
            <w:noWrap/>
            <w:vAlign w:val="center"/>
          </w:tcPr>
          <w:p w14:paraId="0A863912">
            <w:pPr>
              <w:keepNext w:val="0"/>
              <w:keepLines w:val="0"/>
              <w:widowControl/>
              <w:suppressLineNumbers w:val="0"/>
              <w:jc w:val="both"/>
              <w:textAlignment w:val="center"/>
              <w:rPr>
                <w:rFonts w:hint="eastAsia" w:ascii="宋体" w:hAnsi="宋体" w:cs="宋体"/>
                <w:color w:val="auto"/>
                <w:spacing w:val="20"/>
                <w:szCs w:val="21"/>
                <w:highlight w:val="none"/>
              </w:rPr>
            </w:pPr>
            <w:r>
              <w:rPr>
                <w:rFonts w:hint="eastAsia" w:ascii="宋体" w:hAnsi="宋体" w:cs="宋体"/>
                <w:color w:val="auto"/>
                <w:sz w:val="21"/>
                <w:szCs w:val="21"/>
                <w:highlight w:val="none"/>
                <w:lang w:val="zh-CN"/>
              </w:rPr>
              <w:t>投标人名称(电子签章)</w:t>
            </w:r>
            <w:r>
              <w:rPr>
                <w:rFonts w:hint="eastAsia" w:ascii="宋体" w:hAnsi="宋体" w:cs="宋体"/>
                <w:color w:val="auto"/>
                <w:sz w:val="21"/>
                <w:szCs w:val="21"/>
                <w:highlight w:val="none"/>
              </w:rPr>
              <w:t>：</w:t>
            </w:r>
            <w:r>
              <w:rPr>
                <w:rFonts w:hint="eastAsia" w:ascii="宋体" w:hAnsi="宋体" w:cs="宋体"/>
                <w:color w:val="auto"/>
                <w:spacing w:val="20"/>
                <w:sz w:val="21"/>
                <w:szCs w:val="21"/>
                <w:highlight w:val="none"/>
                <w:u w:val="single"/>
              </w:rPr>
              <w:t xml:space="preserve">             </w:t>
            </w:r>
            <w:r>
              <w:rPr>
                <w:rFonts w:hint="eastAsia" w:ascii="宋体" w:hAnsi="宋体" w:cs="宋体"/>
                <w:color w:val="auto"/>
                <w:sz w:val="21"/>
                <w:szCs w:val="21"/>
                <w:highlight w:val="none"/>
              </w:rPr>
              <w:t xml:space="preserve"> </w:t>
            </w:r>
          </w:p>
        </w:tc>
      </w:tr>
      <w:tr w14:paraId="7DBDC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354" w:type="dxa"/>
            <w:gridSpan w:val="13"/>
            <w:tcBorders>
              <w:top w:val="single" w:color="000000" w:sz="4" w:space="0"/>
              <w:left w:val="single" w:color="000000" w:sz="4" w:space="0"/>
              <w:bottom w:val="single" w:color="000000" w:sz="4" w:space="0"/>
              <w:right w:val="single" w:color="000000" w:sz="4" w:space="0"/>
            </w:tcBorders>
            <w:noWrap/>
            <w:vAlign w:val="center"/>
          </w:tcPr>
          <w:p w14:paraId="5BCE985F">
            <w:pPr>
              <w:keepNext w:val="0"/>
              <w:keepLines w:val="0"/>
              <w:widowControl/>
              <w:suppressLineNumbers w:val="0"/>
              <w:jc w:val="both"/>
              <w:textAlignment w:val="center"/>
              <w:rPr>
                <w:rFonts w:hint="eastAsia" w:ascii="宋体" w:hAnsi="宋体" w:cs="宋体"/>
                <w:color w:val="auto"/>
                <w:spacing w:val="20"/>
                <w:szCs w:val="21"/>
                <w:highlight w:val="none"/>
              </w:rPr>
            </w:pPr>
            <w:r>
              <w:rPr>
                <w:rFonts w:hint="eastAsia" w:ascii="宋体" w:hAnsi="宋体" w:cs="宋体"/>
                <w:color w:val="auto"/>
                <w:sz w:val="21"/>
                <w:szCs w:val="21"/>
                <w:highlight w:val="none"/>
              </w:rPr>
              <w:t>日期：    年   月   日</w:t>
            </w:r>
          </w:p>
        </w:tc>
      </w:tr>
      <w:tr w14:paraId="03012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354" w:type="dxa"/>
            <w:gridSpan w:val="13"/>
            <w:tcBorders>
              <w:top w:val="single" w:color="000000" w:sz="4" w:space="0"/>
              <w:left w:val="single" w:color="000000" w:sz="4" w:space="0"/>
              <w:bottom w:val="single" w:color="000000" w:sz="4" w:space="0"/>
              <w:right w:val="single" w:color="000000" w:sz="4" w:space="0"/>
            </w:tcBorders>
            <w:noWrap/>
            <w:vAlign w:val="center"/>
          </w:tcPr>
          <w:p w14:paraId="67DF4681">
            <w:pPr>
              <w:keepNext w:val="0"/>
              <w:keepLines w:val="0"/>
              <w:widowControl/>
              <w:suppressLineNumbers w:val="0"/>
              <w:jc w:val="both"/>
              <w:textAlignment w:val="center"/>
              <w:rPr>
                <w:rFonts w:hint="eastAsia" w:ascii="宋体" w:hAnsi="宋体" w:cs="宋体"/>
                <w:color w:val="auto"/>
                <w:sz w:val="21"/>
                <w:szCs w:val="21"/>
                <w:highlight w:val="none"/>
              </w:rPr>
            </w:pPr>
            <w:r>
              <w:rPr>
                <w:rFonts w:hint="eastAsia" w:ascii="宋体" w:hAnsi="宋体"/>
                <w:b/>
                <w:bCs/>
                <w:color w:val="auto"/>
                <w:szCs w:val="21"/>
                <w:highlight w:val="none"/>
                <w:u w:val="none"/>
                <w:lang w:val="en-US" w:eastAsia="zh-CN"/>
              </w:rPr>
              <w:t>说明：</w:t>
            </w:r>
            <w:r>
              <w:rPr>
                <w:rFonts w:hint="eastAsia" w:ascii="宋体" w:hAnsi="宋体"/>
                <w:b/>
                <w:bCs/>
                <w:color w:val="auto"/>
                <w:szCs w:val="21"/>
                <w:highlight w:val="none"/>
                <w:u w:val="none"/>
              </w:rPr>
              <w:t>投标人的报价总金额仅作为价格分的计算依据。</w:t>
            </w:r>
            <w:r>
              <w:rPr>
                <w:rFonts w:hint="eastAsia" w:ascii="宋体" w:hAnsi="宋体" w:cs="宋体"/>
                <w:b/>
                <w:color w:val="auto"/>
                <w:szCs w:val="21"/>
                <w:highlight w:val="none"/>
                <w:u w:val="none"/>
              </w:rPr>
              <w:t>采购预算</w:t>
            </w:r>
            <w:r>
              <w:rPr>
                <w:rFonts w:hint="eastAsia" w:ascii="宋体" w:hAnsi="宋体" w:cs="宋体"/>
                <w:b/>
                <w:color w:val="auto"/>
                <w:szCs w:val="21"/>
                <w:highlight w:val="none"/>
                <w:u w:val="none"/>
                <w:lang w:eastAsia="zh-CN"/>
              </w:rPr>
              <w:t>：</w:t>
            </w:r>
            <w:r>
              <w:rPr>
                <w:rFonts w:hint="eastAsia" w:ascii="宋体" w:hAnsi="宋体" w:cs="宋体"/>
                <w:b/>
                <w:color w:val="auto"/>
                <w:szCs w:val="21"/>
                <w:highlight w:val="none"/>
                <w:u w:val="none"/>
                <w:lang w:val="en-US" w:eastAsia="zh-CN"/>
              </w:rPr>
              <w:t>21</w:t>
            </w:r>
            <w:r>
              <w:rPr>
                <w:rFonts w:hint="eastAsia" w:ascii="宋体" w:hAnsi="宋体" w:cs="宋体"/>
                <w:b/>
                <w:color w:val="auto"/>
                <w:szCs w:val="21"/>
                <w:highlight w:val="none"/>
                <w:u w:val="none"/>
                <w:lang w:eastAsia="zh-CN"/>
              </w:rPr>
              <w:t>0.00万元</w:t>
            </w:r>
            <w:r>
              <w:rPr>
                <w:rFonts w:hint="eastAsia" w:ascii="宋体" w:hAnsi="宋体" w:eastAsia="宋体" w:cs="宋体"/>
                <w:b/>
                <w:bCs/>
                <w:color w:val="auto"/>
                <w:sz w:val="21"/>
                <w:szCs w:val="21"/>
                <w:highlight w:val="none"/>
              </w:rPr>
              <w:t>，签订合同总价即为</w:t>
            </w:r>
            <w:r>
              <w:rPr>
                <w:rFonts w:hint="eastAsia" w:ascii="宋体" w:hAnsi="宋体"/>
                <w:b/>
                <w:bCs/>
                <w:color w:val="auto"/>
                <w:szCs w:val="21"/>
                <w:highlight w:val="none"/>
                <w:u w:val="none"/>
              </w:rPr>
              <w:t>分标</w:t>
            </w:r>
            <w:r>
              <w:rPr>
                <w:rFonts w:hint="eastAsia" w:ascii="宋体" w:hAnsi="宋体" w:eastAsia="宋体" w:cs="宋体"/>
                <w:b/>
                <w:bCs/>
                <w:color w:val="auto"/>
                <w:sz w:val="21"/>
                <w:szCs w:val="21"/>
                <w:highlight w:val="none"/>
              </w:rPr>
              <w:t>采购预算价，结算总金额=以实际发生采购量×中标单价为准。</w:t>
            </w:r>
          </w:p>
        </w:tc>
      </w:tr>
    </w:tbl>
    <w:p w14:paraId="36BD5ADE">
      <w:pPr>
        <w:snapToGrid w:val="0"/>
        <w:spacing w:before="50" w:after="50"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注: </w:t>
      </w:r>
    </w:p>
    <w:p w14:paraId="5FDBE98B">
      <w:pPr>
        <w:snapToGrid w:val="0"/>
        <w:spacing w:before="50" w:after="50"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1.投标人的开标一览表必须加盖投标人公章并由法定代表人或者委托代理人签字，</w:t>
      </w:r>
      <w:r>
        <w:rPr>
          <w:rFonts w:hint="eastAsia" w:ascii="宋体" w:hAnsi="宋体" w:cs="宋体"/>
          <w:b/>
          <w:color w:val="auto"/>
          <w:sz w:val="24"/>
          <w:highlight w:val="none"/>
        </w:rPr>
        <w:t>否则其投标作无效标处理</w:t>
      </w:r>
      <w:r>
        <w:rPr>
          <w:rFonts w:hint="eastAsia" w:ascii="宋体" w:hAnsi="宋体" w:cs="宋体"/>
          <w:color w:val="auto"/>
          <w:sz w:val="24"/>
          <w:highlight w:val="none"/>
        </w:rPr>
        <w:t>。</w:t>
      </w:r>
    </w:p>
    <w:p w14:paraId="49E849AF">
      <w:pPr>
        <w:snapToGrid w:val="0"/>
        <w:spacing w:before="50" w:after="50" w:line="360" w:lineRule="auto"/>
        <w:ind w:firstLine="480" w:firstLineChars="200"/>
        <w:jc w:val="left"/>
        <w:rPr>
          <w:rFonts w:ascii="宋体" w:hAnsi="宋体" w:cs="宋体"/>
          <w:b/>
          <w:color w:val="auto"/>
          <w:sz w:val="24"/>
          <w:highlight w:val="none"/>
        </w:rPr>
      </w:pPr>
      <w:r>
        <w:rPr>
          <w:rFonts w:hint="eastAsia" w:ascii="宋体" w:hAnsi="宋体" w:cs="宋体"/>
          <w:bCs/>
          <w:color w:val="auto"/>
          <w:sz w:val="24"/>
          <w:highlight w:val="none"/>
        </w:rPr>
        <w:t>2.</w:t>
      </w:r>
      <w:r>
        <w:rPr>
          <w:rFonts w:hint="eastAsia" w:ascii="宋体" w:hAnsi="宋体" w:cs="宋体"/>
          <w:color w:val="auto"/>
          <w:sz w:val="24"/>
          <w:highlight w:val="none"/>
        </w:rPr>
        <w:t>报价一经涂改，应在涂改处加盖投标人公章或者由法定代表人或者委托代理人签字或者盖章</w:t>
      </w:r>
      <w:r>
        <w:rPr>
          <w:rFonts w:hint="eastAsia" w:ascii="宋体" w:hAnsi="宋体" w:cs="宋体"/>
          <w:b/>
          <w:color w:val="auto"/>
          <w:sz w:val="24"/>
          <w:highlight w:val="none"/>
        </w:rPr>
        <w:t>，否则其投标作无效标处理。</w:t>
      </w:r>
    </w:p>
    <w:p w14:paraId="761896DD">
      <w:pPr>
        <w:snapToGrid w:val="0"/>
        <w:spacing w:before="50" w:after="50"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3.招标文件中列明采购专用耗材的，应按招标文件规定的耗材量或者按耗材的常规试用量提供报价。</w:t>
      </w:r>
    </w:p>
    <w:p w14:paraId="27D68861">
      <w:pPr>
        <w:snapToGrid w:val="0"/>
        <w:spacing w:before="50" w:after="50"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4.如为联合体投标，“投标人名称”处必须列明联合体各方名称，并标注联合体牵头人名称，</w:t>
      </w:r>
      <w:r>
        <w:rPr>
          <w:rFonts w:hint="eastAsia" w:ascii="宋体" w:hAnsi="宋体" w:cs="宋体"/>
          <w:b/>
          <w:color w:val="auto"/>
          <w:sz w:val="24"/>
          <w:highlight w:val="none"/>
        </w:rPr>
        <w:t>否则其投标作无效标处理。</w:t>
      </w:r>
    </w:p>
    <w:p w14:paraId="095393CF">
      <w:pPr>
        <w:snapToGrid w:val="0"/>
        <w:spacing w:before="50" w:after="50" w:line="360" w:lineRule="auto"/>
        <w:ind w:firstLine="456" w:firstLineChars="200"/>
        <w:jc w:val="left"/>
        <w:rPr>
          <w:rFonts w:ascii="宋体" w:hAnsi="宋体" w:cs="宋体"/>
          <w:color w:val="auto"/>
          <w:spacing w:val="-6"/>
          <w:sz w:val="24"/>
          <w:highlight w:val="none"/>
        </w:rPr>
      </w:pPr>
      <w:r>
        <w:rPr>
          <w:rFonts w:hint="eastAsia" w:ascii="宋体" w:hAnsi="宋体" w:cs="宋体"/>
          <w:color w:val="auto"/>
          <w:spacing w:val="-6"/>
          <w:sz w:val="24"/>
          <w:highlight w:val="none"/>
        </w:rPr>
        <w:t>5.如为联合体投标，盖章处须加盖联合体各方公章，</w:t>
      </w:r>
      <w:r>
        <w:rPr>
          <w:rFonts w:hint="eastAsia" w:ascii="宋体" w:hAnsi="宋体" w:cs="宋体"/>
          <w:b/>
          <w:color w:val="auto"/>
          <w:spacing w:val="-6"/>
          <w:sz w:val="24"/>
          <w:highlight w:val="none"/>
        </w:rPr>
        <w:t>否则其投标作无效标处理。</w:t>
      </w:r>
    </w:p>
    <w:p w14:paraId="3DA4240F">
      <w:pPr>
        <w:snapToGrid w:val="0"/>
        <w:spacing w:before="50" w:after="50"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6.如有多分标，按分标分别提供开标一览表，</w:t>
      </w:r>
      <w:r>
        <w:rPr>
          <w:rFonts w:hint="eastAsia" w:ascii="宋体" w:hAnsi="宋体" w:cs="宋体"/>
          <w:b/>
          <w:color w:val="auto"/>
          <w:sz w:val="24"/>
          <w:highlight w:val="none"/>
        </w:rPr>
        <w:t>否则投标无效。</w:t>
      </w:r>
    </w:p>
    <w:p w14:paraId="159449BF">
      <w:pPr>
        <w:snapToGrid w:val="0"/>
        <w:spacing w:before="50" w:after="50"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7.各分标报价超出招标文件相应分标规定最高限价或分项最高限价，或者超出相应分标采购预算金额的或相应分标分项采购预算的，</w:t>
      </w:r>
      <w:r>
        <w:rPr>
          <w:rFonts w:hint="eastAsia" w:ascii="宋体" w:hAnsi="宋体" w:cs="宋体"/>
          <w:b/>
          <w:color w:val="auto"/>
          <w:sz w:val="24"/>
          <w:highlight w:val="none"/>
        </w:rPr>
        <w:t>否则投标无效。</w:t>
      </w:r>
    </w:p>
    <w:p w14:paraId="2F8FAF33">
      <w:pPr>
        <w:snapToGrid w:val="0"/>
        <w:spacing w:before="50" w:after="50"/>
        <w:jc w:val="center"/>
        <w:rPr>
          <w:rFonts w:ascii="宋体" w:hAnsi="宋体" w:cs="宋体"/>
          <w:b/>
          <w:color w:val="auto"/>
          <w:sz w:val="30"/>
          <w:highlight w:val="none"/>
        </w:rPr>
      </w:pPr>
      <w:r>
        <w:rPr>
          <w:rFonts w:hint="eastAsia" w:ascii="宋体" w:hAnsi="宋体" w:cs="宋体"/>
          <w:b/>
          <w:color w:val="auto"/>
          <w:sz w:val="30"/>
          <w:highlight w:val="none"/>
        </w:rPr>
        <w:t>开标一览表</w:t>
      </w:r>
    </w:p>
    <w:p w14:paraId="10B5F61A">
      <w:pPr>
        <w:snapToGrid w:val="0"/>
        <w:spacing w:before="50" w:after="50"/>
        <w:jc w:val="center"/>
        <w:rPr>
          <w:rFonts w:ascii="宋体" w:hAnsi="宋体" w:cs="宋体"/>
          <w:b/>
          <w:color w:val="auto"/>
          <w:sz w:val="30"/>
          <w:szCs w:val="20"/>
          <w:highlight w:val="none"/>
        </w:rPr>
      </w:pPr>
    </w:p>
    <w:p w14:paraId="21DDAC02">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2BCBBBD8">
      <w:pPr>
        <w:snapToGrid w:val="0"/>
        <w:spacing w:before="50" w:after="50" w:line="360" w:lineRule="auto"/>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单位：元</w:t>
      </w:r>
    </w:p>
    <w:p w14:paraId="6F1B9927">
      <w:pPr>
        <w:spacing w:line="360" w:lineRule="auto"/>
        <w:ind w:firstLine="0" w:firstLineChars="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分标</w:t>
      </w:r>
      <w:r>
        <w:rPr>
          <w:rFonts w:hint="eastAsia" w:asciiTheme="minorEastAsia" w:hAnsiTheme="minorEastAsia" w:eastAsiaTheme="minorEastAsia" w:cstheme="minorEastAsia"/>
          <w:b/>
          <w:color w:val="auto"/>
          <w:szCs w:val="21"/>
          <w:highlight w:val="none"/>
          <w:lang w:val="en-US" w:eastAsia="zh-CN"/>
        </w:rPr>
        <w:t>2</w:t>
      </w:r>
      <w:r>
        <w:rPr>
          <w:rFonts w:hint="eastAsia" w:asciiTheme="minorEastAsia" w:hAnsiTheme="minorEastAsia" w:eastAsiaTheme="minorEastAsia" w:cstheme="minorEastAsia"/>
          <w:b/>
          <w:color w:val="auto"/>
          <w:szCs w:val="21"/>
          <w:highlight w:val="none"/>
        </w:rPr>
        <w:t>标项名称：</w:t>
      </w:r>
      <w:r>
        <w:rPr>
          <w:rFonts w:hint="eastAsia" w:asciiTheme="minorEastAsia" w:hAnsiTheme="minorEastAsia" w:eastAsiaTheme="minorEastAsia" w:cstheme="minorEastAsia"/>
          <w:b/>
          <w:color w:val="auto"/>
          <w:szCs w:val="21"/>
          <w:highlight w:val="none"/>
          <w:lang w:val="en-US" w:eastAsia="zh-CN"/>
        </w:rPr>
        <w:t>广西中医药研究院2025年中药饮片配送服务</w:t>
      </w:r>
      <w:r>
        <w:rPr>
          <w:rFonts w:hint="eastAsia" w:asciiTheme="minorEastAsia" w:hAnsiTheme="minorEastAsia" w:eastAsiaTheme="minorEastAsia" w:cstheme="minorEastAsia"/>
          <w:b/>
          <w:color w:val="auto"/>
          <w:szCs w:val="21"/>
          <w:highlight w:val="none"/>
        </w:rPr>
        <w:t>（</w:t>
      </w:r>
      <w:r>
        <w:rPr>
          <w:rFonts w:hint="eastAsia" w:asciiTheme="minorEastAsia" w:hAnsiTheme="minorEastAsia" w:eastAsiaTheme="minorEastAsia" w:cstheme="minorEastAsia"/>
          <w:b/>
          <w:color w:val="auto"/>
          <w:szCs w:val="21"/>
          <w:highlight w:val="none"/>
          <w:lang w:val="en-US" w:eastAsia="zh-CN"/>
        </w:rPr>
        <w:t>2</w:t>
      </w:r>
      <w:r>
        <w:rPr>
          <w:rFonts w:hint="eastAsia" w:asciiTheme="minorEastAsia" w:hAnsiTheme="minorEastAsia" w:eastAsiaTheme="minorEastAsia" w:cstheme="minorEastAsia"/>
          <w:b/>
          <w:color w:val="auto"/>
          <w:szCs w:val="21"/>
          <w:highlight w:val="none"/>
        </w:rPr>
        <w:t>）</w:t>
      </w:r>
    </w:p>
    <w:tbl>
      <w:tblPr>
        <w:tblStyle w:val="22"/>
        <w:tblpPr w:leftFromText="180" w:rightFromText="180" w:vertAnchor="text" w:horzAnchor="page" w:tblpX="1196" w:tblpY="715"/>
        <w:tblOverlap w:val="never"/>
        <w:tblW w:w="152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7"/>
        <w:gridCol w:w="810"/>
        <w:gridCol w:w="1125"/>
        <w:gridCol w:w="720"/>
        <w:gridCol w:w="1020"/>
        <w:gridCol w:w="2895"/>
        <w:gridCol w:w="2910"/>
        <w:gridCol w:w="960"/>
        <w:gridCol w:w="660"/>
        <w:gridCol w:w="465"/>
        <w:gridCol w:w="1125"/>
        <w:gridCol w:w="919"/>
        <w:gridCol w:w="919"/>
      </w:tblGrid>
      <w:tr w14:paraId="77963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922E549">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序号</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18ABE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药物名称</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68571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参考执行标准</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D5E46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炮制要求</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762A67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片型</w:t>
            </w:r>
          </w:p>
          <w:p w14:paraId="7835B1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规格</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CA5AD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0EC9E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质量要求</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58B0E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包装规格 （g/袋）</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60706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年拟采购量①</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E7C4E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单位</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69DD3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上限单价（元）</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6233A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sz w:val="22"/>
                <w:szCs w:val="22"/>
                <w:highlight w:val="none"/>
                <w:u w:val="none"/>
                <w:lang w:val="en-US" w:eastAsia="zh-CN"/>
              </w:rPr>
              <w:t>投标</w:t>
            </w:r>
            <w:r>
              <w:rPr>
                <w:rFonts w:hint="eastAsia" w:ascii="宋体" w:hAnsi="宋体" w:eastAsia="宋体" w:cs="宋体"/>
                <w:i w:val="0"/>
                <w:iCs w:val="0"/>
                <w:color w:val="auto"/>
                <w:sz w:val="22"/>
                <w:szCs w:val="22"/>
                <w:highlight w:val="none"/>
                <w:u w:val="none"/>
              </w:rPr>
              <w:t>单价报价</w:t>
            </w:r>
            <w:r>
              <w:rPr>
                <w:rFonts w:hint="eastAsia" w:ascii="宋体" w:hAnsi="宋体" w:eastAsia="宋体" w:cs="宋体"/>
                <w:i w:val="0"/>
                <w:iCs w:val="0"/>
                <w:color w:val="auto"/>
                <w:sz w:val="22"/>
                <w:szCs w:val="22"/>
                <w:highlight w:val="none"/>
                <w:u w:val="none"/>
                <w:lang w:val="en-US" w:eastAsia="zh-CN"/>
              </w:rPr>
              <w:t>（元</w:t>
            </w:r>
            <w:r>
              <w:rPr>
                <w:rFonts w:hint="eastAsia" w:ascii="宋体" w:hAnsi="宋体" w:eastAsia="宋体" w:cs="宋体"/>
                <w:i w:val="0"/>
                <w:iCs w:val="0"/>
                <w:color w:val="auto"/>
                <w:kern w:val="0"/>
                <w:sz w:val="22"/>
                <w:szCs w:val="22"/>
                <w:highlight w:val="none"/>
                <w:u w:val="none"/>
                <w:lang w:val="en-US" w:eastAsia="zh-CN" w:bidi="ar"/>
              </w:rPr>
              <w:t>）②</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10ADE8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小计</w:t>
            </w:r>
          </w:p>
          <w:p w14:paraId="177D0A70">
            <w:pPr>
              <w:keepNext w:val="0"/>
              <w:keepLines w:val="0"/>
              <w:widowControl/>
              <w:suppressLineNumbers w:val="0"/>
              <w:jc w:val="center"/>
              <w:textAlignment w:val="center"/>
              <w:rPr>
                <w:rFonts w:hint="eastAsia" w:ascii="宋体" w:hAnsi="宋体" w:cs="宋体"/>
                <w:i w:val="0"/>
                <w:iCs w:val="0"/>
                <w:color w:val="auto"/>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bidi="ar"/>
              </w:rPr>
              <w:t>③=①×②</w:t>
            </w:r>
          </w:p>
        </w:tc>
      </w:tr>
      <w:tr w14:paraId="103A3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5753F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4A6C3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巴戟天</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281D8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0EED2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F5EC0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短段或块状/（选货）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AA50E6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本品为茜草科植物巴戟天Morinda officinalis How的干燥根。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7A1D6F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直径大于1.0cm。其它应与现行《中国药典》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F668A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6F8D1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CEE1C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64422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283.75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79974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CE5F8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4D3C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2C49C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7C8AE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白扁豆</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7048A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B0AB2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6DD1A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个子/用时捣碎/（选货）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A7AF5A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本品为豆科植物扁豆Dolichos lablab L.的干燥成熟种子。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1288DB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粒大饱满，无破粒，瘪子率5%以下。其它应与现行《中国药典》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97714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A9943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CB077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A7542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77.83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91870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D444C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04B0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BB080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D1601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白茅根</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716DB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D2D1F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B20D5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0CB663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本品为禾本科植物白茅Imperata cylindrica Beauv.var.major（Nees）C.E.Hubb.的干燥根茎。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BABB2A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粗细均匀，色黄白，味甜，表面微有光泽，节明显，稍突起，体轻，无杂质。其它应与现行《中国药典》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DB050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53AF5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5E091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1138A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62.51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5725C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0A1D8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40A0B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13777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3F1D8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64589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9E6BB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55A34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F033D0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本品为萝藦科植物白薇Cynanchum atratum Bge.或蔓生白薇Cynanchum versicolor Bge.的干燥根和根茎。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42941B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断面色白粉性足。应与现行《中国药典》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4E6BD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AF784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904A7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F11A4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140.40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799C7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552BB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6E88E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04AAE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BE5C1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白鲜皮</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D5135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3A02D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9EC21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71EAFE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本品为芸香科植物白鲜Dictamnus dasycarpus Turcz.的干燥根皮。</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767C7B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断面直径大于1.2cm ，厚度大于0.3cm。抽心率大于99%。其它应与现行《中国药典》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E39F2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47287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637BF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FCD86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679.52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21F51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ECE03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9459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60B42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5BCE3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百部</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C1707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BD730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C5235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8211A0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本品为百部科植物直立百部Stemona sessilifolia（Miq.）Miq.、蔓生百部Stemona japonica（Bl.）Miq.或对叶百部Stemona tuberosa Lour.的干燥块根。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62DDAE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大小均一，无黑片，直径大于0.6cm。其它应与现行《中国药典》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75D72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48AF0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D4A9F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43B7D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279.52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68F25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896FE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499F4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679CE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B4BA6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柏子仁</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9B95F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B8068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84798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5B31DA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本品为柏科植物侧柏Platycladus orientalis（L.）Franco的干燥成熟种仁。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B9E4C7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饱满，颜色一致，无杂质，无碎仁。其它应与现行《中国药典》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A1D43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8D016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3F3D2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EA0FF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356.16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68625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73251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78EC7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EBC9F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9DA1E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败酱草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B6744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40B95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79996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F67F33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本品为败酱科植物白花败酱Patrinia villosa Juss.或黄花败酱Patrinia scabiosae folia Fisch.的干燥全草。</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02DB43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无木化老茎，无杂草，叶片薄，有陈腐的豆酱气味，特异性气味明显。其它应与《广西壮族自治区中药饮片炮制规范》2007年版相符。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6F22C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BE741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97C28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EDC1A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47.48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CDD8C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53D67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85DA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96E10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818ED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板蓝根</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23ED7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6B02D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17EE6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3CE299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本品为十字花科植物菘蓝Isatis  indigotica  Fort. 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33EBFA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切面皮部黄白色，木部黄色，无变色，无根头。其它应与现行《中国药典》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52BCF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8DBA4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A9C64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23540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92.10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12714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73D0E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4F1ED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8C1F6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5C5AA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薄荷</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F413F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013D5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24C44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4C2A36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本品为唇形科植物薄荷Mentha haplocalyx Briq. 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1EB67B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叶上表面深绿色，下表面灰绿色，揉搓后有浓郁的特殊清凉香气，叶占比大于30%，叶深绿色，段均匀。其它应与现行《中国药典》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AA021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4F5CF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64DE6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F3FEB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48.73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EE720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F2FF5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191D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F1FE1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C9674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北柴胡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59F29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3F3D3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BE5ED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4F0432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本品为伞形科植物柴胡Bupleurum chinense DC.或狭叶柴胡Bupleurum scorzonerifolium Willd.的干燥根。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98F0CA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直径大于0.4cm，切段较均匀，地上茎不超过3%。其它应与现行《中国药典》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B579A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DE2C3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85DF0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EF8FE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468.70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89CCC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19067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44F2E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18028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F0893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扁豆花</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3DA9F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AAD4F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D7B33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575CED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本品为豆科植物扁豆Dolichos lablab L.的干燥花。</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16BB2A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花完整，色黄白，无杂质，未完全开放。其它应与《广西壮族自治区中药饮片炮制规范》2007年版相符。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8165B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B0866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F84CE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AA3C7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294.33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5A562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77777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6249D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D849F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4DF77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鳖甲</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5565A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58F71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8F506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B72DA5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本品为鳖科动物鳖 Trionyx sinensis Wiegmann 的背甲。</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4B3EBA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质坚硬。气微腥，味淡。其它应与现行《中国药典》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E5B03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49DB8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369F4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6236E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358.53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5DA5B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A1BA7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73404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405FC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46286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冰片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30044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ACF55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片状结晶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360AE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粉末或片状结晶/（选货）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A37A51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本品为松节油和樟脑等原料经化学方法合成所得的制品，主含消旋龙脑。</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99B942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合成龙脑，无色透明或白色半透明的片状松脆结晶，无杂质。其它应与现行《中国药典》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年版相符。有国药准字。</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F40A7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EAAFF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ACB76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D53C9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922.90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8EAF5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6B7C0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67B2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73A05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610F5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补骨脂</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450CC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9D4AB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50231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68EDE4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本品为豆科植物补骨脂Psoralea corylifolia L.的干燥成熟果实。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AEA706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颗粒饱满，大小均一，表面黑色或黑褐色。其它应与现行《中国药典》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974E4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8B519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485C6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2966B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69.31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9CDEF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5CE1A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6437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8022F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39EAE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蚕沙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4C9CD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BA146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17196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D6F37D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本品为蚕蛾科昆虫家蚕 Bombyx mori Linnaeus 幼虫的干燥粪便。</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80CC33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干燥、色黑、坚实。色泽均匀、无杂质。无碎粒。其它应与《广西壮族自治区中药饮片炮制规范》2007年版相符。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98C4C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9D6BF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3322B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D6460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47.49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07C5D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72665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C987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1FC82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BE4E2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苍术</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42460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F6E39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DF479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A2A2D7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本品为菊科植物茅苍术Atractylodes lancea（Thunb.）DC. 或北苍术Atractylodes chinensis（DC.）Koidz. 的干燥根茎。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F8C931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茅苍术优先。饮片平均直径大于1.2cm，朱砂点明显，质地疏松。无残留茎基及碎屑。其它应与现行《中国药典》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115C0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DBD72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0DB49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91BD5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184.44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37E77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14F86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40F5F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261FF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1AE8B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草果</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30F3C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C4D02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59DF9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00D128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本品为姜科植物草果 Amomum tsao-ko Crevost et Lemarie 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92810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个大，颗粒均匀，内部饱满，无破裂。其它应与广西壮族自治区中药饮片炮制规范（2007年版）相符。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2942A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20269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34F14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F52F6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149.89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3B30A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C3151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340F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9C389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C8968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蝉蜕</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B163B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DFF1E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B7365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45C53D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本品为蝉科昆虫黑蚱Cryptotympana pustulata Fabricius的若虫羽化时脱落的皮壳。</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9ED3E7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破碎率5%以下，洁净无土屑。。其它应与现行《中国药典》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BDE8B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11578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C0781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69C66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2948.66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D8CE9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85AAA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5707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AAD40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42390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燀桃仁</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385AD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0B703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燀制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4B435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4F4396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本品为蔷薇科植物桃Prunus persica（L.）Batsch或山桃Prunus davidiana（Carr.）Franch.的干燥种仁。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83B34C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种仁饱满，大小均一，破碎仁不超过2%。其它应与现行《中国药典》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44059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8838F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43FE5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F2443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192.24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58ED2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0B428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78704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9CF0E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3D625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炒白扁豆</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C1E66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44A0D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23689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个子/用时捣碎/（选货）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F3CFEF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本品为豆科植物扁豆Dolichos lablab L.的干燥成熟种子。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5A4122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粒大饱满，无破粒，瘪子率5%以下。其它应与现行《中国药典》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B4406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A1FD3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09754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CE284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88.20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13455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BB4C5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65BC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482FB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1BC92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炒蒺藜</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93B0E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4FBC0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385DE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0A23C4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本品为蒺藜科植物蒺藜Tribulus terrestris L.的干燥成熟果实。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7601E0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无尖刺，色泽均一，无败油味，无黑果无杂质，分果瓣呈斧状；瘪子率2%以下。其它应与现行《中国药典》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1750B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BCEA8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C16BB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EE1E3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134.58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A1A62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574F6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C00E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C8A89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9A3E5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炒神曲</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D0D8E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6DDEB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D676B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3590C6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本品为辣蓼、青蒂、苦杏仁等药味与小麦面粉或麸皮混合后，经发酵而成的曲剂。</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F4CC9E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形同生六神曲，呈黄色，有香气。其它应与《广西壮族自治区中药饮片炮制规范》2007年版相符。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1C27A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388A9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1A761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1588E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48.85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7A7BF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ADF4A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4EEFE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07772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16AC2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炒紫苏子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B4A5D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85D12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123D8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79B58F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本品为唇形科植物紫苏Perilla frutescens(L.) Britt.的干燥成熟果实。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F60F01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表面灰棕色或灰褐色，颗粒饱满，大小均一，无杂质，味微辛，有焦香气。其它应与现行《中国药典》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38F5B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D15E7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F44ED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2A631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83.26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04DEE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D122A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6FFCD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7D889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4B74B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车前草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C51AD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576A2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53CBB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不规则的段/（选货）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EC3379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本品为车前科植物车前Plantago asiatica L.或平车前Plantago depressa Willd.的干燥全草。</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F415FE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色绿，无杂草，无泥土。其它应与现行《中国药典》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33B4B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58655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543AF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9D071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61.63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39781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18351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DFDB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2FD5E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89A63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车前子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32449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B49E8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354FC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08FCB0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本品为车前科植物车前Plantago asiatica L.或平车前Plantago depressa Willd.的干燥成熟种子。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8ABF93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颗粒饱满，质硬，气微香。其它应与现行《中国药典》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5CE47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6829E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E65F4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8B5D3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92.67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24FED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6130E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35FF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4847C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09018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赤石脂</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39F49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DDE78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5CF15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碎或细粉/（选货）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9451DE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本品为赤石脂的加工炮制品。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BFC095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为土红色，细颗粒或细粉，质酥松，无光泽。其它应与现行《中国药典》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E7397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CDF5B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1ABC5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810BE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30.80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BE188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65405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1DD1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61CC9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AE760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茺蔚子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ABF0C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98143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BFC6C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7152BB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本品为唇形科植物益母草Leonurus  japonicus  Houtt.的干燥成熟果实。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F1F4F8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三棱形，粒大，饱满，质脆，断面淡黄色或黄色，富油性。其它应与现行《中国药典》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7CB7C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C9D96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E4BA4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66C6A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149.25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05F29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27D4A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2FDF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FE9EF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28140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川楝子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0BE26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7968D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BE3BB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厚片或 碎块/（选货）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F9B260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本品为楝科植物川楝Melia toosendan Sieb.et Zucc.的干燥成熟果实的炮制加工品。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23BE8E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呈半球状，个大、饱满。其它应与现行《中国药典》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1573A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9B77A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C1DA4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1E5DB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39.24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93A3F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C2027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4A4D9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0BBEA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BD03D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磁石</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A6417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AF133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864B5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E5E980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本品为氧化物类矿物尖晶石族磁铁矿，主含四氧化三铁（Fe3O4）。</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B90485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色灰黑、有光泽、能吸铁。其它应与现行《中国药典》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6AFF1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0F21B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0B7B4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5E84B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25.40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69520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32719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0D0A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509F0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CF323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醋乳香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5769F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4550B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醋炙</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8E5CF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颗粒或块状/（选货）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CD9CEF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本品为橄榄科植物乳香树Boswellia carterii Birdw.及同属植物Boswellia bhaw-dajiana Birdw.树皮渗出的树脂。</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12938B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表面深黄色，显油亮，不含有木屑、杂质。其它应与现行《中国药典》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FA701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16393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53DBF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E4F54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213.81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6343E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B1D76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3CDC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01EC0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4BA42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醋三棱</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D4424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F60A1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醋炙</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CBC4D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1F44E0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本品为黑三棱科植物黑三棱Sparganium stoloniferum Buch.-Ham.的干燥块茎。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1DB2EE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大小均一，直径大于2.5cm。其它应与现行《中国药典》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8102C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D51B9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9955B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1A7C4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80.89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3FE9E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D72EA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C2CB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2718F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B3137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大豆黄卷</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D17DC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86235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发芽</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4CE90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D6F3DB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本品为豆科植物大豆Glycine max（L. ）Merr. 的成熟种子经发芽干燥的炮制加工品。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B30503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粒饱满，显皱纹，皮色黑或色黄，有短芽。其它应与现行《中国药典》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93DFC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F5EB6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FD0F5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7D8E4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64.78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EB4C8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026D4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7E81F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17405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DB3BC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大黄</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1BDA9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C13D2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生品 </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63B0D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厚片或块/（选货）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76BF4D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本品为蓼科植物掌叶大黄Rheum palmatum L.、唐古特大黄 Rheum tanguticum Maxim. ex Balf.或药用大黄 Rheum officinale Baill.的干燥根和根茎。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534A2F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除去外皮。切面平整，星点片，无空心片，无水根，直径大于4cm，无糠黄。其它应与现行《中国药典》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A8D3B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4D39D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61122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9F087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107.91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9FD0F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EAC1D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5CA6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D5DB8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4841B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大蓟</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BEFF4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730B9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F345E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A8C50D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本品为菊科植物蓟Cirsium japonicum Fisch. ex DC.的 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159A22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色绿，叶多。其它应与现行《中国药典》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3D606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DC1E6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9419B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04293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67.30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770DB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525CD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C3D7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9E733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38CD2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胆南星</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04548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A7C5B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发酵品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FE1C0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81C91C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本品为制天南星的细粉与牛、羊或猪胆汁经加工而成，或为生天南星细粉与牛、羊或猪胆汁经发酵加工而成。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52916C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大小颜色均一，无碎屑，棕黄色、灰棕色或棕黑色，质硬。其它应与现行《中国药典》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年版相符。有国药准字。</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13DDA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39BBA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2D832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C5989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124.60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709B9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E2925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4782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1DFBA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55176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淡豆豉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C06BA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0D222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发酵品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3465D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6FA8A8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本品为豆科植物大豆Glycine max (L.) Merr.  的干燥成熟种子（黑豆）的发酵加工品。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07B542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发表面黑色，断面棕黑色，发酵后衣膜均匀。其它应与现行《中国药典》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年版相符，需有发酵资质。</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69048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4703A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5E376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506E8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83.40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DA848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8538F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65879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4EC76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59463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地肤子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52393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C5803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D1F4F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21A5AA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本品为藜科植物地肤Kochia scoparia（L.）Schrad.的干燥成熟果实。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1BE906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扁球状五角星形，无灰屑、杂质。其它应与现行《中国药典》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74FEA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40A2B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2A2D3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8FCAD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73.23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895E2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7AC51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67E44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7026D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671DC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地骨皮</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B5DE5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168BD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D659B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DF7EBC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本品为茄科植物枸杞Lycium chinense Mill.或宁夏枸杞Lycium barbarum L.的干燥根皮。</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442B12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厚度大于0.1cm，含木心不得超过2%。其它应与现行《中国药典》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F13E2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62859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D3F9A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A0BD2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376.90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16FAB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EAFD6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95A9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B2B68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172C2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丁香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06E8D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AC42C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513E7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6972DD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本品为桃金娘科植物丁香Eugenia caryophyllata Thunb.的干燥花蕾。</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D5BE60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新货：萼筒红棕色。入水一段时间后，下沉。其它应与现行《中国药典》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DF43D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A16FD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3DC10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3954F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213.54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B57CC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7794E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1BDE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E672C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5AE85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冬瓜子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70D36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D0A1B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03A1F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C0C68D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本品为葫芦科植物冬瓜Berincasw Aiapida(Thunb.)Cogn.的干燥成熟种子。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152218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饱满，大小均一，色黄白。其它应与《广西壮族自治区中药饮片炮制规范》2007年版相符。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F696B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BB8B5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649EF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E9F49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337.00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6355E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97113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F0A2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47728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0786C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冬葵子（茼麻子）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22E9D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36DE5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B0B1B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3DDBE6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本品为锦葵科植物苘麻Abutilon theophrasti Medic.的干燥成熟种子。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AD1DC6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本品呈三角状肾形，长3.5～6mm，宽2.5～4.5mm，厚1～2mm。表面灰黑色或暗褐色，有白色稀疏绒毛，凹陷处有类椭圆状种脐，淡棕色，四周有放射状细纹。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0E11D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BD76D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1190B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EE9B0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123.31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A0B2A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876CA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6DBF9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194B6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8A2BB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冬凌草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22024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7F8DD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88D00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99EAD7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本品为唇形科植物碎米桠Rabdosia rubescens（Hemsl.）Hara的干燥地上部分。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ADF565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叶多，色绿，气微香，味苦、甘。其它应与现行《中国药典》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BA0F4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95097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75635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CE1F4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171.12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0DA61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540F7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DE36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84C5A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38786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煅蛤壳</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6761C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01304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明煅</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07F40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碎片或粗粉/(选货)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63FE9D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本品为蛤壳的炮制加工品。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4CF3C4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呈灰白色碎块或粉末状，质地疏脆，无臭味。其它应与现行《中国药典》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D21C9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C840D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6260C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648B1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27.31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01358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D6E6D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AE92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781F7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7D5A4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煅钟乳石</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ABA68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E6D53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明煅</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93B82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EAF668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本品为钟乳石的炮制加工品。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7383A8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呈灰白色或灰黄色，质酥松。其它应与现行《中国药典》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86983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F5787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FAB66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C0AE8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66.11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CC56E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15BF2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7F980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176D2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B6030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莪术</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5F762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976FB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6260F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126ADE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本品为姜科植物蓬莪术Curcuma phaeocaulis Val.、广西莪术Curcuma kwangsiensis S.G.Lee et C.F.Liang或温郁金Curcuma wenyujin Y.H.ChenetC.Ling的干燥根茎。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BB53C6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透心，无边片，无须根，直径大于2cm。其它应与现行《中国药典》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62521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56BED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5E899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BD6E9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67.32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CEB70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9056C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F75C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3866B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4D0AC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鹅不食草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5629B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5BFC8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F77E9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EE1126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本品为菊科植物鹅不食草Centipeda minima（L.）A. Br. et Aschers.的干燥全草。</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F3322D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无杂质、色灰绿，刺激性气强。其它应与现行《中国药典》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28B23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817E4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04D7D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755E7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113.26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F5D7D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F3403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F651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E5D0F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ED52F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番泻叶</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A2D06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3DA88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084AA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B410AA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本品为豆科植物狭叶番泻Cassia angustifolia Vahl或尖叶番泻Cassia acutifolia Delile的干燥小叶。</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B91919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叶完整、色绿。其它应与现行《中国药典》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D7BB3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AD6B8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F8C0D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7CC64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55.11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D4235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DF50B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7E793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8FCD6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51B19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防风</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E805B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FC8F1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3C341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9CBC1D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本品为伞形科植物防风Saposhnikovia divaricata （Turcz.）Schischk. 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AF86DA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直径大于0.7cm。裂隙明显，根头占比小于10%。其它应与现行《中国药典》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E4299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E0A82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896FA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4CB3E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585.50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A6FC3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E802D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A463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97496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CF2C4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飞扬草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3629D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C7BCC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84325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短段/（选货）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B76607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本品为大戟科植物飞扬草Euphorbia hirta L.的干燥全草。</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E85C73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叶多、色绿。无霉味。其它应与现行《中国药典》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EAF9E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A8723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9573C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6EFEE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73.64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4754F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30AE4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8047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2413C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91557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麸炒白术</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7F77A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F94A5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麸炒</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22BA2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10DFE6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本品为菊科植物白术Atractylodes macrocephala Koidz.的干燥根茎。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AE1D29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直径大于2.5cm，切面获炒至深 黄色，色均匀，无残留茎，无空泡、 无泛油、无炭化，两年生以上。其它应与现行《中国药典》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4954E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72078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DA267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B50FD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472.70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D378F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44D16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43C72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C087F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0A974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浮萍</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2982C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61F24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0F7EC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扁平叶状体/（选货）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64A24C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本品为浮萍科植物紫萍Spirodela polyrrhiza（L.）Schleid.的干燥全草。</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34B461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干爽，无泥沙杂质。无异味，其它应与现行《中国药典》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52989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C6687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5DD20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9F053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54.61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53ADC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22945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BDC8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5A376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C7AC4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甘草片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41E4C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20440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99EEC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8AF7C7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本品为豆科植物甘草Glycyrrhiza uralensis Fisch.、胀果甘草Glycyrrhiza inflata Bat.或光果甘草Glycyrrhiza glabra L.的干燥根和根茎。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A18448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直径大于1.0cm，大小均一，外表皮红棕色，粉性足。不规则片不得超过5%。其它应与现行《中国药典》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8EBE8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3BA7D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5FA0A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38757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112.76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654E6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1C749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8C2E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F67D2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F698C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甘松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5B907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ECC84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112DB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24E456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本品为败酱科植物甘松Nardostachys jatamansi DC.的干燥根及根茎。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6DE895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主根肥壮、 芳香气浓。根占比大于60%。无泥沙杂质，其它应与现行《中国药典》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6829F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EB0BA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2EBC5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3F968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421.76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69F63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12536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3E39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9529D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E22BD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干益母草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5495F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5280D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DA8C4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短段/（选货）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930E65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本品为唇形科植物益母草Leonurus japonicus Houtt.的新鲜或干燥地上部分。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5F3C1B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茎灰绿色，叶多，花序少，无老茎，颜色均匀。其它应与现行《中国药典》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A0D1E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309EC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BFD0D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28C25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33.42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50886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45841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FA7B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5E6C3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39137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岗梅</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A5A13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1F2C4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E7CD7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826C28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本品为冬⻘科植物岗梅Ilex asprella(Hook.et Arn. )Champ.ex Benth. 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A5D6AC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以质坚、色白者为佳。其它应与现行《中国药典》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096CD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DC410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E1388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02A40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44.14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8441E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94500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7D19D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190AB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D0D9E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杠板归</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8A102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BC70E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DAC02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短段/（选货）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527B38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本品为蓼科植物扛板归Polygonum perfoliatum L. 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C9B781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叶多。其它应与《广西壮族自治区中药饮片炮制规范》2007年版相符。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4CCBB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9F017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BDD1E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E1D87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53.58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5303E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05E7E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7F3F5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1204F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F1EE9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功劳木</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530C6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D3A3B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53C9A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厚片/斜切/（选货）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C569BF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本品为小檗科植物阔叶十大功劳Mahonia bealei（Fort.）Carr.或细叶十大功劳Mahonia fortunei（Lindl.）Fedde的干燥茎。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64C466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不规则块片，筛去碎渣，质硬，木部黄色。其它应与现行《中国药典》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B709B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87FA4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7AED6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9857F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36.58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678C5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A0AB4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760E5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6855E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25C6F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狗脊</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CD22B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EFC0D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C7A69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EEAF75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本品为蚌壳蕨科植物金毛狗脊Cibotium barometz（L.）J.Sm.的干燥根茎。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25A4B5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直径3～10cm，片厚薄均匀、坚实、无毛。其它应与现行《中国药典》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EFCA5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BE659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74422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4A42B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186.08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41C17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C1930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CEBD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B3EEA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DAAB5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谷精草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E813E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C6204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A1420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617EFE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本品为谷精草科植物谷精草Eriocaulon buergerianum Koern. 的干燥带花茎的头状花序。</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32FAF8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头状花序呈半球形。质柔软。其它应与现行《中国药典》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88BBC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19DBF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A8C4B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B3608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221.83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4893C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77C93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8F1F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E28FF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3D30B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骨碎补</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C20D6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DCA90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燎去茸毛(鳞片)</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C2DEA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5DBB6B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本品为水龙骨科植物槲蕨Drynaria fortunei（Kunze）J.Sm.的干燥根茎。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755007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饱满，质轻，残留细小棕色的鱗片不超过10%。薄厚均匀。其它应与现行《中国药典》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9B442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ED7CE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CA591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545B7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195.86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C16FA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A936E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6942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6F5D1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A3F92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瓜蒌皮</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9CD35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10B2C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除去果瓤及种子</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7C1CA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ED9430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本品为葫芦科植物栝楼Trichosanthes kirilowii Maxim.或双边栝楼Trichosanthes rosthornii Harms的干燥成熟果皮。</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C323F0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外表面橙红色或橙黄色，皱缩，质较脆，易折断。其它应与现行《中国药典》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D39D3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114A4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C38B5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57B04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66.42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77222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6CCD5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9C02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710B7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D7F1D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广金钱草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1D315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31AD5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D49E7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9CFA3B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本品为豆科植物广金钱草Desmodium styracifolium（Osb.）Merr.的干燥地上部分。 </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11791C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叶片上表面黄绿色或灰绿色，密被黄色伸展的短柔毛，含叶的重量不少于50%。其它应与现行《中国药典》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D2A50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2E545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E8649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C3AE3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48.49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896D1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FD751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71C5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71666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5AB9F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广山楂叶</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4D41F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《广西壮族自治区壮药质量标准》第二卷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B8EA3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432F1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BDA9AE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本品为蔷薇科植物台湾林檎Malus doumeri(Bois．)Chev．或光萼林檎Malus leiocalyca S．Z．Huang的干燥叶。</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86014B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上表面棕黄色至棕绿色，有光泽，下表面色较浅。其它应与《广西壮族自治区壮药质量标准》第二卷相符。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A9F75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62B32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BEAB7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4D6FA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65.95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05874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FD6B8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7F14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6D6BE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AB195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海螵蛸</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3BC18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AFACF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E54DA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57C54E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本品为乌贼科动物无针乌贼Sepiella maindroni de Rochebrune或金乌贼Sepia esculenta Hoyle的干燥内壳。</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5C9B08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不规则块状，类白色或微黄色，体轻，质松。其它应与现行《中国药典》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85071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4378D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3965B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DF854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201.07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808C9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2780B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7355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0CE8F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9CD3D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荷叶</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406F0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5FD74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F2051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F9FF2A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本品为睡莲科植物莲Nelumbo nucifera Gaertn.的干燥叶。</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3BD49B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叶上表面深绿色或黄绿色，下表面淡灰棕色，无锈斑，稍有清香气。其它应与现行《中国药典》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8A139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7738F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25C2E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9A513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57.02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3CFC7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24369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BCF5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7BB7A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52540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黑蚂蚁</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771A6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《广西中药材标准》第二册）</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81948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15937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73A5F1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本品为蚁科动物双齿多刺蚁Polyrhachis dives Smith的干燥体</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8DEC9B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除去杂质</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E70CF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96850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E7353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3CD57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631.17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2C424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817E1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66041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32747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DC1D6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红参片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D518C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B2790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蒸制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FB730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2AFA0E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本品为五加科植物人参Panax ginseng C.A.Mey. 的栽培品经蒸制后的干燥根和根茎。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7E37D7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表面半透明，红棕色，切面平坦，角质样，质硬而脆，斜切片宽大于2cm，圆片直径大于1.6cm。其它应与现行《中国药典》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6A50D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56ADE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37393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FAB67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1229.85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088D5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CA189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CAD4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C0C7E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7A0C4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红豆杉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58415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《新疆维吾尔族自治区中药维药饮片炮制规范》2010年版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397EF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精制饮片</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64071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短段/（精选）</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2D0450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本品为红豆杉科植物喜马拉雅红豆杉Taxuswallichiana Zuee.的干燥细枝及叶。</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5CD593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叶多、线形, 除去老枝及杂质。其它应与《新疆维吾尔族自治区中药维药饮片炮制规范》2010年版相符。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555D1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9A1E8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EC2D2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434DE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252.00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960A8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4D791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8614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DB9D1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2BD19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虎杖</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3A4B6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48EF3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82C12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C47D8F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本品为蓼科植物虎杖Polygonum cuspidatum Sieb. et Zucc. 的干燥根茎和根。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54621E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厚片，粗壮（直径大于1cm），切面色鲜黄。其它应与现行《中国药典》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AD74D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375A3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48112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7CE30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51.34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9E1AF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F948A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6C4F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B9DC3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73374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琥珀</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B51D9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ACAB2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D8735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细粉/（选货）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D7CF30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本品为古代松科松属植物的树脂埋藏地下经年久转化而成。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D986D3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无杂质。未粉碎前明亮、块整齐、质松脆、易碎。其它应与《广西壮族自治区中药饮片炮制规范》2007年版相符。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00B16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659E9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49B09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08E7A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196.60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72AC6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742D9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2121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CD9AB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780C2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黄柏</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80E30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16672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CFF84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819DF7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本品为芸香科植物黄皮树Phellodendron chinense Schneid.的干燥树皮。</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BB777F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厚薄均一，无栓皮，厚度大于0.3cm。无带粗皮，碎屑不超过2%。其它应与现行《中国药典》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75215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7E941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D8FFE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0991E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251.46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ACEBE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0F0B8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5B31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16F44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85F9A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黄花倒水莲</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6D9DB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《广西壮族自治区瑶药材质量标准》第一卷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91D4C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6E213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1079B7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本品为远志科植物黄花倒水莲Polygala fallax Hemsl. 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FB9FD5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表面灰黄色或灰棕色，具明显的纵皱纹，质坚韧。其它应与《广西壮族自治区瑶药材质量标准》第一卷相符。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41BC5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F26BD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9C89A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8FCF3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114.28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BB719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4C8E5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87E4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A3CAB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4D774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黄芩片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D81E2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B202D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274FC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BE9A64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本品为唇形科植物黄芩Scutellaria baicalensis Georgi的干燥根。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4A773D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直径大于1.2cm。大小均一，无破碎片。其它应与现行《中国药典》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43890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A9576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6D6C7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302D5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185.81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9B62B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00CE0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7CA8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C2FDC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831C8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黄药子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10A2A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5534A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B3018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C4E038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本品为薯蓣科植物黄独Dioscorea bulbifera L. 的于燥块茎。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45A145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片大、外皮灰黑、断面黄白色。其它应与《广西壮族自治区中药饮片炮制规范》2007年版相符。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41D21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0B724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F9490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C2FB6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45.14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9FA5F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BBB6D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2F7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CB900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A6887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鸡骨草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E57A7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38A7A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7ECF6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D4346B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本品为豆科植物广州相思子Abrus cantoniensis Hance 的干燥全株。</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604512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切段。根、茎、叶全。其它应与现行《中国药典》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2AA98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61B6F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53113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17BFC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267.47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EE87D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1031E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107E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C1F8E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8A9F6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鸡内金</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FEF3A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DDF90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清炒或烫法</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A4E8A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15D11B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本品为雉科动物家鸡Gallus gallus domesticus Brisson 的干燥沙囊内壁。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9BCDB1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无焦黑片，无黄绿色，无碎渣。其它应与现行《中国药典》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4B1D0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79F04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FF3A4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13074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60.88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591E0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7E66A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1F18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9A454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1D921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鸡矢藤</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58A59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《广西壮族自治区壮药质量标准》第一卷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4AA52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4664D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F1349B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本品为茜草科植物鸡矢藤Puederia scandensLour.)Merr.的干燥地上部分。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10B844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以叶多、气浓者为佳。其它应与广西壮族自治区壮药质量标准（第一卷）相符。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56FB2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22BB1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57887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CB317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49.06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F30BD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AE0E8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AC2A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B7544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C19F3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姜半夏</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04C32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FADE7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生姜、白矾制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28A7F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54E03A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本品为天南星科植物半夏Pinellia ternata（Thunb.） Breit.的干燥块茎。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536E90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饮片个子直径大于1cm。其它应与现行《中国药典》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741C2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CFB3A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5C318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9E474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268.68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EC1DB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A2694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F4E8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17177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9102D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降香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3E36A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9D88B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825CE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不规则块状/（选货）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F06E2B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本品为豆科植物降香檀Dalbergia odorifera T. Chen树干和根的干燥心材。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C920AE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色紫红、质坚实、富油性、香气浓。其它应与现行《中国药典》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DE067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53CAF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F1376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739E9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604.56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ADCB4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0805E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ABAA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F5F9F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DD551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绞股蓝</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03BE5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《广西壮族自治区壮药质量标准》第三卷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C3A6E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43E7B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290BC7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本品为葫芦科植物绞股蓝Gymostenma penta phyllom(Thunb.)Makino的干燥全草。</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6D9BE2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杂质少于3%。叶多、气香。其它应与《广西壮族自治区壮药质量标准》第三卷相符。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20CC2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B6605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7144E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4EC0D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104.50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F260A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32166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2826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CD5D4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3DDF2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金樱子肉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7C544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CFCCA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58A8E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15FC0A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本品为蔷薇科植物金樱子Rosa laevigata Michx. 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78EE5F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直径大于1.2cm，无残存的种子。其它应与现行《中国药典》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2DFC0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CB5BB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FFC8E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A4537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147.56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780EE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160CE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DFDB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23CC4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82308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荆芥穗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D3412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48097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7217F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花穗/（选货）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95797A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本品为唇形科植物荆芥Schizonepeta tenuisfolia Briq.的干燥花穗。</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11B95F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气芳香 ，味辛凉。其它应与现行《中国药典》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20438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6BB74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137D5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D3427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180.33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E3EC4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6D3C8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4BD1B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C2821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FC579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酒乌梢蛇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9352C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B479A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酒炙</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77903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寸段/（选货）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232BD5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本品为游蛇科动物乌梢蛇Zaocys dhumnades（Cantor）的干燥体。</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3CC77E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长段均一，其他应与现行《中国药典》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年版相符。符合野生动物管理（有绿标）</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8AAB6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D087C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E3D3A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66112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2185.82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767E0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26373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A0A1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24CEF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23C3B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救必应</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49F12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6D7D9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E298D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A405AE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本品为冬青科植物铁冬青Ilex rotunda Thunb. 的干燥树皮。</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85A814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皮厚0.3cm以上，苦味浓。其它应与现行《中国药典》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E9093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B4597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70E4A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AD4E8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96.45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11400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F10BC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329B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B98A1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4DA80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菊花</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82A3C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2660B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96B4D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2A99FE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本品为菊科植物菊Chrysanthemum morifolium Ramat.的干燥头状花序。</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998ED0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无枝叶、杂质、虫蛀、霉变。其它应与现行《中国药典》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9DB9B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6DB7B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30C43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30F54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170.79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3933B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FE265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76E13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12C69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D5674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橘核</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1606A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040F9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0AFEF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57F458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本品为芸香科植物橘Citrus reticulata Blanco 及其栽培变种的干燥成熟种子。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B38CBB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颗粒均匀，饱满，色黄白。应与现行《中国药典》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D9752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80EA8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2B0BF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18BCE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59.83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624B2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2D423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CC89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CA917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443F0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橘红</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197B9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C39B5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A80E7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1D154A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本品为芸香科植物橘 Citrus reticulata Blanco 及其栽培变种的干燥外层果皮。</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42DB32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外表面黄棕色或橙红色。其它应与现行《中国药典》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ADA35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F7B50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FDBDB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50EEA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153.83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4157D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0A4BC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4A579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CA638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1A340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枯矾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4C02A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23D2A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明煅</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17B20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块状、颗粒或粉末/（选货）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6A27BC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本品为白矾的炮制加工品。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9511F5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呈蜂窝状或细粉。表面白色，有光泽，体轻，质疏松而脆。其它应与现行《中国药典》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B8742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7C83E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B0AFA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3A28B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82.64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3D911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1EBF1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7B0E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80A23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32377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宽筋藤</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98653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C629B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4C81C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EA4FA0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本品为防己科植物中华青牛胆Tinospora sinensis (Lour.) Merr.的干燥藤茎。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D67CCE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身干、外表面有突起，断面呈菊花纹，有较多针孔（导管）。其他应与《广西壮族自治区中药饮片炮制规范》2007年版相符。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DD128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0085B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4784A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27AA5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48.03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DCA4B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603A3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95DD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5A137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E875C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昆布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CA833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23F10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漂净</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B2BE4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516E60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本品为海带科植物海带Laminaria japonica Aresch. 或翅藻科植物昆布Ecklonia kurome Okam. 的干燥叶状体。</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B4D1BA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呈黑色扁平的叶状。其它应与现行《中国药典》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249DF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F4FB1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FF302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5EC29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100.23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921C7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43009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E586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A6DC3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A8DB4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狼毒</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EC256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5FF4D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ECE8F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C8E31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本品为大戟科植物月腺大戟Euphorbia ebracteolata Hayata或狼毒大戟Euphorbia fischeriana Steud的干燥根。春、秋二季采挖，洗净，切片，晒干。</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DC829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月腺大戟  为类圆形或长圆形块片，直径1.5～8cm，厚0.3～4cm。</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70040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9F9C6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4DADA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08A65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185.50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D936E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FF154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6F66C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C3581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DD927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老鹳草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19B7F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6E794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FB2F6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C91FDE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本品为牻牛儿苗科植物牻牛儿苗Erodium stephanianum Willd.、老鹳草Geranium wilfordii Maxim.或野老鹳草Geranium carolinianum L.的干燥地上部分。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5BA369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色灰绿，叶多、果多，无泥，无根。其它应与现行《中国药典》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E4B7F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0BB88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06AD7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1601E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52.57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907AB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4C204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97BF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CFC5A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40625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连钱草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51B44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A1490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EA851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654CC6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本品为唇形科植物活血丹Glechoma longituba （Nakai） Kupr. 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3CE989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叶多，色绿，香气浓。其它应与现行《中国药典》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13E83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15647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12AF2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0C1FF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90.78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F4B6B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77D6A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70FB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2094B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FD9B6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两面针</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97711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B232E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BB92C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厚片或短段/（选货）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F281A6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本品为芸香科植物两面针Zanthoxylum nitidum （Roxb.） DC. 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08A721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片型均匀，无杂质，其它应与现行《中国药典》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83C45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B5F95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6EE6E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0D25F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114.70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D88CD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BB8F6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6BE20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0A8B2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C79EB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灵芝片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C2114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E6E3E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A4003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782276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本品为多孔菌科真菌赤芝Ganoderma lucidum（Leyss.ex Fr.）Karst.或紫芝Ganoderma sinense Zhao，Xu et Zhang 的干燥子实体。</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50EC50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皮壳坚硬，有漆样光泽。其它应与现行《中国药典》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E50CE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F4934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0BCD3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DBE61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195.42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0F69F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98144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3962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CF0DE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AEBA5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羚羊角粉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09D88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DD853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u w:val="none"/>
                <w:lang w:val="en-US" w:eastAsia="zh-CN" w:bidi="ar"/>
              </w:rPr>
              <w:t>精制饮片</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A9C05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A14E6D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本品为牛科动物赛加羚羊Saiga tatarica Linnaeus的角</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5F9916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本品呈长圆锥形，略呈弓形弯曲，长15～33cm；类白色或黄白色，基部稍呈青灰色。</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E94AE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D381E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0.01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2A911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6C838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146098.42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67248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9EA06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7E553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4ABB4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A5F9D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刘寄奴</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2808D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F86EC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4B282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38AAF6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本品为菊科植物奇蒿Artemisia anomala S.Moore 的干燥全草。</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104F59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青绿色短段，应与《广西壮族自治区中药饮片炮制规范》2007年版相符。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121D3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3AC26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109EA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3F76E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71.93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33A20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20CC4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7AA5B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D5768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78AD0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六神曲</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B1082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826B3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发酵品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F98E8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DF50FC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本品为辣蓼、青蒂、苦杏仁等药味与小麦面粉或麸皮混合后，经发酵而成的曲剂。</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899BBB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有发酵的特异香气。其它应与《广西壮族自治区中药饮片炮制规范》2007年版相符。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2670E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2A90C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B3550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CEDBE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41.86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67FEE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3F065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1417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C9B20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D60B3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龙齿</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0F1B2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60018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FDD27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A97D62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本品为古代哺乳动物如象类、犀牛类、三趾马类等的牙齿化石。</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FBFE3D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可见具光泽的釉质层，有吸湿性。无臭无味。其它《广西壮族自治区中药饮片炮制规范》2007年版相符。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8384E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89812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72BFE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DD4C5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2163.01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9942E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AF45B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7A5D9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099CB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BB533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龙眼肉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CF140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2B334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4AD93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6B9531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本品为无患子科植物龙眼Dimocarpus longan Lour.的假种皮。</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30429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呈囊状或薄片，半透明。味甜。其它应与现行《中国药典》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CFF6C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367B4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02E0F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D2DA1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190.16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0981C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225EE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D026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765D1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22704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芦荟</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37845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9CCF1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A6BB1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不规则的块状/(选货)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73449F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本品为百合科植物库拉索芦荟Aloe barbadensis Miller、好望角芦荟Aloe ferox Miller或其他同属近缘植物叶的汁液浓缩干燥物。</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0F431E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色墨绿，质脆，有光泽，苦味，气味浓香。其它应与现行《中国药典》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B5324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B6109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2AA67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347C3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239.17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528A2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57F3C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D350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F176D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BBD83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炉甘石</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05628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17F35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30EAD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29BEEA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本品为碳酸盐类矿物方解石族菱锌矿，主含碳酸锌（ZnCO3）。</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AC579E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本品为块状集合体，呈不规则的块状。</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DFEBE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4463C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7F21D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D0C23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167.13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7D9CD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79536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71D2C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F4999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3A46C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鹿角胶</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4467B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C2130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固体胶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B8D12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方形块或丁状/（选货）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797F48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本品为鹿角经水煎煮、浓缩制成的固体胶。</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EFC88F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有国药准字，黄棕色或红棕色，半透明。其它应与现行《中国药典》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562F4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BF775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EE05B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A6968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4017.03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B4751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7ABAF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E83D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FD8AB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607DB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鹿角霜</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7E610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566DB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去胶质的角块</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63DF0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7AC4BA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本品为鹿科动物马鹿Cervus elaphus Linnaeus  或梅花鹿Cervus Nippon Temminck  去胶质的角块。</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705EAB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体轻，质酥，内层有蜂窝状小孔。其它应与现行《中国药典》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F182E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091FE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7F156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38902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379.04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9132E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8074C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627E9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46E1B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854AA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鹿茸片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B788E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86905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燎去茸毛</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747D2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5C57A9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本品为鹿科动物梅花鹿Cervus nippon Temminck 或马鹿Cervus elaphus Linnaeus 的雄鹿未骨化密生茸毛的幼角。</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0548C0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红粉片。质嫩、油润。其它应与现行《中国药典》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583E1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55CB9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F7F46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7DE66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7034.82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AD192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E8B97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F7B5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D0AB8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91A56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鹿衔草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A5CC4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06C9E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0223E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段或碎片/（选货）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1B62EC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本品为鹿蹄草科植物鹿蹄草Pyrola calliantha H.Andres  或普通鹿蹄草Pyrola decorata H.Andres  的干燥全草。</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178F02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叶片紫褐色，无杂质。其它应与现行《中国药典》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B13F4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B38C1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F0D66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07652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146.06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44A01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D005B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EC2D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575BF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EBEAE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罗布麻叶</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49232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F7150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8E6A8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E13743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本品为夹竹桃科植物罗布麻Apocynum venetum L.的干燥叶。</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35350F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淡绿色或灰绿色，先端钝，有小芒尖，基部钝圆或楔形，边缘具细齿，常反卷，两面无毛，叶脉于下表面突起；叶柄细，长约4mm。质脆。气微，味淡。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02A89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7E8F7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C1C2A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13036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91.76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ECE1E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B299C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E557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9F3F7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79FFC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络石藤</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CB001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E8042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C80C1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4AC184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本品为夹竹桃科植物络石Trachelospermum jasminoides（Lindl.）Lem.的干燥带叶藤茎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406C71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叶多，色绿。其它应与现行《中国药典》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F2C91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2E4DC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9D31A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3AD61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43.49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D3CE8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43DBD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7273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9ABD1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BFB9C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马齿苋</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2FAAE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AACBE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3240E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36943A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本品为马齿苋科植物马齿苋Portulaca oleracea  L.的干燥地上部分。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78CB91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棵小，枝嫩，无老茎叶多色青绿。叶倒卵形，全缘味微酸。其它应与现行《中国药典》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6960D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8A78D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01F5C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F9B42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56.41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69BB0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4CB38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8945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28264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0933B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麦芽</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F35EC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440E1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发芽</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501EB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021422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本品为禾本科植物大麦Hordeum vulgare L. 的成熟果实经发芽干燥的炮制加工品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3F8847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色泽均一，出芽率大于85%。其它应与现行《中国药典》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A1AB0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49328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944D0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BB52C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30.66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F0B4F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D5C29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1A46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55529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C9963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蔓荆子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CF864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C6B85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F5097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CB6801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本品为马鞭草科植物单叶蔓荆Vitex trifolia L. var. simplicifolia Cham.或蔓荆Vitex trifolia L.的干燥成熟果实。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8FF4BE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果实饱满，大小均一，香气浓郁。直径0.5~0.6cm。其它应与现行《中国药典》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90EC4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88088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02016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F4038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270.30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8A0B0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BD9E5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6C8F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D5DEC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D288E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芒硝</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C3C54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AE3FD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51459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块状或颗粒/（选货）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66D48F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本品为硫酸盐类矿物芒硝族芒硝，经加工精制而成的结晶体。</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6574C0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质脆，易碎，断面呈玻璃样光泽。其它应与现行《中国药典》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2FB00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640A5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B193D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FAE79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53.52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28CD7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CAA2C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B196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97045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8A5C8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猫爪草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D3E11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C991E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BEA2D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95E19A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本品为毛茛科植物小毛茛Ranunculus ternatus Thunb.  的干燥块根。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167414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直径大于0.6cm。杂质不超过2%，无碎爪。其它应与现行《中国药典》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BD891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81ACE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A06AB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1C326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1209.89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D04B4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AAEDA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6E661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61DCC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8505A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毛冬青</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F5C2D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《广西壮族自治区壮药质量标准》第二卷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BBAF3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F6721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29570E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本品为冬青科植物毛冬青Ilex pubescens Hook．et Arn．的干燥根。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05815E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根粗大，黄白色或淡黄棕色。其它应与《广西壮族自治区壮药质量标准》第二卷相符。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1430B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46123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61BD9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6D307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38.84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753A9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D00CC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EB11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391A9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7772B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密蒙花</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86667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13F5D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D3AF7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08B91E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本品为马钱科植物密蒙花Buddleja officinalis Maxim.  的干燥花蕾和花序。</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F7E32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味微苦、辛。色灰 黄、花蕾密聚、茸毛多。其它应与现行《中国药典》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7E769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8FBE6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18CFF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8E54E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124.79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8D3BB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91902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BDA2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199F8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1B54E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蜜麻黄</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BB330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7AF47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蜜炙</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597C9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3045EA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本品为麻黄科植物草麻黄Ephedra sinica Stapf、中麻黄Ephedra intermedia Schrenk et C.A.Mey.  或木贼麻黄Ephedra equisetina Bge.  的干燥草质茎。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3EE72D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粗细均匀，切段长短均匀，木质茎不超过3%。表面微有光泽。有蜜香气，味甜。其它应与现行《中国药典》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23788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CB9F0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BE3EB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05E9F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69.10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E4B7F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64898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B942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0A71C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AC4B8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磨盘草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3F93B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《广西中药饮片炮制规范》2022年版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4D416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52131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60CCDE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本品为锦葵科植物磨盘草Abutilon indicum (Linn．) Sweet 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8D53B0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色绿，无杂质、无霉变。其它应与《广西中药饮片炮制规范》2022年版相符。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0FAE7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367A5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A80D3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24551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68.83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2333E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B39C3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4F2B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1F64E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6CC49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牡蛎</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51616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12A64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F278B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90A0EA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本品为牡蛎科动物长牡蛎Ostrea gigas Thunberg、大连湾牡蛎 Ostrea talienwhanensis Crosse 或近江牡蛎 Ostrea rivularis Gould 的贝壳。</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C3AF4D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无臭气，无杂质，质硬，断面层状。其它应与现行《中国药典》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4092C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E5E0B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599</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C6C7D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B5C53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21.77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3B758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6A030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684F9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303D1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BA1D1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木鳖子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C194E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22A91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6AAD3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8F874B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本品为葫芦科植物木鳖Momordica cochinchinensis（Lour.）Spreng. 的干燥成熟种子。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871EFD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饱满，外壳无破裂，种仁色黄白。其它应与现行《中国药典》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30B7B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157E8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BE39F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670C8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203.72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D3AF2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B4EB2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0331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DE6FE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9D71C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木蝴蝶</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A8403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40E19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95B1A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19FD2D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本品为紫葳科植物木蝴蝶Oroxylum indicum（ L.）Vent.的干燥成熟种子。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9B3E13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为蝶形薄片，体轻，表面浅黄白色，翅半透明，有绢丝样光泽。其它应与现行《中国药典》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BB7B9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BD15B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FF14B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A3320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176.86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0D780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A059A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4855F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36F57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3E20A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木贼</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649DC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C8F97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4AABE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短段/（选货）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878F80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本品为木贼科植物木贼Equisetum hyemale L.的干燥地上部分。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85004D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茎粗、色绿、质厚、不脱节。其它应与现行《中国药典》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4960C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5EFFF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8B48B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F392A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52.61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7C54A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899BF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E111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14F62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A16E7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墓头回</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7E61F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山东省中药材标准　2012年版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753A5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7E0D1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4F5D41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本品为败酱科植物糙叶败酱 Patrinia scabra Bunge 或异叶败酱 Patrinia heterophylla Bunge 的干燥根。秋季采挖，除去残茎，晒干。</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F884AA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糙叶败酱 呈不规则圆柱形，长短不一，常弯曲，直径 0.4～5cm。</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6F1E7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2BA5C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A359D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F2B83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186.50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1AD30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CEEF6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37AF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68C5C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FAF77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糯稻根</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8F107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5D15C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D8207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754538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本品为禾本科植物糯稻Oryza sativa L.var.glutinosa Matsum的干燥根及茎基。</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44C4FA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无残茎、无泥沙。根长，体轻，质软。其它应与《广西壮族自治区中药饮片炮制规范》2007年版相符。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4A73A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12AEE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4CA59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E1312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83.83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53FE8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C37EA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78479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478E3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22ABD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女贞子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ADF19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AB19A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8CB18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34BCC7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本品为木犀科植物女贞Ligustrum lucidum Ait.的干燥成熟果实。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AC13EE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果椭圆形，直径大于0.4cm，饱满、完整。无杂质。其它应与现行《中国药典》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90037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A3A05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73E3D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1E8D3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26.15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989E8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126AF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7E09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652A9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1C31E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胖大海</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C5A2E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34934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3F87B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8D3ADC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本品为梧桐科植物胖大海Sterculia lychnophora Hance的干燥成熟种子。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C1D60E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大小均一，无破粒。其它应与现行《中国药典》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37E05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CBE55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61DD8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2BB3D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538.96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AC508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2834B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B997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E1A13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533FB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炮姜</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7E902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BA1F1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照炒法用砂烫至鼓起</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48D84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4E36AC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本品为干姜的炮制加工品。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8E2368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表面棕黑色或棕褐色，质轻泡，呈不规则膨胀的块状，具指状分枝。其它应与现行《中国药典》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8E500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55D75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34227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A2C1B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107.13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FDE03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23467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F750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EC2AF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3EA2F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佩兰</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2AAD7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DD7C9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EED7C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140A74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本品为菊科植物佩兰Eupatorium fortunei Turcz. 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75D196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叶多、色绿、质嫩、 香气浓。无杂质。其它应与现行《中国药典》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FB87C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02ACA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5C5A8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6F859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50.76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92B5D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4D7BC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7036C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5B84E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F13DB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平贝母</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4F644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AD830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24E09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D38699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本品为百合科植物平贝母Fritillaria ussuriensis Maxim.的干燥鳞茎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A76CED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本品呈扁球形，高0.5～1cm，直径0.6～2cm。表面黄白色至浅棕色。</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5CFEC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0E66B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2E363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66EDB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355.30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964CE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62B10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607CB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9F8F3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E1BFD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前胡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E706F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CE5DC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A4378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50F499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本品为伞形科植物白花前胡Peucedanum praeruptorum Dunn的干燥根。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CA6397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直径大于1.2cm，不规则片不超过5%。其它应与现行《中国药典》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196BD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37205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E0FE1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3882C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439.19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2E64E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44D0A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02F4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C66A8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913AD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羌活</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ED7E9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6D80A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20E63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22565D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本品为伞形科植物羌活Notopterygium incisum Ting ex H. T. Chang 或宽叶羌活 Notopterygium franchetii H. de Boiss.  的干燥根茎和根。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2E63C3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根茎直径大于1.0cm。香气浓郁。无变色，不走油。其它应与现行《中国药典》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98718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B8A5D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D8B41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A42D8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763.71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441E9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E5D1C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4055E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E7D0F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E96CE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青黛</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56AED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78BA7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A7CDD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细粉/（选货）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2D2B21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本品为爵床科植物马蓝Baphicacanthus cusia（Nees）Bremek.、蓼科植物蓼蓝Polygonum tinctorium Ait. 或十字花科植物菘蓝Isatis indigotica Fort. 的叶或茎叶经加工制得的干燥粉末、团块或颗粒。</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F5EAFA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微有草腥气，有国药准字。火烧之呈紫红色火焰。其它应与现行《中国药典》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0843D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33CD2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1D90E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351F2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346.93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D07E8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DCCCA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49742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48492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BB139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青蒿</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71BA2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236E1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E4958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0915DA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本品为菊科植物黄花蒿Artemisia annua L. 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FCDCED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色绿、质嫩、叶多、香气 浓郁。其它应与现行《中国药典》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FD058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E4B03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6E8D8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55F20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34.87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9CE23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B9CFB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8706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79A53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706B7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青皮</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23691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C23C7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09E54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细丝/（选货）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56538C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本品为芸香科植物橘Citrus reticulata Blanco 及其栽培变种的干燥幼果或未成熟果实的果皮。</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737FEB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皮黑绿色、内面黄白色、香气浓.切丝。其它应与现行《中国药典》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2A27D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FDF02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15ACE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8ADBC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51.02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C4FA5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AC173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42BBF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AB9FB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321D8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青葙子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A8CB2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278CD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9F8D2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233DBC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本品为苋科植物青葙Celosia argentea L. 的干燥成熟种子。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75C37B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粒饱满、色 黑、光亮。其它应与现行《中国药典》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DA7A1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B48DE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E1879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1C7A9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242.21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49C55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E7F4B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46A0C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6EBFF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20974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人参片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614F1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17244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747A9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8044B5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本品为五加科植物人参Panax ginseng C. A. Mey. 的干燥根和根茎。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4FA107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直径大于1.2cm，厚薄均匀，特异性香气明显。其它应与现行《中国药典》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2B4A1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9AFD8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88A8F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274FD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1221.56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EBE81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1BD09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2DF7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8106F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D11F6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肉豆蔻</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1B461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2782D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2623A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8DE859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本品为肉豆蔻科植物肉豆蔻Myristica fragrans Houtt.的干燥种仁。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C9FE7B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形如肉豆蔻，表面为棕褐色，有裂隙。气香，味辛。其它应与现行《中国药典》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5C4BC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4052D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8DD93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A4453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245.63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B37B7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85628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66FBB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32E60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2AA42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肉桂</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BD279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56911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6CACD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7C1D51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本品为樟科植物肉桂Cinnamomum cassia Presl的干燥树皮。</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D7660A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刮去粗皮，气香浓烈，味甜、辣。厚度大于0.4cm。其它应与现行《中国药典》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36921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6E3DC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BF771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70CF0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90.52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1B072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7361D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A802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AF2AE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578A1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CB7CD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0B5B4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2A4DA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7323A7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本品为五加科植物三七Panax notoginseng （ Burk.） F. H. Chen的干燥根和根茎。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A6F4D3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（500克）60~69个三七。色偏灰白，特异性香气明显。《广西壮族自治区中药饮片炮制规范》2007版相符。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C59FB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C8D2B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7F100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4C27D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533.05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3E505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0F934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F5D2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0FB04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ADC9A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三七粉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578FE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E2637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CFFE3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细粉</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C95AA1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本品为五加科植物三七Panax notoginseng （ Burk.） F. H. Chen的干燥根和根茎的炮制加工品。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BA6AAE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灰白色或灰黄色粉末，气微，味苦回甜。其它应与现行《中国药典》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B03F4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B6304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E8406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1C6E8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505.12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E94B8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6A894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62669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71B11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B6461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桑白皮</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48254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93978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DAD08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7922A9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本品为桑科植物桑Morus alba L.的干燥根皮。</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A8C73C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内表面黄白色或灰黄色，质柔韧，无棕黄色鳞片状粗皮，异形片不超过5%。其它应与现行《中国药典》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46850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9C3C5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8402C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7B981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149.12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82878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C9992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6AEE9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44098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932AD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桑寄生</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04E53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8DD72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A7BD2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6E631D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本品为桑寄生科植物桑寄生Taxillus chinensis（DC.）Danser的干燥带叶茎枝。</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1BEC8F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枝细质嫩、色红褐、叶多者为佳。其余应与现行《中国药典》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EECD2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F65E2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329B9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E98AF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63.37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9C3BD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FCC11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8E0D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DC7D0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77110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山慈菇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F9E13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0DB65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FF73D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3FDDBC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本品为兰科植物杜鹃兰Cremastra appendiculata（D.Don）Makino、独蒜兰Pleione bulbocodioides（Franch.）Rolfe或云南独蒜兰Pleione yunnanensis Rolfe的干燥假鳞茎。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32B77F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体饱满，无干瘪，嚼之粘性大，膨大部直径大于1.2cm。其它应与现行《中国药典》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 xml:space="preserve">年版相符。             </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674FD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98707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14336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2A918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7842.35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AF1B4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9B53A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C86C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38FBF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2C852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肾茶</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C02E1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《广西壮族自治区壮药质量标准》第二卷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7CBB3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78868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2D7FC3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本品为唇形科植物肾茶Clerodendranthus spicatus (Thunb．) C．Y．Wu ex H．W．Li 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FC0A53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叶片黄绿色，无杂质。其它应与《广西壮族自治区壮药质量标准》第二卷相符。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5078C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FEBD1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0EFF8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C1DF2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60.83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9B4F4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6D46B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4E148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101BC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E6862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升麻</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A4296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E82F8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93067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20F522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本品为毛茛科植物大三叶升麻Cimicifuga heracleifolia Kom.、兴安升麻Cimicifuga dahurica（Turcz.）Maxim.或升麻Cimicifuga foetida L.的干燥根茎。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8AFBB9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饮片中径大于2.5cm。其它应与现行《中国药典》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D89FD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13D7A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7E538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BA6D0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339.28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34038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0FED1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4F9C8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9A574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00543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生蒲黄</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6FA15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D4624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FD5C8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细粉/（选货）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3B490D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本品为香蒲科植物水烛香蒲Typha angustifolia L.、东方香蒲Typha orientalis Presl或同属植物的干燥花粉。</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40B783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色鲜黄，粉细，有滑腻感，体轻，放水中则飘浮水面。其它应与现行《中国药典》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89144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E5864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4E454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FBFF1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195.00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7405B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005B6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67E79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D2849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90008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生晒参</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06552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D63B4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64ABF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AA17B5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本品为五加科植物人参Panax ginseng C. A. Mey. 的干燥根和根茎。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2F38DA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直径大于1.2cm，厚薄均匀，特异性香气明显。其它应与现行《中国药典》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E8A30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52756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8506B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DC6FB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1137.89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4A047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A4FCD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4127B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56A28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63C8D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石榴皮</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68E6C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D1F4A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6DEF2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宽丝或块状/（选货）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5B5724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本品为石榴科植物石榴Punica granatum L.的干燥果皮。</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555881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皮厚，色红棕、整洁，内表面黄色，含红棕色不超过2%。其它应与现行《中国药典》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74FC6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B9608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6D20F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DF2F8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50.48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97EB2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8BCBE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44F09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3FFAB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59103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石韦</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EAD27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30CCB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A4957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406F52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本品为水龙骨科植物庐山石韦Pyrrosia sheareri (Bak.）Ching、石韦Pyrrosia lingua（Thunb.）Farwell或有柄石韦Pyrrosia petiolosa（Christ）Ching的干燥叶。</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C7434D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杂质 不得过3%。叶 厚布有孢子囊群。其它应与现行《中国药典》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711FA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E7356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BFC3E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711AF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109.80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72F16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70EDC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58EF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EA510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242D8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水飞蓟</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EBA5C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56E00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965AF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A23FE6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本品为菊科植物水飞蓟Silybum marianum（L.）Gaertn.的干燥成熟果实。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E54659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粒大饱满，色黑褐。其它应与现行《中国药典》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E1992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60D81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859F5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76E3E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106.60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33B1A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9F4DC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E941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DD6D2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DBBCD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水杨梅</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7FF7C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《北京中药材标准》1998年版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C4D41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157DE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E5EA9B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本品为蔷薇科植物水杨梅Geum aleppicum Jacq的干燥地上部分。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403783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茎扁圆柱形，中空，表面淡绿色或棕黄色，具稀疏的灰白色绒毛，羽状复叶多破碎。其它应与《北京中药材标准》1998年版相符。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BF515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9A2FF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DA990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F46B8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126.00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6B4A8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DFCFB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7DA72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44D62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93344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丝瓜络</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D96A3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7CAEA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除去残留种子及外皮</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DA559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B4EAF5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本品为葫芦科植物丝瓜Luffa cylindrica（L.）Roem.的干燥成熟果实的维管束。</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AE5DB8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表面黄白色，色泽均一，横切面可见子房3室，呈空洞状。其它应与现行《中国药典》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F9921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0BA1D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DB588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64902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235.97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503BA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76538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701FC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6A319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45804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苏木</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729D9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1E149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DA992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019EF2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本品为豆科植物苏木Caesalpinia sappan L. 的干燥心材。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F185B2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心材，呈长片状，表面黄红色至棕红色，质坚硬。其它应与现行《中国药典》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96262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951C8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0956C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9056D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63.78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C4FE3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5A89A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1571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23A28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98C08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素馨花</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06AF1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ACA52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1AD6F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4F2CCF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本品为木犀科植物素馨花JasminmofficinaleL.var.grandiflorua (L)Stokes的干燥花蕾。</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7ED92A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表面金黄色或淡黄褐色，质稍脆，遇潮变软。气香。其它应与《广西壮族自治区中药饮片炮制规范》2007年版相符。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BF27F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7DAC8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CE26D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0CD94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3108.45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69AA2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CDA6F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9455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87D83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3E712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锁阳</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28D66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F10D2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2769A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D2C19C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本品为锁阳科植物锁阳Cynomorium songaricum Rupr.的干燥肉质茎。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E62996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直径大于1.5cm，片形较均匀，无碎片。其它应与现行《中国药典》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772F9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51F01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C51CC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92D4D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357.91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28D46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3C258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0EE6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D8C16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4F233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藤梨根</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BF3DA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《北京市中药饮片炮制规范》2008年版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3D02D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A01EC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DFEE0C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猕猴桃科中华猕猴桃 Actinidia chinensis Planch. 或硬毛猕猴桃 Actinidia chinensis Planch.var. hispida C. F. Liang. 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D33D71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本品呈圆柱形，略弯曲，长短不一，直径 1.5～4cm。表面黄棕色或棕褐色，具纵沟和横裂纹，皮部常断裂而露出木部，粗糙，偶见残留侧根。</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49994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B191D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A2BF7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FAECF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67.43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6DDDF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83EEA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B62B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677BA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AF644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天冬</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B5643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2D781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03DBB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349DB4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本品为百合科植物天冬Asparagus cochinchinensis（Lour.）Merr.的干燥块根。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A6E557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饮片中茎大于0.8cm，大小均一，无外皮残留，无白心。其它应与现行《中国药典》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C3DBE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4495E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C6F73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692E0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285.72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5E4CA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99F1D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161C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21CF5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FBE6F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天麻</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4BFB7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84C3C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824B0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0401FC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本品为兰科植物天麻Gastrodia elata Bl.的干燥块茎。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56C53B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冬麻，1~2毫米半透明薄片，大小均一，点状环纹明显，切面无白心无残茎无黑片，横切片，最窄直径大于1.5cm。其它应与《广西壮族自治区中药饮片炮制规范》2007版相符。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34A3A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272B3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4A091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A7D17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612.86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F68C2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4E9B7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EEA1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B1587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FF6E6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通草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83723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E8F69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B073E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EC1D40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本品为五加科植物通脱木Tetrapanax papyrifer（Hook.）K. Koch的干燥茎髓。</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F4DAF5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直径大于1.5cm，色白，无碎片。其它应与现行《中国药典》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F5880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4DFED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C1C9F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E8299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1747.70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8E1FC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89BC8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9680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27372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16FFF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透骨草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EE7BA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广西中药材标准第二册</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9D83A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EC162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BA7BF3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本品为毛茛科植物黄花铁线莲Clematis intricata Bunge的干燥全草。</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8B0F5B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无杂质，灰绿色，气微。</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3CCA1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B0237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06F78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49543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77.53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889FF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FF7E4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6CFA3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4FF52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3DEFF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瓦楞子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45B81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65D9C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CEFC4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碎块或粉末/（选货）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A7AE8E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本品为蚶科动物毛蚶Arca subcrenata Lischke、泥蚶Arca granosa Linnaeus或魁蚶Arca inflata Reeve的贝壳。</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FA973D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无臭味，放射肋线明显。其它应与现行《中国药典》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B9336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A52D4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1A46C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0C29C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20.61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ECB8E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F3144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61D8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401FD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BF5EF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乌药</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BB8A2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C6E23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B805C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C45828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本品为樟科植物乌药Lindera aggregata（Sims）Kos-term.的干燥块根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37950E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粉质片大于80%。大小均一，气香，有清凉感。直径小于2cm。其它应与现行《中国药典》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AF54A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98D11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D090D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423D8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91.69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96C0E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5D1FB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57B6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D801D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014D4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无名异</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FCB67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40CAA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ECE7C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碎块或粉末/（选货）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C0CDF7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本品为氧化物类矿物软锰矿Pyrolusite的矿石，主含二氧化锰(MnO₂)。</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014F93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粒大，形圆，色黑，无杂质。其它应与《广西壮族自治区中药饮片炮制规范》2007年版相符。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752D6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2206C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831EE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B7800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73.33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F0170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D8B4D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A6EC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B01C1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2F56A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蜈蚣</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E8752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B1687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07331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7CB094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本品为蜈蚣科动物少棘巨蜈蚣Scolopendra subspinipes mutilans L. Koch的干燥体。</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27E5DB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扁平长条形，体长约15cm，其它应与现行《中国药典》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896BB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721C9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799C1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019D0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13.20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A13B2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4A6E7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73F0E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3C565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6F3CE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五指毛桃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D92B8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《广西壮族自治区壮药质量标准》第二</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1D527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82FC0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厚片/横切/（选货）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8B2607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本品为桑科植物粗叶榕Ficus hirta Vahl的干燥根。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0C8D31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气微香特异，味微甘。其它应与《广西壮族自治区壮药质量标准》第二卷相符。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DE0C2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115FF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C49E8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3BF4C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183.34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3C3C3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16BBF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84F9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BE8B0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DA225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西青果</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8D85F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0DDC1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E1C67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003027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本品为使君子科植物诃子Terminalia chebula Retz.的干燥幼果。</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E3739D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个均匀，质坚实，断面无空心,有胶质样光泽，。其它应与现行《中国药典》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ACFD4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E35FE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C01BA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73927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116.65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DF6B4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CCCAA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2E1E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959C9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5B8A6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豨莶草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F957B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3E9FB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94413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F2BD5D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本品为菊科植物豨莶Sigesbeckia orientalis L.、腺梗豨莶Sigesbeckia pubescens Makino或毛梗豨莶Sigesbeckia glabrescens Makino的干燥地上部分。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50EB48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叶多、枝嫩、色深绿。无杂质。其它应与现行《中国药典》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C1FC6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D7CDB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C47E0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2A6BB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41.72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FB676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6956C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1675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94E84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54EE8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细辛</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BB381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2B619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902B0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98C0B7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本品为马兜铃科植物北细辛Asarum heterotropoides Fr. Schmidt var. mandshuricum (Maxim.)Kitag.、汉城细辛Asarum sieboldii Miq.var.seoulense Nakai或华细辛Asarum sieboldii Miq.的干燥根和根茎。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F4A135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根茎直径0.1~0.3cm，根茎占比小于10%，与现行《中国药典》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D9335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2C38C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CAAC9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122C6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1428.06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A9005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2BFC1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ECF5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CF8CF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165AE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仙茅</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3FE12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FA40F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1A926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9B1E44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本品为石蒜科植物仙茅Curculigo orchioides Gaertn.的干燥根茎。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AC99EB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气微香，味微苦、辛。其它应与现行《中国药典》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17468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F2DB0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81EA6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D6B39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456.47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C54D1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A6AFD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D0DF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31192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FB3AF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香薷</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CE7DB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1D0C7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3FE66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7D8CDA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本品为唇形科植物石香薷Mosla chinensis Maxim.或江香薷Mosla chinensis‘Jiangxiangru’的干燥地上部分。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F705A5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穗多、质嫩、叶青绿色、香气浓。其它应与现行《中国药典》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94F75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DD635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4E609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9EDD3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51.44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DE262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5D56C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F9AC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FD5BD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BB331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硝石</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39AB2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湖北省中药材质量标准　2018年版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C9929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晶体</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FA1B3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4EE80A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斜方晶系矿物硝石经加工炼制而成的结晶体，主含硝酸钾（KNO₃）</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437EA1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不规则的柱状晶体或晶状粉末，白色或类白色，较透明。质脆，碎断面具玻璃样光泽。</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FA6B6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F266F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B2F6B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32099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174.25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AC46B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F654F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CB39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DB57D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111D8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小茴香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3F187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CEBF5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7B9CA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9560D4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本品为伞形科植物茴香Foeniculum vulgare Mill.的干燥成熟果实。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975829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表面黄绿色或淡黄色颗粒均匀、饱满。其它应与现行《中国药典》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9FDED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6B95B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D8968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AFE03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63.63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326E1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C426D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731C1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CE551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347AB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小蓟</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58337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AF560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652D2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3F4871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菊科植物刺儿菜 Cirsium setosum（Willd.）MB. 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6316869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本品茎呈圆柱形，有的上部分枝，长 5～30cm，直径 0.2～0.5cm；表面灰绿色或带紫色，具纵棱及白色柔毛；质脆，易折断，断面中空。</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B591E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CC243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7DD29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177D2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38.81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D7E94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E9EC7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1D80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B3E4E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F9428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小叶金花草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218D9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《广西中药材标准》第二册</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2193F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A754F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158275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本品为中国厥科植物野鸡尾Onychium japonlcum (Thunb.)Kze.的干燥全草。</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AD1396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叶淡黄绿色。其它应与《广西中药材标准》第二册相符。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A8658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907F7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9DFC1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DDDEC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152.80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5A0C4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5F715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34E1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B882C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1EA42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薤白</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BE5BA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B655F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EDD6D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56D3D5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本品为百合科植物小根蒜Allium macrostemon Bge.或薤Allium chinense G. Don的干燥鳞茎。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8B6C6D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直径大于1.0cm，颜色均匀，大小均一，蒜臭味明显，无杂质。其它应与现行《中国药典》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3E58F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86355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81888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851F5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174.32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0BAD0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C4607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65B22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A0A38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CC1AE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辛夷</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9BF9B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C4C8D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834D1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7910FD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本品为木兰科植物望春花Magnolia biondii Pamp.、玉兰 Magnolia denudata Desr. 或武当玉兰 Magnolia sprengeri Pamp. 的干燥花蕾。</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923663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直径大于1.0cm，完整无破碎，灰绿色，无花梗。其它应与现行《中国药典》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7DB39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9FBD4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453F4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F8A81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387.43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E00F9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418D3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9502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FB587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46AD0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新疆紫草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C1C85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08376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19604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厚片或段/（选货）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D6899B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本品为紫草科植物新疆紫草Arnebia euchroma（Royle） Johnst.的干燥根。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24C69E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新疆紫草，色紫红，质松软。无毛头，无杂质碎屑。其它应与现行《中国药典》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314D6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47DD5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11977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CAAF7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1415.08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02BD9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3EA92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1E6D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23423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C0500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雄蚕蛾</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DD07D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5137A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8C28A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79FD8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本品为蚕蛾科昆虫家蚕 Bombyx mori L的雄性成虫干燥虫体，捕捉成虫后，置沸水中烫死，除去翅、足和鳞毛，干燥。</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8683F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本品略呈圆柱形或圆锥形，多数弯曲皱缩。长12~20mm,直径3~6mm。</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A6909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5EE5D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3810F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0E83E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149.33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57246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630DC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30BB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B79EE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46745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徐长卿</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3ABBE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D2DF0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391FF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CD401B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本品为萝藦科植物徐长卿Cynanchum paniculatum（Bge.）Kitag.的干燥根和根茎。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F1FDC6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质脆，气香，味微辛凉。其它应与现行《中国药典》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C6950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FA7DA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B0D92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53937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181.20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D3EDC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BD3CF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1D48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73EA6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77E9F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血竭</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734CD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D885B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3AF88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细末/（选货）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283697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本品为棕榈科植物麒麟竭Daemonorops draco Bl.果实渗出的树脂经加工制成。</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1167AE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无杂质，研粉为砖红色。其它应与现行《中国药典》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A9342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457D8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8867E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3F706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2747.28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A9F16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2B037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17AA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9E55D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F0A1C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血余炭</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B1D81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08470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煅炭</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76713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AED2D5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本品为人发制成的炭化物。</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98905C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体轻、色黑、光亮。其它应与现行《中国药典》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F2C40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64BF4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70442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9D54E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134.39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94610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3C0CB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76CB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9AEA3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BCC70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盐续断</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6D8AA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27678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盐炙</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5D315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27DF68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本品为川续断科植物川续断Dipsacus asper Wall. ex Henry的干燥根。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73D5A4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直径大于0.8cm，表面黑褐色、味微咸。其它应与现行《中国药典》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D4F53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824E1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D41DC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6EA10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109.74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8C579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7F080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9C10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6BF74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FD826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盐益智仁</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D0065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9C2E3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盐炙</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49D13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2A6D08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本品为姜科植物益智Alpinia oxyphylla Miq.的干燥成熟果实。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4F7ED3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种仁饱满，无瘪子，无走油，杂质即壳不超过2%。其它应与现行《中国药典》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17910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086CE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8248E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A8962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405.97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022A8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818F8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B5B7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10720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CECFD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夜明砂</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F9895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山东省中药材标准　2012年版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876B2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FFC2B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4DF200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蝙蝠科动物蝙蝠 Vespertilio superans Thomas 等多种蝙蝠的干燥粪便</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784DD9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长椭圆形颗粒，两头微尖，长 5~7mm，直径约 2mm。</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E93C1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EEFC9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42A6D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00BC1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78.83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F695B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9277F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695B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282F4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C3FB3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一枝黄花</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658B2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41435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C9B85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2CC6EE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菊科植物一枝黄花 Solidago decurrens Lour. 的干燥全草。秋季花果期采挖，除去泥沙，晒干。</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5B84AB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本品长 30～100cm。根茎短粗，簇生淡黄色细根。茎圆柱形，直径 0.2～0.5cm；</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496DD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FB880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60C1C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E9723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189.17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AB58D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59F3D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6796E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E3F2D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F7DE1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茵陈</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70BD3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70FE1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搓碎或切碎</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7538D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B63460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本品为菊科植物滨蒿Artemisia scoparia Waldst.et Kit.或茵陈蒿Artemisia capillaris Thunb.的干燥地上部分。</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1E648F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绵茵陈。无残根，无灰尘，无杂质，气清香。其它应与现行《中国药典》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3800F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98411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AF71A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6F694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80.04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3577C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EAB96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E11F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B2E07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687DF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银杏叶</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AEB93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04008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6E2CF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619530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本品为银杏科植物银杏Ginkgo biloba L.  的干燥叶。</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62109C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叶片完整，色黄绿，质厚。其它应与现行《中国药典》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74849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0B774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C9458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7CB4F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68.56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3BDEC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E3A0A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ECD7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C512A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65A92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淫羊藿</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1D7EB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638D7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66A73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丝片状/（选货）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4EAAD5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本品为小檗科植物淫羊藿Epimedium brevicornu Maxim. 、箭叶淫羊藿Epimedium sagittatum（Sieb. et Zucc.）Maxim. 、柔毛淫羊藿Epimedium pubescens Maxim.  或朝鲜淫羊藿Epimedium koreanum Nakai的干燥叶。</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CE0FA0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叶色绿，茎、柄不超过3%。其它应与现行《中国药典》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D66F6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59CC4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99FC0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FA7AE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537.96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64C89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16759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63BF9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83251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47E0D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郁金</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4A4B4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25A7A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A5DB6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04C9E1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本品为姜科植物温郁金Curcuma wenyujin  Y. H. Chen et C. Ling、姜黄Curcuma Longa L. 、广西莪术Curcuma kwangsiensis  S. G. Lee et C. F. Liang 或蓬莪术Curcuma phaeocaulis  Val. 的干燥块根。</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05685D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直径大于1.2cm，中心片，偶有边片，破碎率不超过5%。其它应与现行《中国药典》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0D6AE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CA3BA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E417E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AA5F1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90.57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CCB5F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7ECDD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70553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7C4289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1F18D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皂角刺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AB4A1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0FF76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2CDB3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7E96F9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本品为豆科植物皂荚Gleditsia sinensis Lam. 的干燥棘刺。</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7068E0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直径大于0.4cm。粗细均匀。其它应与现行《中国药典》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5CBEB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3EAFC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A5CE1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3A669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163.40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95A0F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5FDE0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1594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B7FB7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A3ADC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樟脑</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F8E8B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版二部</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9E3E0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天然白色结晶</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1372A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粉末、块/（选货）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BC8346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本品为（1RS，4RS）-1，7，7-三甲基二环[2.2.1]庚烷-2-酮，用化学合成法制得。含C10H16O不少于96.0%。</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7019F4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白色结晶性粉末。其它应与现行《中国药典》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年版二部相符。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9F54D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FA2B9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27EEF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4A1A2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380.83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0AF24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1BD21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E75A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BDBB6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BAE72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赭石</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C6754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C76DC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06D3C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碎块/（优货）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8A01B3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本品为氧化物类矿物刚玉族赤铁矿，主含三氧化二铁（Fe2O3）。</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765A8B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色棕红，断面呈叠状，有钉头。其它应与现行《中国药典》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04ACD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1CF94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6D3BF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B29E1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26.97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454C0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43C7D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67F46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61B31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0C187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浙贝母</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56DD0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6353E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45267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B3E195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本品为百合科植物浙贝母Fritillaria thunbergii Miq.的干燥鳞茎。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5549CD4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长大于2.0cm，宽大于1.2cm；颜色较均匀，无黑片，无碎片。其它应与现行《中国药典》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FECDB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F4C9C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331D0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24FCE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451.29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44614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C921A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492A3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492A5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8C6F6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珍珠粉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89214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8A648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粉末</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4B309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B41F0F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本品为珍珠贝科动物马氏珍珠贝Pteria martensii（Dunker）、蚌科动物三角帆蚌Hyriopsis cumingii（Lea）或褶纹冠蚌Cristaria plicata（Leach）等双壳类动物受刺激形成的珍珠</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BC45E6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本品呈类球形、长圆形、卵圆形或棒形，直径1.5～8mm。表面类白色、浅粉红色、浅黄绿色或浅蓝色，半透明，光滑或微有凹凸，具特有的彩色光泽。质坚硬，破碎面显层纹。气微，味淡。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B3211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8E3A9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5A7B8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DD521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897.78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4A177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7ADDF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0298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58EB66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96BB2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珍珠母</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88283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06857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4C65D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896FDC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本品为蚌科动物三角帆蚌Hyriopsis  cumingii（Lea）、褶纹冠蚌Cristaria  p1icata（leach）或珍珠贝科动物马氏珍珠贝Pteria  martensii（Dunker）的贝壳。</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41A228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色白、内面有光泽。无异味。其它应与现行《中国药典》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44375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022C8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CC91B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9D53F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29.31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7FA817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D9F6C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A015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A1390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9E0CF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知母</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4D4AB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7F815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6EF8D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0BF496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本品为百合科植物知母Anemarrhena asphodeloides Bge. 的干燥根茎。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85E14C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大小均一，无须根，毛屑。直径大于1.2cm；碎片不得超过3%。其它应与现行《中国药典》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D3AB4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997D6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73319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07A66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112.90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1971D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ABBD5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84C5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831B8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197</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21DEB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栀子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568BD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BFCC0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85F27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个子/碾碎/（选货）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C230F7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本品为茜草科植物栀子Gardenia jasminoides Ellis的干燥成熟果实。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9A1EE6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大小均匀，饱满、完整，表面红色。其它应与现行《中国药典》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AFD2A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7AAC7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85299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07EE6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171.84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08764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6EDAB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EAC3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1D0177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04A03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枳壳</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5DF04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4F494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794DE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394B96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本品为芸香科植物酸橙Citrus  aurantium L.及其栽培变种的干燥未成熟果实。</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A50732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中果皮厚度大于0.4cm，边片不超过5%。其它应与现行《中国药典》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EF93E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EAB1D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1FC73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B2E9F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73.24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8C89A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4649E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B4FF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1033B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C4590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枳实</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5A9AD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7996D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23624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D53827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本品为芸香科植物酸橙Citrus aurantium L.及其栽培变种或甜橙Citrus sinensis Osbeck的干燥幼果。</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7044AE3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来源仅限酸橙，直径0.6~1.2cm，圆个不超过10%，其它应与现行《中国药典》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1F03B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0DAD6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82CDC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BC072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123.71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A3ADC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1C850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45F76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68D966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BAA5F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制马钱子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F757A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F624B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砂炒</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33528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E8D2D1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本品为马钱科植物马钱Strychnos nux-vomica  L.的干燥成熟种子的炮制加工品。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558E7E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大小均匀，饱满，表面鼓起棕色，断面棕褐色，质酥松。其它应与现行《中国药典》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92D37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B8204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3F02A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B2CB0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306.45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06AEC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A05B7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8C80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6E141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03B71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肿节风</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243F1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18ECB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68796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段/（选货）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3D146E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本品为金粟兰科植物草珊瑚Sarcandra glabra（Thunb.）Nakai的干燥全草。</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34A6B5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叶色绿，无杂质。其它应与现行《中国药典》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E865B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BE248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9382C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F30C3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56.79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3B3E0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DA51E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38064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0025A1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FDE32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重楼</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54CA1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A320A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36E2D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6594A7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本品为百合科植物云南重楼Paris polyphylla Smith var.yunnanensis(Franch.)Hand.-Mazz.或七叶一枝花Paris polyphylla Smith var.chinensis(Franch.)Hara的干燥根茎。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6C89D9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饮片最窄方向直径大于2.0cm。大小均一。体实，色白，粉性足。其它应与现行《中国药典》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0E8A3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A1AF0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6AF7E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51BCC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627.08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36A50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F7302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A723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E52C9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07125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朱砂粉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8C455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F8788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水飞</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74692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极细粉/（选货）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FE9C9D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本品为硫化物类矿物辰砂族辰砂，主含硫化汞（HgS）。</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2FDEAC9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色鲜红，手搓无颗粒感，无铁末。其它应与现行《中国药典》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0872E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CE2A5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0BB67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F8C38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3441.28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1E0AC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24034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C387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41A7CB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9074F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棕榈炭</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D1B1E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FA598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煅炭</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9383A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块片/(选货)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FCBE33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本品为棕榈的炮制加工品。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0142856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表面黑褐色至黑色，有光泽，触之有黑色炭粉。其它应与现行《中国药典》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6E8CB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6CE10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55A0A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B1F63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68.59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B1ADF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7380D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DC58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317E3C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4A35B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炒薏苡仁</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A1F85E4">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《江西省中药饮片炮制规范》2008年版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68C3017">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炒制、精制饮片</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40FCD93">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个子/（精选）</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303BC7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本品为禾本科植物薏苡Coix lachryma-jobi var. mayuen的干燥成熟种仁。</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3C53DBE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类球形爆花状，表面白色，质松脆。其它应与《江西省中药饮片炮制规范》（2008年版）相符。</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49E1C6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6E4E86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noWrap/>
            <w:vAlign w:val="center"/>
          </w:tcPr>
          <w:p w14:paraId="7074C6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24CB9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972.00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009E0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9FC01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427A5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7" w:type="dxa"/>
            <w:tcBorders>
              <w:top w:val="single" w:color="000000" w:sz="4" w:space="0"/>
              <w:left w:val="single" w:color="000000" w:sz="4" w:space="0"/>
              <w:bottom w:val="single" w:color="000000" w:sz="4" w:space="0"/>
              <w:right w:val="single" w:color="000000" w:sz="4" w:space="0"/>
            </w:tcBorders>
            <w:noWrap w:val="0"/>
            <w:vAlign w:val="center"/>
          </w:tcPr>
          <w:p w14:paraId="25F840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364CC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川贝母</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26044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8B974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生品</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7D4062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个子/（选货）</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512C79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本品为百合科植物川贝母Fritillaria cirrhosa D.Don、暗紫贝母Fritillaria unibracteata Hsiao et K.C.Hsia、甘肃贝母Fritillaria przewalskii Maxim.、梭砂贝母Fritillaria delavayi Franch.、太白贝母Fritillaria taipaiensis P. Y. Li或瓦布贝母Fritillaria unibracteata Hsiao et K. C. Hsiavar. wabuensis（S. Y. Tanget S. C. Yue）Z. D. Liu，S. Wang et S. C. Chen的干燥鳞茎。</w:t>
            </w:r>
          </w:p>
        </w:tc>
        <w:tc>
          <w:tcPr>
            <w:tcW w:w="2910" w:type="dxa"/>
            <w:tcBorders>
              <w:top w:val="single" w:color="000000" w:sz="4" w:space="0"/>
              <w:left w:val="single" w:color="000000" w:sz="4" w:space="0"/>
              <w:bottom w:val="single" w:color="000000" w:sz="4" w:space="0"/>
              <w:right w:val="single" w:color="000000" w:sz="4" w:space="0"/>
            </w:tcBorders>
            <w:noWrap w:val="0"/>
            <w:vAlign w:val="center"/>
          </w:tcPr>
          <w:p w14:paraId="17E1E93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有“怀中抱月”，大小均一，无碎粒油粒。过圆孔筛的孔径4~6mm，来源仅限松贝和青贝。其它应与现行《中国药典》</w:t>
            </w:r>
            <w:r>
              <w:rPr>
                <w:rFonts w:hint="eastAsia" w:ascii="宋体" w:hAnsi="宋体" w:cs="宋体"/>
                <w:i w:val="0"/>
                <w:iCs w:val="0"/>
                <w:color w:val="auto"/>
                <w:kern w:val="0"/>
                <w:sz w:val="22"/>
                <w:szCs w:val="22"/>
                <w:highlight w:val="none"/>
                <w:u w:val="none"/>
                <w:lang w:val="en-US" w:eastAsia="zh-CN" w:bidi="ar"/>
              </w:rPr>
              <w:t>2025</w:t>
            </w:r>
            <w:r>
              <w:rPr>
                <w:rFonts w:hint="eastAsia" w:ascii="宋体" w:hAnsi="宋体" w:eastAsia="宋体" w:cs="宋体"/>
                <w:i w:val="0"/>
                <w:iCs w:val="0"/>
                <w:color w:val="auto"/>
                <w:kern w:val="0"/>
                <w:sz w:val="22"/>
                <w:szCs w:val="22"/>
                <w:highlight w:val="none"/>
                <w:u w:val="none"/>
                <w:lang w:val="en-US" w:eastAsia="zh-CN" w:bidi="ar"/>
              </w:rPr>
              <w:t>年版相符。</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3D5A34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1000、3、5</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31BC21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noWrap/>
            <w:vAlign w:val="center"/>
          </w:tcPr>
          <w:p w14:paraId="03FD91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76A25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13515.37 </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EFD80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4D710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28803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205" w:type="dxa"/>
            <w:gridSpan w:val="1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BABDF6">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0"/>
                <w:szCs w:val="21"/>
                <w:highlight w:val="none"/>
              </w:rPr>
              <w:t>投标报价</w:t>
            </w:r>
            <w:r>
              <w:rPr>
                <w:rFonts w:hint="eastAsia" w:ascii="宋体" w:hAnsi="宋体" w:eastAsia="宋体" w:cs="宋体"/>
                <w:color w:val="auto"/>
                <w:spacing w:val="20"/>
                <w:szCs w:val="21"/>
                <w:highlight w:val="none"/>
                <w:lang w:eastAsia="zh-CN"/>
              </w:rPr>
              <w:t>合计</w:t>
            </w:r>
            <w:r>
              <w:rPr>
                <w:rFonts w:hint="eastAsia" w:ascii="宋体" w:hAnsi="宋体" w:eastAsia="宋体" w:cs="宋体"/>
                <w:color w:val="auto"/>
                <w:spacing w:val="20"/>
                <w:szCs w:val="21"/>
                <w:highlight w:val="none"/>
              </w:rPr>
              <w:t>：</w:t>
            </w:r>
            <w:r>
              <w:rPr>
                <w:rFonts w:hint="eastAsia" w:ascii="宋体" w:hAnsi="宋体" w:eastAsia="宋体" w:cs="宋体"/>
                <w:color w:val="auto"/>
                <w:szCs w:val="21"/>
                <w:highlight w:val="none"/>
              </w:rPr>
              <w:t>（大写）人民币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r>
              <w:rPr>
                <w:rFonts w:hint="eastAsia" w:ascii="宋体" w:hAnsi="宋体" w:cs="宋体"/>
                <w:color w:val="auto"/>
                <w:spacing w:val="20"/>
                <w:szCs w:val="21"/>
                <w:highlight w:val="none"/>
                <w:lang w:eastAsia="zh-CN"/>
              </w:rPr>
              <w:t>，</w:t>
            </w:r>
            <w:r>
              <w:rPr>
                <w:rFonts w:hint="eastAsia" w:ascii="宋体" w:hAnsi="宋体" w:eastAsia="宋体" w:cs="宋体"/>
                <w:color w:val="auto"/>
                <w:spacing w:val="20"/>
                <w:szCs w:val="21"/>
                <w:highlight w:val="none"/>
              </w:rPr>
              <w:t>报价保留小数点后2位</w:t>
            </w:r>
            <w:r>
              <w:rPr>
                <w:rFonts w:hint="eastAsia" w:ascii="宋体" w:hAnsi="宋体" w:cs="宋体"/>
                <w:color w:val="auto"/>
                <w:spacing w:val="20"/>
                <w:szCs w:val="21"/>
                <w:highlight w:val="none"/>
                <w:lang w:eastAsia="zh-CN"/>
              </w:rPr>
              <w:t>。</w:t>
            </w:r>
          </w:p>
        </w:tc>
      </w:tr>
      <w:tr w14:paraId="5B5B8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205" w:type="dxa"/>
            <w:gridSpan w:val="1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5258FE">
            <w:pPr>
              <w:keepNext w:val="0"/>
              <w:keepLines w:val="0"/>
              <w:widowControl/>
              <w:suppressLineNumbers w:val="0"/>
              <w:jc w:val="both"/>
              <w:textAlignment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pacing w:val="20"/>
                <w:szCs w:val="21"/>
                <w:highlight w:val="none"/>
                <w:lang w:val="en-US" w:eastAsia="zh-CN"/>
              </w:rPr>
              <w:t>服务期限：</w:t>
            </w:r>
            <w:r>
              <w:rPr>
                <w:rFonts w:hint="eastAsia" w:ascii="宋体" w:hAnsi="宋体" w:cs="宋体"/>
                <w:color w:val="auto"/>
                <w:spacing w:val="20"/>
                <w:sz w:val="21"/>
                <w:szCs w:val="21"/>
                <w:highlight w:val="none"/>
                <w:u w:val="single"/>
              </w:rPr>
              <w:t xml:space="preserve">             </w:t>
            </w:r>
            <w:r>
              <w:rPr>
                <w:rFonts w:hint="eastAsia" w:ascii="宋体" w:hAnsi="宋体" w:cs="宋体"/>
                <w:color w:val="auto"/>
                <w:sz w:val="21"/>
                <w:szCs w:val="21"/>
                <w:highlight w:val="none"/>
              </w:rPr>
              <w:t xml:space="preserve"> </w:t>
            </w:r>
          </w:p>
        </w:tc>
      </w:tr>
      <w:tr w14:paraId="6431F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205" w:type="dxa"/>
            <w:gridSpan w:val="1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429089">
            <w:pPr>
              <w:keepNext w:val="0"/>
              <w:keepLines w:val="0"/>
              <w:widowControl/>
              <w:suppressLineNumbers w:val="0"/>
              <w:jc w:val="both"/>
              <w:textAlignment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z w:val="21"/>
                <w:szCs w:val="21"/>
                <w:highlight w:val="none"/>
              </w:rPr>
              <w:t>法定代表人或者委托代理人（签字）：</w:t>
            </w:r>
            <w:r>
              <w:rPr>
                <w:rFonts w:hint="eastAsia" w:ascii="宋体" w:hAnsi="宋体" w:eastAsia="宋体" w:cs="宋体"/>
                <w:color w:val="auto"/>
                <w:spacing w:val="20"/>
                <w:sz w:val="21"/>
                <w:szCs w:val="21"/>
                <w:highlight w:val="none"/>
                <w:u w:val="single"/>
              </w:rPr>
              <w:t xml:space="preserve">             </w:t>
            </w:r>
            <w:r>
              <w:rPr>
                <w:rFonts w:hint="eastAsia" w:ascii="宋体" w:hAnsi="宋体" w:eastAsia="宋体" w:cs="宋体"/>
                <w:color w:val="auto"/>
                <w:sz w:val="21"/>
                <w:szCs w:val="21"/>
                <w:highlight w:val="none"/>
              </w:rPr>
              <w:t xml:space="preserve"> </w:t>
            </w:r>
          </w:p>
        </w:tc>
      </w:tr>
      <w:tr w14:paraId="4CF72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205" w:type="dxa"/>
            <w:gridSpan w:val="1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FCA95E">
            <w:pPr>
              <w:keepNext w:val="0"/>
              <w:keepLines w:val="0"/>
              <w:widowControl/>
              <w:suppressLineNumbers w:val="0"/>
              <w:jc w:val="both"/>
              <w:textAlignment w:val="center"/>
              <w:rPr>
                <w:rFonts w:hint="eastAsia" w:ascii="宋体" w:hAnsi="宋体" w:eastAsia="宋体" w:cs="宋体"/>
                <w:color w:val="auto"/>
                <w:spacing w:val="20"/>
                <w:kern w:val="2"/>
                <w:sz w:val="21"/>
                <w:szCs w:val="21"/>
                <w:highlight w:val="none"/>
                <w:lang w:val="en-US" w:eastAsia="zh-CN" w:bidi="ar-SA"/>
              </w:rPr>
            </w:pPr>
            <w:r>
              <w:rPr>
                <w:rFonts w:hint="eastAsia" w:ascii="宋体" w:hAnsi="宋体" w:eastAsia="宋体" w:cs="宋体"/>
                <w:color w:val="auto"/>
                <w:sz w:val="21"/>
                <w:szCs w:val="21"/>
                <w:highlight w:val="none"/>
                <w:lang w:val="zh-CN"/>
              </w:rPr>
              <w:t>投标人名称(电子签章)</w:t>
            </w:r>
            <w:r>
              <w:rPr>
                <w:rFonts w:hint="eastAsia" w:ascii="宋体" w:hAnsi="宋体" w:eastAsia="宋体" w:cs="宋体"/>
                <w:color w:val="auto"/>
                <w:sz w:val="21"/>
                <w:szCs w:val="21"/>
                <w:highlight w:val="none"/>
              </w:rPr>
              <w:t>：</w:t>
            </w:r>
            <w:r>
              <w:rPr>
                <w:rFonts w:hint="eastAsia" w:ascii="宋体" w:hAnsi="宋体" w:eastAsia="宋体" w:cs="宋体"/>
                <w:color w:val="auto"/>
                <w:spacing w:val="20"/>
                <w:sz w:val="21"/>
                <w:szCs w:val="21"/>
                <w:highlight w:val="none"/>
                <w:u w:val="single"/>
              </w:rPr>
              <w:t xml:space="preserve">             </w:t>
            </w:r>
            <w:r>
              <w:rPr>
                <w:rFonts w:hint="eastAsia" w:ascii="宋体" w:hAnsi="宋体" w:eastAsia="宋体" w:cs="宋体"/>
                <w:color w:val="auto"/>
                <w:sz w:val="21"/>
                <w:szCs w:val="21"/>
                <w:highlight w:val="none"/>
              </w:rPr>
              <w:t xml:space="preserve"> </w:t>
            </w:r>
          </w:p>
        </w:tc>
      </w:tr>
      <w:tr w14:paraId="023A4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205" w:type="dxa"/>
            <w:gridSpan w:val="1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E35034">
            <w:pPr>
              <w:keepNext w:val="0"/>
              <w:keepLines w:val="0"/>
              <w:widowControl/>
              <w:suppressLineNumbers w:val="0"/>
              <w:jc w:val="both"/>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日期：    年   月   日</w:t>
            </w:r>
          </w:p>
        </w:tc>
      </w:tr>
      <w:tr w14:paraId="4C9C1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205" w:type="dxa"/>
            <w:gridSpan w:val="1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3DAD17">
            <w:pPr>
              <w:keepNext w:val="0"/>
              <w:keepLines w:val="0"/>
              <w:widowControl w:val="0"/>
              <w:suppressLineNumbers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b/>
                <w:bCs/>
                <w:color w:val="auto"/>
                <w:szCs w:val="21"/>
                <w:highlight w:val="none"/>
                <w:u w:val="none"/>
                <w:lang w:val="en-US" w:eastAsia="zh-CN"/>
              </w:rPr>
              <w:t>说明：</w:t>
            </w:r>
            <w:r>
              <w:rPr>
                <w:rFonts w:hint="eastAsia" w:ascii="宋体" w:hAnsi="宋体"/>
                <w:b/>
                <w:bCs/>
                <w:color w:val="auto"/>
                <w:szCs w:val="21"/>
                <w:highlight w:val="none"/>
                <w:u w:val="none"/>
              </w:rPr>
              <w:t>投标人的报价总金额仅作为价格分的计算依据。</w:t>
            </w:r>
            <w:r>
              <w:rPr>
                <w:rFonts w:hint="eastAsia" w:ascii="宋体" w:hAnsi="宋体" w:cs="宋体"/>
                <w:b/>
                <w:color w:val="auto"/>
                <w:szCs w:val="21"/>
                <w:highlight w:val="none"/>
                <w:u w:val="none"/>
              </w:rPr>
              <w:t>采购预算</w:t>
            </w:r>
            <w:r>
              <w:rPr>
                <w:rFonts w:hint="eastAsia" w:ascii="宋体" w:hAnsi="宋体" w:cs="宋体"/>
                <w:b/>
                <w:color w:val="auto"/>
                <w:szCs w:val="21"/>
                <w:highlight w:val="none"/>
                <w:u w:val="none"/>
                <w:lang w:eastAsia="zh-CN"/>
              </w:rPr>
              <w:t>：170.00万元</w:t>
            </w:r>
            <w:r>
              <w:rPr>
                <w:rFonts w:hint="eastAsia" w:ascii="宋体" w:hAnsi="宋体" w:eastAsia="宋体" w:cs="宋体"/>
                <w:b/>
                <w:bCs/>
                <w:color w:val="auto"/>
                <w:sz w:val="21"/>
                <w:szCs w:val="21"/>
                <w:highlight w:val="none"/>
              </w:rPr>
              <w:t>，签订合同总价即为</w:t>
            </w:r>
            <w:r>
              <w:rPr>
                <w:rFonts w:hint="eastAsia" w:ascii="宋体" w:hAnsi="宋体"/>
                <w:b/>
                <w:bCs/>
                <w:color w:val="auto"/>
                <w:szCs w:val="21"/>
                <w:highlight w:val="none"/>
                <w:u w:val="none"/>
              </w:rPr>
              <w:t>分标</w:t>
            </w:r>
            <w:r>
              <w:rPr>
                <w:rFonts w:hint="eastAsia" w:ascii="宋体" w:hAnsi="宋体" w:eastAsia="宋体" w:cs="宋体"/>
                <w:b/>
                <w:bCs/>
                <w:color w:val="auto"/>
                <w:sz w:val="21"/>
                <w:szCs w:val="21"/>
                <w:highlight w:val="none"/>
              </w:rPr>
              <w:t>采购预算价，结算总金额=以实际发生采购量×中标单价为准。</w:t>
            </w:r>
          </w:p>
        </w:tc>
      </w:tr>
    </w:tbl>
    <w:p w14:paraId="34C09CCD">
      <w:pPr>
        <w:snapToGrid w:val="0"/>
        <w:spacing w:before="50" w:after="50"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注: </w:t>
      </w:r>
    </w:p>
    <w:p w14:paraId="76AB12DC">
      <w:pPr>
        <w:snapToGrid w:val="0"/>
        <w:spacing w:before="50" w:after="50"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1.投标人的开标一览表必须加盖投标人公章并由法定代表人或者委托代理人签字，</w:t>
      </w:r>
      <w:r>
        <w:rPr>
          <w:rFonts w:hint="eastAsia" w:ascii="宋体" w:hAnsi="宋体" w:cs="宋体"/>
          <w:b/>
          <w:color w:val="auto"/>
          <w:sz w:val="24"/>
          <w:highlight w:val="none"/>
        </w:rPr>
        <w:t>否则其投标作无效标处理</w:t>
      </w:r>
      <w:r>
        <w:rPr>
          <w:rFonts w:hint="eastAsia" w:ascii="宋体" w:hAnsi="宋体" w:cs="宋体"/>
          <w:color w:val="auto"/>
          <w:sz w:val="24"/>
          <w:highlight w:val="none"/>
        </w:rPr>
        <w:t>。</w:t>
      </w:r>
    </w:p>
    <w:p w14:paraId="1E6B1B65">
      <w:pPr>
        <w:snapToGrid w:val="0"/>
        <w:spacing w:before="50" w:after="50" w:line="360" w:lineRule="auto"/>
        <w:ind w:firstLine="480" w:firstLineChars="200"/>
        <w:jc w:val="left"/>
        <w:rPr>
          <w:rFonts w:ascii="宋体" w:hAnsi="宋体" w:cs="宋体"/>
          <w:b/>
          <w:color w:val="auto"/>
          <w:sz w:val="24"/>
          <w:highlight w:val="none"/>
        </w:rPr>
      </w:pPr>
      <w:r>
        <w:rPr>
          <w:rFonts w:hint="eastAsia" w:ascii="宋体" w:hAnsi="宋体" w:cs="宋体"/>
          <w:bCs/>
          <w:color w:val="auto"/>
          <w:sz w:val="24"/>
          <w:highlight w:val="none"/>
        </w:rPr>
        <w:t>2.</w:t>
      </w:r>
      <w:r>
        <w:rPr>
          <w:rFonts w:hint="eastAsia" w:ascii="宋体" w:hAnsi="宋体" w:cs="宋体"/>
          <w:color w:val="auto"/>
          <w:sz w:val="24"/>
          <w:highlight w:val="none"/>
        </w:rPr>
        <w:t>报价一经涂改，应在涂改处加盖投标人公章或者由法定代表人或者委托代理人签字或者盖章</w:t>
      </w:r>
      <w:r>
        <w:rPr>
          <w:rFonts w:hint="eastAsia" w:ascii="宋体" w:hAnsi="宋体" w:cs="宋体"/>
          <w:b/>
          <w:color w:val="auto"/>
          <w:sz w:val="24"/>
          <w:highlight w:val="none"/>
        </w:rPr>
        <w:t>，否则其投标作无效标处理。</w:t>
      </w:r>
    </w:p>
    <w:p w14:paraId="7FB667DB">
      <w:pPr>
        <w:snapToGrid w:val="0"/>
        <w:spacing w:before="50" w:after="50"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3.招标文件中列明采购专用耗材的，应按招标文件规定的耗材量或者按耗材的常规试用量提供报价。</w:t>
      </w:r>
    </w:p>
    <w:p w14:paraId="70C738F4">
      <w:pPr>
        <w:snapToGrid w:val="0"/>
        <w:spacing w:before="50" w:after="50"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4.如为联合体投标，“投标人名称”处必须列明联合体各方名称，并标注联合体牵头人名称，</w:t>
      </w:r>
      <w:r>
        <w:rPr>
          <w:rFonts w:hint="eastAsia" w:ascii="宋体" w:hAnsi="宋体" w:cs="宋体"/>
          <w:b/>
          <w:color w:val="auto"/>
          <w:sz w:val="24"/>
          <w:highlight w:val="none"/>
        </w:rPr>
        <w:t>否则其投标作无效标处理。</w:t>
      </w:r>
    </w:p>
    <w:p w14:paraId="4CE6AD38">
      <w:pPr>
        <w:snapToGrid w:val="0"/>
        <w:spacing w:before="50" w:after="50" w:line="360" w:lineRule="auto"/>
        <w:ind w:firstLine="456" w:firstLineChars="200"/>
        <w:jc w:val="left"/>
        <w:rPr>
          <w:rFonts w:ascii="宋体" w:hAnsi="宋体" w:cs="宋体"/>
          <w:color w:val="auto"/>
          <w:spacing w:val="-6"/>
          <w:sz w:val="24"/>
          <w:highlight w:val="none"/>
        </w:rPr>
      </w:pPr>
      <w:r>
        <w:rPr>
          <w:rFonts w:hint="eastAsia" w:ascii="宋体" w:hAnsi="宋体" w:cs="宋体"/>
          <w:color w:val="auto"/>
          <w:spacing w:val="-6"/>
          <w:sz w:val="24"/>
          <w:highlight w:val="none"/>
        </w:rPr>
        <w:t>5.如为联合体投标，盖章处须加盖联合体各方公章，</w:t>
      </w:r>
      <w:r>
        <w:rPr>
          <w:rFonts w:hint="eastAsia" w:ascii="宋体" w:hAnsi="宋体" w:cs="宋体"/>
          <w:b/>
          <w:color w:val="auto"/>
          <w:spacing w:val="-6"/>
          <w:sz w:val="24"/>
          <w:highlight w:val="none"/>
        </w:rPr>
        <w:t>否则其投标作无效标处理。</w:t>
      </w:r>
    </w:p>
    <w:p w14:paraId="48A63103">
      <w:pPr>
        <w:snapToGrid w:val="0"/>
        <w:spacing w:before="50" w:after="50"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6.如有多分标，按分标分别提供开标一览表，</w:t>
      </w:r>
      <w:r>
        <w:rPr>
          <w:rFonts w:hint="eastAsia" w:ascii="宋体" w:hAnsi="宋体" w:cs="宋体"/>
          <w:b/>
          <w:color w:val="auto"/>
          <w:sz w:val="24"/>
          <w:highlight w:val="none"/>
        </w:rPr>
        <w:t>否则投标无效。</w:t>
      </w:r>
    </w:p>
    <w:p w14:paraId="127F4654">
      <w:pPr>
        <w:snapToGrid w:val="0"/>
        <w:spacing w:before="50" w:after="50"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7.各分标报价超出招标文件相应分标规定最高限价或分项最高限价，或者超出相应分标采购预算金额的或相应分标分项采购预算的，</w:t>
      </w:r>
      <w:r>
        <w:rPr>
          <w:rFonts w:hint="eastAsia" w:ascii="宋体" w:hAnsi="宋体" w:cs="宋体"/>
          <w:b/>
          <w:color w:val="auto"/>
          <w:sz w:val="24"/>
          <w:highlight w:val="none"/>
        </w:rPr>
        <w:t>否则投标无效。</w:t>
      </w:r>
    </w:p>
    <w:p w14:paraId="29E4879C">
      <w:pPr>
        <w:rPr>
          <w:rFonts w:hint="eastAsia" w:ascii="宋体" w:hAnsi="宋体" w:cs="宋体"/>
          <w:b/>
          <w:bCs/>
          <w:color w:val="auto"/>
          <w:sz w:val="24"/>
          <w:highlight w:val="none"/>
        </w:rPr>
        <w:sectPr>
          <w:pgSz w:w="16838" w:h="11906" w:orient="landscape"/>
          <w:pgMar w:top="1134" w:right="1134" w:bottom="1134" w:left="1020" w:header="851" w:footer="567" w:gutter="0"/>
          <w:cols w:space="720" w:num="1"/>
          <w:titlePg/>
          <w:docGrid w:linePitch="312" w:charSpace="0"/>
        </w:sectPr>
      </w:pPr>
    </w:p>
    <w:p w14:paraId="55094409">
      <w:pPr>
        <w:rPr>
          <w:rFonts w:ascii="宋体" w:hAnsi="宋体" w:cs="宋体"/>
          <w:b/>
          <w:color w:val="auto"/>
          <w:sz w:val="28"/>
          <w:szCs w:val="28"/>
          <w:highlight w:val="none"/>
        </w:rPr>
      </w:pPr>
      <w:bookmarkStart w:id="162" w:name="_Toc19686837"/>
      <w:r>
        <w:rPr>
          <w:rFonts w:hint="eastAsia" w:ascii="宋体" w:hAnsi="宋体" w:cs="宋体"/>
          <w:b/>
          <w:color w:val="auto"/>
          <w:sz w:val="28"/>
          <w:szCs w:val="28"/>
          <w:highlight w:val="none"/>
        </w:rPr>
        <w:t>二、资格证明文件格式</w:t>
      </w:r>
      <w:bookmarkEnd w:id="160"/>
      <w:bookmarkEnd w:id="161"/>
      <w:bookmarkEnd w:id="162"/>
    </w:p>
    <w:p w14:paraId="170B9DDF">
      <w:pPr>
        <w:numPr>
          <w:ilvl w:val="2"/>
          <w:numId w:val="0"/>
        </w:numPr>
        <w:snapToGrid w:val="0"/>
        <w:spacing w:before="120" w:beforeLines="50" w:after="50" w:line="360" w:lineRule="auto"/>
        <w:ind w:left="0" w:firstLine="0"/>
        <w:jc w:val="left"/>
        <w:rPr>
          <w:rFonts w:ascii="宋体" w:hAnsi="宋体" w:cs="宋体"/>
          <w:b/>
          <w:color w:val="auto"/>
          <w:sz w:val="24"/>
          <w:highlight w:val="none"/>
        </w:rPr>
      </w:pPr>
      <w:r>
        <w:rPr>
          <w:rFonts w:hint="default" w:ascii="宋体" w:hAnsi="宋体" w:eastAsia="宋体" w:cs="宋体"/>
          <w:b/>
          <w:color w:val="auto"/>
          <w:kern w:val="2"/>
          <w:sz w:val="24"/>
          <w:szCs w:val="24"/>
          <w:highlight w:val="none"/>
          <w:lang w:val="en-US" w:eastAsia="zh-CN" w:bidi="ar-SA"/>
        </w:rPr>
        <w:t>1.</w:t>
      </w:r>
      <w:r>
        <w:rPr>
          <w:rFonts w:hint="eastAsia" w:ascii="宋体" w:hAnsi="宋体" w:cs="宋体"/>
          <w:b/>
          <w:color w:val="auto"/>
          <w:sz w:val="24"/>
          <w:highlight w:val="none"/>
        </w:rPr>
        <w:t xml:space="preserve">资格证明文件封面格式： </w:t>
      </w:r>
    </w:p>
    <w:p w14:paraId="16ED7BC7">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p>
    <w:p w14:paraId="150B939A">
      <w:pPr>
        <w:snapToGrid w:val="0"/>
        <w:spacing w:before="120" w:beforeLines="50" w:after="50"/>
        <w:rPr>
          <w:rFonts w:ascii="宋体" w:hAnsi="宋体" w:cs="宋体"/>
          <w:color w:val="auto"/>
          <w:sz w:val="24"/>
          <w:szCs w:val="20"/>
          <w:highlight w:val="none"/>
        </w:rPr>
      </w:pPr>
    </w:p>
    <w:p w14:paraId="7BC0FD82">
      <w:pPr>
        <w:snapToGrid w:val="0"/>
        <w:spacing w:before="120" w:beforeLines="50" w:after="50"/>
        <w:rPr>
          <w:rFonts w:ascii="宋体" w:hAnsi="宋体" w:cs="宋体"/>
          <w:color w:val="auto"/>
          <w:sz w:val="24"/>
          <w:szCs w:val="20"/>
          <w:highlight w:val="none"/>
        </w:rPr>
      </w:pPr>
    </w:p>
    <w:p w14:paraId="46F8E28D">
      <w:pPr>
        <w:snapToGrid w:val="0"/>
        <w:spacing w:before="120" w:beforeLines="50" w:after="50"/>
        <w:jc w:val="center"/>
        <w:rPr>
          <w:rFonts w:ascii="宋体" w:hAnsi="宋体" w:cs="宋体"/>
          <w:color w:val="auto"/>
          <w:sz w:val="84"/>
          <w:szCs w:val="84"/>
          <w:highlight w:val="none"/>
        </w:rPr>
      </w:pPr>
      <w:r>
        <w:rPr>
          <w:rFonts w:hint="eastAsia" w:ascii="宋体" w:hAnsi="宋体" w:cs="宋体"/>
          <w:color w:val="auto"/>
          <w:sz w:val="84"/>
          <w:szCs w:val="84"/>
          <w:highlight w:val="none"/>
        </w:rPr>
        <w:t>投  标  文  件</w:t>
      </w:r>
    </w:p>
    <w:p w14:paraId="0CF91832">
      <w:pPr>
        <w:snapToGrid w:val="0"/>
        <w:spacing w:before="120" w:beforeLines="50" w:after="50"/>
        <w:rPr>
          <w:rFonts w:ascii="宋体" w:hAnsi="宋体" w:cs="宋体"/>
          <w:color w:val="auto"/>
          <w:sz w:val="24"/>
          <w:szCs w:val="20"/>
          <w:highlight w:val="none"/>
        </w:rPr>
      </w:pPr>
    </w:p>
    <w:p w14:paraId="63D8F833">
      <w:pPr>
        <w:snapToGrid w:val="0"/>
        <w:spacing w:before="120" w:beforeLines="50" w:after="50"/>
        <w:rPr>
          <w:rFonts w:ascii="宋体" w:hAnsi="宋体" w:cs="宋体"/>
          <w:color w:val="auto"/>
          <w:sz w:val="24"/>
          <w:szCs w:val="20"/>
          <w:highlight w:val="none"/>
        </w:rPr>
      </w:pPr>
    </w:p>
    <w:p w14:paraId="5E24C6B0">
      <w:pPr>
        <w:snapToGrid w:val="0"/>
        <w:spacing w:before="120" w:beforeLines="50" w:after="50"/>
        <w:jc w:val="center"/>
        <w:rPr>
          <w:rFonts w:ascii="宋体" w:hAnsi="宋体" w:cs="宋体"/>
          <w:b/>
          <w:color w:val="auto"/>
          <w:sz w:val="24"/>
          <w:szCs w:val="20"/>
          <w:highlight w:val="none"/>
        </w:rPr>
      </w:pPr>
      <w:r>
        <w:rPr>
          <w:rFonts w:hint="eastAsia" w:ascii="宋体" w:hAnsi="宋体" w:cs="宋体"/>
          <w:b/>
          <w:color w:val="auto"/>
          <w:sz w:val="32"/>
          <w:szCs w:val="32"/>
          <w:highlight w:val="none"/>
        </w:rPr>
        <w:t>资 格 证 明 文 件</w:t>
      </w:r>
    </w:p>
    <w:p w14:paraId="55518BB7">
      <w:pPr>
        <w:snapToGrid w:val="0"/>
        <w:spacing w:before="120" w:beforeLines="50" w:after="50"/>
        <w:rPr>
          <w:rFonts w:ascii="宋体" w:hAnsi="宋体" w:cs="宋体"/>
          <w:bCs/>
          <w:color w:val="auto"/>
          <w:sz w:val="24"/>
          <w:szCs w:val="20"/>
          <w:highlight w:val="none"/>
        </w:rPr>
      </w:pPr>
    </w:p>
    <w:p w14:paraId="77592E2C">
      <w:pPr>
        <w:snapToGrid w:val="0"/>
        <w:spacing w:before="120" w:beforeLines="50" w:after="50"/>
        <w:rPr>
          <w:rFonts w:ascii="宋体" w:hAnsi="宋体" w:cs="宋体"/>
          <w:bCs/>
          <w:color w:val="auto"/>
          <w:sz w:val="24"/>
          <w:szCs w:val="20"/>
          <w:highlight w:val="none"/>
        </w:rPr>
      </w:pPr>
    </w:p>
    <w:p w14:paraId="65DB35BA">
      <w:pPr>
        <w:snapToGrid w:val="0"/>
        <w:spacing w:before="120" w:beforeLines="50" w:after="50"/>
        <w:rPr>
          <w:rFonts w:ascii="宋体" w:hAnsi="宋体" w:cs="宋体"/>
          <w:bCs/>
          <w:color w:val="auto"/>
          <w:sz w:val="24"/>
          <w:szCs w:val="20"/>
          <w:highlight w:val="none"/>
        </w:rPr>
      </w:pPr>
    </w:p>
    <w:p w14:paraId="52E98F15">
      <w:pPr>
        <w:snapToGrid w:val="0"/>
        <w:spacing w:before="120" w:beforeLines="50" w:after="50"/>
        <w:rPr>
          <w:rFonts w:ascii="宋体" w:hAnsi="宋体" w:cs="宋体"/>
          <w:bCs/>
          <w:color w:val="auto"/>
          <w:sz w:val="24"/>
          <w:szCs w:val="20"/>
          <w:highlight w:val="none"/>
        </w:rPr>
      </w:pPr>
    </w:p>
    <w:p w14:paraId="1329E52C">
      <w:pPr>
        <w:snapToGrid w:val="0"/>
        <w:spacing w:before="120" w:beforeLines="50" w:after="50"/>
        <w:rPr>
          <w:rFonts w:ascii="宋体" w:hAnsi="宋体" w:cs="宋体"/>
          <w:bCs/>
          <w:color w:val="auto"/>
          <w:sz w:val="24"/>
          <w:szCs w:val="20"/>
          <w:highlight w:val="none"/>
        </w:rPr>
      </w:pPr>
    </w:p>
    <w:p w14:paraId="2FDD406C">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项目名称：</w:t>
      </w:r>
    </w:p>
    <w:p w14:paraId="1CBCE78F">
      <w:pPr>
        <w:snapToGrid w:val="0"/>
        <w:spacing w:before="120" w:beforeLines="50" w:after="50"/>
        <w:ind w:firstLine="540" w:firstLineChars="225"/>
        <w:rPr>
          <w:rFonts w:ascii="宋体" w:hAnsi="宋体" w:cs="宋体"/>
          <w:bCs/>
          <w:color w:val="auto"/>
          <w:sz w:val="24"/>
          <w:szCs w:val="20"/>
          <w:highlight w:val="none"/>
        </w:rPr>
      </w:pPr>
    </w:p>
    <w:p w14:paraId="45FEB50B">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项目编号：</w:t>
      </w:r>
    </w:p>
    <w:p w14:paraId="578029C8">
      <w:pPr>
        <w:snapToGrid w:val="0"/>
        <w:spacing w:before="120" w:beforeLines="50" w:after="50"/>
        <w:ind w:firstLine="540" w:firstLineChars="225"/>
        <w:rPr>
          <w:rFonts w:ascii="宋体" w:hAnsi="宋体" w:cs="宋体"/>
          <w:bCs/>
          <w:color w:val="auto"/>
          <w:sz w:val="24"/>
          <w:szCs w:val="20"/>
          <w:highlight w:val="none"/>
        </w:rPr>
      </w:pPr>
      <w:r>
        <w:rPr>
          <w:rFonts w:hint="eastAsia" w:ascii="宋体" w:hAnsi="宋体" w:cs="宋体"/>
          <w:bCs/>
          <w:color w:val="auto"/>
          <w:sz w:val="24"/>
          <w:highlight w:val="none"/>
        </w:rPr>
        <w:t xml:space="preserve"> </w:t>
      </w:r>
    </w:p>
    <w:p w14:paraId="0E6A91F1">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lang w:eastAsia="zh-CN"/>
        </w:rPr>
        <w:t>分标</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标项名称（如有则填写，无分标时填写“无”或者留空）：</w:t>
      </w:r>
    </w:p>
    <w:p w14:paraId="348A9D2B">
      <w:pPr>
        <w:pStyle w:val="4"/>
        <w:snapToGrid w:val="0"/>
        <w:spacing w:before="50" w:after="50"/>
        <w:ind w:firstLine="540" w:firstLineChars="225"/>
        <w:rPr>
          <w:rFonts w:ascii="宋体" w:hAnsi="宋体" w:cs="宋体"/>
          <w:bCs/>
          <w:color w:val="auto"/>
          <w:sz w:val="24"/>
          <w:szCs w:val="24"/>
          <w:highlight w:val="none"/>
        </w:rPr>
      </w:pPr>
    </w:p>
    <w:p w14:paraId="762C3DBD">
      <w:pPr>
        <w:pStyle w:val="4"/>
        <w:snapToGrid w:val="0"/>
        <w:spacing w:before="50" w:after="50"/>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7AAD135A">
      <w:pPr>
        <w:pStyle w:val="4"/>
        <w:snapToGrid w:val="0"/>
        <w:spacing w:before="50" w:after="50"/>
        <w:ind w:firstLine="540" w:firstLineChars="225"/>
        <w:rPr>
          <w:rFonts w:ascii="宋体" w:hAnsi="宋体" w:cs="宋体"/>
          <w:bCs/>
          <w:color w:val="auto"/>
          <w:sz w:val="24"/>
          <w:szCs w:val="24"/>
          <w:highlight w:val="none"/>
        </w:rPr>
      </w:pPr>
    </w:p>
    <w:p w14:paraId="6DFC2415">
      <w:pPr>
        <w:pStyle w:val="4"/>
        <w:snapToGrid w:val="0"/>
        <w:spacing w:before="50" w:after="50"/>
        <w:ind w:firstLine="960" w:firstLineChars="400"/>
        <w:rPr>
          <w:rFonts w:ascii="宋体" w:hAnsi="宋体" w:cs="宋体"/>
          <w:bCs/>
          <w:color w:val="auto"/>
          <w:sz w:val="24"/>
          <w:szCs w:val="24"/>
          <w:highlight w:val="none"/>
        </w:rPr>
      </w:pPr>
    </w:p>
    <w:p w14:paraId="028EA47A">
      <w:pPr>
        <w:snapToGrid w:val="0"/>
        <w:spacing w:before="120" w:beforeLines="50" w:after="50"/>
        <w:ind w:firstLine="645"/>
        <w:jc w:val="center"/>
        <w:rPr>
          <w:rFonts w:ascii="宋体" w:hAnsi="宋体" w:cs="宋体"/>
          <w:color w:val="auto"/>
          <w:sz w:val="24"/>
          <w:highlight w:val="none"/>
        </w:rPr>
      </w:pPr>
      <w:r>
        <w:rPr>
          <w:rFonts w:hint="eastAsia" w:ascii="宋体" w:hAnsi="宋体" w:cs="宋体"/>
          <w:color w:val="auto"/>
          <w:sz w:val="24"/>
          <w:highlight w:val="none"/>
        </w:rPr>
        <w:t>年  月  日</w:t>
      </w:r>
    </w:p>
    <w:p w14:paraId="597DF4FA">
      <w:pPr>
        <w:snapToGrid w:val="0"/>
        <w:spacing w:before="120" w:beforeLines="50" w:after="50"/>
        <w:rPr>
          <w:rFonts w:ascii="宋体" w:hAnsi="宋体" w:cs="宋体"/>
          <w:color w:val="auto"/>
          <w:sz w:val="24"/>
          <w:szCs w:val="20"/>
          <w:highlight w:val="none"/>
        </w:rPr>
      </w:pPr>
      <w:r>
        <w:rPr>
          <w:rFonts w:hint="eastAsia" w:ascii="宋体" w:hAnsi="宋体" w:cs="宋体"/>
          <w:color w:val="auto"/>
          <w:sz w:val="24"/>
          <w:szCs w:val="20"/>
          <w:highlight w:val="none"/>
        </w:rPr>
        <w:t xml:space="preserve"> </w:t>
      </w:r>
    </w:p>
    <w:p w14:paraId="0A1CF889">
      <w:pPr>
        <w:snapToGrid w:val="0"/>
        <w:spacing w:before="120" w:beforeLines="50" w:after="50"/>
        <w:rPr>
          <w:rFonts w:ascii="宋体" w:hAnsi="宋体" w:cs="宋体"/>
          <w:color w:val="auto"/>
          <w:sz w:val="24"/>
          <w:szCs w:val="20"/>
          <w:highlight w:val="none"/>
        </w:rPr>
      </w:pPr>
    </w:p>
    <w:p w14:paraId="2AB16305">
      <w:pPr>
        <w:numPr>
          <w:ilvl w:val="2"/>
          <w:numId w:val="0"/>
        </w:numPr>
        <w:snapToGrid w:val="0"/>
        <w:spacing w:before="120" w:beforeLines="50" w:after="50" w:line="360" w:lineRule="auto"/>
        <w:ind w:left="0" w:firstLine="0"/>
        <w:jc w:val="left"/>
        <w:rPr>
          <w:rFonts w:ascii="宋体" w:hAnsi="宋体" w:cs="宋体"/>
          <w:color w:val="auto"/>
          <w:sz w:val="24"/>
          <w:szCs w:val="20"/>
          <w:highlight w:val="none"/>
        </w:rPr>
      </w:pPr>
      <w:r>
        <w:rPr>
          <w:rFonts w:hint="default" w:ascii="宋体" w:hAnsi="宋体" w:eastAsia="宋体" w:cs="宋体"/>
          <w:color w:val="auto"/>
          <w:kern w:val="2"/>
          <w:sz w:val="24"/>
          <w:szCs w:val="24"/>
          <w:highlight w:val="none"/>
          <w:lang w:val="en-US" w:eastAsia="zh-CN" w:bidi="ar-SA"/>
        </w:rPr>
        <w:t>2.</w:t>
      </w:r>
      <w:r>
        <w:rPr>
          <w:rFonts w:hint="eastAsia" w:ascii="宋体" w:hAnsi="宋体" w:cs="宋体"/>
          <w:b/>
          <w:bCs/>
          <w:color w:val="auto"/>
          <w:sz w:val="24"/>
          <w:highlight w:val="none"/>
        </w:rPr>
        <w:br w:type="page"/>
      </w:r>
      <w:r>
        <w:rPr>
          <w:rFonts w:hint="eastAsia" w:ascii="宋体" w:hAnsi="宋体" w:cs="宋体"/>
          <w:b/>
          <w:bCs/>
          <w:color w:val="auto"/>
          <w:sz w:val="24"/>
          <w:highlight w:val="none"/>
        </w:rPr>
        <w:t>资格证明文件目录</w:t>
      </w:r>
    </w:p>
    <w:p w14:paraId="79A2B228">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根据招标文件规定及投标人提供的材料自行编写目录。</w:t>
      </w:r>
    </w:p>
    <w:p w14:paraId="3D955415">
      <w:pPr>
        <w:snapToGrid w:val="0"/>
        <w:spacing w:before="50" w:after="120" w:afterLines="50"/>
        <w:jc w:val="left"/>
        <w:rPr>
          <w:rFonts w:ascii="宋体" w:hAnsi="宋体" w:cs="宋体"/>
          <w:color w:val="auto"/>
          <w:sz w:val="24"/>
          <w:highlight w:val="none"/>
        </w:rPr>
      </w:pPr>
    </w:p>
    <w:p w14:paraId="6C6DA380">
      <w:pPr>
        <w:snapToGrid w:val="0"/>
        <w:spacing w:before="50" w:after="120" w:afterLines="50"/>
        <w:jc w:val="left"/>
        <w:rPr>
          <w:rFonts w:ascii="宋体" w:hAnsi="宋体" w:cs="宋体"/>
          <w:color w:val="auto"/>
          <w:sz w:val="24"/>
          <w:highlight w:val="none"/>
        </w:rPr>
      </w:pPr>
    </w:p>
    <w:p w14:paraId="2FC31B21">
      <w:pPr>
        <w:numPr>
          <w:ilvl w:val="-1"/>
          <w:numId w:val="0"/>
        </w:numPr>
        <w:snapToGrid/>
        <w:spacing w:before="0" w:beforeLines="-2147483648" w:after="0"/>
        <w:ind w:left="0" w:firstLine="0"/>
        <w:jc w:val="left"/>
        <w:rPr>
          <w:rFonts w:hint="default" w:ascii="宋体" w:hAnsi="宋体" w:eastAsia="宋体" w:cs="宋体"/>
          <w:b/>
          <w:color w:val="auto"/>
          <w:kern w:val="2"/>
          <w:sz w:val="24"/>
          <w:szCs w:val="24"/>
          <w:highlight w:val="none"/>
          <w:lang w:val="en-US" w:eastAsia="zh-CN" w:bidi="ar-SA"/>
        </w:rPr>
      </w:pPr>
      <w:r>
        <w:rPr>
          <w:rFonts w:hint="default" w:ascii="宋体" w:hAnsi="宋体" w:eastAsia="宋体" w:cs="宋体"/>
          <w:b/>
          <w:color w:val="auto"/>
          <w:kern w:val="2"/>
          <w:sz w:val="24"/>
          <w:szCs w:val="24"/>
          <w:highlight w:val="none"/>
          <w:lang w:val="en-US" w:eastAsia="zh-CN" w:bidi="ar-SA"/>
        </w:rPr>
        <w:br w:type="page"/>
      </w:r>
    </w:p>
    <w:p w14:paraId="22B6D4DF">
      <w:pPr>
        <w:numPr>
          <w:ilvl w:val="2"/>
          <w:numId w:val="0"/>
        </w:numPr>
        <w:snapToGrid w:val="0"/>
        <w:spacing w:before="120" w:beforeLines="50" w:after="50"/>
        <w:ind w:left="0" w:firstLine="0"/>
        <w:jc w:val="left"/>
        <w:rPr>
          <w:rFonts w:ascii="宋体" w:hAnsi="宋体" w:cs="宋体"/>
          <w:b/>
          <w:color w:val="auto"/>
          <w:sz w:val="24"/>
          <w:highlight w:val="none"/>
        </w:rPr>
      </w:pPr>
      <w:r>
        <w:rPr>
          <w:rFonts w:hint="default" w:ascii="宋体" w:hAnsi="宋体" w:eastAsia="宋体" w:cs="宋体"/>
          <w:b/>
          <w:color w:val="auto"/>
          <w:kern w:val="2"/>
          <w:sz w:val="24"/>
          <w:szCs w:val="24"/>
          <w:highlight w:val="none"/>
          <w:lang w:val="en-US" w:eastAsia="zh-CN" w:bidi="ar-SA"/>
        </w:rPr>
        <w:t>3.</w:t>
      </w:r>
      <w:r>
        <w:rPr>
          <w:rFonts w:hint="eastAsia" w:ascii="宋体" w:hAnsi="宋体" w:cs="宋体"/>
          <w:b/>
          <w:color w:val="auto"/>
          <w:sz w:val="28"/>
          <w:szCs w:val="28"/>
          <w:highlight w:val="none"/>
        </w:rPr>
        <w:t>投标人直接控股、管理关系信息表</w:t>
      </w:r>
    </w:p>
    <w:p w14:paraId="69F0FE6D">
      <w:pPr>
        <w:snapToGrid w:val="0"/>
        <w:spacing w:before="50" w:after="120" w:afterLines="50"/>
        <w:jc w:val="center"/>
        <w:rPr>
          <w:rFonts w:ascii="宋体" w:hAnsi="宋体" w:cs="宋体"/>
          <w:b/>
          <w:color w:val="auto"/>
          <w:sz w:val="28"/>
          <w:szCs w:val="28"/>
          <w:highlight w:val="none"/>
        </w:rPr>
      </w:pPr>
    </w:p>
    <w:p w14:paraId="473A0643">
      <w:pPr>
        <w:snapToGrid w:val="0"/>
        <w:spacing w:before="50" w:after="120" w:afterLines="50"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投标人直接控股股东信息表</w:t>
      </w:r>
    </w:p>
    <w:p w14:paraId="4821C266">
      <w:pPr>
        <w:snapToGrid w:val="0"/>
        <w:spacing w:line="360" w:lineRule="auto"/>
        <w:jc w:val="left"/>
        <w:rPr>
          <w:rFonts w:ascii="宋体" w:hAnsi="宋体" w:cs="宋体"/>
          <w:color w:val="auto"/>
          <w:sz w:val="24"/>
          <w:highlight w:val="none"/>
        </w:rPr>
      </w:pPr>
    </w:p>
    <w:tbl>
      <w:tblPr>
        <w:tblStyle w:val="22"/>
        <w:tblW w:w="9959" w:type="dxa"/>
        <w:tblInd w:w="0" w:type="dxa"/>
        <w:tblLayout w:type="fixed"/>
        <w:tblCellMar>
          <w:top w:w="0" w:type="dxa"/>
          <w:left w:w="0" w:type="dxa"/>
          <w:bottom w:w="0" w:type="dxa"/>
          <w:right w:w="0" w:type="dxa"/>
        </w:tblCellMar>
      </w:tblPr>
      <w:tblGrid>
        <w:gridCol w:w="1005"/>
        <w:gridCol w:w="2659"/>
        <w:gridCol w:w="1699"/>
        <w:gridCol w:w="2904"/>
        <w:gridCol w:w="1692"/>
      </w:tblGrid>
      <w:tr w14:paraId="4FDF9ED8">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02AD263">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652130E">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69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61ACFA3">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290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A91592B">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69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5005391">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BACDFCF">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A9A12F4">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B86185C">
            <w:pPr>
              <w:spacing w:line="360" w:lineRule="auto"/>
              <w:jc w:val="center"/>
              <w:rPr>
                <w:rFonts w:ascii="宋体" w:hAnsi="宋体" w:cs="宋体"/>
                <w:color w:val="auto"/>
                <w:kern w:val="0"/>
                <w:sz w:val="24"/>
                <w:highlight w:val="none"/>
              </w:rPr>
            </w:pPr>
          </w:p>
        </w:tc>
        <w:tc>
          <w:tcPr>
            <w:tcW w:w="169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F7A645F">
            <w:pPr>
              <w:spacing w:line="360" w:lineRule="auto"/>
              <w:jc w:val="center"/>
              <w:rPr>
                <w:rFonts w:ascii="宋体" w:hAnsi="宋体" w:cs="宋体"/>
                <w:color w:val="auto"/>
                <w:kern w:val="0"/>
                <w:sz w:val="24"/>
                <w:highlight w:val="none"/>
              </w:rPr>
            </w:pPr>
          </w:p>
        </w:tc>
        <w:tc>
          <w:tcPr>
            <w:tcW w:w="290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E11A9BE">
            <w:pPr>
              <w:spacing w:line="360" w:lineRule="auto"/>
              <w:jc w:val="center"/>
              <w:rPr>
                <w:rFonts w:ascii="宋体" w:hAnsi="宋体" w:cs="宋体"/>
                <w:color w:val="auto"/>
                <w:kern w:val="0"/>
                <w:sz w:val="24"/>
                <w:highlight w:val="none"/>
              </w:rPr>
            </w:pPr>
          </w:p>
        </w:tc>
        <w:tc>
          <w:tcPr>
            <w:tcW w:w="169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CA2D1A2">
            <w:pPr>
              <w:spacing w:line="360" w:lineRule="auto"/>
              <w:jc w:val="center"/>
              <w:rPr>
                <w:rFonts w:ascii="宋体" w:hAnsi="宋体" w:cs="宋体"/>
                <w:color w:val="auto"/>
                <w:kern w:val="0"/>
                <w:sz w:val="24"/>
                <w:highlight w:val="none"/>
              </w:rPr>
            </w:pPr>
          </w:p>
        </w:tc>
      </w:tr>
      <w:tr w14:paraId="2D41CB08">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602BAE7">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A6234F3">
            <w:pPr>
              <w:spacing w:line="360" w:lineRule="auto"/>
              <w:jc w:val="center"/>
              <w:rPr>
                <w:rFonts w:ascii="宋体" w:hAnsi="宋体" w:cs="宋体"/>
                <w:color w:val="auto"/>
                <w:kern w:val="0"/>
                <w:sz w:val="24"/>
                <w:highlight w:val="none"/>
              </w:rPr>
            </w:pPr>
          </w:p>
        </w:tc>
        <w:tc>
          <w:tcPr>
            <w:tcW w:w="169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854D566">
            <w:pPr>
              <w:spacing w:line="360" w:lineRule="auto"/>
              <w:jc w:val="center"/>
              <w:rPr>
                <w:rFonts w:ascii="宋体" w:hAnsi="宋体" w:cs="宋体"/>
                <w:color w:val="auto"/>
                <w:kern w:val="0"/>
                <w:sz w:val="24"/>
                <w:highlight w:val="none"/>
              </w:rPr>
            </w:pPr>
          </w:p>
        </w:tc>
        <w:tc>
          <w:tcPr>
            <w:tcW w:w="290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5BC99D4">
            <w:pPr>
              <w:spacing w:line="360" w:lineRule="auto"/>
              <w:jc w:val="center"/>
              <w:rPr>
                <w:rFonts w:ascii="宋体" w:hAnsi="宋体" w:cs="宋体"/>
                <w:color w:val="auto"/>
                <w:kern w:val="0"/>
                <w:sz w:val="24"/>
                <w:highlight w:val="none"/>
              </w:rPr>
            </w:pPr>
          </w:p>
        </w:tc>
        <w:tc>
          <w:tcPr>
            <w:tcW w:w="169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B5A8126">
            <w:pPr>
              <w:spacing w:line="360" w:lineRule="auto"/>
              <w:jc w:val="center"/>
              <w:rPr>
                <w:rFonts w:ascii="宋体" w:hAnsi="宋体" w:cs="宋体"/>
                <w:color w:val="auto"/>
                <w:kern w:val="0"/>
                <w:sz w:val="24"/>
                <w:highlight w:val="none"/>
              </w:rPr>
            </w:pPr>
          </w:p>
        </w:tc>
      </w:tr>
      <w:tr w14:paraId="5A0EB312">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D637047">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096FD05">
            <w:pPr>
              <w:spacing w:line="360" w:lineRule="auto"/>
              <w:jc w:val="center"/>
              <w:rPr>
                <w:rFonts w:ascii="宋体" w:hAnsi="宋体" w:cs="宋体"/>
                <w:color w:val="auto"/>
                <w:kern w:val="0"/>
                <w:sz w:val="24"/>
                <w:highlight w:val="none"/>
              </w:rPr>
            </w:pPr>
          </w:p>
        </w:tc>
        <w:tc>
          <w:tcPr>
            <w:tcW w:w="169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FF62089">
            <w:pPr>
              <w:spacing w:line="360" w:lineRule="auto"/>
              <w:jc w:val="center"/>
              <w:rPr>
                <w:rFonts w:ascii="宋体" w:hAnsi="宋体" w:cs="宋体"/>
                <w:color w:val="auto"/>
                <w:kern w:val="0"/>
                <w:sz w:val="24"/>
                <w:highlight w:val="none"/>
              </w:rPr>
            </w:pPr>
          </w:p>
        </w:tc>
        <w:tc>
          <w:tcPr>
            <w:tcW w:w="290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6D04FCA">
            <w:pPr>
              <w:spacing w:line="360" w:lineRule="auto"/>
              <w:jc w:val="center"/>
              <w:rPr>
                <w:rFonts w:ascii="宋体" w:hAnsi="宋体" w:cs="宋体"/>
                <w:color w:val="auto"/>
                <w:kern w:val="0"/>
                <w:sz w:val="24"/>
                <w:highlight w:val="none"/>
              </w:rPr>
            </w:pPr>
          </w:p>
        </w:tc>
        <w:tc>
          <w:tcPr>
            <w:tcW w:w="169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FFC0B8D">
            <w:pPr>
              <w:spacing w:line="360" w:lineRule="auto"/>
              <w:jc w:val="center"/>
              <w:rPr>
                <w:rFonts w:ascii="宋体" w:hAnsi="宋体" w:cs="宋体"/>
                <w:color w:val="auto"/>
                <w:kern w:val="0"/>
                <w:sz w:val="24"/>
                <w:highlight w:val="none"/>
              </w:rPr>
            </w:pPr>
          </w:p>
        </w:tc>
      </w:tr>
      <w:tr w14:paraId="1EBADA55">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F8360BB">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A84B046">
            <w:pPr>
              <w:spacing w:line="360" w:lineRule="auto"/>
              <w:jc w:val="center"/>
              <w:rPr>
                <w:rFonts w:ascii="宋体" w:hAnsi="宋体" w:cs="宋体"/>
                <w:color w:val="auto"/>
                <w:kern w:val="0"/>
                <w:sz w:val="24"/>
                <w:highlight w:val="none"/>
              </w:rPr>
            </w:pPr>
          </w:p>
        </w:tc>
        <w:tc>
          <w:tcPr>
            <w:tcW w:w="169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F789EC6">
            <w:pPr>
              <w:spacing w:line="360" w:lineRule="auto"/>
              <w:jc w:val="center"/>
              <w:rPr>
                <w:rFonts w:ascii="宋体" w:hAnsi="宋体" w:cs="宋体"/>
                <w:color w:val="auto"/>
                <w:kern w:val="0"/>
                <w:sz w:val="24"/>
                <w:highlight w:val="none"/>
              </w:rPr>
            </w:pPr>
          </w:p>
        </w:tc>
        <w:tc>
          <w:tcPr>
            <w:tcW w:w="290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A21BAC0">
            <w:pPr>
              <w:spacing w:line="360" w:lineRule="auto"/>
              <w:jc w:val="center"/>
              <w:rPr>
                <w:rFonts w:ascii="宋体" w:hAnsi="宋体" w:cs="宋体"/>
                <w:color w:val="auto"/>
                <w:kern w:val="0"/>
                <w:sz w:val="24"/>
                <w:highlight w:val="none"/>
              </w:rPr>
            </w:pPr>
          </w:p>
        </w:tc>
        <w:tc>
          <w:tcPr>
            <w:tcW w:w="169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E9F5524">
            <w:pPr>
              <w:spacing w:line="360" w:lineRule="auto"/>
              <w:jc w:val="center"/>
              <w:rPr>
                <w:rFonts w:ascii="宋体" w:hAnsi="宋体" w:cs="宋体"/>
                <w:color w:val="auto"/>
                <w:kern w:val="0"/>
                <w:sz w:val="24"/>
                <w:highlight w:val="none"/>
              </w:rPr>
            </w:pPr>
          </w:p>
        </w:tc>
      </w:tr>
    </w:tbl>
    <w:p w14:paraId="2CBCAC7B">
      <w:pPr>
        <w:pStyle w:val="19"/>
        <w:rPr>
          <w:rFonts w:ascii="宋体" w:hAnsi="宋体" w:cs="宋体"/>
          <w:color w:val="auto"/>
          <w:highlight w:val="none"/>
        </w:rPr>
      </w:pPr>
    </w:p>
    <w:p w14:paraId="55D626D5">
      <w:pPr>
        <w:snapToGrid w:val="0"/>
        <w:spacing w:line="360" w:lineRule="auto"/>
        <w:jc w:val="left"/>
        <w:rPr>
          <w:rFonts w:ascii="宋体" w:hAnsi="宋体" w:cs="宋体"/>
          <w:color w:val="auto"/>
          <w:sz w:val="24"/>
          <w:highlight w:val="none"/>
        </w:rPr>
      </w:pPr>
    </w:p>
    <w:p w14:paraId="30C54924">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0111B785">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B10A838">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14D57390">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3.供应商不存在直接控股股东的，则填“无”。</w:t>
      </w:r>
    </w:p>
    <w:p w14:paraId="27F00F78">
      <w:pPr>
        <w:snapToGrid w:val="0"/>
        <w:spacing w:line="360" w:lineRule="auto"/>
        <w:jc w:val="left"/>
        <w:rPr>
          <w:rFonts w:ascii="宋体" w:hAnsi="宋体" w:cs="宋体"/>
          <w:color w:val="auto"/>
          <w:sz w:val="24"/>
          <w:highlight w:val="none"/>
        </w:rPr>
      </w:pPr>
    </w:p>
    <w:p w14:paraId="7E7339D1">
      <w:pPr>
        <w:snapToGrid w:val="0"/>
        <w:spacing w:line="360" w:lineRule="auto"/>
        <w:jc w:val="left"/>
        <w:rPr>
          <w:rFonts w:ascii="宋体" w:hAnsi="宋体" w:cs="宋体"/>
          <w:color w:val="auto"/>
          <w:sz w:val="24"/>
          <w:highlight w:val="none"/>
        </w:rPr>
      </w:pPr>
    </w:p>
    <w:p w14:paraId="04AA2E0B">
      <w:pPr>
        <w:snapToGrid w:val="0"/>
        <w:spacing w:line="360" w:lineRule="auto"/>
        <w:jc w:val="left"/>
        <w:rPr>
          <w:rFonts w:ascii="宋体" w:hAnsi="宋体" w:cs="宋体"/>
          <w:color w:val="auto"/>
          <w:sz w:val="24"/>
          <w:highlight w:val="none"/>
        </w:rPr>
      </w:pPr>
    </w:p>
    <w:p w14:paraId="3CA2DE2F">
      <w:pPr>
        <w:snapToGrid w:val="0"/>
        <w:spacing w:line="360" w:lineRule="auto"/>
        <w:jc w:val="left"/>
        <w:rPr>
          <w:rFonts w:ascii="宋体" w:hAnsi="宋体" w:cs="宋体"/>
          <w:color w:val="auto"/>
          <w:sz w:val="24"/>
          <w:highlight w:val="none"/>
        </w:rPr>
      </w:pPr>
    </w:p>
    <w:p w14:paraId="425A994B">
      <w:pPr>
        <w:snapToGrid w:val="0"/>
        <w:spacing w:before="120" w:beforeLines="50" w:line="360" w:lineRule="auto"/>
        <w:ind w:right="480" w:firstLine="2880" w:firstLineChars="1200"/>
        <w:rPr>
          <w:rFonts w:ascii="宋体" w:hAnsi="宋体" w:cs="宋体"/>
          <w:color w:val="auto"/>
          <w:sz w:val="24"/>
          <w:highlight w:val="none"/>
          <w:u w:val="singl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p>
    <w:p w14:paraId="13EC0DAA">
      <w:pPr>
        <w:snapToGrid w:val="0"/>
        <w:spacing w:before="120" w:beforeLines="50" w:after="50" w:line="360" w:lineRule="auto"/>
        <w:ind w:right="480" w:firstLine="2880" w:firstLineChars="1200"/>
        <w:rPr>
          <w:rFonts w:ascii="宋体" w:hAnsi="宋体" w:cs="宋体"/>
          <w:color w:val="auto"/>
          <w:sz w:val="24"/>
          <w:highlight w:val="none"/>
          <w:u w:val="single"/>
        </w:rPr>
      </w:pPr>
      <w:r>
        <w:rPr>
          <w:rFonts w:hint="eastAsia" w:ascii="宋体" w:hAnsi="宋体" w:cs="宋体"/>
          <w:color w:val="auto"/>
          <w:sz w:val="24"/>
          <w:highlight w:val="none"/>
          <w:lang w:val="zh-CN"/>
        </w:rPr>
        <w:t>投标人名称(电子签章)：</w:t>
      </w:r>
      <w:r>
        <w:rPr>
          <w:rFonts w:hint="eastAsia" w:ascii="宋体" w:hAnsi="宋体" w:cs="宋体"/>
          <w:color w:val="auto"/>
          <w:sz w:val="24"/>
          <w:highlight w:val="none"/>
          <w:u w:val="single"/>
        </w:rPr>
        <w:t xml:space="preserve">            </w:t>
      </w:r>
    </w:p>
    <w:p w14:paraId="71B85F75">
      <w:pPr>
        <w:snapToGrid w:val="0"/>
        <w:spacing w:before="120" w:beforeLines="50" w:after="50" w:line="360" w:lineRule="auto"/>
        <w:ind w:right="480" w:firstLine="5520" w:firstLineChars="2300"/>
        <w:rPr>
          <w:rFonts w:ascii="宋体" w:hAnsi="宋体" w:cs="宋体"/>
          <w:color w:val="auto"/>
          <w:szCs w:val="21"/>
          <w:highlight w:val="none"/>
        </w:rPr>
      </w:pPr>
      <w:r>
        <w:rPr>
          <w:rFonts w:hint="eastAsia" w:ascii="宋体" w:hAnsi="宋体" w:cs="宋体"/>
          <w:color w:val="auto"/>
          <w:sz w:val="24"/>
          <w:highlight w:val="none"/>
        </w:rPr>
        <w:t>年    月    日</w:t>
      </w:r>
    </w:p>
    <w:p w14:paraId="1A9C8132">
      <w:pPr>
        <w:snapToGrid w:val="0"/>
        <w:spacing w:line="360" w:lineRule="auto"/>
        <w:jc w:val="center"/>
        <w:rPr>
          <w:rFonts w:ascii="宋体" w:hAnsi="宋体" w:cs="宋体"/>
          <w:color w:val="auto"/>
          <w:sz w:val="32"/>
          <w:szCs w:val="32"/>
          <w:highlight w:val="none"/>
        </w:rPr>
      </w:pPr>
      <w:r>
        <w:rPr>
          <w:rFonts w:hint="eastAsia" w:ascii="宋体" w:hAnsi="宋体" w:cs="宋体"/>
          <w:b/>
          <w:color w:val="auto"/>
          <w:sz w:val="32"/>
          <w:szCs w:val="32"/>
          <w:highlight w:val="none"/>
        </w:rPr>
        <w:t>投标人直接管理关系信息表</w:t>
      </w:r>
    </w:p>
    <w:tbl>
      <w:tblPr>
        <w:tblStyle w:val="22"/>
        <w:tblW w:w="0" w:type="auto"/>
        <w:tblInd w:w="0" w:type="dxa"/>
        <w:tblLayout w:type="fixed"/>
        <w:tblCellMar>
          <w:top w:w="0" w:type="dxa"/>
          <w:left w:w="0" w:type="dxa"/>
          <w:bottom w:w="0" w:type="dxa"/>
          <w:right w:w="0" w:type="dxa"/>
        </w:tblCellMar>
      </w:tblPr>
      <w:tblGrid>
        <w:gridCol w:w="1005"/>
        <w:gridCol w:w="2659"/>
        <w:gridCol w:w="3924"/>
        <w:gridCol w:w="2064"/>
      </w:tblGrid>
      <w:tr w14:paraId="56B23187">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79F7362">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C0068CE">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4449F4C">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1017CAD">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2DB97905">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74A00FB">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CA7B887">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C60766E">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40D0792">
            <w:pPr>
              <w:spacing w:line="360" w:lineRule="auto"/>
              <w:jc w:val="center"/>
              <w:rPr>
                <w:rFonts w:ascii="宋体" w:hAnsi="宋体" w:cs="宋体"/>
                <w:color w:val="auto"/>
                <w:kern w:val="0"/>
                <w:sz w:val="24"/>
                <w:highlight w:val="none"/>
              </w:rPr>
            </w:pPr>
          </w:p>
        </w:tc>
      </w:tr>
      <w:tr w14:paraId="177FF22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D5FF81C">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EA64676">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AB2B5DA">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9C4E992">
            <w:pPr>
              <w:spacing w:line="360" w:lineRule="auto"/>
              <w:jc w:val="center"/>
              <w:rPr>
                <w:rFonts w:ascii="宋体" w:hAnsi="宋体" w:cs="宋体"/>
                <w:color w:val="auto"/>
                <w:kern w:val="0"/>
                <w:sz w:val="24"/>
                <w:highlight w:val="none"/>
              </w:rPr>
            </w:pPr>
          </w:p>
        </w:tc>
      </w:tr>
      <w:tr w14:paraId="70A55C3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649E161">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AEF7947">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C021410">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4C31266">
            <w:pPr>
              <w:spacing w:line="360" w:lineRule="auto"/>
              <w:jc w:val="center"/>
              <w:rPr>
                <w:rFonts w:ascii="宋体" w:hAnsi="宋体" w:cs="宋体"/>
                <w:color w:val="auto"/>
                <w:kern w:val="0"/>
                <w:sz w:val="24"/>
                <w:highlight w:val="none"/>
              </w:rPr>
            </w:pPr>
          </w:p>
        </w:tc>
      </w:tr>
      <w:tr w14:paraId="08CEB66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965804B">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9A4CF07">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3D024B7">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83FF330">
            <w:pPr>
              <w:spacing w:line="360" w:lineRule="auto"/>
              <w:jc w:val="center"/>
              <w:rPr>
                <w:rFonts w:ascii="宋体" w:hAnsi="宋体" w:cs="宋体"/>
                <w:color w:val="auto"/>
                <w:kern w:val="0"/>
                <w:sz w:val="24"/>
                <w:highlight w:val="none"/>
              </w:rPr>
            </w:pPr>
          </w:p>
        </w:tc>
      </w:tr>
    </w:tbl>
    <w:p w14:paraId="348A9E15">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56A56787">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1.管理关系：是指不具有出资持股关系的其他单位之间存在的管理与被管理关系，如一些上下级关系的事业单位和团体组织。</w:t>
      </w:r>
    </w:p>
    <w:p w14:paraId="5CAFDF8A">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pacing w:val="-6"/>
          <w:sz w:val="24"/>
          <w:highlight w:val="none"/>
        </w:rPr>
        <w:t>本表所指的管理关系仅限于直接管理关系，不包括间接的管理关系。</w:t>
      </w:r>
    </w:p>
    <w:p w14:paraId="181912F4">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3.供应商不存在直接管理关系的，则填“无”。</w:t>
      </w:r>
    </w:p>
    <w:p w14:paraId="454B1B7D">
      <w:pPr>
        <w:snapToGrid w:val="0"/>
        <w:spacing w:line="360" w:lineRule="auto"/>
        <w:jc w:val="left"/>
        <w:rPr>
          <w:rFonts w:ascii="宋体" w:hAnsi="宋体" w:cs="宋体"/>
          <w:color w:val="auto"/>
          <w:sz w:val="24"/>
          <w:highlight w:val="none"/>
        </w:rPr>
      </w:pPr>
    </w:p>
    <w:p w14:paraId="0DAA168C">
      <w:pPr>
        <w:snapToGrid w:val="0"/>
        <w:spacing w:line="360" w:lineRule="auto"/>
        <w:jc w:val="left"/>
        <w:rPr>
          <w:rFonts w:ascii="宋体" w:hAnsi="宋体" w:cs="宋体"/>
          <w:color w:val="auto"/>
          <w:sz w:val="24"/>
          <w:highlight w:val="none"/>
        </w:rPr>
      </w:pPr>
    </w:p>
    <w:p w14:paraId="1F6CD856">
      <w:pPr>
        <w:snapToGrid w:val="0"/>
        <w:spacing w:line="360" w:lineRule="auto"/>
        <w:jc w:val="left"/>
        <w:rPr>
          <w:rFonts w:ascii="宋体" w:hAnsi="宋体" w:cs="宋体"/>
          <w:color w:val="auto"/>
          <w:sz w:val="24"/>
          <w:highlight w:val="none"/>
        </w:rPr>
      </w:pPr>
    </w:p>
    <w:p w14:paraId="00625FF1">
      <w:pPr>
        <w:snapToGrid w:val="0"/>
        <w:spacing w:line="360" w:lineRule="auto"/>
        <w:jc w:val="left"/>
        <w:rPr>
          <w:rFonts w:ascii="宋体" w:hAnsi="宋体" w:cs="宋体"/>
          <w:color w:val="auto"/>
          <w:sz w:val="24"/>
          <w:highlight w:val="none"/>
        </w:rPr>
      </w:pPr>
    </w:p>
    <w:p w14:paraId="4D3B81DB">
      <w:pPr>
        <w:snapToGrid w:val="0"/>
        <w:spacing w:line="360" w:lineRule="auto"/>
        <w:jc w:val="left"/>
        <w:rPr>
          <w:rFonts w:ascii="宋体" w:hAnsi="宋体" w:cs="宋体"/>
          <w:color w:val="auto"/>
          <w:sz w:val="24"/>
          <w:highlight w:val="none"/>
        </w:rPr>
      </w:pPr>
    </w:p>
    <w:p w14:paraId="575109E3">
      <w:pPr>
        <w:snapToGrid w:val="0"/>
        <w:spacing w:line="360" w:lineRule="auto"/>
        <w:jc w:val="left"/>
        <w:rPr>
          <w:rFonts w:ascii="宋体" w:hAnsi="宋体" w:cs="宋体"/>
          <w:color w:val="auto"/>
          <w:sz w:val="24"/>
          <w:highlight w:val="none"/>
        </w:rPr>
      </w:pPr>
    </w:p>
    <w:p w14:paraId="209777A5">
      <w:pPr>
        <w:snapToGrid w:val="0"/>
        <w:spacing w:line="360" w:lineRule="auto"/>
        <w:jc w:val="left"/>
        <w:rPr>
          <w:rFonts w:ascii="宋体" w:hAnsi="宋体" w:cs="宋体"/>
          <w:color w:val="auto"/>
          <w:sz w:val="24"/>
          <w:highlight w:val="none"/>
        </w:rPr>
      </w:pPr>
    </w:p>
    <w:p w14:paraId="3FA15447">
      <w:pPr>
        <w:snapToGrid w:val="0"/>
        <w:spacing w:before="120" w:beforeLines="50" w:line="360" w:lineRule="auto"/>
        <w:ind w:right="480" w:firstLine="2880" w:firstLineChars="1200"/>
        <w:rPr>
          <w:rFonts w:ascii="宋体" w:hAnsi="宋体" w:cs="宋体"/>
          <w:color w:val="auto"/>
          <w:sz w:val="24"/>
          <w:highlight w:val="none"/>
          <w:u w:val="singl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p>
    <w:p w14:paraId="67454EEA">
      <w:pPr>
        <w:snapToGrid w:val="0"/>
        <w:spacing w:before="120" w:beforeLines="50" w:after="50" w:line="360" w:lineRule="auto"/>
        <w:ind w:right="480" w:firstLine="2880" w:firstLineChars="1200"/>
        <w:rPr>
          <w:rFonts w:ascii="宋体" w:hAnsi="宋体" w:cs="宋体"/>
          <w:color w:val="auto"/>
          <w:sz w:val="24"/>
          <w:highlight w:val="none"/>
          <w:u w:val="single"/>
        </w:rPr>
      </w:pPr>
      <w:r>
        <w:rPr>
          <w:rFonts w:hint="eastAsia" w:ascii="宋体" w:hAnsi="宋体" w:cs="宋体"/>
          <w:color w:val="auto"/>
          <w:sz w:val="24"/>
          <w:highlight w:val="none"/>
          <w:lang w:val="zh-CN"/>
        </w:rPr>
        <w:t>投标人名称(电子签章)：</w:t>
      </w:r>
      <w:r>
        <w:rPr>
          <w:rFonts w:hint="eastAsia" w:ascii="宋体" w:hAnsi="宋体" w:cs="宋体"/>
          <w:color w:val="auto"/>
          <w:sz w:val="24"/>
          <w:highlight w:val="none"/>
          <w:u w:val="single"/>
        </w:rPr>
        <w:t xml:space="preserve">            </w:t>
      </w:r>
    </w:p>
    <w:p w14:paraId="6EFF1C6A">
      <w:pPr>
        <w:snapToGrid w:val="0"/>
        <w:spacing w:before="120" w:beforeLines="50" w:after="50" w:line="360" w:lineRule="auto"/>
        <w:ind w:right="480" w:firstLine="5520" w:firstLineChars="2300"/>
        <w:rPr>
          <w:rFonts w:ascii="宋体" w:hAnsi="宋体" w:cs="宋体"/>
          <w:color w:val="auto"/>
          <w:szCs w:val="21"/>
          <w:highlight w:val="none"/>
        </w:rPr>
      </w:pPr>
      <w:r>
        <w:rPr>
          <w:rFonts w:hint="eastAsia" w:ascii="宋体" w:hAnsi="宋体" w:cs="宋体"/>
          <w:color w:val="auto"/>
          <w:sz w:val="24"/>
          <w:highlight w:val="none"/>
        </w:rPr>
        <w:t>年    月    日</w:t>
      </w:r>
    </w:p>
    <w:p w14:paraId="79384930">
      <w:pPr>
        <w:snapToGrid w:val="0"/>
        <w:spacing w:before="50" w:after="120" w:afterLines="50"/>
        <w:jc w:val="left"/>
        <w:rPr>
          <w:rFonts w:ascii="宋体" w:hAnsi="宋体" w:cs="宋体"/>
          <w:color w:val="auto"/>
          <w:szCs w:val="21"/>
          <w:highlight w:val="none"/>
        </w:rPr>
      </w:pPr>
    </w:p>
    <w:p w14:paraId="2850518E">
      <w:pPr>
        <w:snapToGrid w:val="0"/>
        <w:spacing w:before="120" w:beforeLines="50" w:after="50"/>
        <w:jc w:val="left"/>
        <w:rPr>
          <w:rFonts w:ascii="宋体" w:hAnsi="宋体" w:cs="宋体"/>
          <w:b/>
          <w:color w:val="auto"/>
          <w:sz w:val="24"/>
          <w:szCs w:val="20"/>
          <w:highlight w:val="none"/>
        </w:rPr>
      </w:pPr>
    </w:p>
    <w:p w14:paraId="2E7B1811">
      <w:pPr>
        <w:numPr>
          <w:ilvl w:val="-1"/>
          <w:numId w:val="0"/>
        </w:numPr>
        <w:snapToGrid/>
        <w:spacing w:before="0" w:beforeLines="-2147483648" w:after="0"/>
        <w:ind w:left="0" w:firstLine="0"/>
        <w:jc w:val="left"/>
        <w:rPr>
          <w:rFonts w:hint="default" w:ascii="宋体" w:hAnsi="宋体" w:eastAsia="宋体" w:cs="宋体"/>
          <w:b/>
          <w:color w:val="auto"/>
          <w:kern w:val="2"/>
          <w:sz w:val="24"/>
          <w:szCs w:val="24"/>
          <w:highlight w:val="none"/>
          <w:lang w:val="en-US" w:eastAsia="zh-CN" w:bidi="ar-SA"/>
        </w:rPr>
      </w:pPr>
      <w:r>
        <w:rPr>
          <w:rFonts w:hint="default" w:ascii="宋体" w:hAnsi="宋体" w:eastAsia="宋体" w:cs="宋体"/>
          <w:b/>
          <w:color w:val="auto"/>
          <w:kern w:val="2"/>
          <w:sz w:val="24"/>
          <w:szCs w:val="24"/>
          <w:highlight w:val="none"/>
          <w:lang w:val="en-US" w:eastAsia="zh-CN" w:bidi="ar-SA"/>
        </w:rPr>
        <w:br w:type="page"/>
      </w:r>
    </w:p>
    <w:p w14:paraId="467EDD16">
      <w:pPr>
        <w:numPr>
          <w:ilvl w:val="2"/>
          <w:numId w:val="0"/>
        </w:numPr>
        <w:snapToGrid w:val="0"/>
        <w:spacing w:before="120" w:beforeLines="50" w:after="50"/>
        <w:ind w:left="0" w:firstLine="0"/>
        <w:jc w:val="left"/>
        <w:rPr>
          <w:rFonts w:ascii="宋体" w:hAnsi="宋体" w:cs="宋体"/>
          <w:b/>
          <w:color w:val="auto"/>
          <w:sz w:val="24"/>
          <w:szCs w:val="20"/>
          <w:highlight w:val="none"/>
        </w:rPr>
      </w:pPr>
      <w:r>
        <w:rPr>
          <w:rFonts w:hint="eastAsia" w:ascii="宋体" w:hAnsi="宋体" w:cs="宋体"/>
          <w:b/>
          <w:color w:val="auto"/>
          <w:kern w:val="2"/>
          <w:sz w:val="24"/>
          <w:szCs w:val="24"/>
          <w:highlight w:val="none"/>
          <w:lang w:val="en-US" w:eastAsia="zh-CN" w:bidi="ar-SA"/>
        </w:rPr>
        <w:t>4</w:t>
      </w:r>
      <w:r>
        <w:rPr>
          <w:rFonts w:hint="default" w:ascii="宋体" w:hAnsi="宋体" w:eastAsia="宋体" w:cs="宋体"/>
          <w:b/>
          <w:color w:val="auto"/>
          <w:kern w:val="2"/>
          <w:sz w:val="24"/>
          <w:szCs w:val="24"/>
          <w:highlight w:val="none"/>
          <w:lang w:val="en-US" w:eastAsia="zh-CN" w:bidi="ar-SA"/>
        </w:rPr>
        <w:t>.</w:t>
      </w:r>
      <w:r>
        <w:rPr>
          <w:rFonts w:hint="eastAsia" w:ascii="宋体" w:hAnsi="宋体" w:cs="宋体"/>
          <w:b/>
          <w:color w:val="auto"/>
          <w:sz w:val="24"/>
          <w:highlight w:val="none"/>
        </w:rPr>
        <w:t>投标声明格式</w:t>
      </w:r>
    </w:p>
    <w:p w14:paraId="52012607">
      <w:pPr>
        <w:snapToGrid w:val="0"/>
        <w:spacing w:before="50" w:after="120" w:afterLines="50"/>
        <w:jc w:val="left"/>
        <w:rPr>
          <w:rFonts w:ascii="宋体" w:hAnsi="宋体" w:cs="宋体"/>
          <w:color w:val="auto"/>
          <w:highlight w:val="none"/>
        </w:rPr>
      </w:pPr>
    </w:p>
    <w:p w14:paraId="73F52C9A">
      <w:pPr>
        <w:snapToGrid w:val="0"/>
        <w:spacing w:before="50" w:after="120" w:afterLines="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投标声明</w:t>
      </w:r>
    </w:p>
    <w:p w14:paraId="43111F85">
      <w:pPr>
        <w:snapToGrid w:val="0"/>
        <w:spacing w:before="50" w:after="120" w:afterLines="50"/>
        <w:jc w:val="center"/>
        <w:rPr>
          <w:rFonts w:ascii="宋体" w:hAnsi="宋体" w:cs="宋体"/>
          <w:bCs/>
          <w:color w:val="auto"/>
          <w:sz w:val="44"/>
          <w:szCs w:val="44"/>
          <w:highlight w:val="none"/>
        </w:rPr>
      </w:pPr>
    </w:p>
    <w:p w14:paraId="15987B19">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（采购人名称）：</w:t>
      </w:r>
    </w:p>
    <w:p w14:paraId="17DE1C71">
      <w:pPr>
        <w:spacing w:line="400" w:lineRule="exact"/>
        <w:ind w:firstLine="523" w:firstLineChars="218"/>
        <w:contextualSpacing/>
        <w:jc w:val="left"/>
        <w:rPr>
          <w:rFonts w:ascii="宋体" w:hAnsi="宋体" w:cs="宋体"/>
          <w:color w:val="auto"/>
          <w:sz w:val="24"/>
          <w:highlight w:val="none"/>
        </w:rPr>
      </w:pPr>
      <w:r>
        <w:rPr>
          <w:rFonts w:hint="eastAsia" w:ascii="宋体" w:hAnsi="宋体" w:cs="宋体"/>
          <w:color w:val="auto"/>
          <w:sz w:val="24"/>
          <w:highlight w:val="none"/>
        </w:rPr>
        <w:t>我方参加贵单位组织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）的政府采购活动。我方在此郑重声明：</w:t>
      </w:r>
    </w:p>
    <w:p w14:paraId="2A85A8FD">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AA0FC70">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2.我方不是为本次采购项目提供整体设计、规范编制或者项目管理、监理、检测等服务的供应商。</w:t>
      </w:r>
    </w:p>
    <w:p w14:paraId="206FD4B2">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 我方承诺符合《中华人民共和国政府采购法》第二十二条规定：</w:t>
      </w:r>
    </w:p>
    <w:p w14:paraId="66944EDF">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（一）具有独立承担民事责任的能力；</w:t>
      </w:r>
    </w:p>
    <w:p w14:paraId="695F9F17">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（二）具有良好的商业信誉和健全的财务会计制度；</w:t>
      </w:r>
    </w:p>
    <w:p w14:paraId="7526B805">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（三）具有履行合同所必需的设备和专业技术能力；</w:t>
      </w:r>
    </w:p>
    <w:p w14:paraId="2C05055C">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（四）有依法缴纳税收和社会保障资金的良好记录；</w:t>
      </w:r>
    </w:p>
    <w:p w14:paraId="6DC42A1B">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（五）参加政府采购活动前三年内，在经营活动中没有重大违法记录；</w:t>
      </w:r>
    </w:p>
    <w:p w14:paraId="595C24C3">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（六）法律、行政法规规定的其他条件。</w:t>
      </w:r>
    </w:p>
    <w:p w14:paraId="6B4AE351">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4.以上事项如有虚假或者隐瞒，我方愿意承担一切后果，并不再寻求任何旨在减轻或者免除法律责任的辩解。</w:t>
      </w:r>
    </w:p>
    <w:p w14:paraId="594D6864">
      <w:pPr>
        <w:spacing w:line="400" w:lineRule="exact"/>
        <w:ind w:firstLine="480" w:firstLineChars="200"/>
        <w:contextualSpacing/>
        <w:jc w:val="left"/>
        <w:rPr>
          <w:rFonts w:ascii="宋体" w:hAnsi="宋体" w:cs="宋体"/>
          <w:color w:val="auto"/>
          <w:sz w:val="24"/>
          <w:highlight w:val="none"/>
          <w:u w:val="single"/>
        </w:rPr>
      </w:pPr>
      <w:r>
        <w:rPr>
          <w:rFonts w:hint="eastAsia" w:ascii="宋体" w:hAnsi="宋体" w:cs="宋体"/>
          <w:color w:val="auto"/>
          <w:sz w:val="24"/>
          <w:highlight w:val="none"/>
        </w:rPr>
        <w:t>5.与本谈判有关的一切正式往来信函请寄：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邮政编号：</w:t>
      </w:r>
      <w:r>
        <w:rPr>
          <w:rFonts w:hint="eastAsia" w:ascii="宋体" w:hAnsi="宋体" w:cs="宋体"/>
          <w:color w:val="auto"/>
          <w:sz w:val="24"/>
          <w:highlight w:val="none"/>
          <w:u w:val="single"/>
        </w:rPr>
        <w:t xml:space="preserve">    </w:t>
      </w:r>
    </w:p>
    <w:p w14:paraId="030B2A73">
      <w:pPr>
        <w:pStyle w:val="13"/>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邮箱</w:t>
      </w:r>
      <w:r>
        <w:rPr>
          <w:rFonts w:hint="eastAsia" w:hAnsi="宋体" w:cs="宋体"/>
          <w:color w:val="auto"/>
          <w:sz w:val="24"/>
          <w:highlight w:val="none"/>
        </w:rPr>
        <w:t>/</w:t>
      </w:r>
      <w:r>
        <w:rPr>
          <w:rFonts w:hint="eastAsia" w:hAnsi="宋体" w:cs="宋体"/>
          <w:color w:val="auto"/>
          <w:sz w:val="24"/>
          <w:szCs w:val="24"/>
          <w:highlight w:val="none"/>
        </w:rPr>
        <w:t>电子函件：</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1D6A6BDA">
      <w:pPr>
        <w:pStyle w:val="12"/>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账号/行号：</w:t>
      </w:r>
      <w:r>
        <w:rPr>
          <w:rFonts w:hint="eastAsia" w:ascii="宋体" w:hAnsi="宋体" w:cs="宋体"/>
          <w:color w:val="auto"/>
          <w:sz w:val="24"/>
          <w:highlight w:val="none"/>
          <w:u w:val="single"/>
        </w:rPr>
        <w:t xml:space="preserve">           </w:t>
      </w:r>
    </w:p>
    <w:p w14:paraId="1E25D578">
      <w:pPr>
        <w:pStyle w:val="19"/>
        <w:rPr>
          <w:rFonts w:ascii="宋体" w:hAnsi="宋体" w:cs="宋体"/>
          <w:color w:val="auto"/>
          <w:highlight w:val="none"/>
        </w:rPr>
      </w:pPr>
    </w:p>
    <w:p w14:paraId="5F1BA5E8">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特此承诺。</w:t>
      </w:r>
    </w:p>
    <w:p w14:paraId="506464CC">
      <w:pPr>
        <w:spacing w:line="400" w:lineRule="exact"/>
        <w:contextualSpacing/>
        <w:jc w:val="left"/>
        <w:rPr>
          <w:rFonts w:ascii="宋体" w:hAnsi="宋体" w:cs="宋体"/>
          <w:b/>
          <w:color w:val="auto"/>
          <w:sz w:val="24"/>
          <w:highlight w:val="none"/>
        </w:rPr>
      </w:pPr>
      <w:r>
        <w:rPr>
          <w:rFonts w:hint="eastAsia" w:ascii="宋体" w:hAnsi="宋体" w:cs="宋体"/>
          <w:b/>
          <w:color w:val="auto"/>
          <w:sz w:val="24"/>
          <w:highlight w:val="none"/>
        </w:rPr>
        <w:t xml:space="preserve">    注：如为联合体投标，盖章处须加盖联合体各方公章并由联合体各方法定代表人分别签字，否则投标无效。</w:t>
      </w:r>
    </w:p>
    <w:p w14:paraId="53F87E1A">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法定代表人（签字）：</w:t>
      </w:r>
      <w:r>
        <w:rPr>
          <w:rFonts w:hint="eastAsia" w:ascii="宋体" w:hAnsi="宋体" w:cs="宋体"/>
          <w:color w:val="auto"/>
          <w:sz w:val="24"/>
          <w:highlight w:val="none"/>
          <w:u w:val="single"/>
        </w:rPr>
        <w:t xml:space="preserve">             </w:t>
      </w:r>
    </w:p>
    <w:p w14:paraId="47171750">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投标人名称(电子签章)：</w:t>
      </w:r>
      <w:r>
        <w:rPr>
          <w:rFonts w:hint="eastAsia" w:ascii="宋体" w:hAnsi="宋体" w:cs="宋体"/>
          <w:color w:val="auto"/>
          <w:sz w:val="24"/>
          <w:highlight w:val="none"/>
          <w:u w:val="single"/>
        </w:rPr>
        <w:t xml:space="preserve">         </w:t>
      </w:r>
    </w:p>
    <w:p w14:paraId="33D13BA5">
      <w:pPr>
        <w:spacing w:line="400" w:lineRule="exact"/>
        <w:contextualSpacing/>
        <w:jc w:val="left"/>
        <w:rPr>
          <w:rFonts w:ascii="宋体" w:hAnsi="宋体" w:cs="宋体"/>
          <w:color w:val="auto"/>
          <w:highlight w:val="none"/>
        </w:rPr>
      </w:pPr>
      <w:r>
        <w:rPr>
          <w:rFonts w:hint="eastAsia" w:ascii="宋体" w:hAnsi="宋体" w:cs="宋体"/>
          <w:color w:val="auto"/>
          <w:sz w:val="24"/>
          <w:highlight w:val="none"/>
        </w:rPr>
        <w:t xml:space="preserve">                                                  年    月    日</w:t>
      </w:r>
    </w:p>
    <w:p w14:paraId="4CE8B64B">
      <w:pPr>
        <w:rPr>
          <w:rFonts w:hint="eastAsia" w:ascii="宋体" w:hAnsi="宋体" w:cs="宋体"/>
          <w:b/>
          <w:color w:val="auto"/>
          <w:sz w:val="28"/>
          <w:szCs w:val="28"/>
          <w:highlight w:val="none"/>
        </w:rPr>
      </w:pPr>
      <w:bookmarkStart w:id="163" w:name="_Toc19686838"/>
      <w:r>
        <w:rPr>
          <w:rFonts w:hint="eastAsia" w:ascii="宋体" w:hAnsi="宋体" w:cs="宋体"/>
          <w:b/>
          <w:color w:val="auto"/>
          <w:sz w:val="28"/>
          <w:szCs w:val="28"/>
          <w:highlight w:val="none"/>
        </w:rPr>
        <w:br w:type="page"/>
      </w:r>
    </w:p>
    <w:p w14:paraId="43721A52">
      <w:pPr>
        <w:numPr>
          <w:ilvl w:val="2"/>
          <w:numId w:val="0"/>
        </w:numPr>
        <w:snapToGrid w:val="0"/>
        <w:spacing w:before="120" w:beforeLines="50" w:after="50"/>
        <w:ind w:left="0" w:firstLine="0"/>
        <w:jc w:val="left"/>
        <w:rPr>
          <w:rFonts w:ascii="宋体" w:hAnsi="宋体" w:cs="宋体"/>
          <w:b/>
          <w:color w:val="auto"/>
          <w:sz w:val="24"/>
          <w:szCs w:val="20"/>
          <w:highlight w:val="none"/>
        </w:rPr>
      </w:pPr>
      <w:r>
        <w:rPr>
          <w:rFonts w:hint="eastAsia" w:ascii="宋体" w:hAnsi="宋体" w:cs="宋体"/>
          <w:b/>
          <w:color w:val="auto"/>
          <w:kern w:val="2"/>
          <w:sz w:val="24"/>
          <w:szCs w:val="24"/>
          <w:highlight w:val="none"/>
          <w:lang w:val="en-US" w:eastAsia="zh-CN" w:bidi="ar-SA"/>
        </w:rPr>
        <w:t>5</w:t>
      </w:r>
      <w:r>
        <w:rPr>
          <w:rFonts w:hint="default" w:ascii="宋体" w:hAnsi="宋体" w:eastAsia="宋体" w:cs="宋体"/>
          <w:b/>
          <w:color w:val="auto"/>
          <w:kern w:val="2"/>
          <w:sz w:val="24"/>
          <w:szCs w:val="24"/>
          <w:highlight w:val="none"/>
          <w:lang w:val="en-US" w:eastAsia="zh-CN" w:bidi="ar-SA"/>
        </w:rPr>
        <w:t>.中小企业声明函或者残疾人福利性单位声明函或者供应商属于监狱企业的需提供由省级以上监狱管理局、戒毒管理局（含新疆生产建设兵团）出具的属于监狱企业的证明文件</w:t>
      </w:r>
    </w:p>
    <w:p w14:paraId="363794DB">
      <w:pPr>
        <w:snapToGrid w:val="0"/>
        <w:spacing w:before="50" w:after="120" w:afterLines="50"/>
        <w:jc w:val="left"/>
        <w:rPr>
          <w:rFonts w:ascii="宋体" w:hAnsi="宋体" w:cs="宋体"/>
          <w:color w:val="auto"/>
          <w:highlight w:val="none"/>
        </w:rPr>
      </w:pPr>
    </w:p>
    <w:p w14:paraId="655E1337">
      <w:pPr>
        <w:spacing w:line="300" w:lineRule="auto"/>
        <w:ind w:firstLine="1200" w:firstLineChars="500"/>
        <w:rPr>
          <w:rFonts w:hint="eastAsia" w:ascii="宋体" w:hAnsi="宋体" w:eastAsia="宋体" w:cs="宋体"/>
          <w:color w:val="auto"/>
          <w:kern w:val="0"/>
          <w:sz w:val="24"/>
          <w:highlight w:val="none"/>
          <w:lang w:val="zh-CN"/>
        </w:rPr>
      </w:pPr>
    </w:p>
    <w:p w14:paraId="118BE83A">
      <w:pPr>
        <w:spacing w:line="300" w:lineRule="auto"/>
        <w:ind w:firstLine="2200" w:firstLineChars="500"/>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lang w:bidi="ar"/>
        </w:rPr>
        <w:t>中小企业声明函（服务）</w:t>
      </w:r>
    </w:p>
    <w:p w14:paraId="2356CA6A">
      <w:pPr>
        <w:pStyle w:val="20"/>
        <w:spacing w:line="360" w:lineRule="auto"/>
        <w:ind w:left="-426" w:right="142" w:firstLine="640"/>
        <w:contextualSpacing/>
        <w:rPr>
          <w:rFonts w:hint="eastAsia" w:ascii="宋体" w:hAnsi="宋体" w:eastAsia="宋体" w:cs="宋体"/>
          <w:color w:val="auto"/>
          <w:highlight w:val="none"/>
        </w:rPr>
      </w:pPr>
      <w:r>
        <w:rPr>
          <w:rFonts w:hint="eastAsia" w:ascii="宋体" w:hAnsi="宋体" w:eastAsia="宋体" w:cs="宋体"/>
          <w:color w:val="auto"/>
          <w:kern w:val="2"/>
          <w:highlight w:val="none"/>
          <w:lang w:bidi="ar"/>
        </w:rPr>
        <w:t>本公司（联合体）郑重声明，根据《政府采购促进中小企业发展管理办法》（财库﹝2020﹞46号）的规定，本公司（联合体）参加</w:t>
      </w:r>
      <w:r>
        <w:rPr>
          <w:rFonts w:hint="eastAsia" w:ascii="宋体" w:hAnsi="宋体" w:eastAsia="宋体" w:cs="宋体"/>
          <w:color w:val="auto"/>
          <w:kern w:val="2"/>
          <w:highlight w:val="none"/>
          <w:u w:val="single"/>
          <w:lang w:bidi="ar"/>
        </w:rPr>
        <w:t>（单位名称）</w:t>
      </w:r>
      <w:r>
        <w:rPr>
          <w:rFonts w:hint="eastAsia" w:ascii="宋体" w:hAnsi="宋体" w:eastAsia="宋体" w:cs="宋体"/>
          <w:color w:val="auto"/>
          <w:kern w:val="2"/>
          <w:highlight w:val="none"/>
          <w:lang w:bidi="ar"/>
        </w:rPr>
        <w:t>的</w:t>
      </w:r>
      <w:r>
        <w:rPr>
          <w:rFonts w:hint="eastAsia" w:ascii="宋体" w:hAnsi="宋体" w:eastAsia="宋体" w:cs="宋体"/>
          <w:color w:val="auto"/>
          <w:kern w:val="2"/>
          <w:highlight w:val="none"/>
          <w:u w:val="single"/>
          <w:lang w:bidi="ar"/>
        </w:rPr>
        <w:t>（项目名称）</w:t>
      </w:r>
      <w:r>
        <w:rPr>
          <w:rFonts w:hint="eastAsia" w:ascii="宋体" w:hAnsi="宋体" w:eastAsia="宋体" w:cs="宋体"/>
          <w:color w:val="auto"/>
          <w:kern w:val="2"/>
          <w:highlight w:val="none"/>
          <w:lang w:bidi="ar"/>
        </w:rPr>
        <w:t>采购活动，提供的服务全部由符合政策要求的中小企业承接。相关企业（含联合体中的中小企业、签订分包意向协议的中小企业）的具体情况如下：</w:t>
      </w:r>
    </w:p>
    <w:p w14:paraId="4692B3BF">
      <w:pPr>
        <w:pStyle w:val="20"/>
        <w:widowControl/>
        <w:tabs>
          <w:tab w:val="left" w:pos="1384"/>
          <w:tab w:val="left" w:pos="4562"/>
          <w:tab w:val="left" w:pos="6803"/>
        </w:tabs>
        <w:spacing w:line="360" w:lineRule="auto"/>
        <w:ind w:left="-426" w:right="-58" w:firstLine="655"/>
        <w:contextualSpacing/>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u w:val="single"/>
        </w:rPr>
        <w:t>（标的名称）</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行业；承接企业为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14:paraId="182C5DE9">
      <w:pPr>
        <w:pStyle w:val="20"/>
        <w:widowControl/>
        <w:tabs>
          <w:tab w:val="left" w:pos="1065"/>
          <w:tab w:val="left" w:pos="6477"/>
        </w:tabs>
        <w:spacing w:line="360" w:lineRule="auto"/>
        <w:ind w:left="-426" w:right="-58" w:firstLine="655"/>
        <w:contextualSpacing/>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u w:val="single"/>
        </w:rPr>
        <w:t>（标的名称）</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行业；承接企业为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万元，属于</w:t>
      </w:r>
      <w:r>
        <w:rPr>
          <w:rFonts w:hint="eastAsia" w:ascii="宋体" w:hAnsi="宋体" w:eastAsia="宋体" w:cs="宋体"/>
          <w:color w:val="auto"/>
          <w:highlight w:val="none"/>
          <w:u w:val="single"/>
        </w:rPr>
        <w:t>（中型企业、小型企业、微型企业）</w:t>
      </w:r>
      <w:r>
        <w:rPr>
          <w:rFonts w:hint="eastAsia" w:ascii="宋体" w:hAnsi="宋体" w:eastAsia="宋体" w:cs="宋体"/>
          <w:color w:val="auto"/>
          <w:highlight w:val="none"/>
        </w:rPr>
        <w:t>；</w:t>
      </w:r>
    </w:p>
    <w:p w14:paraId="5357A631">
      <w:pPr>
        <w:pStyle w:val="20"/>
        <w:widowControl/>
        <w:spacing w:line="360" w:lineRule="auto"/>
        <w:ind w:left="142" w:right="142"/>
        <w:contextualSpacing/>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2DD3914D">
      <w:pPr>
        <w:pStyle w:val="20"/>
        <w:widowControl/>
        <w:spacing w:line="360" w:lineRule="auto"/>
        <w:ind w:left="-405" w:leftChars="-193" w:right="142" w:firstLine="453" w:firstLineChars="189"/>
        <w:contextualSpacing/>
        <w:rPr>
          <w:rFonts w:hint="eastAsia" w:ascii="宋体" w:hAnsi="宋体" w:eastAsia="宋体" w:cs="宋体"/>
          <w:color w:val="auto"/>
          <w:highlight w:val="none"/>
        </w:rPr>
      </w:pPr>
      <w:r>
        <w:rPr>
          <w:rFonts w:hint="eastAsia" w:ascii="宋体" w:hAnsi="宋体" w:eastAsia="宋体" w:cs="宋体"/>
          <w:color w:val="auto"/>
          <w:highlight w:val="none"/>
        </w:rPr>
        <w:t>以上企业，不属于大企业的分支机构，不存在控股股东为大企业的情形，也不存在与大企业的负责人为同一人的情形。</w:t>
      </w:r>
    </w:p>
    <w:p w14:paraId="6C7FF6EC">
      <w:pPr>
        <w:pStyle w:val="20"/>
        <w:widowControl/>
        <w:spacing w:line="360" w:lineRule="auto"/>
        <w:ind w:left="-426" w:right="142" w:firstLine="567"/>
        <w:contextualSpacing/>
        <w:rPr>
          <w:rFonts w:hint="eastAsia" w:ascii="宋体" w:hAnsi="宋体" w:eastAsia="宋体" w:cs="宋体"/>
          <w:color w:val="auto"/>
          <w:highlight w:val="none"/>
        </w:rPr>
      </w:pPr>
      <w:r>
        <w:rPr>
          <w:rFonts w:hint="eastAsia" w:ascii="宋体" w:hAnsi="宋体" w:eastAsia="宋体" w:cs="宋体"/>
          <w:color w:val="auto"/>
          <w:highlight w:val="none"/>
        </w:rPr>
        <w:t>本企业对上述声明内容的真实性负责。如有虚假，将依法承担相应责任。</w:t>
      </w:r>
    </w:p>
    <w:p w14:paraId="40119123">
      <w:pPr>
        <w:pStyle w:val="20"/>
        <w:widowControl/>
        <w:spacing w:line="360" w:lineRule="auto"/>
        <w:ind w:left="3960" w:right="1808"/>
        <w:contextualSpacing/>
        <w:rPr>
          <w:rFonts w:hint="eastAsia" w:ascii="宋体" w:hAnsi="宋体" w:eastAsia="宋体" w:cs="宋体"/>
          <w:color w:val="auto"/>
          <w:highlight w:val="none"/>
        </w:rPr>
      </w:pPr>
    </w:p>
    <w:p w14:paraId="66BBA45C">
      <w:pPr>
        <w:autoSpaceDE w:val="0"/>
        <w:autoSpaceDN w:val="0"/>
        <w:spacing w:line="360" w:lineRule="auto"/>
        <w:ind w:left="4335" w:leftChars="1950" w:hanging="240" w:hangingChars="100"/>
        <w:rPr>
          <w:rFonts w:hint="default" w:ascii="宋体" w:hAnsi="宋体" w:eastAsia="宋体" w:cs="宋体"/>
          <w:color w:val="auto"/>
          <w:kern w:val="0"/>
          <w:sz w:val="24"/>
          <w:highlight w:val="none"/>
          <w:u w:val="single"/>
        </w:rPr>
      </w:pPr>
      <w:r>
        <w:rPr>
          <w:rFonts w:hint="eastAsia" w:ascii="宋体" w:hAnsi="宋体" w:cs="宋体"/>
          <w:color w:val="auto"/>
          <w:sz w:val="24"/>
          <w:highlight w:val="none"/>
          <w:lang w:val="zh-CN"/>
        </w:rPr>
        <w:t>投标人名称</w:t>
      </w:r>
      <w:r>
        <w:rPr>
          <w:rFonts w:hint="eastAsia" w:ascii="宋体" w:hAnsi="宋体" w:eastAsia="宋体" w:cs="宋体"/>
          <w:color w:val="auto"/>
          <w:kern w:val="0"/>
          <w:sz w:val="24"/>
          <w:highlight w:val="none"/>
          <w:lang w:bidi="ar"/>
        </w:rPr>
        <w:t>（电子签章）：</w:t>
      </w:r>
      <w:r>
        <w:rPr>
          <w:rFonts w:hint="eastAsia" w:ascii="宋体" w:hAnsi="宋体" w:cs="宋体"/>
          <w:color w:val="auto"/>
          <w:kern w:val="0"/>
          <w:sz w:val="24"/>
          <w:highlight w:val="none"/>
          <w:u w:val="single"/>
          <w:lang w:val="en-US" w:eastAsia="zh-CN" w:bidi="ar"/>
        </w:rPr>
        <w:t xml:space="preserve">        </w:t>
      </w:r>
    </w:p>
    <w:p w14:paraId="0DC8BCB2">
      <w:pPr>
        <w:autoSpaceDE w:val="0"/>
        <w:autoSpaceDN w:val="0"/>
        <w:spacing w:line="360" w:lineRule="auto"/>
        <w:ind w:firstLine="5040" w:firstLine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bidi="ar"/>
        </w:rPr>
        <w:t>日期：  年  月   日</w:t>
      </w:r>
    </w:p>
    <w:p w14:paraId="68679ABA">
      <w:pPr>
        <w:pStyle w:val="20"/>
        <w:spacing w:line="360" w:lineRule="auto"/>
        <w:ind w:left="3960" w:right="1808"/>
        <w:contextualSpacing/>
        <w:rPr>
          <w:rFonts w:hint="eastAsia" w:ascii="宋体" w:hAnsi="宋体" w:eastAsia="宋体" w:cs="宋体"/>
          <w:color w:val="auto"/>
          <w:highlight w:val="none"/>
        </w:rPr>
      </w:pPr>
    </w:p>
    <w:p w14:paraId="4A1B1352">
      <w:pPr>
        <w:pStyle w:val="20"/>
        <w:widowControl/>
        <w:spacing w:before="100" w:beforeAutospacing="1" w:after="100" w:afterAutospacing="1"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注：享受《政府采购促进中小企业发展管理办法》（财库〔2020〕46号）规定的中小企业扶持政策的，采购人、采购代理机构应当随成交结果公开</w:t>
      </w:r>
      <w:r>
        <w:rPr>
          <w:rFonts w:hint="eastAsia" w:ascii="宋体" w:hAnsi="宋体" w:eastAsia="宋体" w:cs="宋体"/>
          <w:color w:val="auto"/>
          <w:highlight w:val="none"/>
          <w:lang w:eastAsia="zh-CN"/>
        </w:rPr>
        <w:t>成交供应商</w:t>
      </w:r>
      <w:r>
        <w:rPr>
          <w:rFonts w:hint="eastAsia" w:ascii="宋体" w:hAnsi="宋体" w:eastAsia="宋体" w:cs="宋体"/>
          <w:color w:val="auto"/>
          <w:highlight w:val="none"/>
        </w:rPr>
        <w:t>的《中小企业声明函》。从业人员、营业收入、资产总额填报上一年度数据，无上一年度数据的新成立企业可不填报。</w:t>
      </w:r>
    </w:p>
    <w:p w14:paraId="608D2D72">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0" w:h="16840"/>
          <w:pgMar w:top="1340" w:right="1500" w:bottom="280" w:left="1680" w:header="720" w:footer="720" w:gutter="0"/>
          <w:pgBorders>
            <w:top w:val="none" w:sz="0" w:space="0"/>
            <w:left w:val="none" w:sz="0" w:space="0"/>
            <w:bottom w:val="none" w:sz="0" w:space="0"/>
            <w:right w:val="none" w:sz="0" w:space="0"/>
          </w:pgBorders>
          <w:cols w:space="720" w:num="1"/>
        </w:sectPr>
      </w:pPr>
    </w:p>
    <w:p w14:paraId="7E23025E">
      <w:pPr>
        <w:spacing w:line="588" w:lineRule="exact"/>
        <w:jc w:val="center"/>
        <w:rPr>
          <w:rFonts w:ascii="宋体" w:hAnsi="宋体" w:cs="宋体"/>
          <w:bCs/>
          <w:color w:val="auto"/>
          <w:spacing w:val="6"/>
          <w:sz w:val="44"/>
          <w:szCs w:val="44"/>
          <w:highlight w:val="none"/>
        </w:rPr>
      </w:pPr>
      <w:r>
        <w:rPr>
          <w:rFonts w:hint="eastAsia" w:ascii="宋体" w:hAnsi="宋体" w:cs="宋体"/>
          <w:bCs/>
          <w:color w:val="auto"/>
          <w:spacing w:val="6"/>
          <w:sz w:val="44"/>
          <w:szCs w:val="44"/>
          <w:highlight w:val="none"/>
        </w:rPr>
        <w:t>属于监狱企业证明文件</w:t>
      </w:r>
    </w:p>
    <w:p w14:paraId="6D6408C6">
      <w:pPr>
        <w:spacing w:line="600" w:lineRule="exact"/>
        <w:jc w:val="left"/>
        <w:rPr>
          <w:rFonts w:ascii="宋体" w:hAnsi="Courier New" w:cs="宋体"/>
          <w:color w:val="auto"/>
          <w:kern w:val="0"/>
          <w:szCs w:val="21"/>
          <w:highlight w:val="none"/>
          <w:lang w:val="zh-CN"/>
        </w:rPr>
      </w:pPr>
    </w:p>
    <w:p w14:paraId="10778BD7">
      <w:pPr>
        <w:spacing w:line="360" w:lineRule="auto"/>
        <w:ind w:right="420" w:firstLine="480" w:firstLineChars="200"/>
        <w:jc w:val="left"/>
        <w:rPr>
          <w:rFonts w:ascii="宋体" w:hAnsi="宋体" w:cs="宋体"/>
          <w:color w:val="auto"/>
          <w:sz w:val="24"/>
          <w:highlight w:val="none"/>
          <w:lang w:val="zh-CN"/>
        </w:rPr>
      </w:pPr>
      <w:r>
        <w:rPr>
          <w:rFonts w:hint="eastAsia" w:ascii="宋体" w:hAnsi="宋体" w:cs="宋体"/>
          <w:color w:val="auto"/>
          <w:sz w:val="24"/>
          <w:highlight w:val="none"/>
          <w:lang w:val="zh-CN"/>
        </w:rPr>
        <w:t>由省级以上监狱管理局、戒毒管理局（含新疆生产建设兵团）出具的属于监狱企业证明文件复印件</w:t>
      </w:r>
    </w:p>
    <w:p w14:paraId="6CE6E8BC">
      <w:pPr>
        <w:spacing w:line="600" w:lineRule="exact"/>
        <w:jc w:val="left"/>
        <w:rPr>
          <w:rFonts w:ascii="宋体" w:hAnsi="宋体" w:cs="宋体"/>
          <w:color w:val="auto"/>
          <w:kern w:val="0"/>
          <w:sz w:val="24"/>
          <w:highlight w:val="none"/>
        </w:rPr>
      </w:pPr>
    </w:p>
    <w:p w14:paraId="68966C55">
      <w:pPr>
        <w:autoSpaceDE w:val="0"/>
        <w:autoSpaceDN w:val="0"/>
        <w:spacing w:line="360" w:lineRule="auto"/>
        <w:ind w:left="4335" w:leftChars="1950" w:hanging="240" w:hangingChars="100"/>
        <w:rPr>
          <w:rFonts w:hint="default" w:ascii="宋体" w:hAnsi="宋体" w:eastAsia="宋体" w:cs="宋体"/>
          <w:color w:val="auto"/>
          <w:kern w:val="0"/>
          <w:sz w:val="24"/>
          <w:highlight w:val="none"/>
          <w:u w:val="single"/>
        </w:rPr>
      </w:pPr>
      <w:r>
        <w:rPr>
          <w:rFonts w:hint="eastAsia" w:ascii="宋体" w:hAnsi="宋体" w:cs="宋体"/>
          <w:color w:val="auto"/>
          <w:sz w:val="24"/>
          <w:highlight w:val="none"/>
          <w:lang w:val="zh-CN"/>
        </w:rPr>
        <w:t>投标人名称</w:t>
      </w:r>
      <w:r>
        <w:rPr>
          <w:rFonts w:hint="eastAsia" w:ascii="宋体" w:hAnsi="宋体" w:eastAsia="宋体" w:cs="宋体"/>
          <w:color w:val="auto"/>
          <w:kern w:val="0"/>
          <w:sz w:val="24"/>
          <w:highlight w:val="none"/>
          <w:lang w:bidi="ar"/>
        </w:rPr>
        <w:t>（电子签章）：</w:t>
      </w:r>
      <w:r>
        <w:rPr>
          <w:rFonts w:hint="eastAsia" w:ascii="宋体" w:hAnsi="宋体" w:cs="宋体"/>
          <w:color w:val="auto"/>
          <w:kern w:val="0"/>
          <w:sz w:val="24"/>
          <w:highlight w:val="none"/>
          <w:u w:val="single"/>
          <w:lang w:val="en-US" w:eastAsia="zh-CN" w:bidi="ar"/>
        </w:rPr>
        <w:t xml:space="preserve">        </w:t>
      </w:r>
    </w:p>
    <w:p w14:paraId="0355391A">
      <w:pPr>
        <w:autoSpaceDE w:val="0"/>
        <w:autoSpaceDN w:val="0"/>
        <w:spacing w:line="360" w:lineRule="auto"/>
        <w:ind w:firstLine="5040" w:firstLine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bidi="ar"/>
        </w:rPr>
        <w:t>日期：  年  月   日</w:t>
      </w:r>
    </w:p>
    <w:p w14:paraId="458619DD">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注明：</w:t>
      </w:r>
    </w:p>
    <w:p w14:paraId="302840E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请根据自己的真实情况提供由省级以上监狱管理局、戒毒管理局（含新疆生产建设兵团）出具的属于监狱企业证明的，视同为小型和微型企业。依法享受中小企业扶持政策的，采购人或者采购代理机构在公告成交结果时，同时公告其监狱企业证明文件，接受社会监督。</w:t>
      </w:r>
    </w:p>
    <w:p w14:paraId="626CBC79">
      <w:pPr>
        <w:spacing w:line="588" w:lineRule="exact"/>
        <w:jc w:val="center"/>
        <w:rPr>
          <w:rFonts w:ascii="宋体" w:hAnsi="宋体" w:cs="宋体"/>
          <w:b/>
          <w:color w:val="auto"/>
          <w:spacing w:val="6"/>
          <w:sz w:val="32"/>
          <w:szCs w:val="32"/>
          <w:highlight w:val="none"/>
        </w:rPr>
      </w:pPr>
    </w:p>
    <w:p w14:paraId="7AC3EC01">
      <w:pPr>
        <w:spacing w:line="588" w:lineRule="exact"/>
        <w:jc w:val="center"/>
        <w:rPr>
          <w:rFonts w:ascii="宋体" w:hAnsi="宋体" w:cs="宋体"/>
          <w:bCs/>
          <w:color w:val="auto"/>
          <w:spacing w:val="6"/>
          <w:sz w:val="44"/>
          <w:szCs w:val="44"/>
          <w:highlight w:val="none"/>
        </w:rPr>
      </w:pPr>
      <w:r>
        <w:rPr>
          <w:rFonts w:hint="eastAsia" w:ascii="宋体" w:hAnsi="宋体" w:cs="宋体"/>
          <w:bCs/>
          <w:color w:val="auto"/>
          <w:spacing w:val="6"/>
          <w:sz w:val="44"/>
          <w:szCs w:val="44"/>
          <w:highlight w:val="none"/>
        </w:rPr>
        <w:t>残疾人福利性单位声明函</w:t>
      </w:r>
    </w:p>
    <w:p w14:paraId="6EC5CA59">
      <w:pPr>
        <w:spacing w:line="360" w:lineRule="auto"/>
        <w:contextualSpacing/>
        <w:rPr>
          <w:rFonts w:ascii="宋体" w:hAnsi="宋体" w:cs="宋体"/>
          <w:bCs/>
          <w:color w:val="auto"/>
          <w:spacing w:val="6"/>
          <w:sz w:val="30"/>
          <w:szCs w:val="30"/>
          <w:highlight w:val="none"/>
        </w:rPr>
      </w:pPr>
    </w:p>
    <w:p w14:paraId="561CCF0E">
      <w:pPr>
        <w:spacing w:line="360" w:lineRule="auto"/>
        <w:ind w:firstLine="504" w:firstLineChars="200"/>
        <w:contextualSpacing/>
        <w:rPr>
          <w:rFonts w:ascii="宋体" w:hAnsi="宋体" w:cs="宋体"/>
          <w:color w:val="auto"/>
          <w:spacing w:val="6"/>
          <w:sz w:val="24"/>
          <w:highlight w:val="none"/>
        </w:rPr>
      </w:pPr>
      <w:r>
        <w:rPr>
          <w:rFonts w:hint="eastAsia" w:ascii="宋体" w:hAnsi="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cs="宋体"/>
          <w:color w:val="auto"/>
          <w:sz w:val="24"/>
          <w:highlight w:val="none"/>
        </w:rPr>
        <w:t>〔2017〕 141</w:t>
      </w:r>
      <w:r>
        <w:rPr>
          <w:rFonts w:hint="eastAsia" w:ascii="宋体" w:hAnsi="宋体" w:cs="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s="宋体"/>
          <w:color w:val="auto"/>
          <w:spacing w:val="-6"/>
          <w:sz w:val="24"/>
          <w:highlight w:val="none"/>
        </w:rPr>
        <w:t>疾人福利性单位制造的货物（不包括使用非残疾人福利性单位注册商标的货物）。</w:t>
      </w:r>
    </w:p>
    <w:p w14:paraId="5B0BC586">
      <w:pPr>
        <w:spacing w:line="360" w:lineRule="auto"/>
        <w:ind w:firstLine="504" w:firstLineChars="200"/>
        <w:contextualSpacing/>
        <w:rPr>
          <w:rFonts w:ascii="宋体" w:hAnsi="宋体" w:cs="宋体"/>
          <w:color w:val="auto"/>
          <w:spacing w:val="6"/>
          <w:sz w:val="24"/>
          <w:highlight w:val="none"/>
        </w:rPr>
      </w:pPr>
      <w:r>
        <w:rPr>
          <w:rFonts w:hint="eastAsia" w:ascii="宋体" w:hAnsi="宋体" w:cs="宋体"/>
          <w:color w:val="auto"/>
          <w:spacing w:val="6"/>
          <w:sz w:val="24"/>
          <w:highlight w:val="none"/>
        </w:rPr>
        <w:t>本单位对上述声明的真实性负责。如有虚假，将依法承担相应责任。</w:t>
      </w:r>
    </w:p>
    <w:p w14:paraId="26F93271">
      <w:pPr>
        <w:spacing w:line="360" w:lineRule="auto"/>
        <w:ind w:firstLine="504" w:firstLineChars="200"/>
        <w:contextualSpacing/>
        <w:rPr>
          <w:rFonts w:ascii="宋体" w:hAnsi="宋体" w:cs="宋体"/>
          <w:color w:val="auto"/>
          <w:spacing w:val="6"/>
          <w:sz w:val="24"/>
          <w:highlight w:val="none"/>
        </w:rPr>
      </w:pPr>
    </w:p>
    <w:p w14:paraId="70C479AF">
      <w:pPr>
        <w:autoSpaceDE w:val="0"/>
        <w:autoSpaceDN w:val="0"/>
        <w:spacing w:line="360" w:lineRule="auto"/>
        <w:ind w:left="4335" w:leftChars="1950" w:hanging="240" w:hangingChars="100"/>
        <w:rPr>
          <w:rFonts w:hint="default" w:ascii="宋体" w:hAnsi="宋体" w:eastAsia="宋体" w:cs="宋体"/>
          <w:color w:val="auto"/>
          <w:kern w:val="0"/>
          <w:sz w:val="24"/>
          <w:highlight w:val="none"/>
          <w:u w:val="single"/>
        </w:rPr>
      </w:pPr>
      <w:r>
        <w:rPr>
          <w:rFonts w:hint="eastAsia" w:ascii="宋体" w:hAnsi="宋体" w:cs="宋体"/>
          <w:color w:val="auto"/>
          <w:sz w:val="24"/>
          <w:highlight w:val="none"/>
          <w:lang w:val="zh-CN"/>
        </w:rPr>
        <w:t>投标人名称</w:t>
      </w:r>
      <w:r>
        <w:rPr>
          <w:rFonts w:hint="eastAsia" w:ascii="宋体" w:hAnsi="宋体" w:eastAsia="宋体" w:cs="宋体"/>
          <w:color w:val="auto"/>
          <w:kern w:val="0"/>
          <w:sz w:val="24"/>
          <w:highlight w:val="none"/>
          <w:lang w:bidi="ar"/>
        </w:rPr>
        <w:t>（电子签章）：</w:t>
      </w:r>
      <w:r>
        <w:rPr>
          <w:rFonts w:hint="eastAsia" w:ascii="宋体" w:hAnsi="宋体" w:cs="宋体"/>
          <w:color w:val="auto"/>
          <w:kern w:val="0"/>
          <w:sz w:val="24"/>
          <w:highlight w:val="none"/>
          <w:u w:val="single"/>
          <w:lang w:val="en-US" w:eastAsia="zh-CN" w:bidi="ar"/>
        </w:rPr>
        <w:t xml:space="preserve">        </w:t>
      </w:r>
    </w:p>
    <w:p w14:paraId="0E8F2380">
      <w:pPr>
        <w:autoSpaceDE w:val="0"/>
        <w:autoSpaceDN w:val="0"/>
        <w:spacing w:line="360" w:lineRule="auto"/>
        <w:ind w:firstLine="5040" w:firstLine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bidi="ar"/>
        </w:rPr>
        <w:t>日期：  年  月   日</w:t>
      </w:r>
    </w:p>
    <w:p w14:paraId="292296D0">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609D18E9">
      <w:pPr>
        <w:rPr>
          <w:rFonts w:ascii="宋体" w:hAnsi="宋体" w:cs="宋体"/>
          <w:b/>
          <w:color w:val="auto"/>
          <w:sz w:val="28"/>
          <w:szCs w:val="28"/>
          <w:highlight w:val="none"/>
        </w:rPr>
      </w:pP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三、商务文件格式</w:t>
      </w:r>
      <w:bookmarkEnd w:id="163"/>
    </w:p>
    <w:p w14:paraId="6BAAB781">
      <w:pPr>
        <w:snapToGrid w:val="0"/>
        <w:spacing w:before="120" w:beforeLines="50" w:after="50" w:line="360" w:lineRule="auto"/>
        <w:jc w:val="left"/>
        <w:rPr>
          <w:rFonts w:ascii="宋体" w:hAnsi="宋体" w:cs="宋体"/>
          <w:b/>
          <w:color w:val="auto"/>
          <w:sz w:val="24"/>
          <w:highlight w:val="none"/>
        </w:rPr>
      </w:pPr>
      <w:r>
        <w:rPr>
          <w:rFonts w:hint="eastAsia" w:ascii="宋体" w:hAnsi="宋体" w:cs="宋体"/>
          <w:b/>
          <w:color w:val="auto"/>
          <w:sz w:val="24"/>
          <w:highlight w:val="none"/>
        </w:rPr>
        <w:t xml:space="preserve">1.商务文件封面格式： </w:t>
      </w:r>
    </w:p>
    <w:p w14:paraId="2BD3D456">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p>
    <w:p w14:paraId="161D07FA">
      <w:pPr>
        <w:snapToGrid w:val="0"/>
        <w:spacing w:before="120" w:beforeLines="50" w:after="50"/>
        <w:rPr>
          <w:rFonts w:ascii="宋体" w:hAnsi="宋体" w:cs="宋体"/>
          <w:color w:val="auto"/>
          <w:sz w:val="24"/>
          <w:szCs w:val="20"/>
          <w:highlight w:val="none"/>
        </w:rPr>
      </w:pPr>
    </w:p>
    <w:p w14:paraId="53C758DE">
      <w:pPr>
        <w:snapToGrid w:val="0"/>
        <w:spacing w:before="120" w:beforeLines="50" w:after="50"/>
        <w:rPr>
          <w:rFonts w:ascii="宋体" w:hAnsi="宋体" w:cs="宋体"/>
          <w:color w:val="auto"/>
          <w:sz w:val="24"/>
          <w:szCs w:val="20"/>
          <w:highlight w:val="none"/>
        </w:rPr>
      </w:pPr>
    </w:p>
    <w:p w14:paraId="031C09B4">
      <w:pPr>
        <w:snapToGrid w:val="0"/>
        <w:spacing w:before="120" w:beforeLines="50" w:after="50"/>
        <w:rPr>
          <w:rFonts w:ascii="宋体" w:hAnsi="宋体" w:cs="宋体"/>
          <w:color w:val="auto"/>
          <w:sz w:val="24"/>
          <w:szCs w:val="20"/>
          <w:highlight w:val="none"/>
        </w:rPr>
      </w:pPr>
    </w:p>
    <w:p w14:paraId="374DCB01">
      <w:pPr>
        <w:snapToGrid w:val="0"/>
        <w:spacing w:before="120" w:beforeLines="50" w:after="50"/>
        <w:jc w:val="center"/>
        <w:rPr>
          <w:rFonts w:ascii="宋体" w:hAnsi="宋体" w:cs="宋体"/>
          <w:color w:val="auto"/>
          <w:sz w:val="84"/>
          <w:szCs w:val="84"/>
          <w:highlight w:val="none"/>
        </w:rPr>
      </w:pPr>
      <w:r>
        <w:rPr>
          <w:rFonts w:hint="eastAsia" w:ascii="宋体" w:hAnsi="宋体" w:cs="宋体"/>
          <w:color w:val="auto"/>
          <w:sz w:val="84"/>
          <w:szCs w:val="84"/>
          <w:highlight w:val="none"/>
        </w:rPr>
        <w:t>投  标  文  件</w:t>
      </w:r>
    </w:p>
    <w:p w14:paraId="755231C0">
      <w:pPr>
        <w:snapToGrid w:val="0"/>
        <w:spacing w:before="120" w:beforeLines="50" w:after="50"/>
        <w:rPr>
          <w:rFonts w:ascii="宋体" w:hAnsi="宋体" w:cs="宋体"/>
          <w:color w:val="auto"/>
          <w:sz w:val="24"/>
          <w:szCs w:val="20"/>
          <w:highlight w:val="none"/>
        </w:rPr>
      </w:pPr>
    </w:p>
    <w:p w14:paraId="43303011">
      <w:pPr>
        <w:snapToGrid w:val="0"/>
        <w:spacing w:before="120" w:beforeLines="50" w:after="50"/>
        <w:rPr>
          <w:rFonts w:ascii="宋体" w:hAnsi="宋体" w:cs="宋体"/>
          <w:color w:val="auto"/>
          <w:sz w:val="24"/>
          <w:szCs w:val="20"/>
          <w:highlight w:val="none"/>
        </w:rPr>
      </w:pPr>
    </w:p>
    <w:p w14:paraId="58DD74BD">
      <w:pPr>
        <w:snapToGrid w:val="0"/>
        <w:spacing w:before="120" w:beforeLines="50" w:after="50"/>
        <w:jc w:val="center"/>
        <w:rPr>
          <w:rFonts w:ascii="宋体" w:hAnsi="宋体" w:cs="宋体"/>
          <w:bCs/>
          <w:color w:val="auto"/>
          <w:sz w:val="32"/>
          <w:szCs w:val="32"/>
          <w:highlight w:val="none"/>
        </w:rPr>
      </w:pPr>
      <w:r>
        <w:rPr>
          <w:rFonts w:hint="eastAsia" w:ascii="宋体" w:hAnsi="宋体" w:cs="宋体"/>
          <w:bCs/>
          <w:color w:val="auto"/>
          <w:sz w:val="32"/>
          <w:szCs w:val="32"/>
          <w:highlight w:val="none"/>
        </w:rPr>
        <w:t>商  务  文  件</w:t>
      </w:r>
    </w:p>
    <w:p w14:paraId="03735021">
      <w:pPr>
        <w:snapToGrid w:val="0"/>
        <w:spacing w:before="120" w:beforeLines="50" w:after="50"/>
        <w:rPr>
          <w:rFonts w:ascii="宋体" w:hAnsi="宋体" w:cs="宋体"/>
          <w:bCs/>
          <w:color w:val="auto"/>
          <w:sz w:val="24"/>
          <w:szCs w:val="20"/>
          <w:highlight w:val="none"/>
        </w:rPr>
      </w:pPr>
    </w:p>
    <w:p w14:paraId="61B3A291">
      <w:pPr>
        <w:snapToGrid w:val="0"/>
        <w:spacing w:before="120" w:beforeLines="50" w:after="50"/>
        <w:ind w:firstLine="540" w:firstLineChars="225"/>
        <w:rPr>
          <w:rFonts w:ascii="宋体" w:hAnsi="宋体" w:cs="宋体"/>
          <w:bCs/>
          <w:color w:val="auto"/>
          <w:sz w:val="24"/>
          <w:highlight w:val="none"/>
        </w:rPr>
      </w:pPr>
    </w:p>
    <w:p w14:paraId="68D8CFE3">
      <w:pPr>
        <w:snapToGrid w:val="0"/>
        <w:spacing w:before="120" w:beforeLines="50" w:after="50"/>
        <w:ind w:firstLine="540" w:firstLineChars="225"/>
        <w:rPr>
          <w:rFonts w:ascii="宋体" w:hAnsi="宋体" w:cs="宋体"/>
          <w:bCs/>
          <w:color w:val="auto"/>
          <w:sz w:val="24"/>
          <w:highlight w:val="none"/>
        </w:rPr>
      </w:pPr>
    </w:p>
    <w:p w14:paraId="52D45233">
      <w:pPr>
        <w:snapToGrid w:val="0"/>
        <w:spacing w:before="120" w:beforeLines="50" w:after="50"/>
        <w:ind w:firstLine="540" w:firstLineChars="225"/>
        <w:rPr>
          <w:rFonts w:ascii="宋体" w:hAnsi="宋体" w:cs="宋体"/>
          <w:bCs/>
          <w:color w:val="auto"/>
          <w:sz w:val="24"/>
          <w:highlight w:val="none"/>
        </w:rPr>
      </w:pPr>
    </w:p>
    <w:p w14:paraId="4AEEDD4D">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项目名称：</w:t>
      </w:r>
    </w:p>
    <w:p w14:paraId="70B71AC0">
      <w:pPr>
        <w:snapToGrid w:val="0"/>
        <w:spacing w:before="120" w:beforeLines="50" w:after="50"/>
        <w:ind w:firstLine="540" w:firstLineChars="225"/>
        <w:rPr>
          <w:rFonts w:ascii="宋体" w:hAnsi="宋体" w:cs="宋体"/>
          <w:bCs/>
          <w:color w:val="auto"/>
          <w:sz w:val="24"/>
          <w:szCs w:val="20"/>
          <w:highlight w:val="none"/>
        </w:rPr>
      </w:pPr>
    </w:p>
    <w:p w14:paraId="1B31A8C9">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项目编号：</w:t>
      </w:r>
    </w:p>
    <w:p w14:paraId="4E1387AD">
      <w:pPr>
        <w:snapToGrid w:val="0"/>
        <w:spacing w:before="120" w:beforeLines="50" w:after="50"/>
        <w:ind w:firstLine="540" w:firstLineChars="225"/>
        <w:rPr>
          <w:rFonts w:ascii="宋体" w:hAnsi="宋体" w:cs="宋体"/>
          <w:bCs/>
          <w:color w:val="auto"/>
          <w:sz w:val="24"/>
          <w:szCs w:val="20"/>
          <w:highlight w:val="none"/>
        </w:rPr>
      </w:pPr>
      <w:r>
        <w:rPr>
          <w:rFonts w:hint="eastAsia" w:ascii="宋体" w:hAnsi="宋体" w:cs="宋体"/>
          <w:bCs/>
          <w:color w:val="auto"/>
          <w:sz w:val="24"/>
          <w:highlight w:val="none"/>
        </w:rPr>
        <w:t xml:space="preserve"> </w:t>
      </w:r>
    </w:p>
    <w:p w14:paraId="19A3EF28">
      <w:pPr>
        <w:snapToGrid w:val="0"/>
        <w:spacing w:before="120" w:beforeLines="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lang w:eastAsia="zh-CN"/>
        </w:rPr>
        <w:t>分标</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标项名称（如有则填写，无分标时填写“无”或者留空）：</w:t>
      </w:r>
    </w:p>
    <w:p w14:paraId="7D739759">
      <w:pPr>
        <w:snapToGrid w:val="0"/>
        <w:spacing w:before="120" w:beforeLines="50" w:after="50"/>
        <w:ind w:firstLine="540" w:firstLineChars="225"/>
        <w:rPr>
          <w:rFonts w:ascii="宋体" w:hAnsi="宋体" w:cs="宋体"/>
          <w:bCs/>
          <w:color w:val="auto"/>
          <w:sz w:val="24"/>
          <w:szCs w:val="20"/>
          <w:highlight w:val="none"/>
        </w:rPr>
      </w:pPr>
    </w:p>
    <w:p w14:paraId="3B9E3677">
      <w:pPr>
        <w:pStyle w:val="4"/>
        <w:snapToGrid w:val="0"/>
        <w:spacing w:before="50" w:after="50"/>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07F6BA6C">
      <w:pPr>
        <w:pStyle w:val="4"/>
        <w:snapToGrid w:val="0"/>
        <w:spacing w:before="50" w:after="50"/>
        <w:ind w:firstLine="540" w:firstLineChars="225"/>
        <w:rPr>
          <w:rFonts w:ascii="宋体" w:hAnsi="宋体" w:cs="宋体"/>
          <w:bCs/>
          <w:color w:val="auto"/>
          <w:sz w:val="24"/>
          <w:szCs w:val="24"/>
          <w:highlight w:val="none"/>
        </w:rPr>
      </w:pPr>
    </w:p>
    <w:p w14:paraId="5F55597B">
      <w:pPr>
        <w:pStyle w:val="4"/>
        <w:snapToGrid w:val="0"/>
        <w:spacing w:before="50" w:after="50"/>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投标人地址：</w:t>
      </w:r>
    </w:p>
    <w:p w14:paraId="02957B00">
      <w:pPr>
        <w:pStyle w:val="4"/>
        <w:snapToGrid w:val="0"/>
        <w:spacing w:before="50" w:after="50"/>
        <w:ind w:firstLine="960" w:firstLineChars="400"/>
        <w:rPr>
          <w:rFonts w:ascii="宋体" w:hAnsi="宋体" w:cs="宋体"/>
          <w:bCs/>
          <w:color w:val="auto"/>
          <w:sz w:val="24"/>
          <w:szCs w:val="24"/>
          <w:highlight w:val="none"/>
        </w:rPr>
      </w:pPr>
    </w:p>
    <w:p w14:paraId="516089BE">
      <w:pPr>
        <w:snapToGrid w:val="0"/>
        <w:spacing w:before="120" w:beforeLines="50" w:after="50"/>
        <w:ind w:firstLine="645"/>
        <w:rPr>
          <w:rFonts w:ascii="宋体" w:hAnsi="宋体" w:cs="宋体"/>
          <w:color w:val="auto"/>
          <w:sz w:val="24"/>
          <w:highlight w:val="none"/>
        </w:rPr>
      </w:pPr>
      <w:r>
        <w:rPr>
          <w:rFonts w:hint="eastAsia" w:ascii="宋体" w:hAnsi="宋体" w:cs="宋体"/>
          <w:color w:val="auto"/>
          <w:sz w:val="24"/>
          <w:highlight w:val="none"/>
        </w:rPr>
        <w:t xml:space="preserve">                        年  月  日</w:t>
      </w:r>
    </w:p>
    <w:p w14:paraId="16C1296F">
      <w:pPr>
        <w:snapToGrid w:val="0"/>
        <w:spacing w:before="120" w:beforeLines="50" w:after="50"/>
        <w:rPr>
          <w:rFonts w:ascii="宋体" w:hAnsi="宋体" w:cs="宋体"/>
          <w:color w:val="auto"/>
          <w:sz w:val="24"/>
          <w:szCs w:val="20"/>
          <w:highlight w:val="none"/>
        </w:rPr>
      </w:pPr>
      <w:r>
        <w:rPr>
          <w:rFonts w:hint="eastAsia" w:ascii="宋体" w:hAnsi="宋体" w:cs="宋体"/>
          <w:color w:val="auto"/>
          <w:sz w:val="24"/>
          <w:szCs w:val="20"/>
          <w:highlight w:val="none"/>
        </w:rPr>
        <w:t xml:space="preserve"> </w:t>
      </w:r>
    </w:p>
    <w:p w14:paraId="26BF526C">
      <w:pPr>
        <w:snapToGrid w:val="0"/>
        <w:spacing w:line="360" w:lineRule="auto"/>
        <w:jc w:val="left"/>
        <w:rPr>
          <w:rFonts w:ascii="宋体" w:hAnsi="宋体" w:cs="宋体"/>
          <w:b/>
          <w:bCs/>
          <w:color w:val="auto"/>
          <w:sz w:val="28"/>
          <w:szCs w:val="28"/>
          <w:highlight w:val="none"/>
        </w:rPr>
      </w:pPr>
      <w:r>
        <w:rPr>
          <w:rFonts w:hint="eastAsia" w:ascii="宋体" w:hAnsi="宋体" w:cs="宋体"/>
          <w:color w:val="auto"/>
          <w:sz w:val="24"/>
          <w:szCs w:val="20"/>
          <w:highlight w:val="none"/>
        </w:rPr>
        <w:br w:type="page"/>
      </w:r>
      <w:r>
        <w:rPr>
          <w:rFonts w:hint="eastAsia" w:ascii="宋体" w:hAnsi="宋体" w:cs="宋体"/>
          <w:b/>
          <w:bCs/>
          <w:color w:val="auto"/>
          <w:sz w:val="24"/>
          <w:highlight w:val="none"/>
        </w:rPr>
        <w:t>2.商务文件目录</w:t>
      </w:r>
    </w:p>
    <w:p w14:paraId="5612AE85">
      <w:pPr>
        <w:snapToGrid w:val="0"/>
        <w:spacing w:before="50" w:after="120" w:afterLines="50" w:line="360" w:lineRule="auto"/>
        <w:ind w:firstLine="480" w:firstLineChars="200"/>
        <w:jc w:val="left"/>
        <w:rPr>
          <w:rFonts w:ascii="宋体" w:hAnsi="宋体" w:cs="宋体"/>
          <w:b/>
          <w:bCs/>
          <w:color w:val="auto"/>
          <w:sz w:val="32"/>
          <w:szCs w:val="32"/>
          <w:highlight w:val="none"/>
        </w:rPr>
      </w:pPr>
      <w:r>
        <w:rPr>
          <w:rFonts w:hint="eastAsia" w:ascii="宋体" w:hAnsi="宋体" w:cs="宋体"/>
          <w:color w:val="auto"/>
          <w:sz w:val="24"/>
          <w:highlight w:val="none"/>
        </w:rPr>
        <w:t>根据招标文件规定及投标人提供的材料自行编写目录。</w:t>
      </w:r>
    </w:p>
    <w:p w14:paraId="136F10AB">
      <w:pPr>
        <w:snapToGrid w:val="0"/>
        <w:spacing w:before="50" w:after="120" w:afterLines="50"/>
        <w:jc w:val="left"/>
        <w:rPr>
          <w:rFonts w:ascii="宋体" w:hAnsi="宋体" w:cs="宋体"/>
          <w:color w:val="auto"/>
          <w:highlight w:val="none"/>
        </w:rPr>
      </w:pPr>
    </w:p>
    <w:p w14:paraId="59C237E9">
      <w:p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3.投标人参加本项目无围标串标行为的承诺</w:t>
      </w:r>
    </w:p>
    <w:p w14:paraId="5450D7AB">
      <w:pPr>
        <w:snapToGrid w:val="0"/>
        <w:spacing w:before="120" w:beforeLines="50" w:after="50"/>
        <w:jc w:val="left"/>
        <w:rPr>
          <w:rFonts w:ascii="宋体" w:hAnsi="宋体" w:cs="宋体"/>
          <w:b/>
          <w:color w:val="auto"/>
          <w:sz w:val="24"/>
          <w:highlight w:val="none"/>
        </w:rPr>
      </w:pPr>
    </w:p>
    <w:p w14:paraId="5DC3E66C">
      <w:pPr>
        <w:spacing w:line="360" w:lineRule="auto"/>
        <w:ind w:left="420"/>
        <w:contextualSpacing/>
        <w:jc w:val="center"/>
        <w:rPr>
          <w:rFonts w:ascii="宋体" w:hAnsi="宋体" w:cs="宋体"/>
          <w:b/>
          <w:color w:val="auto"/>
          <w:sz w:val="24"/>
          <w:highlight w:val="none"/>
        </w:rPr>
      </w:pPr>
      <w:r>
        <w:rPr>
          <w:rFonts w:hint="eastAsia" w:ascii="宋体" w:hAnsi="宋体" w:cs="宋体"/>
          <w:bCs/>
          <w:color w:val="auto"/>
          <w:spacing w:val="-11"/>
          <w:sz w:val="44"/>
          <w:szCs w:val="44"/>
          <w:highlight w:val="none"/>
        </w:rPr>
        <w:t>投标人参加本项目无围标串标行为的承诺函</w:t>
      </w:r>
    </w:p>
    <w:p w14:paraId="10A5244A">
      <w:pPr>
        <w:spacing w:line="440" w:lineRule="exact"/>
        <w:contextualSpacing/>
        <w:jc w:val="left"/>
        <w:rPr>
          <w:rFonts w:ascii="宋体" w:hAnsi="宋体" w:cs="宋体"/>
          <w:b/>
          <w:color w:val="auto"/>
          <w:sz w:val="24"/>
          <w:highlight w:val="none"/>
        </w:rPr>
      </w:pPr>
      <w:r>
        <w:rPr>
          <w:rFonts w:hint="eastAsia" w:ascii="宋体" w:hAnsi="宋体" w:cs="宋体"/>
          <w:b/>
          <w:color w:val="auto"/>
          <w:sz w:val="24"/>
          <w:highlight w:val="none"/>
        </w:rPr>
        <w:t>一、我方承诺无下列相互串通投标的情形：</w:t>
      </w:r>
    </w:p>
    <w:p w14:paraId="3ED4A1F9">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1.不同投标人的投标文件由同一单位或者个人编制；</w:t>
      </w:r>
    </w:p>
    <w:p w14:paraId="4400A1E5">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2.不同投标人委托同一单位或者个人办理投标事宜；</w:t>
      </w:r>
    </w:p>
    <w:p w14:paraId="3E270D12">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3.不同的投标人的投标文件载明的项目管理员为同一个人；</w:t>
      </w:r>
    </w:p>
    <w:p w14:paraId="2FD995F7">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4.不同投标人的投标文件异常一致或者投标报价呈规律性差异；</w:t>
      </w:r>
    </w:p>
    <w:p w14:paraId="22BCA83D">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5.不同投标人的投标文件相互混装；</w:t>
      </w:r>
    </w:p>
    <w:p w14:paraId="6E827C76">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6.不同投标人的投标保证金从同一单位或者个人账户转出。</w:t>
      </w:r>
    </w:p>
    <w:p w14:paraId="4CD92F8C">
      <w:pPr>
        <w:spacing w:line="440" w:lineRule="exact"/>
        <w:contextualSpacing/>
        <w:jc w:val="left"/>
        <w:rPr>
          <w:rFonts w:ascii="宋体" w:hAnsi="宋体" w:cs="宋体"/>
          <w:color w:val="auto"/>
          <w:sz w:val="24"/>
          <w:highlight w:val="none"/>
        </w:rPr>
      </w:pPr>
      <w:r>
        <w:rPr>
          <w:rFonts w:hint="eastAsia" w:ascii="宋体" w:hAnsi="宋体" w:cs="宋体"/>
          <w:b/>
          <w:color w:val="auto"/>
          <w:sz w:val="24"/>
          <w:highlight w:val="none"/>
        </w:rPr>
        <w:t>二、我方承诺无下列恶意串通的情形：</w:t>
      </w:r>
    </w:p>
    <w:p w14:paraId="33FDE74A">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1.投标人直接或者间接从采购人或者采购代理机构处获得其他投标人的相关信息并修改其投标文件或者响应文件；</w:t>
      </w:r>
    </w:p>
    <w:p w14:paraId="267829C5">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2.投标人按照采购人或者采购代理机构的授意撤换、修改投标文件或者响应文件；</w:t>
      </w:r>
    </w:p>
    <w:p w14:paraId="223DD87C">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3.投标人之间协商报价、技术方案等投标文件或者响应文件的实质性内容；</w:t>
      </w:r>
    </w:p>
    <w:p w14:paraId="7D995920">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4.属于同一集团、协会、商会等组织成员的投标人按照该组织要求协同参加政府采购活动；</w:t>
      </w:r>
    </w:p>
    <w:p w14:paraId="3DDED67B">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1BC059D4">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6.投标人之间商定部分投标人放弃参加政府采购活动或者放弃中标；</w:t>
      </w:r>
    </w:p>
    <w:p w14:paraId="2D51E987">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7.投标人与采购人或者采购代理机构之间、投标人相互之间，为谋求特定投标人中标或者排斥其他投标人的其他串通行为。</w:t>
      </w:r>
    </w:p>
    <w:p w14:paraId="617B70AF">
      <w:pPr>
        <w:spacing w:line="440" w:lineRule="exact"/>
        <w:ind w:firstLine="472" w:firstLineChars="196"/>
        <w:contextualSpacing/>
        <w:jc w:val="left"/>
        <w:rPr>
          <w:rFonts w:ascii="宋体" w:hAnsi="宋体" w:cs="宋体"/>
          <w:b/>
          <w:color w:val="auto"/>
          <w:sz w:val="24"/>
          <w:highlight w:val="none"/>
        </w:rPr>
      </w:pPr>
      <w:r>
        <w:rPr>
          <w:rFonts w:hint="eastAsia" w:ascii="宋体" w:hAnsi="宋体" w:cs="宋体"/>
          <w:b/>
          <w:color w:val="auto"/>
          <w:sz w:val="24"/>
          <w:highlight w:val="none"/>
        </w:rPr>
        <w:t>以上情形一经核查属实，我方愿意承担一切后果，并不再寻求任何旨在减轻或者免除法律责任的辩解。</w:t>
      </w:r>
    </w:p>
    <w:p w14:paraId="463728AE">
      <w:pPr>
        <w:pStyle w:val="13"/>
        <w:spacing w:line="440" w:lineRule="exact"/>
        <w:ind w:firstLine="6840" w:firstLineChars="2850"/>
        <w:contextualSpacing/>
        <w:rPr>
          <w:rFonts w:hAnsi="宋体" w:cs="宋体"/>
          <w:color w:val="auto"/>
          <w:sz w:val="24"/>
          <w:szCs w:val="24"/>
          <w:highlight w:val="none"/>
        </w:rPr>
      </w:pPr>
    </w:p>
    <w:p w14:paraId="4B5B1711">
      <w:pPr>
        <w:pStyle w:val="13"/>
        <w:spacing w:line="440" w:lineRule="exact"/>
        <w:contextualSpacing/>
        <w:jc w:val="center"/>
        <w:rPr>
          <w:rFonts w:hAnsi="宋体" w:cs="宋体"/>
          <w:color w:val="auto"/>
          <w:sz w:val="24"/>
          <w:szCs w:val="24"/>
          <w:highlight w:val="none"/>
        </w:rPr>
      </w:pPr>
      <w:r>
        <w:rPr>
          <w:rFonts w:hint="eastAsia" w:hAnsi="宋体" w:cs="宋体"/>
          <w:color w:val="auto"/>
          <w:sz w:val="24"/>
          <w:szCs w:val="24"/>
          <w:highlight w:val="none"/>
        </w:rPr>
        <w:t xml:space="preserve">                                    </w:t>
      </w:r>
      <w:r>
        <w:rPr>
          <w:rFonts w:hint="eastAsia" w:ascii="宋体" w:hAnsi="宋体" w:cs="宋体"/>
          <w:color w:val="auto"/>
          <w:sz w:val="24"/>
          <w:highlight w:val="none"/>
          <w:lang w:val="zh-CN"/>
        </w:rPr>
        <w:t>投标人名称(电子签章)：</w:t>
      </w:r>
      <w:r>
        <w:rPr>
          <w:rFonts w:hint="eastAsia" w:ascii="宋体" w:hAnsi="宋体" w:cs="宋体"/>
          <w:color w:val="auto"/>
          <w:sz w:val="24"/>
          <w:highlight w:val="none"/>
          <w:u w:val="single"/>
        </w:rPr>
        <w:t xml:space="preserve">         </w:t>
      </w:r>
    </w:p>
    <w:p w14:paraId="39B66A4F">
      <w:pPr>
        <w:pStyle w:val="13"/>
        <w:spacing w:line="440" w:lineRule="exact"/>
        <w:contextualSpacing/>
        <w:rPr>
          <w:rFonts w:hAnsi="宋体" w:cs="宋体"/>
          <w:color w:val="auto"/>
          <w:sz w:val="24"/>
          <w:highlight w:val="none"/>
        </w:rPr>
      </w:pPr>
      <w:r>
        <w:rPr>
          <w:rFonts w:hint="eastAsia" w:hAnsi="宋体" w:cs="宋体"/>
          <w:color w:val="auto"/>
          <w:sz w:val="24"/>
          <w:highlight w:val="none"/>
        </w:rPr>
        <w:t xml:space="preserve">                                                </w:t>
      </w:r>
      <w:r>
        <w:rPr>
          <w:rFonts w:hint="eastAsia" w:hAnsi="宋体" w:cs="宋体"/>
          <w:color w:val="auto"/>
          <w:sz w:val="24"/>
          <w:highlight w:val="none"/>
          <w:u w:val="single"/>
        </w:rPr>
        <w:t xml:space="preserve">      </w:t>
      </w:r>
      <w:r>
        <w:rPr>
          <w:rFonts w:hint="eastAsia" w:hAnsi="宋体" w:cs="宋体"/>
          <w:color w:val="auto"/>
          <w:sz w:val="24"/>
          <w:highlight w:val="none"/>
        </w:rPr>
        <w:t>年</w:t>
      </w:r>
      <w:r>
        <w:rPr>
          <w:rFonts w:hint="eastAsia" w:hAnsi="宋体" w:cs="宋体"/>
          <w:color w:val="auto"/>
          <w:sz w:val="24"/>
          <w:highlight w:val="none"/>
          <w:u w:val="single"/>
        </w:rPr>
        <w:t xml:space="preserve">    </w:t>
      </w:r>
      <w:r>
        <w:rPr>
          <w:rFonts w:hint="eastAsia" w:hAnsi="宋体" w:cs="宋体"/>
          <w:color w:val="auto"/>
          <w:sz w:val="24"/>
          <w:highlight w:val="none"/>
        </w:rPr>
        <w:t>月</w:t>
      </w:r>
      <w:r>
        <w:rPr>
          <w:rFonts w:hint="eastAsia" w:hAnsi="宋体" w:cs="宋体"/>
          <w:color w:val="auto"/>
          <w:sz w:val="24"/>
          <w:highlight w:val="none"/>
          <w:u w:val="single"/>
        </w:rPr>
        <w:t xml:space="preserve">     </w:t>
      </w:r>
      <w:r>
        <w:rPr>
          <w:rFonts w:hint="eastAsia" w:hAnsi="宋体" w:cs="宋体"/>
          <w:color w:val="auto"/>
          <w:sz w:val="24"/>
          <w:highlight w:val="none"/>
        </w:rPr>
        <w:t>日</w:t>
      </w:r>
    </w:p>
    <w:p w14:paraId="2D6C5CD1">
      <w:pPr>
        <w:snapToGrid w:val="0"/>
        <w:spacing w:before="120" w:beforeLines="50" w:after="50"/>
        <w:jc w:val="left"/>
        <w:rPr>
          <w:rFonts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4.法定代表人身份证明</w:t>
      </w:r>
    </w:p>
    <w:p w14:paraId="49AC8BB0">
      <w:pPr>
        <w:spacing w:before="240" w:beforeLines="100" w:after="120" w:afterLines="50"/>
        <w:ind w:left="540"/>
        <w:jc w:val="center"/>
        <w:rPr>
          <w:rFonts w:ascii="宋体" w:hAnsi="宋体" w:cs="宋体"/>
          <w:b/>
          <w:color w:val="auto"/>
          <w:sz w:val="32"/>
          <w:szCs w:val="32"/>
          <w:highlight w:val="none"/>
        </w:rPr>
      </w:pPr>
    </w:p>
    <w:p w14:paraId="4F06B4D3">
      <w:pPr>
        <w:spacing w:before="240" w:beforeLines="100" w:after="120" w:afterLines="50"/>
        <w:ind w:left="54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法定代表人身份证明</w:t>
      </w:r>
    </w:p>
    <w:p w14:paraId="1309DEE4">
      <w:pPr>
        <w:spacing w:line="500" w:lineRule="exact"/>
        <w:ind w:left="540"/>
        <w:rPr>
          <w:rFonts w:ascii="宋体" w:hAnsi="宋体" w:cs="宋体"/>
          <w:color w:val="auto"/>
          <w:sz w:val="24"/>
          <w:highlight w:val="none"/>
        </w:rPr>
      </w:pPr>
      <w:r>
        <w:rPr>
          <w:rFonts w:hint="eastAsia" w:ascii="宋体" w:hAnsi="宋体" w:cs="宋体"/>
          <w:color w:val="auto"/>
          <w:sz w:val="24"/>
          <w:highlight w:val="none"/>
        </w:rPr>
        <w:t>投 标 人：</w:t>
      </w:r>
      <w:r>
        <w:rPr>
          <w:rFonts w:hint="eastAsia" w:ascii="宋体" w:hAnsi="宋体" w:cs="宋体"/>
          <w:color w:val="auto"/>
          <w:sz w:val="24"/>
          <w:highlight w:val="none"/>
          <w:u w:val="single"/>
        </w:rPr>
        <w:t xml:space="preserve">                                                        </w:t>
      </w:r>
    </w:p>
    <w:p w14:paraId="1A5C60C5">
      <w:pPr>
        <w:spacing w:line="500" w:lineRule="exact"/>
        <w:ind w:left="540"/>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7A444667">
      <w:pPr>
        <w:spacing w:line="500" w:lineRule="exact"/>
        <w:ind w:left="540"/>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69E8A1F8">
      <w:pPr>
        <w:spacing w:line="500" w:lineRule="exact"/>
        <w:ind w:left="540"/>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64DEE530">
      <w:pPr>
        <w:spacing w:line="500" w:lineRule="exact"/>
        <w:ind w:left="540"/>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1BFD7768">
      <w:pPr>
        <w:spacing w:line="500" w:lineRule="exact"/>
        <w:ind w:left="54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（投标人名称）              </w:t>
      </w:r>
      <w:r>
        <w:rPr>
          <w:rFonts w:hint="eastAsia" w:ascii="宋体" w:hAnsi="宋体" w:cs="宋体"/>
          <w:color w:val="auto"/>
          <w:sz w:val="24"/>
          <w:highlight w:val="none"/>
        </w:rPr>
        <w:t>的法定代表人。</w:t>
      </w:r>
    </w:p>
    <w:p w14:paraId="098CF4E1">
      <w:pPr>
        <w:spacing w:line="500" w:lineRule="exact"/>
        <w:ind w:left="540"/>
        <w:rPr>
          <w:rFonts w:ascii="宋体" w:hAnsi="宋体" w:cs="宋体"/>
          <w:color w:val="auto"/>
          <w:sz w:val="24"/>
          <w:highlight w:val="none"/>
        </w:rPr>
      </w:pPr>
      <w:r>
        <w:rPr>
          <w:rFonts w:hint="eastAsia" w:ascii="宋体" w:hAnsi="宋体" w:cs="宋体"/>
          <w:color w:val="auto"/>
          <w:sz w:val="24"/>
          <w:highlight w:val="none"/>
        </w:rPr>
        <w:t>特此证明。</w:t>
      </w:r>
    </w:p>
    <w:p w14:paraId="3407CB5E">
      <w:pPr>
        <w:spacing w:line="500" w:lineRule="exact"/>
        <w:ind w:left="540"/>
        <w:rPr>
          <w:rFonts w:ascii="宋体" w:hAnsi="宋体" w:cs="宋体"/>
          <w:color w:val="auto"/>
          <w:sz w:val="24"/>
          <w:highlight w:val="none"/>
        </w:rPr>
      </w:pPr>
    </w:p>
    <w:p w14:paraId="3B8C3E7A">
      <w:pPr>
        <w:spacing w:line="500" w:lineRule="exact"/>
        <w:ind w:left="540"/>
        <w:rPr>
          <w:rFonts w:ascii="宋体" w:hAnsi="宋体" w:cs="宋体"/>
          <w:color w:val="auto"/>
          <w:sz w:val="24"/>
          <w:highlight w:val="none"/>
        </w:rPr>
      </w:pPr>
    </w:p>
    <w:p w14:paraId="0D35CB8D">
      <w:pPr>
        <w:spacing w:line="500" w:lineRule="exact"/>
        <w:ind w:left="540"/>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2699648E">
      <w:pPr>
        <w:spacing w:line="500" w:lineRule="exact"/>
        <w:ind w:left="540"/>
        <w:rPr>
          <w:rFonts w:ascii="宋体" w:hAnsi="宋体" w:cs="宋体"/>
          <w:color w:val="auto"/>
          <w:sz w:val="24"/>
          <w:highlight w:val="none"/>
        </w:rPr>
      </w:pPr>
    </w:p>
    <w:p w14:paraId="3B55D0CF">
      <w:pPr>
        <w:spacing w:line="500" w:lineRule="exact"/>
        <w:ind w:left="540"/>
        <w:jc w:val="center"/>
        <w:rPr>
          <w:rFonts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val="zh-CN"/>
        </w:rPr>
        <w:t>投标人名称(电子签章)：</w:t>
      </w:r>
      <w:r>
        <w:rPr>
          <w:rFonts w:hint="eastAsia" w:ascii="宋体" w:hAnsi="宋体" w:cs="宋体"/>
          <w:color w:val="auto"/>
          <w:sz w:val="24"/>
          <w:highlight w:val="none"/>
          <w:u w:val="single"/>
        </w:rPr>
        <w:t xml:space="preserve">         </w:t>
      </w:r>
    </w:p>
    <w:p w14:paraId="538A3473">
      <w:pPr>
        <w:spacing w:line="500" w:lineRule="exact"/>
        <w:ind w:left="540"/>
        <w:jc w:val="right"/>
        <w:rPr>
          <w:rFonts w:ascii="宋体" w:hAnsi="宋体" w:cs="宋体"/>
          <w:color w:val="auto"/>
          <w:sz w:val="24"/>
          <w:highlight w:val="none"/>
        </w:rPr>
      </w:pPr>
    </w:p>
    <w:p w14:paraId="45196FCE">
      <w:pPr>
        <w:snapToGrid w:val="0"/>
        <w:spacing w:before="120" w:beforeLines="50" w:after="50"/>
        <w:ind w:left="540"/>
        <w:jc w:val="right"/>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310DD829">
      <w:pPr>
        <w:snapToGrid w:val="0"/>
        <w:spacing w:before="120" w:beforeLines="50" w:after="50"/>
        <w:jc w:val="center"/>
        <w:rPr>
          <w:rFonts w:ascii="宋体" w:hAnsi="宋体" w:cs="宋体"/>
          <w:b/>
          <w:color w:val="auto"/>
          <w:sz w:val="24"/>
          <w:highlight w:val="none"/>
        </w:rPr>
      </w:pPr>
    </w:p>
    <w:p w14:paraId="1A1C9BBF">
      <w:pPr>
        <w:snapToGrid w:val="0"/>
        <w:spacing w:before="120" w:beforeLines="50" w:after="50"/>
        <w:jc w:val="left"/>
        <w:rPr>
          <w:rFonts w:ascii="宋体" w:hAnsi="宋体" w:cs="宋体"/>
          <w:b/>
          <w:color w:val="auto"/>
          <w:sz w:val="24"/>
          <w:szCs w:val="20"/>
          <w:highlight w:val="none"/>
        </w:rPr>
      </w:pPr>
      <w:r>
        <w:rPr>
          <w:rFonts w:hint="eastAsia" w:ascii="宋体" w:hAnsi="宋体" w:cs="宋体"/>
          <w:color w:val="auto"/>
          <w:sz w:val="24"/>
          <w:highlight w:val="none"/>
        </w:rPr>
        <w:t>注：自然人投标的无需提供</w:t>
      </w:r>
    </w:p>
    <w:p w14:paraId="0A2982D3">
      <w:pPr>
        <w:snapToGrid w:val="0"/>
        <w:spacing w:before="120" w:beforeLines="50" w:after="50"/>
        <w:jc w:val="left"/>
        <w:rPr>
          <w:rFonts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5.授权委托书格式</w:t>
      </w:r>
    </w:p>
    <w:p w14:paraId="22D0C759">
      <w:pPr>
        <w:snapToGrid w:val="0"/>
        <w:spacing w:before="120" w:beforeLines="50" w:after="50"/>
        <w:jc w:val="center"/>
        <w:rPr>
          <w:rFonts w:ascii="宋体" w:hAnsi="宋体" w:cs="宋体"/>
          <w:b/>
          <w:color w:val="auto"/>
          <w:sz w:val="44"/>
          <w:szCs w:val="44"/>
          <w:highlight w:val="none"/>
        </w:rPr>
      </w:pPr>
    </w:p>
    <w:p w14:paraId="7EFA0F94">
      <w:pPr>
        <w:spacing w:line="360" w:lineRule="auto"/>
        <w:contextualSpacing/>
        <w:jc w:val="center"/>
        <w:rPr>
          <w:rFonts w:ascii="宋体" w:hAnsi="宋体" w:cs="宋体"/>
          <w:bCs/>
          <w:color w:val="auto"/>
          <w:sz w:val="44"/>
          <w:szCs w:val="44"/>
          <w:highlight w:val="none"/>
        </w:rPr>
      </w:pPr>
      <w:r>
        <w:rPr>
          <w:rFonts w:hint="eastAsia" w:ascii="宋体" w:hAnsi="宋体" w:cs="宋体"/>
          <w:bCs/>
          <w:color w:val="auto"/>
          <w:sz w:val="44"/>
          <w:szCs w:val="44"/>
          <w:highlight w:val="none"/>
        </w:rPr>
        <w:t>授权委托书</w:t>
      </w:r>
    </w:p>
    <w:p w14:paraId="3D2FC439">
      <w:pPr>
        <w:spacing w:line="360" w:lineRule="auto"/>
        <w:contextualSpacing/>
        <w:jc w:val="center"/>
        <w:rPr>
          <w:rFonts w:ascii="宋体" w:hAnsi="宋体" w:cs="宋体"/>
          <w:bCs/>
          <w:color w:val="auto"/>
          <w:sz w:val="32"/>
          <w:szCs w:val="32"/>
          <w:highlight w:val="none"/>
        </w:rPr>
      </w:pPr>
      <w:r>
        <w:rPr>
          <w:rFonts w:hint="eastAsia" w:ascii="宋体" w:hAnsi="宋体" w:cs="宋体"/>
          <w:bCs/>
          <w:color w:val="auto"/>
          <w:sz w:val="32"/>
          <w:szCs w:val="32"/>
          <w:highlight w:val="none"/>
        </w:rPr>
        <w:t>（非联合体投标格式）</w:t>
      </w:r>
    </w:p>
    <w:p w14:paraId="095FCDBC">
      <w:pPr>
        <w:spacing w:line="360" w:lineRule="auto"/>
        <w:contextualSpacing/>
        <w:jc w:val="center"/>
        <w:rPr>
          <w:rFonts w:ascii="宋体" w:hAnsi="宋体" w:cs="宋体"/>
          <w:bCs/>
          <w:color w:val="auto"/>
          <w:sz w:val="24"/>
          <w:highlight w:val="none"/>
        </w:rPr>
      </w:pPr>
      <w:r>
        <w:rPr>
          <w:rFonts w:hint="eastAsia" w:ascii="宋体" w:hAnsi="宋体" w:cs="宋体"/>
          <w:bCs/>
          <w:color w:val="auto"/>
          <w:sz w:val="32"/>
          <w:szCs w:val="32"/>
          <w:highlight w:val="none"/>
        </w:rPr>
        <w:t>（如有委托时）</w:t>
      </w:r>
    </w:p>
    <w:p w14:paraId="1F8BCD6D">
      <w:pPr>
        <w:spacing w:line="440" w:lineRule="exact"/>
        <w:contextualSpacing/>
        <w:jc w:val="center"/>
        <w:rPr>
          <w:rFonts w:ascii="宋体" w:hAnsi="宋体" w:cs="宋体"/>
          <w:b/>
          <w:color w:val="auto"/>
          <w:sz w:val="24"/>
          <w:highlight w:val="none"/>
        </w:rPr>
      </w:pPr>
    </w:p>
    <w:p w14:paraId="7EF80A73">
      <w:pPr>
        <w:spacing w:line="440" w:lineRule="exact"/>
        <w:contextualSpacing/>
        <w:rPr>
          <w:rFonts w:ascii="宋体" w:hAnsi="宋体" w:cs="宋体"/>
          <w:b/>
          <w:bCs/>
          <w:color w:val="auto"/>
          <w:sz w:val="24"/>
          <w:highlight w:val="none"/>
        </w:rPr>
      </w:pPr>
      <w:r>
        <w:rPr>
          <w:rFonts w:hint="eastAsia" w:ascii="宋体" w:hAnsi="宋体" w:cs="宋体"/>
          <w:bCs/>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60686AF8">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（投标人名称）的法定代表人，现授权委托</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项目的投标活动，并代表我方全权办理针对上述项目的所有采购程序和环节的具体事务和签署相关文件。</w:t>
      </w:r>
    </w:p>
    <w:p w14:paraId="6601CB1C">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14:paraId="472F2BB5">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50B6C0D0">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4D34CF2F">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rPr>
        <w:t>附：法定代表人身份证明及委托代理人有效身份证正反面复印件</w:t>
      </w:r>
    </w:p>
    <w:p w14:paraId="125A138F">
      <w:pPr>
        <w:spacing w:line="440" w:lineRule="exact"/>
        <w:contextualSpacing/>
        <w:rPr>
          <w:rFonts w:ascii="宋体" w:hAnsi="宋体" w:cs="宋体"/>
          <w:color w:val="auto"/>
          <w:sz w:val="24"/>
          <w:highlight w:val="none"/>
        </w:rPr>
      </w:pPr>
    </w:p>
    <w:p w14:paraId="6AEBE7BD">
      <w:pPr>
        <w:spacing w:line="440" w:lineRule="exact"/>
        <w:contextualSpacing/>
        <w:rPr>
          <w:rFonts w:ascii="宋体" w:hAnsi="宋体" w:cs="宋体"/>
          <w:color w:val="auto"/>
          <w:sz w:val="24"/>
          <w:highlight w:val="none"/>
          <w:u w:val="single"/>
        </w:rPr>
      </w:pPr>
      <w:r>
        <w:rPr>
          <w:rFonts w:hint="eastAsia" w:ascii="宋体" w:hAnsi="宋体" w:cs="宋体"/>
          <w:color w:val="auto"/>
          <w:sz w:val="24"/>
          <w:highlight w:val="none"/>
        </w:rPr>
        <w:t>委托代理人（签字）：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法定代表人（签字或者盖章）：</w:t>
      </w:r>
      <w:r>
        <w:rPr>
          <w:rFonts w:hint="eastAsia" w:ascii="宋体" w:hAnsi="宋体" w:cs="宋体"/>
          <w:color w:val="auto"/>
          <w:sz w:val="24"/>
          <w:highlight w:val="none"/>
          <w:u w:val="single"/>
        </w:rPr>
        <w:t xml:space="preserve">              </w:t>
      </w:r>
    </w:p>
    <w:p w14:paraId="253DB5C5">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委托代理人身份证号码：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7B742BF6">
      <w:pPr>
        <w:spacing w:line="440" w:lineRule="exact"/>
        <w:contextualSpacing/>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投标人名称(电子签章)：</w:t>
      </w:r>
      <w:r>
        <w:rPr>
          <w:rFonts w:hint="eastAsia" w:ascii="宋体" w:hAnsi="宋体" w:cs="宋体"/>
          <w:color w:val="auto"/>
          <w:spacing w:val="20"/>
          <w:sz w:val="24"/>
          <w:highlight w:val="none"/>
          <w:u w:val="single"/>
        </w:rPr>
        <w:t xml:space="preserve">          </w:t>
      </w:r>
      <w:r>
        <w:rPr>
          <w:rFonts w:hint="eastAsia" w:ascii="宋体" w:hAnsi="宋体" w:cs="宋体"/>
          <w:color w:val="auto"/>
          <w:sz w:val="24"/>
          <w:highlight w:val="none"/>
          <w:lang w:eastAsia="zh-CN"/>
        </w:rPr>
        <w:t xml:space="preserve">        </w:t>
      </w:r>
    </w:p>
    <w:p w14:paraId="76D2FDBA">
      <w:pPr>
        <w:spacing w:line="440" w:lineRule="exact"/>
        <w:contextualSpacing/>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2324A0FA">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注：1.</w:t>
      </w:r>
      <w:bookmarkStart w:id="164" w:name="_Hlk65851555"/>
      <w:bookmarkStart w:id="165" w:name="_Hlk65851620"/>
      <w:r>
        <w:rPr>
          <w:rFonts w:hint="eastAsia" w:ascii="宋体" w:hAnsi="宋体" w:cs="宋体"/>
          <w:color w:val="auto"/>
          <w:sz w:val="24"/>
          <w:highlight w:val="none"/>
        </w:rPr>
        <w:t>法定代表人必须在授权委托书上亲笔签字或者盖章，</w:t>
      </w:r>
      <w:bookmarkEnd w:id="164"/>
      <w:r>
        <w:rPr>
          <w:rFonts w:hint="eastAsia" w:ascii="宋体" w:hAnsi="宋体" w:cs="宋体"/>
          <w:color w:val="auto"/>
          <w:sz w:val="24"/>
          <w:highlight w:val="none"/>
        </w:rPr>
        <w:t>委托代理人必须在授权委托书上亲笔签字，</w:t>
      </w:r>
      <w:r>
        <w:rPr>
          <w:rFonts w:hint="eastAsia" w:ascii="宋体" w:hAnsi="宋体" w:cs="宋体"/>
          <w:b/>
          <w:bCs/>
          <w:color w:val="auto"/>
          <w:sz w:val="24"/>
          <w:highlight w:val="none"/>
        </w:rPr>
        <w:t>否则按无效投标处理</w:t>
      </w:r>
      <w:r>
        <w:rPr>
          <w:rFonts w:hint="eastAsia" w:ascii="宋体" w:hAnsi="宋体" w:cs="宋体"/>
          <w:color w:val="auto"/>
          <w:sz w:val="24"/>
          <w:highlight w:val="none"/>
        </w:rPr>
        <w:t>；</w:t>
      </w:r>
      <w:bookmarkEnd w:id="165"/>
    </w:p>
    <w:p w14:paraId="03F27B0C">
      <w:pPr>
        <w:spacing w:line="44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2.法人、其他组织投标时“我方”是指“我单位”，自然人投标时“我方”是指“本人”。</w:t>
      </w:r>
    </w:p>
    <w:p w14:paraId="5F05E686">
      <w:pPr>
        <w:snapToGrid w:val="0"/>
        <w:spacing w:before="120" w:beforeLines="50" w:after="50"/>
        <w:ind w:firstLine="566" w:firstLineChars="236"/>
        <w:jc w:val="center"/>
        <w:rPr>
          <w:rFonts w:ascii="宋体" w:hAnsi="宋体" w:cs="宋体"/>
          <w:color w:val="auto"/>
          <w:sz w:val="44"/>
          <w:szCs w:val="44"/>
          <w:highlight w:val="none"/>
        </w:rPr>
      </w:pPr>
      <w:r>
        <w:rPr>
          <w:rFonts w:hint="eastAsia" w:ascii="宋体" w:hAnsi="宋体" w:cs="宋体"/>
          <w:color w:val="auto"/>
          <w:sz w:val="24"/>
          <w:highlight w:val="none"/>
        </w:rPr>
        <w:br w:type="page"/>
      </w:r>
      <w:r>
        <w:rPr>
          <w:rFonts w:hint="eastAsia" w:ascii="宋体" w:hAnsi="宋体" w:cs="宋体"/>
          <w:color w:val="auto"/>
          <w:sz w:val="44"/>
          <w:szCs w:val="44"/>
          <w:highlight w:val="none"/>
        </w:rPr>
        <w:t>授权委托书</w:t>
      </w:r>
    </w:p>
    <w:p w14:paraId="25DF439D">
      <w:pPr>
        <w:snapToGrid w:val="0"/>
        <w:spacing w:before="120" w:beforeLines="50" w:after="50"/>
        <w:ind w:firstLine="755" w:firstLineChars="236"/>
        <w:jc w:val="center"/>
        <w:rPr>
          <w:rFonts w:ascii="宋体" w:hAnsi="宋体" w:cs="宋体"/>
          <w:color w:val="auto"/>
          <w:sz w:val="32"/>
          <w:szCs w:val="32"/>
          <w:highlight w:val="none"/>
        </w:rPr>
      </w:pPr>
      <w:r>
        <w:rPr>
          <w:rFonts w:hint="eastAsia" w:ascii="宋体" w:hAnsi="宋体" w:cs="宋体"/>
          <w:color w:val="auto"/>
          <w:sz w:val="32"/>
          <w:szCs w:val="32"/>
          <w:highlight w:val="none"/>
        </w:rPr>
        <w:t>（联合体投标格式）</w:t>
      </w:r>
    </w:p>
    <w:p w14:paraId="6AF0C0EF">
      <w:pPr>
        <w:snapToGrid w:val="0"/>
        <w:spacing w:before="120" w:beforeLines="50" w:after="50"/>
        <w:ind w:firstLine="755" w:firstLineChars="236"/>
        <w:jc w:val="center"/>
        <w:rPr>
          <w:rFonts w:ascii="宋体" w:hAnsi="宋体" w:cs="宋体"/>
          <w:color w:val="auto"/>
          <w:sz w:val="24"/>
          <w:highlight w:val="none"/>
        </w:rPr>
      </w:pPr>
      <w:r>
        <w:rPr>
          <w:rFonts w:hint="eastAsia" w:ascii="宋体" w:hAnsi="宋体" w:cs="宋体"/>
          <w:color w:val="auto"/>
          <w:sz w:val="32"/>
          <w:szCs w:val="32"/>
          <w:highlight w:val="none"/>
        </w:rPr>
        <w:t>（如有委托时）</w:t>
      </w:r>
    </w:p>
    <w:p w14:paraId="42A95861">
      <w:pPr>
        <w:spacing w:line="440" w:lineRule="exact"/>
        <w:contextualSpacing/>
        <w:jc w:val="left"/>
        <w:rPr>
          <w:rFonts w:ascii="宋体" w:hAnsi="宋体" w:cs="宋体"/>
          <w:color w:val="auto"/>
          <w:sz w:val="24"/>
          <w:highlight w:val="none"/>
        </w:rPr>
      </w:pPr>
      <w:r>
        <w:rPr>
          <w:rFonts w:hint="eastAsia" w:ascii="宋体" w:hAnsi="宋体" w:cs="宋体"/>
          <w:bCs/>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243074C9">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 xml:space="preserve">根据 </w:t>
      </w:r>
      <w:r>
        <w:rPr>
          <w:rFonts w:hint="eastAsia" w:ascii="宋体" w:hAnsi="宋体" w:cs="宋体"/>
          <w:color w:val="auto"/>
          <w:sz w:val="24"/>
          <w:highlight w:val="none"/>
          <w:u w:val="single"/>
        </w:rPr>
        <w:t xml:space="preserve"> （牵头人名称）</w:t>
      </w:r>
      <w:r>
        <w:rPr>
          <w:rFonts w:hint="eastAsia" w:ascii="宋体" w:hAnsi="宋体" w:cs="宋体"/>
          <w:color w:val="auto"/>
          <w:sz w:val="24"/>
          <w:highlight w:val="none"/>
        </w:rPr>
        <w:t>与</w:t>
      </w:r>
      <w:r>
        <w:rPr>
          <w:rFonts w:hint="eastAsia" w:ascii="宋体" w:hAnsi="宋体" w:cs="宋体"/>
          <w:color w:val="auto"/>
          <w:sz w:val="24"/>
          <w:highlight w:val="none"/>
          <w:u w:val="single"/>
        </w:rPr>
        <w:t>（联合体其他成员名称）</w:t>
      </w:r>
      <w:r>
        <w:rPr>
          <w:rFonts w:hint="eastAsia" w:ascii="宋体" w:hAnsi="宋体" w:cs="宋体"/>
          <w:color w:val="auto"/>
          <w:sz w:val="24"/>
          <w:highlight w:val="none"/>
        </w:rPr>
        <w:t>签订的《联合体投标协议书》的内容，</w:t>
      </w:r>
      <w:r>
        <w:rPr>
          <w:rFonts w:hint="eastAsia" w:ascii="宋体" w:hAnsi="宋体" w:cs="宋体"/>
          <w:color w:val="auto"/>
          <w:sz w:val="24"/>
          <w:highlight w:val="none"/>
          <w:u w:val="single"/>
        </w:rPr>
        <w:t>（牵头人名称）</w:t>
      </w:r>
      <w:r>
        <w:rPr>
          <w:rFonts w:hint="eastAsia" w:ascii="宋体" w:hAnsi="宋体" w:cs="宋体"/>
          <w:color w:val="auto"/>
          <w:sz w:val="24"/>
          <w:highlight w:val="none"/>
        </w:rPr>
        <w:t>的法定代表人</w:t>
      </w:r>
      <w:r>
        <w:rPr>
          <w:rFonts w:hint="eastAsia" w:ascii="宋体" w:hAnsi="宋体" w:cs="宋体"/>
          <w:color w:val="auto"/>
          <w:sz w:val="24"/>
          <w:highlight w:val="none"/>
          <w:u w:val="single"/>
        </w:rPr>
        <w:t>（姓名）</w:t>
      </w:r>
      <w:r>
        <w:rPr>
          <w:rFonts w:hint="eastAsia" w:ascii="宋体" w:hAnsi="宋体" w:cs="宋体"/>
          <w:color w:val="auto"/>
          <w:sz w:val="24"/>
          <w:highlight w:val="none"/>
        </w:rPr>
        <w:t>现授权委托</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项目的投标活动，并代表我方全权办理针对上述项目的所有采购程序和环节的具体事务和签署相关文件。</w:t>
      </w:r>
    </w:p>
    <w:p w14:paraId="45F1E31A">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我方对委托代理人的签字事项负全部责任。</w:t>
      </w:r>
    </w:p>
    <w:p w14:paraId="37D80D58">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46A72BDE">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23E5F42B">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附：牵头人法定代表人身份证明及委托代理人有效身份证正反面复印件</w:t>
      </w:r>
    </w:p>
    <w:p w14:paraId="2DACF059">
      <w:pPr>
        <w:spacing w:line="440" w:lineRule="exact"/>
        <w:ind w:firstLine="566" w:firstLineChars="236"/>
        <w:contextualSpacing/>
        <w:rPr>
          <w:rFonts w:ascii="宋体" w:hAnsi="宋体" w:cs="宋体"/>
          <w:color w:val="auto"/>
          <w:sz w:val="24"/>
          <w:highlight w:val="none"/>
        </w:rPr>
      </w:pPr>
    </w:p>
    <w:p w14:paraId="3A4D9088">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牵头人法定代表人（签字或者盖章）：</w:t>
      </w:r>
    </w:p>
    <w:p w14:paraId="03945D78">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牵头人（盖公章）：</w:t>
      </w:r>
    </w:p>
    <w:p w14:paraId="5D95A2C9">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日期：    年   月   日</w:t>
      </w:r>
    </w:p>
    <w:p w14:paraId="30419D1C">
      <w:pPr>
        <w:spacing w:line="440" w:lineRule="exact"/>
        <w:ind w:firstLine="566" w:firstLineChars="236"/>
        <w:contextualSpacing/>
        <w:rPr>
          <w:rFonts w:ascii="宋体" w:hAnsi="宋体" w:cs="宋体"/>
          <w:color w:val="auto"/>
          <w:sz w:val="24"/>
          <w:highlight w:val="none"/>
        </w:rPr>
      </w:pPr>
    </w:p>
    <w:p w14:paraId="6725E03C">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被授权人（签字）：</w:t>
      </w:r>
    </w:p>
    <w:p w14:paraId="5F8CFAEB">
      <w:pPr>
        <w:spacing w:line="440" w:lineRule="exact"/>
        <w:ind w:firstLine="566" w:firstLineChars="236"/>
        <w:contextualSpacing/>
        <w:rPr>
          <w:rFonts w:ascii="宋体" w:hAnsi="宋体" w:cs="宋体"/>
          <w:color w:val="auto"/>
          <w:sz w:val="32"/>
          <w:szCs w:val="32"/>
          <w:highlight w:val="none"/>
        </w:rPr>
      </w:pPr>
      <w:r>
        <w:rPr>
          <w:rFonts w:hint="eastAsia" w:ascii="宋体" w:hAnsi="宋体" w:cs="宋体"/>
          <w:color w:val="auto"/>
          <w:sz w:val="24"/>
          <w:highlight w:val="none"/>
        </w:rPr>
        <w:t>日期：    年   月   日</w:t>
      </w:r>
    </w:p>
    <w:p w14:paraId="7E0CDB1D">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注：1. 法定代表人必须在授权委托书上亲笔签字或者盖章，委托代理人必须在授权委托书上亲笔签字，</w:t>
      </w:r>
      <w:r>
        <w:rPr>
          <w:rFonts w:hint="eastAsia" w:ascii="宋体" w:hAnsi="宋体" w:cs="宋体"/>
          <w:b/>
          <w:bCs/>
          <w:color w:val="auto"/>
          <w:sz w:val="24"/>
          <w:highlight w:val="none"/>
        </w:rPr>
        <w:t>否则按无效投标处理</w:t>
      </w:r>
      <w:r>
        <w:rPr>
          <w:rFonts w:hint="eastAsia" w:ascii="宋体" w:hAnsi="宋体" w:cs="宋体"/>
          <w:color w:val="auto"/>
          <w:sz w:val="24"/>
          <w:highlight w:val="none"/>
        </w:rPr>
        <w:t>；</w:t>
      </w:r>
    </w:p>
    <w:p w14:paraId="4E793B98">
      <w:pPr>
        <w:spacing w:line="44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2.本授权委托书应由联合体牵头人的法定代表人按上述规定签字。</w:t>
      </w:r>
    </w:p>
    <w:p w14:paraId="0021ABBD">
      <w:pPr>
        <w:spacing w:line="44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3.法人、其他组织投标时“我方”是指“我单位”，自然人投标时“我方”是指“本人”。</w:t>
      </w:r>
    </w:p>
    <w:p w14:paraId="34061E33">
      <w:pPr>
        <w:snapToGrid w:val="0"/>
        <w:spacing w:before="50" w:after="120" w:afterLines="50"/>
        <w:ind w:firstLine="480" w:firstLineChars="200"/>
        <w:jc w:val="left"/>
        <w:rPr>
          <w:rFonts w:ascii="宋体" w:hAnsi="宋体" w:cs="宋体"/>
          <w:color w:val="auto"/>
          <w:sz w:val="24"/>
          <w:highlight w:val="none"/>
        </w:rPr>
        <w:sectPr>
          <w:pgSz w:w="11906" w:h="16838"/>
          <w:pgMar w:top="1134" w:right="1134" w:bottom="1020" w:left="1134" w:header="851" w:footer="567" w:gutter="0"/>
          <w:cols w:space="720" w:num="1"/>
          <w:titlePg/>
          <w:docGrid w:linePitch="312" w:charSpace="0"/>
        </w:sectPr>
      </w:pPr>
    </w:p>
    <w:p w14:paraId="658CB0B1">
      <w:pPr>
        <w:rPr>
          <w:rFonts w:ascii="宋体" w:hAnsi="宋体" w:cs="宋体"/>
          <w:color w:val="auto"/>
          <w:sz w:val="24"/>
          <w:highlight w:val="none"/>
        </w:rPr>
      </w:pPr>
    </w:p>
    <w:p w14:paraId="6FCCE291">
      <w:pPr>
        <w:rPr>
          <w:rFonts w:ascii="宋体" w:hAnsi="宋体" w:cs="宋体"/>
          <w:b/>
          <w:color w:val="auto"/>
          <w:sz w:val="24"/>
          <w:szCs w:val="20"/>
          <w:highlight w:val="none"/>
        </w:rPr>
      </w:pPr>
      <w:r>
        <w:rPr>
          <w:rFonts w:hint="eastAsia" w:ascii="宋体" w:hAnsi="宋体" w:cs="宋体"/>
          <w:b/>
          <w:color w:val="auto"/>
          <w:sz w:val="24"/>
          <w:highlight w:val="none"/>
        </w:rPr>
        <w:t>6.商务要求偏离表格式（注：按项目需求表具体项目修改）</w:t>
      </w:r>
    </w:p>
    <w:p w14:paraId="005785BD">
      <w:pPr>
        <w:snapToGrid w:val="0"/>
        <w:spacing w:before="50"/>
        <w:jc w:val="left"/>
        <w:rPr>
          <w:rFonts w:ascii="宋体" w:hAnsi="宋体" w:cs="宋体"/>
          <w:color w:val="auto"/>
          <w:sz w:val="24"/>
          <w:highlight w:val="none"/>
        </w:rPr>
      </w:pPr>
    </w:p>
    <w:p w14:paraId="15949E66">
      <w:pPr>
        <w:snapToGrid w:val="0"/>
        <w:spacing w:before="50" w:after="50" w:line="360" w:lineRule="auto"/>
        <w:jc w:val="center"/>
        <w:rPr>
          <w:rFonts w:hint="eastAsia" w:ascii="宋体" w:hAnsi="宋体" w:cs="宋体"/>
          <w:color w:val="auto"/>
          <w:sz w:val="24"/>
          <w:highlight w:val="none"/>
        </w:rPr>
      </w:pPr>
      <w:r>
        <w:rPr>
          <w:rFonts w:hint="eastAsia" w:ascii="宋体" w:hAnsi="宋体" w:cs="宋体"/>
          <w:b/>
          <w:color w:val="auto"/>
          <w:sz w:val="24"/>
          <w:highlight w:val="none"/>
        </w:rPr>
        <w:t>商务要求偏离表</w:t>
      </w:r>
    </w:p>
    <w:p w14:paraId="42CBADB5">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bCs/>
          <w:color w:val="auto"/>
          <w:sz w:val="24"/>
          <w:highlight w:val="none"/>
          <w:lang w:eastAsia="zh-CN"/>
        </w:rPr>
        <w:t>分标</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标项名称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628831CA">
      <w:pPr>
        <w:snapToGrid w:val="0"/>
        <w:spacing w:before="50"/>
        <w:jc w:val="left"/>
        <w:rPr>
          <w:rFonts w:ascii="宋体" w:hAnsi="宋体" w:cs="宋体"/>
          <w:color w:val="auto"/>
          <w:sz w:val="24"/>
          <w:highlight w:val="none"/>
          <w:u w:val="single"/>
        </w:rPr>
      </w:pPr>
    </w:p>
    <w:tbl>
      <w:tblPr>
        <w:tblStyle w:val="22"/>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20"/>
        <w:gridCol w:w="3804"/>
        <w:gridCol w:w="2006"/>
        <w:gridCol w:w="2320"/>
      </w:tblGrid>
      <w:tr w14:paraId="1AF15E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873" w:type="pct"/>
            <w:tcBorders>
              <w:top w:val="single" w:color="auto" w:sz="4" w:space="0"/>
              <w:left w:val="single" w:color="auto" w:sz="4" w:space="0"/>
              <w:bottom w:val="single" w:color="auto" w:sz="4" w:space="0"/>
              <w:right w:val="single" w:color="auto" w:sz="4" w:space="0"/>
            </w:tcBorders>
          </w:tcPr>
          <w:p w14:paraId="53733C77">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项目</w:t>
            </w:r>
          </w:p>
        </w:tc>
        <w:tc>
          <w:tcPr>
            <w:tcW w:w="1930" w:type="pct"/>
            <w:tcBorders>
              <w:top w:val="single" w:color="auto" w:sz="4" w:space="0"/>
              <w:left w:val="single" w:color="auto" w:sz="4" w:space="0"/>
              <w:bottom w:val="single" w:color="auto" w:sz="4" w:space="0"/>
              <w:right w:val="single" w:color="auto" w:sz="4" w:space="0"/>
            </w:tcBorders>
          </w:tcPr>
          <w:p w14:paraId="6075CCD4">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招标文件商务要求</w:t>
            </w:r>
          </w:p>
        </w:tc>
        <w:tc>
          <w:tcPr>
            <w:tcW w:w="1018" w:type="pct"/>
            <w:tcBorders>
              <w:top w:val="single" w:color="auto" w:sz="4" w:space="0"/>
              <w:left w:val="single" w:color="auto" w:sz="4" w:space="0"/>
              <w:bottom w:val="single" w:color="auto" w:sz="4" w:space="0"/>
              <w:right w:val="single" w:color="auto" w:sz="4" w:space="0"/>
            </w:tcBorders>
          </w:tcPr>
          <w:p w14:paraId="695BD817">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投标人的承诺</w:t>
            </w:r>
          </w:p>
        </w:tc>
        <w:tc>
          <w:tcPr>
            <w:tcW w:w="1177" w:type="pct"/>
            <w:tcBorders>
              <w:top w:val="single" w:color="auto" w:sz="4" w:space="0"/>
              <w:left w:val="single" w:color="auto" w:sz="4" w:space="0"/>
              <w:bottom w:val="single" w:color="auto" w:sz="4" w:space="0"/>
              <w:right w:val="single" w:color="auto" w:sz="4" w:space="0"/>
            </w:tcBorders>
          </w:tcPr>
          <w:p w14:paraId="43B14A03">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偏离说明</w:t>
            </w:r>
          </w:p>
        </w:tc>
      </w:tr>
      <w:tr w14:paraId="6E4D7C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3" w:type="pct"/>
            <w:tcBorders>
              <w:top w:val="single" w:color="auto" w:sz="4" w:space="0"/>
              <w:left w:val="single" w:color="auto" w:sz="4" w:space="0"/>
              <w:bottom w:val="single" w:color="auto" w:sz="4" w:space="0"/>
              <w:right w:val="single" w:color="auto" w:sz="4" w:space="0"/>
            </w:tcBorders>
            <w:vAlign w:val="center"/>
          </w:tcPr>
          <w:p w14:paraId="760919A7">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1</w:t>
            </w:r>
          </w:p>
        </w:tc>
        <w:tc>
          <w:tcPr>
            <w:tcW w:w="1930" w:type="pct"/>
            <w:tcBorders>
              <w:top w:val="single" w:color="auto" w:sz="4" w:space="0"/>
              <w:left w:val="single" w:color="auto" w:sz="4" w:space="0"/>
              <w:bottom w:val="single" w:color="auto" w:sz="4" w:space="0"/>
              <w:right w:val="single" w:color="auto" w:sz="4" w:space="0"/>
            </w:tcBorders>
          </w:tcPr>
          <w:p w14:paraId="0F266839">
            <w:pPr>
              <w:snapToGrid w:val="0"/>
              <w:spacing w:before="120" w:beforeLines="50"/>
              <w:jc w:val="center"/>
              <w:rPr>
                <w:rFonts w:ascii="宋体" w:hAnsi="宋体" w:cs="宋体"/>
                <w:color w:val="auto"/>
                <w:sz w:val="24"/>
                <w:highlight w:val="none"/>
              </w:rPr>
            </w:pPr>
          </w:p>
        </w:tc>
        <w:tc>
          <w:tcPr>
            <w:tcW w:w="1018" w:type="pct"/>
            <w:tcBorders>
              <w:top w:val="single" w:color="auto" w:sz="4" w:space="0"/>
              <w:left w:val="single" w:color="auto" w:sz="4" w:space="0"/>
              <w:bottom w:val="single" w:color="auto" w:sz="4" w:space="0"/>
              <w:right w:val="single" w:color="auto" w:sz="4" w:space="0"/>
            </w:tcBorders>
          </w:tcPr>
          <w:p w14:paraId="435CF4E7">
            <w:pPr>
              <w:snapToGrid w:val="0"/>
              <w:spacing w:before="120" w:beforeLines="50"/>
              <w:jc w:val="center"/>
              <w:rPr>
                <w:rFonts w:ascii="宋体" w:hAnsi="宋体" w:cs="宋体"/>
                <w:color w:val="auto"/>
                <w:sz w:val="24"/>
                <w:highlight w:val="none"/>
              </w:rPr>
            </w:pPr>
          </w:p>
        </w:tc>
        <w:tc>
          <w:tcPr>
            <w:tcW w:w="1177" w:type="pct"/>
            <w:tcBorders>
              <w:top w:val="single" w:color="auto" w:sz="4" w:space="0"/>
              <w:left w:val="single" w:color="auto" w:sz="4" w:space="0"/>
              <w:bottom w:val="single" w:color="auto" w:sz="4" w:space="0"/>
              <w:right w:val="single" w:color="auto" w:sz="4" w:space="0"/>
            </w:tcBorders>
          </w:tcPr>
          <w:p w14:paraId="1E3AB24A">
            <w:pPr>
              <w:snapToGrid w:val="0"/>
              <w:spacing w:before="120" w:beforeLines="50"/>
              <w:jc w:val="center"/>
              <w:rPr>
                <w:rFonts w:ascii="宋体" w:hAnsi="宋体" w:cs="宋体"/>
                <w:color w:val="auto"/>
                <w:sz w:val="24"/>
                <w:highlight w:val="none"/>
              </w:rPr>
            </w:pPr>
          </w:p>
        </w:tc>
      </w:tr>
      <w:tr w14:paraId="0ED42C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3" w:type="pct"/>
            <w:tcBorders>
              <w:top w:val="single" w:color="auto" w:sz="4" w:space="0"/>
              <w:left w:val="single" w:color="auto" w:sz="4" w:space="0"/>
              <w:bottom w:val="single" w:color="auto" w:sz="4" w:space="0"/>
              <w:right w:val="single" w:color="auto" w:sz="4" w:space="0"/>
            </w:tcBorders>
            <w:vAlign w:val="center"/>
          </w:tcPr>
          <w:p w14:paraId="2B713FD0">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2</w:t>
            </w:r>
          </w:p>
        </w:tc>
        <w:tc>
          <w:tcPr>
            <w:tcW w:w="1930" w:type="pct"/>
            <w:tcBorders>
              <w:top w:val="single" w:color="auto" w:sz="4" w:space="0"/>
              <w:left w:val="single" w:color="auto" w:sz="4" w:space="0"/>
              <w:bottom w:val="single" w:color="auto" w:sz="4" w:space="0"/>
              <w:right w:val="single" w:color="auto" w:sz="4" w:space="0"/>
            </w:tcBorders>
          </w:tcPr>
          <w:p w14:paraId="67E184C1">
            <w:pPr>
              <w:snapToGrid w:val="0"/>
              <w:spacing w:before="120" w:beforeLines="50"/>
              <w:jc w:val="center"/>
              <w:rPr>
                <w:rFonts w:ascii="宋体" w:hAnsi="宋体" w:cs="宋体"/>
                <w:color w:val="auto"/>
                <w:sz w:val="24"/>
                <w:highlight w:val="none"/>
              </w:rPr>
            </w:pPr>
          </w:p>
        </w:tc>
        <w:tc>
          <w:tcPr>
            <w:tcW w:w="1018" w:type="pct"/>
            <w:tcBorders>
              <w:top w:val="single" w:color="auto" w:sz="4" w:space="0"/>
              <w:left w:val="single" w:color="auto" w:sz="4" w:space="0"/>
              <w:bottom w:val="single" w:color="auto" w:sz="4" w:space="0"/>
              <w:right w:val="single" w:color="auto" w:sz="4" w:space="0"/>
            </w:tcBorders>
          </w:tcPr>
          <w:p w14:paraId="64D8287E">
            <w:pPr>
              <w:snapToGrid w:val="0"/>
              <w:spacing w:before="120" w:beforeLines="50"/>
              <w:jc w:val="center"/>
              <w:rPr>
                <w:rFonts w:ascii="宋体" w:hAnsi="宋体" w:cs="宋体"/>
                <w:color w:val="auto"/>
                <w:sz w:val="24"/>
                <w:highlight w:val="none"/>
              </w:rPr>
            </w:pPr>
          </w:p>
        </w:tc>
        <w:tc>
          <w:tcPr>
            <w:tcW w:w="1177" w:type="pct"/>
            <w:tcBorders>
              <w:top w:val="single" w:color="auto" w:sz="4" w:space="0"/>
              <w:left w:val="single" w:color="auto" w:sz="4" w:space="0"/>
              <w:bottom w:val="single" w:color="auto" w:sz="4" w:space="0"/>
              <w:right w:val="single" w:color="auto" w:sz="4" w:space="0"/>
            </w:tcBorders>
          </w:tcPr>
          <w:p w14:paraId="480AF6E8">
            <w:pPr>
              <w:snapToGrid w:val="0"/>
              <w:spacing w:before="120" w:beforeLines="50"/>
              <w:jc w:val="center"/>
              <w:rPr>
                <w:rFonts w:ascii="宋体" w:hAnsi="宋体" w:cs="宋体"/>
                <w:color w:val="auto"/>
                <w:sz w:val="24"/>
                <w:highlight w:val="none"/>
              </w:rPr>
            </w:pPr>
          </w:p>
        </w:tc>
      </w:tr>
      <w:tr w14:paraId="306FC0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3" w:type="pct"/>
            <w:tcBorders>
              <w:top w:val="single" w:color="auto" w:sz="4" w:space="0"/>
              <w:left w:val="single" w:color="auto" w:sz="4" w:space="0"/>
              <w:bottom w:val="single" w:color="auto" w:sz="4" w:space="0"/>
              <w:right w:val="single" w:color="auto" w:sz="4" w:space="0"/>
            </w:tcBorders>
            <w:vAlign w:val="center"/>
          </w:tcPr>
          <w:p w14:paraId="5E9F6AB9">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3</w:t>
            </w:r>
          </w:p>
        </w:tc>
        <w:tc>
          <w:tcPr>
            <w:tcW w:w="1930" w:type="pct"/>
            <w:tcBorders>
              <w:top w:val="single" w:color="auto" w:sz="4" w:space="0"/>
              <w:left w:val="single" w:color="auto" w:sz="4" w:space="0"/>
              <w:bottom w:val="single" w:color="auto" w:sz="4" w:space="0"/>
              <w:right w:val="single" w:color="auto" w:sz="4" w:space="0"/>
            </w:tcBorders>
          </w:tcPr>
          <w:p w14:paraId="7FB1EC88">
            <w:pPr>
              <w:snapToGrid w:val="0"/>
              <w:spacing w:before="120" w:beforeLines="50"/>
              <w:jc w:val="center"/>
              <w:rPr>
                <w:rFonts w:ascii="宋体" w:hAnsi="宋体" w:cs="宋体"/>
                <w:color w:val="auto"/>
                <w:sz w:val="24"/>
                <w:highlight w:val="none"/>
              </w:rPr>
            </w:pPr>
          </w:p>
        </w:tc>
        <w:tc>
          <w:tcPr>
            <w:tcW w:w="1018" w:type="pct"/>
            <w:tcBorders>
              <w:top w:val="single" w:color="auto" w:sz="4" w:space="0"/>
              <w:left w:val="single" w:color="auto" w:sz="4" w:space="0"/>
              <w:bottom w:val="single" w:color="auto" w:sz="4" w:space="0"/>
              <w:right w:val="single" w:color="auto" w:sz="4" w:space="0"/>
            </w:tcBorders>
          </w:tcPr>
          <w:p w14:paraId="3E72EFBE">
            <w:pPr>
              <w:snapToGrid w:val="0"/>
              <w:spacing w:before="120" w:beforeLines="50"/>
              <w:jc w:val="center"/>
              <w:rPr>
                <w:rFonts w:ascii="宋体" w:hAnsi="宋体" w:cs="宋体"/>
                <w:color w:val="auto"/>
                <w:sz w:val="24"/>
                <w:highlight w:val="none"/>
              </w:rPr>
            </w:pPr>
          </w:p>
        </w:tc>
        <w:tc>
          <w:tcPr>
            <w:tcW w:w="1177" w:type="pct"/>
            <w:tcBorders>
              <w:top w:val="single" w:color="auto" w:sz="4" w:space="0"/>
              <w:left w:val="single" w:color="auto" w:sz="4" w:space="0"/>
              <w:bottom w:val="single" w:color="auto" w:sz="4" w:space="0"/>
              <w:right w:val="single" w:color="auto" w:sz="4" w:space="0"/>
            </w:tcBorders>
          </w:tcPr>
          <w:p w14:paraId="49FF93EA">
            <w:pPr>
              <w:snapToGrid w:val="0"/>
              <w:spacing w:before="120" w:beforeLines="50"/>
              <w:jc w:val="center"/>
              <w:rPr>
                <w:rFonts w:ascii="宋体" w:hAnsi="宋体" w:cs="宋体"/>
                <w:color w:val="auto"/>
                <w:sz w:val="24"/>
                <w:highlight w:val="none"/>
              </w:rPr>
            </w:pPr>
          </w:p>
        </w:tc>
      </w:tr>
      <w:tr w14:paraId="60600E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3" w:type="pct"/>
            <w:tcBorders>
              <w:top w:val="single" w:color="auto" w:sz="4" w:space="0"/>
              <w:left w:val="single" w:color="auto" w:sz="4" w:space="0"/>
              <w:bottom w:val="single" w:color="auto" w:sz="4" w:space="0"/>
              <w:right w:val="single" w:color="auto" w:sz="4" w:space="0"/>
            </w:tcBorders>
            <w:vAlign w:val="center"/>
          </w:tcPr>
          <w:p w14:paraId="1CA2D3C8">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w:t>
            </w:r>
          </w:p>
        </w:tc>
        <w:tc>
          <w:tcPr>
            <w:tcW w:w="1930" w:type="pct"/>
            <w:tcBorders>
              <w:top w:val="single" w:color="auto" w:sz="4" w:space="0"/>
              <w:left w:val="single" w:color="auto" w:sz="4" w:space="0"/>
              <w:bottom w:val="single" w:color="auto" w:sz="4" w:space="0"/>
              <w:right w:val="single" w:color="auto" w:sz="4" w:space="0"/>
            </w:tcBorders>
          </w:tcPr>
          <w:p w14:paraId="558B9072">
            <w:pPr>
              <w:snapToGrid w:val="0"/>
              <w:spacing w:before="120" w:beforeLines="50"/>
              <w:jc w:val="center"/>
              <w:rPr>
                <w:rFonts w:ascii="宋体" w:hAnsi="宋体" w:cs="宋体"/>
                <w:color w:val="auto"/>
                <w:sz w:val="24"/>
                <w:highlight w:val="none"/>
              </w:rPr>
            </w:pPr>
          </w:p>
        </w:tc>
        <w:tc>
          <w:tcPr>
            <w:tcW w:w="1018" w:type="pct"/>
            <w:tcBorders>
              <w:top w:val="single" w:color="auto" w:sz="4" w:space="0"/>
              <w:left w:val="single" w:color="auto" w:sz="4" w:space="0"/>
              <w:bottom w:val="single" w:color="auto" w:sz="4" w:space="0"/>
              <w:right w:val="single" w:color="auto" w:sz="4" w:space="0"/>
            </w:tcBorders>
          </w:tcPr>
          <w:p w14:paraId="2425817D">
            <w:pPr>
              <w:snapToGrid w:val="0"/>
              <w:spacing w:before="120" w:beforeLines="50"/>
              <w:jc w:val="center"/>
              <w:rPr>
                <w:rFonts w:ascii="宋体" w:hAnsi="宋体" w:cs="宋体"/>
                <w:color w:val="auto"/>
                <w:sz w:val="24"/>
                <w:highlight w:val="none"/>
              </w:rPr>
            </w:pPr>
          </w:p>
        </w:tc>
        <w:tc>
          <w:tcPr>
            <w:tcW w:w="1177" w:type="pct"/>
            <w:tcBorders>
              <w:top w:val="single" w:color="auto" w:sz="4" w:space="0"/>
              <w:left w:val="single" w:color="auto" w:sz="4" w:space="0"/>
              <w:bottom w:val="single" w:color="auto" w:sz="4" w:space="0"/>
              <w:right w:val="single" w:color="auto" w:sz="4" w:space="0"/>
            </w:tcBorders>
          </w:tcPr>
          <w:p w14:paraId="2379B7F9">
            <w:pPr>
              <w:snapToGrid w:val="0"/>
              <w:spacing w:before="120" w:beforeLines="50"/>
              <w:jc w:val="center"/>
              <w:rPr>
                <w:rFonts w:ascii="宋体" w:hAnsi="宋体" w:cs="宋体"/>
                <w:color w:val="auto"/>
                <w:sz w:val="24"/>
                <w:highlight w:val="none"/>
              </w:rPr>
            </w:pPr>
          </w:p>
        </w:tc>
      </w:tr>
    </w:tbl>
    <w:p w14:paraId="5EC1881A">
      <w:pPr>
        <w:pStyle w:val="8"/>
        <w:rPr>
          <w:rFonts w:ascii="宋体" w:hAnsi="宋体" w:cs="宋体"/>
          <w:color w:val="auto"/>
          <w:highlight w:val="none"/>
        </w:rPr>
      </w:pPr>
      <w:r>
        <w:rPr>
          <w:rFonts w:hint="eastAsia" w:ascii="宋体" w:hAnsi="宋体" w:cs="宋体"/>
          <w:color w:val="auto"/>
          <w:highlight w:val="none"/>
        </w:rPr>
        <w:t>注：</w:t>
      </w:r>
    </w:p>
    <w:p w14:paraId="78D4FBB1">
      <w:pPr>
        <w:pStyle w:val="11"/>
        <w:spacing w:line="520" w:lineRule="exact"/>
        <w:ind w:firstLine="0" w:firstLineChars="0"/>
        <w:rPr>
          <w:rFonts w:ascii="宋体" w:hAnsi="宋体" w:eastAsia="宋体" w:cs="宋体"/>
          <w:color w:val="auto"/>
          <w:szCs w:val="32"/>
          <w:highlight w:val="none"/>
        </w:rPr>
      </w:pPr>
      <w:r>
        <w:rPr>
          <w:rFonts w:hint="eastAsia" w:ascii="宋体" w:hAnsi="宋体" w:eastAsia="宋体" w:cs="宋体"/>
          <w:color w:val="auto"/>
          <w:sz w:val="24"/>
          <w:szCs w:val="24"/>
          <w:highlight w:val="none"/>
        </w:rPr>
        <w:t>1.说明：应对照招标文件“第二章 采购需求”中的商务要求逐条作明确的投标响应，并作出偏离说明。</w:t>
      </w:r>
    </w:p>
    <w:p w14:paraId="7BAC2F10">
      <w:pPr>
        <w:pStyle w:val="8"/>
        <w:rPr>
          <w:rFonts w:ascii="宋体" w:hAnsi="宋体" w:cs="宋体"/>
          <w:b w:val="0"/>
          <w:bCs w:val="0"/>
          <w:color w:val="auto"/>
          <w:highlight w:val="none"/>
        </w:rPr>
      </w:pPr>
      <w:r>
        <w:rPr>
          <w:rFonts w:hint="eastAsia" w:ascii="宋体" w:hAnsi="宋体" w:cs="宋体"/>
          <w:b w:val="0"/>
          <w:bCs w:val="0"/>
          <w:color w:val="auto"/>
          <w:highlight w:val="none"/>
        </w:rPr>
        <w:t>2.投标人应根据自身的承诺，对照招标文件要求在“偏离说明”中注明“</w:t>
      </w:r>
      <w:r>
        <w:rPr>
          <w:rFonts w:hint="eastAsia" w:ascii="宋体" w:hAnsi="宋体" w:cs="宋体"/>
          <w:color w:val="auto"/>
          <w:highlight w:val="none"/>
        </w:rPr>
        <w:t>正偏离</w:t>
      </w:r>
      <w:r>
        <w:rPr>
          <w:rFonts w:hint="eastAsia" w:ascii="宋体" w:hAnsi="宋体" w:cs="宋体"/>
          <w:b w:val="0"/>
          <w:bCs w:val="0"/>
          <w:color w:val="auto"/>
          <w:highlight w:val="none"/>
        </w:rPr>
        <w:t>”、“</w:t>
      </w:r>
      <w:r>
        <w:rPr>
          <w:rFonts w:hint="eastAsia" w:ascii="宋体" w:hAnsi="宋体" w:cs="宋体"/>
          <w:color w:val="auto"/>
          <w:highlight w:val="none"/>
        </w:rPr>
        <w:t>负偏离</w:t>
      </w:r>
      <w:r>
        <w:rPr>
          <w:rFonts w:hint="eastAsia" w:ascii="宋体" w:hAnsi="宋体" w:cs="宋体"/>
          <w:b w:val="0"/>
          <w:bCs w:val="0"/>
          <w:color w:val="auto"/>
          <w:highlight w:val="none"/>
        </w:rPr>
        <w:t>”或者“</w:t>
      </w:r>
      <w:r>
        <w:rPr>
          <w:rFonts w:hint="eastAsia" w:ascii="宋体" w:hAnsi="宋体" w:cs="宋体"/>
          <w:color w:val="auto"/>
          <w:highlight w:val="none"/>
        </w:rPr>
        <w:t>无偏离</w:t>
      </w:r>
      <w:r>
        <w:rPr>
          <w:rFonts w:hint="eastAsia" w:ascii="宋体" w:hAnsi="宋体" w:cs="宋体"/>
          <w:b w:val="0"/>
          <w:bCs w:val="0"/>
          <w:color w:val="auto"/>
          <w:highlight w:val="none"/>
        </w:rPr>
        <w:t>”。既不属于“</w:t>
      </w:r>
      <w:r>
        <w:rPr>
          <w:rFonts w:hint="eastAsia" w:ascii="宋体" w:hAnsi="宋体" w:cs="宋体"/>
          <w:color w:val="auto"/>
          <w:highlight w:val="none"/>
        </w:rPr>
        <w:t>正偏离</w:t>
      </w:r>
      <w:r>
        <w:rPr>
          <w:rFonts w:hint="eastAsia" w:ascii="宋体" w:hAnsi="宋体" w:cs="宋体"/>
          <w:b w:val="0"/>
          <w:bCs w:val="0"/>
          <w:color w:val="auto"/>
          <w:highlight w:val="none"/>
        </w:rPr>
        <w:t>”也不属于“</w:t>
      </w:r>
      <w:r>
        <w:rPr>
          <w:rFonts w:hint="eastAsia" w:ascii="宋体" w:hAnsi="宋体" w:cs="宋体"/>
          <w:color w:val="auto"/>
          <w:highlight w:val="none"/>
        </w:rPr>
        <w:t>负偏离</w:t>
      </w:r>
      <w:r>
        <w:rPr>
          <w:rFonts w:hint="eastAsia" w:ascii="宋体" w:hAnsi="宋体" w:cs="宋体"/>
          <w:b w:val="0"/>
          <w:bCs w:val="0"/>
          <w:color w:val="auto"/>
          <w:highlight w:val="none"/>
        </w:rPr>
        <w:t>”即为“</w:t>
      </w:r>
      <w:r>
        <w:rPr>
          <w:rFonts w:hint="eastAsia" w:ascii="宋体" w:hAnsi="宋体" w:cs="宋体"/>
          <w:color w:val="auto"/>
          <w:highlight w:val="none"/>
        </w:rPr>
        <w:t>无偏离</w:t>
      </w:r>
      <w:r>
        <w:rPr>
          <w:rFonts w:hint="eastAsia" w:ascii="宋体" w:hAnsi="宋体" w:cs="宋体"/>
          <w:b w:val="0"/>
          <w:bCs w:val="0"/>
          <w:color w:val="auto"/>
          <w:highlight w:val="none"/>
        </w:rPr>
        <w:t>”。</w:t>
      </w:r>
    </w:p>
    <w:p w14:paraId="0ACA96DD">
      <w:pPr>
        <w:snapToGrid w:val="0"/>
        <w:spacing w:before="50" w:after="50"/>
        <w:rPr>
          <w:rFonts w:ascii="宋体" w:hAnsi="宋体" w:cs="宋体"/>
          <w:color w:val="auto"/>
          <w:sz w:val="24"/>
          <w:highlight w:val="none"/>
        </w:rPr>
      </w:pPr>
    </w:p>
    <w:p w14:paraId="5C1B3583">
      <w:pPr>
        <w:snapToGrid w:val="0"/>
        <w:spacing w:before="50" w:after="50"/>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w:t>
      </w:r>
      <w:r>
        <w:rPr>
          <w:rFonts w:hint="eastAsia" w:ascii="宋体" w:hAnsi="宋体" w:cs="宋体"/>
          <w:color w:val="auto"/>
          <w:spacing w:val="20"/>
          <w:sz w:val="24"/>
          <w:highlight w:val="none"/>
          <w:u w:val="single"/>
        </w:rPr>
        <w:t xml:space="preserve">        </w:t>
      </w:r>
    </w:p>
    <w:p w14:paraId="7FF1F425">
      <w:pPr>
        <w:snapToGrid w:val="0"/>
        <w:spacing w:before="120" w:beforeLines="50"/>
        <w:rPr>
          <w:rFonts w:ascii="宋体" w:hAnsi="宋体" w:cs="宋体"/>
          <w:color w:val="auto"/>
          <w:spacing w:val="20"/>
          <w:sz w:val="24"/>
          <w:highlight w:val="none"/>
        </w:rPr>
      </w:pPr>
      <w:r>
        <w:rPr>
          <w:rFonts w:hint="eastAsia" w:ascii="宋体" w:hAnsi="宋体" w:cs="宋体"/>
          <w:color w:val="auto"/>
          <w:sz w:val="24"/>
          <w:highlight w:val="none"/>
          <w:lang w:eastAsia="zh-CN"/>
        </w:rPr>
        <w:t>投标人名称(电子签章)：</w:t>
      </w:r>
      <w:r>
        <w:rPr>
          <w:rFonts w:hint="eastAsia" w:ascii="宋体" w:hAnsi="宋体" w:cs="宋体"/>
          <w:color w:val="auto"/>
          <w:spacing w:val="20"/>
          <w:sz w:val="24"/>
          <w:highlight w:val="none"/>
          <w:u w:val="single"/>
        </w:rPr>
        <w:t xml:space="preserve">          </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 xml:space="preserve"> </w:t>
      </w:r>
      <w:r>
        <w:rPr>
          <w:rFonts w:hint="eastAsia" w:ascii="宋体" w:hAnsi="宋体" w:cs="宋体"/>
          <w:color w:val="auto"/>
          <w:spacing w:val="20"/>
          <w:sz w:val="24"/>
          <w:highlight w:val="none"/>
        </w:rPr>
        <w:t xml:space="preserve">   </w:t>
      </w:r>
    </w:p>
    <w:p w14:paraId="056319BC">
      <w:pPr>
        <w:snapToGrid w:val="0"/>
        <w:spacing w:before="120" w:beforeLines="50"/>
        <w:rPr>
          <w:rFonts w:ascii="宋体" w:hAnsi="宋体" w:cs="宋体"/>
          <w:color w:val="auto"/>
          <w:sz w:val="24"/>
          <w:szCs w:val="20"/>
          <w:highlight w:val="none"/>
        </w:rPr>
      </w:pPr>
      <w:r>
        <w:rPr>
          <w:rFonts w:hint="eastAsia" w:ascii="宋体" w:hAnsi="宋体" w:cs="宋体"/>
          <w:color w:val="auto"/>
          <w:spacing w:val="20"/>
          <w:sz w:val="24"/>
          <w:highlight w:val="none"/>
        </w:rPr>
        <w:t>日  期：</w:t>
      </w:r>
      <w:r>
        <w:rPr>
          <w:rFonts w:hint="eastAsia" w:ascii="宋体" w:hAnsi="宋体" w:cs="宋体"/>
          <w:color w:val="auto"/>
          <w:spacing w:val="20"/>
          <w:sz w:val="24"/>
          <w:highlight w:val="none"/>
          <w:u w:val="single"/>
        </w:rPr>
        <w:t xml:space="preserve">         </w:t>
      </w:r>
    </w:p>
    <w:p w14:paraId="48C326C4">
      <w:pPr>
        <w:snapToGrid w:val="0"/>
        <w:spacing w:before="120" w:beforeLines="50"/>
        <w:rPr>
          <w:rFonts w:ascii="宋体" w:hAnsi="宋体" w:cs="宋体"/>
          <w:color w:val="auto"/>
          <w:sz w:val="24"/>
          <w:szCs w:val="20"/>
          <w:highlight w:val="none"/>
        </w:rPr>
      </w:pPr>
    </w:p>
    <w:p w14:paraId="70781F50">
      <w:pPr>
        <w:snapToGrid w:val="0"/>
        <w:spacing w:before="120" w:beforeLines="50" w:after="50"/>
        <w:jc w:val="left"/>
        <w:rPr>
          <w:rFonts w:ascii="宋体" w:hAnsi="宋体" w:cs="宋体"/>
          <w:color w:val="auto"/>
          <w:sz w:val="24"/>
          <w:szCs w:val="20"/>
          <w:highlight w:val="none"/>
        </w:rPr>
      </w:pPr>
    </w:p>
    <w:p w14:paraId="24B86C39">
      <w:pPr>
        <w:snapToGrid w:val="0"/>
        <w:spacing w:before="120" w:beforeLines="50" w:after="50"/>
        <w:jc w:val="left"/>
        <w:rPr>
          <w:rFonts w:ascii="宋体" w:hAnsi="宋体" w:cs="宋体"/>
          <w:b/>
          <w:color w:val="auto"/>
          <w:sz w:val="24"/>
          <w:highlight w:val="none"/>
        </w:rPr>
      </w:pPr>
      <w:r>
        <w:rPr>
          <w:rFonts w:hint="eastAsia" w:ascii="宋体" w:hAnsi="宋体" w:cs="宋体"/>
          <w:color w:val="auto"/>
          <w:sz w:val="24"/>
          <w:szCs w:val="20"/>
          <w:highlight w:val="none"/>
        </w:rPr>
        <w:br w:type="page"/>
      </w:r>
      <w:r>
        <w:rPr>
          <w:rFonts w:hint="eastAsia" w:ascii="宋体" w:hAnsi="宋体" w:cs="宋体"/>
          <w:b/>
          <w:color w:val="auto"/>
          <w:sz w:val="24"/>
          <w:highlight w:val="none"/>
        </w:rPr>
        <w:t>7.投标人业绩证明材料</w:t>
      </w:r>
    </w:p>
    <w:p w14:paraId="3BD98247">
      <w:pPr>
        <w:pStyle w:val="18"/>
        <w:snapToGrid w:val="0"/>
        <w:spacing w:line="360" w:lineRule="auto"/>
        <w:ind w:left="480" w:hanging="480"/>
        <w:jc w:val="center"/>
        <w:rPr>
          <w:rFonts w:ascii="宋体" w:hAnsi="宋体" w:cs="宋体"/>
          <w:color w:val="auto"/>
          <w:sz w:val="24"/>
          <w:highlight w:val="none"/>
        </w:rPr>
      </w:pPr>
      <w:r>
        <w:rPr>
          <w:rFonts w:hint="eastAsia" w:ascii="宋体" w:hAnsi="宋体" w:cs="宋体"/>
          <w:color w:val="auto"/>
          <w:sz w:val="24"/>
          <w:highlight w:val="none"/>
        </w:rPr>
        <w:t>投标人业绩情况一览表格式</w:t>
      </w:r>
    </w:p>
    <w:p w14:paraId="20780123">
      <w:pPr>
        <w:pStyle w:val="18"/>
        <w:snapToGrid w:val="0"/>
        <w:ind w:left="480" w:hanging="480"/>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bCs/>
          <w:color w:val="auto"/>
          <w:sz w:val="24"/>
          <w:highlight w:val="none"/>
          <w:lang w:eastAsia="zh-CN"/>
        </w:rPr>
        <w:t>分标</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标项名称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4CB6842D">
      <w:pPr>
        <w:pStyle w:val="18"/>
        <w:snapToGrid w:val="0"/>
        <w:ind w:left="0" w:firstLine="0" w:firstLineChars="0"/>
        <w:rPr>
          <w:rFonts w:ascii="宋体" w:hAnsi="宋体" w:cs="宋体"/>
          <w:color w:val="auto"/>
          <w:sz w:val="24"/>
          <w:highlight w:val="none"/>
        </w:rPr>
      </w:pPr>
    </w:p>
    <w:tbl>
      <w:tblPr>
        <w:tblStyle w:val="22"/>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62"/>
        <w:gridCol w:w="2775"/>
        <w:gridCol w:w="1636"/>
        <w:gridCol w:w="1636"/>
        <w:gridCol w:w="2641"/>
      </w:tblGrid>
      <w:tr w14:paraId="319712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65" w:hRule="atLeast"/>
        </w:trPr>
        <w:tc>
          <w:tcPr>
            <w:tcW w:w="590" w:type="pct"/>
            <w:tcBorders>
              <w:top w:val="single" w:color="auto" w:sz="4" w:space="0"/>
              <w:left w:val="single" w:color="auto" w:sz="4" w:space="0"/>
              <w:bottom w:val="single" w:color="auto" w:sz="4" w:space="0"/>
              <w:right w:val="single" w:color="auto" w:sz="4" w:space="0"/>
            </w:tcBorders>
            <w:vAlign w:val="center"/>
          </w:tcPr>
          <w:p w14:paraId="0FE68A6A">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序号</w:t>
            </w:r>
          </w:p>
        </w:tc>
        <w:tc>
          <w:tcPr>
            <w:tcW w:w="1408" w:type="pct"/>
            <w:tcBorders>
              <w:top w:val="single" w:color="auto" w:sz="4" w:space="0"/>
              <w:left w:val="single" w:color="auto" w:sz="4" w:space="0"/>
              <w:bottom w:val="single" w:color="auto" w:sz="4" w:space="0"/>
              <w:right w:val="single" w:color="auto" w:sz="4" w:space="0"/>
            </w:tcBorders>
            <w:vAlign w:val="center"/>
          </w:tcPr>
          <w:p w14:paraId="71079AD8">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采购人名称</w:t>
            </w:r>
          </w:p>
        </w:tc>
        <w:tc>
          <w:tcPr>
            <w:tcW w:w="830" w:type="pct"/>
            <w:tcBorders>
              <w:top w:val="single" w:color="auto" w:sz="4" w:space="0"/>
              <w:left w:val="single" w:color="auto" w:sz="4" w:space="0"/>
              <w:bottom w:val="single" w:color="auto" w:sz="4" w:space="0"/>
              <w:right w:val="single" w:color="auto" w:sz="4" w:space="0"/>
            </w:tcBorders>
            <w:vAlign w:val="center"/>
          </w:tcPr>
          <w:p w14:paraId="42B9099E">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830" w:type="pct"/>
            <w:tcBorders>
              <w:top w:val="single" w:color="auto" w:sz="4" w:space="0"/>
              <w:left w:val="single" w:color="auto" w:sz="4" w:space="0"/>
              <w:bottom w:val="single" w:color="auto" w:sz="4" w:space="0"/>
              <w:right w:val="single" w:color="auto" w:sz="4" w:space="0"/>
            </w:tcBorders>
            <w:vAlign w:val="center"/>
          </w:tcPr>
          <w:p w14:paraId="3D2DDBFE">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合同金额</w:t>
            </w:r>
          </w:p>
          <w:p w14:paraId="76E4B596">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1340" w:type="pct"/>
            <w:tcBorders>
              <w:top w:val="single" w:color="auto" w:sz="4" w:space="0"/>
              <w:left w:val="single" w:color="auto" w:sz="4" w:space="0"/>
              <w:bottom w:val="single" w:color="auto" w:sz="4" w:space="0"/>
              <w:right w:val="single" w:color="auto" w:sz="4" w:space="0"/>
            </w:tcBorders>
            <w:vAlign w:val="center"/>
          </w:tcPr>
          <w:p w14:paraId="5C410D37">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采购人联系人及</w:t>
            </w:r>
          </w:p>
          <w:p w14:paraId="67308D93">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联系电话</w:t>
            </w:r>
          </w:p>
        </w:tc>
      </w:tr>
      <w:tr w14:paraId="409CB1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90" w:type="pct"/>
            <w:tcBorders>
              <w:top w:val="single" w:color="auto" w:sz="4" w:space="0"/>
              <w:left w:val="single" w:color="auto" w:sz="4" w:space="0"/>
              <w:bottom w:val="single" w:color="auto" w:sz="4" w:space="0"/>
              <w:right w:val="single" w:color="auto" w:sz="4" w:space="0"/>
            </w:tcBorders>
          </w:tcPr>
          <w:p w14:paraId="23FB5143">
            <w:pPr>
              <w:snapToGrid w:val="0"/>
              <w:spacing w:line="240" w:lineRule="exact"/>
              <w:jc w:val="left"/>
              <w:rPr>
                <w:rFonts w:ascii="宋体" w:hAnsi="宋体" w:cs="宋体"/>
                <w:color w:val="auto"/>
                <w:sz w:val="24"/>
                <w:highlight w:val="none"/>
              </w:rPr>
            </w:pPr>
          </w:p>
        </w:tc>
        <w:tc>
          <w:tcPr>
            <w:tcW w:w="1408" w:type="pct"/>
            <w:tcBorders>
              <w:top w:val="single" w:color="auto" w:sz="4" w:space="0"/>
              <w:left w:val="single" w:color="auto" w:sz="4" w:space="0"/>
              <w:bottom w:val="single" w:color="auto" w:sz="4" w:space="0"/>
              <w:right w:val="single" w:color="auto" w:sz="4" w:space="0"/>
            </w:tcBorders>
          </w:tcPr>
          <w:p w14:paraId="3C07EA18">
            <w:pPr>
              <w:snapToGrid w:val="0"/>
              <w:spacing w:line="240" w:lineRule="exact"/>
              <w:jc w:val="left"/>
              <w:rPr>
                <w:rFonts w:ascii="宋体" w:hAnsi="宋体" w:cs="宋体"/>
                <w:color w:val="auto"/>
                <w:sz w:val="24"/>
                <w:highlight w:val="none"/>
              </w:rPr>
            </w:pPr>
          </w:p>
        </w:tc>
        <w:tc>
          <w:tcPr>
            <w:tcW w:w="830" w:type="pct"/>
            <w:tcBorders>
              <w:top w:val="single" w:color="auto" w:sz="4" w:space="0"/>
              <w:left w:val="single" w:color="auto" w:sz="4" w:space="0"/>
              <w:bottom w:val="single" w:color="auto" w:sz="4" w:space="0"/>
              <w:right w:val="single" w:color="auto" w:sz="4" w:space="0"/>
            </w:tcBorders>
          </w:tcPr>
          <w:p w14:paraId="7FC18110">
            <w:pPr>
              <w:snapToGrid w:val="0"/>
              <w:spacing w:line="240" w:lineRule="exact"/>
              <w:jc w:val="left"/>
              <w:rPr>
                <w:rFonts w:ascii="宋体" w:hAnsi="宋体" w:cs="宋体"/>
                <w:color w:val="auto"/>
                <w:sz w:val="24"/>
                <w:highlight w:val="none"/>
              </w:rPr>
            </w:pPr>
          </w:p>
        </w:tc>
        <w:tc>
          <w:tcPr>
            <w:tcW w:w="830" w:type="pct"/>
            <w:tcBorders>
              <w:top w:val="single" w:color="auto" w:sz="4" w:space="0"/>
              <w:left w:val="single" w:color="auto" w:sz="4" w:space="0"/>
              <w:bottom w:val="single" w:color="auto" w:sz="4" w:space="0"/>
              <w:right w:val="single" w:color="auto" w:sz="4" w:space="0"/>
            </w:tcBorders>
          </w:tcPr>
          <w:p w14:paraId="59C306AD">
            <w:pPr>
              <w:snapToGrid w:val="0"/>
              <w:spacing w:line="240" w:lineRule="exact"/>
              <w:jc w:val="left"/>
              <w:rPr>
                <w:rFonts w:ascii="宋体" w:hAnsi="宋体" w:cs="宋体"/>
                <w:color w:val="auto"/>
                <w:sz w:val="24"/>
                <w:highlight w:val="none"/>
              </w:rPr>
            </w:pPr>
          </w:p>
        </w:tc>
        <w:tc>
          <w:tcPr>
            <w:tcW w:w="1340" w:type="pct"/>
            <w:tcBorders>
              <w:top w:val="single" w:color="auto" w:sz="4" w:space="0"/>
              <w:left w:val="single" w:color="auto" w:sz="4" w:space="0"/>
              <w:bottom w:val="single" w:color="auto" w:sz="4" w:space="0"/>
              <w:right w:val="single" w:color="auto" w:sz="4" w:space="0"/>
            </w:tcBorders>
          </w:tcPr>
          <w:p w14:paraId="3FEF3294">
            <w:pPr>
              <w:snapToGrid w:val="0"/>
              <w:spacing w:line="240" w:lineRule="exact"/>
              <w:jc w:val="left"/>
              <w:rPr>
                <w:rFonts w:ascii="宋体" w:hAnsi="宋体" w:cs="宋体"/>
                <w:color w:val="auto"/>
                <w:sz w:val="24"/>
                <w:highlight w:val="none"/>
              </w:rPr>
            </w:pPr>
          </w:p>
        </w:tc>
      </w:tr>
      <w:tr w14:paraId="4DC54E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90" w:type="pct"/>
            <w:tcBorders>
              <w:top w:val="single" w:color="auto" w:sz="4" w:space="0"/>
              <w:left w:val="single" w:color="auto" w:sz="4" w:space="0"/>
              <w:bottom w:val="single" w:color="auto" w:sz="4" w:space="0"/>
              <w:right w:val="single" w:color="auto" w:sz="4" w:space="0"/>
            </w:tcBorders>
          </w:tcPr>
          <w:p w14:paraId="30DE8DF7">
            <w:pPr>
              <w:snapToGrid w:val="0"/>
              <w:spacing w:before="50" w:after="120" w:afterLines="50" w:line="400" w:lineRule="exact"/>
              <w:jc w:val="left"/>
              <w:rPr>
                <w:rFonts w:ascii="宋体" w:hAnsi="宋体" w:cs="宋体"/>
                <w:color w:val="auto"/>
                <w:sz w:val="24"/>
                <w:highlight w:val="none"/>
              </w:rPr>
            </w:pPr>
          </w:p>
        </w:tc>
        <w:tc>
          <w:tcPr>
            <w:tcW w:w="1408" w:type="pct"/>
            <w:tcBorders>
              <w:top w:val="single" w:color="auto" w:sz="4" w:space="0"/>
              <w:left w:val="single" w:color="auto" w:sz="4" w:space="0"/>
              <w:bottom w:val="single" w:color="auto" w:sz="4" w:space="0"/>
              <w:right w:val="single" w:color="auto" w:sz="4" w:space="0"/>
            </w:tcBorders>
          </w:tcPr>
          <w:p w14:paraId="3DE8B44E">
            <w:pPr>
              <w:snapToGrid w:val="0"/>
              <w:spacing w:before="50" w:after="120" w:afterLines="50" w:line="400" w:lineRule="exact"/>
              <w:jc w:val="left"/>
              <w:rPr>
                <w:rFonts w:ascii="宋体" w:hAnsi="宋体" w:cs="宋体"/>
                <w:color w:val="auto"/>
                <w:sz w:val="24"/>
                <w:highlight w:val="none"/>
              </w:rPr>
            </w:pPr>
          </w:p>
        </w:tc>
        <w:tc>
          <w:tcPr>
            <w:tcW w:w="830" w:type="pct"/>
            <w:tcBorders>
              <w:top w:val="single" w:color="auto" w:sz="4" w:space="0"/>
              <w:left w:val="single" w:color="auto" w:sz="4" w:space="0"/>
              <w:bottom w:val="single" w:color="auto" w:sz="4" w:space="0"/>
              <w:right w:val="single" w:color="auto" w:sz="4" w:space="0"/>
            </w:tcBorders>
          </w:tcPr>
          <w:p w14:paraId="0E0FC997">
            <w:pPr>
              <w:snapToGrid w:val="0"/>
              <w:spacing w:before="50" w:after="120" w:afterLines="50" w:line="400" w:lineRule="exact"/>
              <w:jc w:val="left"/>
              <w:rPr>
                <w:rFonts w:ascii="宋体" w:hAnsi="宋体" w:cs="宋体"/>
                <w:color w:val="auto"/>
                <w:sz w:val="24"/>
                <w:highlight w:val="none"/>
              </w:rPr>
            </w:pPr>
          </w:p>
        </w:tc>
        <w:tc>
          <w:tcPr>
            <w:tcW w:w="830" w:type="pct"/>
            <w:tcBorders>
              <w:top w:val="single" w:color="auto" w:sz="4" w:space="0"/>
              <w:left w:val="single" w:color="auto" w:sz="4" w:space="0"/>
              <w:bottom w:val="single" w:color="auto" w:sz="4" w:space="0"/>
              <w:right w:val="single" w:color="auto" w:sz="4" w:space="0"/>
            </w:tcBorders>
          </w:tcPr>
          <w:p w14:paraId="4A3107DD">
            <w:pPr>
              <w:snapToGrid w:val="0"/>
              <w:spacing w:before="50" w:after="120" w:afterLines="50" w:line="400" w:lineRule="exact"/>
              <w:jc w:val="left"/>
              <w:rPr>
                <w:rFonts w:ascii="宋体" w:hAnsi="宋体" w:cs="宋体"/>
                <w:color w:val="auto"/>
                <w:sz w:val="24"/>
                <w:highlight w:val="none"/>
              </w:rPr>
            </w:pPr>
          </w:p>
        </w:tc>
        <w:tc>
          <w:tcPr>
            <w:tcW w:w="1340" w:type="pct"/>
            <w:tcBorders>
              <w:top w:val="single" w:color="auto" w:sz="4" w:space="0"/>
              <w:left w:val="single" w:color="auto" w:sz="4" w:space="0"/>
              <w:bottom w:val="single" w:color="auto" w:sz="4" w:space="0"/>
              <w:right w:val="single" w:color="auto" w:sz="4" w:space="0"/>
            </w:tcBorders>
          </w:tcPr>
          <w:p w14:paraId="2B93D720">
            <w:pPr>
              <w:snapToGrid w:val="0"/>
              <w:spacing w:before="50" w:after="120" w:afterLines="50" w:line="400" w:lineRule="exact"/>
              <w:jc w:val="left"/>
              <w:rPr>
                <w:rFonts w:ascii="宋体" w:hAnsi="宋体" w:cs="宋体"/>
                <w:color w:val="auto"/>
                <w:sz w:val="24"/>
                <w:highlight w:val="none"/>
              </w:rPr>
            </w:pPr>
          </w:p>
        </w:tc>
      </w:tr>
      <w:tr w14:paraId="767B34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590" w:type="pct"/>
            <w:tcBorders>
              <w:top w:val="single" w:color="auto" w:sz="4" w:space="0"/>
              <w:left w:val="single" w:color="auto" w:sz="4" w:space="0"/>
              <w:bottom w:val="single" w:color="auto" w:sz="4" w:space="0"/>
              <w:right w:val="single" w:color="auto" w:sz="4" w:space="0"/>
            </w:tcBorders>
          </w:tcPr>
          <w:p w14:paraId="0121CB6D">
            <w:pPr>
              <w:snapToGrid w:val="0"/>
              <w:spacing w:before="50" w:after="120" w:afterLines="50" w:line="400" w:lineRule="exact"/>
              <w:jc w:val="left"/>
              <w:rPr>
                <w:rFonts w:ascii="宋体" w:hAnsi="宋体" w:cs="宋体"/>
                <w:color w:val="auto"/>
                <w:sz w:val="24"/>
                <w:highlight w:val="none"/>
              </w:rPr>
            </w:pPr>
          </w:p>
        </w:tc>
        <w:tc>
          <w:tcPr>
            <w:tcW w:w="1408" w:type="pct"/>
            <w:tcBorders>
              <w:top w:val="single" w:color="auto" w:sz="4" w:space="0"/>
              <w:left w:val="single" w:color="auto" w:sz="4" w:space="0"/>
              <w:bottom w:val="single" w:color="auto" w:sz="4" w:space="0"/>
              <w:right w:val="single" w:color="auto" w:sz="4" w:space="0"/>
            </w:tcBorders>
          </w:tcPr>
          <w:p w14:paraId="08B5CC38">
            <w:pPr>
              <w:snapToGrid w:val="0"/>
              <w:spacing w:before="50" w:after="120" w:afterLines="50" w:line="400" w:lineRule="exact"/>
              <w:jc w:val="left"/>
              <w:rPr>
                <w:rFonts w:ascii="宋体" w:hAnsi="宋体" w:cs="宋体"/>
                <w:color w:val="auto"/>
                <w:sz w:val="24"/>
                <w:highlight w:val="none"/>
              </w:rPr>
            </w:pPr>
          </w:p>
        </w:tc>
        <w:tc>
          <w:tcPr>
            <w:tcW w:w="830" w:type="pct"/>
            <w:tcBorders>
              <w:top w:val="single" w:color="auto" w:sz="4" w:space="0"/>
              <w:left w:val="single" w:color="auto" w:sz="4" w:space="0"/>
              <w:bottom w:val="single" w:color="auto" w:sz="4" w:space="0"/>
              <w:right w:val="single" w:color="auto" w:sz="4" w:space="0"/>
            </w:tcBorders>
          </w:tcPr>
          <w:p w14:paraId="2AD7F9E4">
            <w:pPr>
              <w:snapToGrid w:val="0"/>
              <w:spacing w:before="50" w:after="120" w:afterLines="50" w:line="400" w:lineRule="exact"/>
              <w:jc w:val="left"/>
              <w:rPr>
                <w:rFonts w:ascii="宋体" w:hAnsi="宋体" w:cs="宋体"/>
                <w:color w:val="auto"/>
                <w:sz w:val="24"/>
                <w:highlight w:val="none"/>
              </w:rPr>
            </w:pPr>
          </w:p>
        </w:tc>
        <w:tc>
          <w:tcPr>
            <w:tcW w:w="830" w:type="pct"/>
            <w:tcBorders>
              <w:top w:val="single" w:color="auto" w:sz="4" w:space="0"/>
              <w:left w:val="single" w:color="auto" w:sz="4" w:space="0"/>
              <w:bottom w:val="single" w:color="auto" w:sz="4" w:space="0"/>
              <w:right w:val="single" w:color="auto" w:sz="4" w:space="0"/>
            </w:tcBorders>
          </w:tcPr>
          <w:p w14:paraId="5C733CEA">
            <w:pPr>
              <w:snapToGrid w:val="0"/>
              <w:spacing w:before="50" w:after="120" w:afterLines="50" w:line="400" w:lineRule="exact"/>
              <w:jc w:val="left"/>
              <w:rPr>
                <w:rFonts w:ascii="宋体" w:hAnsi="宋体" w:cs="宋体"/>
                <w:color w:val="auto"/>
                <w:sz w:val="24"/>
                <w:highlight w:val="none"/>
              </w:rPr>
            </w:pPr>
          </w:p>
        </w:tc>
        <w:tc>
          <w:tcPr>
            <w:tcW w:w="1340" w:type="pct"/>
            <w:tcBorders>
              <w:top w:val="single" w:color="auto" w:sz="4" w:space="0"/>
              <w:left w:val="single" w:color="auto" w:sz="4" w:space="0"/>
              <w:bottom w:val="single" w:color="auto" w:sz="4" w:space="0"/>
              <w:right w:val="single" w:color="auto" w:sz="4" w:space="0"/>
            </w:tcBorders>
          </w:tcPr>
          <w:p w14:paraId="1EF94C44">
            <w:pPr>
              <w:snapToGrid w:val="0"/>
              <w:spacing w:before="50" w:after="120" w:afterLines="50" w:line="400" w:lineRule="exact"/>
              <w:jc w:val="left"/>
              <w:rPr>
                <w:rFonts w:ascii="宋体" w:hAnsi="宋体" w:cs="宋体"/>
                <w:color w:val="auto"/>
                <w:sz w:val="24"/>
                <w:highlight w:val="none"/>
              </w:rPr>
            </w:pPr>
          </w:p>
        </w:tc>
      </w:tr>
      <w:tr w14:paraId="6EB7CB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90" w:type="pct"/>
            <w:tcBorders>
              <w:top w:val="single" w:color="auto" w:sz="4" w:space="0"/>
              <w:left w:val="single" w:color="auto" w:sz="4" w:space="0"/>
              <w:bottom w:val="single" w:color="auto" w:sz="4" w:space="0"/>
              <w:right w:val="single" w:color="auto" w:sz="4" w:space="0"/>
            </w:tcBorders>
          </w:tcPr>
          <w:p w14:paraId="4E0F6C1F">
            <w:pPr>
              <w:snapToGrid w:val="0"/>
              <w:spacing w:before="50" w:after="120" w:afterLines="50" w:line="400" w:lineRule="exact"/>
              <w:jc w:val="left"/>
              <w:rPr>
                <w:rFonts w:ascii="宋体" w:hAnsi="宋体" w:cs="宋体"/>
                <w:color w:val="auto"/>
                <w:sz w:val="24"/>
                <w:highlight w:val="none"/>
              </w:rPr>
            </w:pPr>
          </w:p>
        </w:tc>
        <w:tc>
          <w:tcPr>
            <w:tcW w:w="1408" w:type="pct"/>
            <w:tcBorders>
              <w:top w:val="single" w:color="auto" w:sz="4" w:space="0"/>
              <w:left w:val="single" w:color="auto" w:sz="4" w:space="0"/>
              <w:bottom w:val="single" w:color="auto" w:sz="4" w:space="0"/>
              <w:right w:val="single" w:color="auto" w:sz="4" w:space="0"/>
            </w:tcBorders>
          </w:tcPr>
          <w:p w14:paraId="428F501A">
            <w:pPr>
              <w:snapToGrid w:val="0"/>
              <w:spacing w:before="50" w:after="120" w:afterLines="50" w:line="400" w:lineRule="exact"/>
              <w:jc w:val="left"/>
              <w:rPr>
                <w:rFonts w:ascii="宋体" w:hAnsi="宋体" w:cs="宋体"/>
                <w:color w:val="auto"/>
                <w:sz w:val="24"/>
                <w:highlight w:val="none"/>
              </w:rPr>
            </w:pPr>
          </w:p>
        </w:tc>
        <w:tc>
          <w:tcPr>
            <w:tcW w:w="830" w:type="pct"/>
            <w:tcBorders>
              <w:top w:val="single" w:color="auto" w:sz="4" w:space="0"/>
              <w:left w:val="single" w:color="auto" w:sz="4" w:space="0"/>
              <w:bottom w:val="single" w:color="auto" w:sz="4" w:space="0"/>
              <w:right w:val="single" w:color="auto" w:sz="4" w:space="0"/>
            </w:tcBorders>
          </w:tcPr>
          <w:p w14:paraId="31DA9F7E">
            <w:pPr>
              <w:snapToGrid w:val="0"/>
              <w:spacing w:before="50" w:after="120" w:afterLines="50" w:line="400" w:lineRule="exact"/>
              <w:jc w:val="left"/>
              <w:rPr>
                <w:rFonts w:ascii="宋体" w:hAnsi="宋体" w:cs="宋体"/>
                <w:color w:val="auto"/>
                <w:sz w:val="24"/>
                <w:highlight w:val="none"/>
              </w:rPr>
            </w:pPr>
          </w:p>
        </w:tc>
        <w:tc>
          <w:tcPr>
            <w:tcW w:w="830" w:type="pct"/>
            <w:tcBorders>
              <w:top w:val="single" w:color="auto" w:sz="4" w:space="0"/>
              <w:left w:val="single" w:color="auto" w:sz="4" w:space="0"/>
              <w:bottom w:val="single" w:color="auto" w:sz="4" w:space="0"/>
              <w:right w:val="single" w:color="auto" w:sz="4" w:space="0"/>
            </w:tcBorders>
          </w:tcPr>
          <w:p w14:paraId="7888BCA0">
            <w:pPr>
              <w:snapToGrid w:val="0"/>
              <w:spacing w:before="50" w:after="120" w:afterLines="50" w:line="400" w:lineRule="exact"/>
              <w:jc w:val="left"/>
              <w:rPr>
                <w:rFonts w:ascii="宋体" w:hAnsi="宋体" w:cs="宋体"/>
                <w:color w:val="auto"/>
                <w:sz w:val="24"/>
                <w:highlight w:val="none"/>
              </w:rPr>
            </w:pPr>
          </w:p>
        </w:tc>
        <w:tc>
          <w:tcPr>
            <w:tcW w:w="1340" w:type="pct"/>
            <w:tcBorders>
              <w:top w:val="single" w:color="auto" w:sz="4" w:space="0"/>
              <w:left w:val="single" w:color="auto" w:sz="4" w:space="0"/>
              <w:bottom w:val="single" w:color="auto" w:sz="4" w:space="0"/>
              <w:right w:val="single" w:color="auto" w:sz="4" w:space="0"/>
            </w:tcBorders>
          </w:tcPr>
          <w:p w14:paraId="21C2505B">
            <w:pPr>
              <w:snapToGrid w:val="0"/>
              <w:spacing w:before="50" w:after="120" w:afterLines="50" w:line="400" w:lineRule="exact"/>
              <w:jc w:val="left"/>
              <w:rPr>
                <w:rFonts w:ascii="宋体" w:hAnsi="宋体" w:cs="宋体"/>
                <w:color w:val="auto"/>
                <w:sz w:val="24"/>
                <w:highlight w:val="none"/>
              </w:rPr>
            </w:pPr>
          </w:p>
        </w:tc>
      </w:tr>
      <w:tr w14:paraId="7D6507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90" w:type="pct"/>
            <w:tcBorders>
              <w:top w:val="single" w:color="auto" w:sz="4" w:space="0"/>
              <w:left w:val="single" w:color="auto" w:sz="4" w:space="0"/>
              <w:bottom w:val="single" w:color="auto" w:sz="4" w:space="0"/>
              <w:right w:val="single" w:color="auto" w:sz="4" w:space="0"/>
            </w:tcBorders>
          </w:tcPr>
          <w:p w14:paraId="6642FC9A">
            <w:pPr>
              <w:snapToGrid w:val="0"/>
              <w:spacing w:before="50" w:after="120" w:afterLines="50" w:line="400" w:lineRule="exact"/>
              <w:jc w:val="left"/>
              <w:rPr>
                <w:rFonts w:ascii="宋体" w:hAnsi="宋体" w:cs="宋体"/>
                <w:color w:val="auto"/>
                <w:sz w:val="24"/>
                <w:highlight w:val="none"/>
              </w:rPr>
            </w:pPr>
          </w:p>
        </w:tc>
        <w:tc>
          <w:tcPr>
            <w:tcW w:w="1408" w:type="pct"/>
            <w:tcBorders>
              <w:top w:val="single" w:color="auto" w:sz="4" w:space="0"/>
              <w:left w:val="single" w:color="auto" w:sz="4" w:space="0"/>
              <w:bottom w:val="single" w:color="auto" w:sz="4" w:space="0"/>
              <w:right w:val="single" w:color="auto" w:sz="4" w:space="0"/>
            </w:tcBorders>
          </w:tcPr>
          <w:p w14:paraId="46AA2107">
            <w:pPr>
              <w:snapToGrid w:val="0"/>
              <w:spacing w:before="50" w:after="120" w:afterLines="50" w:line="400" w:lineRule="exact"/>
              <w:jc w:val="left"/>
              <w:rPr>
                <w:rFonts w:ascii="宋体" w:hAnsi="宋体" w:cs="宋体"/>
                <w:color w:val="auto"/>
                <w:sz w:val="24"/>
                <w:highlight w:val="none"/>
              </w:rPr>
            </w:pPr>
          </w:p>
        </w:tc>
        <w:tc>
          <w:tcPr>
            <w:tcW w:w="830" w:type="pct"/>
            <w:tcBorders>
              <w:top w:val="single" w:color="auto" w:sz="4" w:space="0"/>
              <w:left w:val="single" w:color="auto" w:sz="4" w:space="0"/>
              <w:bottom w:val="single" w:color="auto" w:sz="4" w:space="0"/>
              <w:right w:val="single" w:color="auto" w:sz="4" w:space="0"/>
            </w:tcBorders>
          </w:tcPr>
          <w:p w14:paraId="156828D3">
            <w:pPr>
              <w:snapToGrid w:val="0"/>
              <w:spacing w:before="50" w:after="120" w:afterLines="50" w:line="400" w:lineRule="exact"/>
              <w:jc w:val="left"/>
              <w:rPr>
                <w:rFonts w:ascii="宋体" w:hAnsi="宋体" w:cs="宋体"/>
                <w:color w:val="auto"/>
                <w:sz w:val="24"/>
                <w:highlight w:val="none"/>
              </w:rPr>
            </w:pPr>
          </w:p>
        </w:tc>
        <w:tc>
          <w:tcPr>
            <w:tcW w:w="830" w:type="pct"/>
            <w:tcBorders>
              <w:top w:val="single" w:color="auto" w:sz="4" w:space="0"/>
              <w:left w:val="single" w:color="auto" w:sz="4" w:space="0"/>
              <w:bottom w:val="single" w:color="auto" w:sz="4" w:space="0"/>
              <w:right w:val="single" w:color="auto" w:sz="4" w:space="0"/>
            </w:tcBorders>
          </w:tcPr>
          <w:p w14:paraId="4D2C6AE8">
            <w:pPr>
              <w:snapToGrid w:val="0"/>
              <w:spacing w:before="50" w:after="120" w:afterLines="50" w:line="400" w:lineRule="exact"/>
              <w:jc w:val="left"/>
              <w:rPr>
                <w:rFonts w:ascii="宋体" w:hAnsi="宋体" w:cs="宋体"/>
                <w:color w:val="auto"/>
                <w:sz w:val="24"/>
                <w:highlight w:val="none"/>
              </w:rPr>
            </w:pPr>
          </w:p>
        </w:tc>
        <w:tc>
          <w:tcPr>
            <w:tcW w:w="1340" w:type="pct"/>
            <w:tcBorders>
              <w:top w:val="single" w:color="auto" w:sz="4" w:space="0"/>
              <w:left w:val="single" w:color="auto" w:sz="4" w:space="0"/>
              <w:bottom w:val="single" w:color="auto" w:sz="4" w:space="0"/>
              <w:right w:val="single" w:color="auto" w:sz="4" w:space="0"/>
            </w:tcBorders>
          </w:tcPr>
          <w:p w14:paraId="1A3B7B25">
            <w:pPr>
              <w:snapToGrid w:val="0"/>
              <w:spacing w:before="50" w:after="120" w:afterLines="50" w:line="400" w:lineRule="exact"/>
              <w:jc w:val="left"/>
              <w:rPr>
                <w:rFonts w:ascii="宋体" w:hAnsi="宋体" w:cs="宋体"/>
                <w:color w:val="auto"/>
                <w:sz w:val="24"/>
                <w:highlight w:val="none"/>
              </w:rPr>
            </w:pPr>
          </w:p>
        </w:tc>
      </w:tr>
    </w:tbl>
    <w:p w14:paraId="7281E0BC">
      <w:pPr>
        <w:pStyle w:val="5"/>
        <w:spacing w:before="0" w:after="0" w:line="360" w:lineRule="auto"/>
        <w:contextualSpacing/>
        <w:rPr>
          <w:rFonts w:ascii="宋体" w:hAnsi="宋体" w:eastAsia="宋体" w:cs="宋体"/>
          <w:color w:val="auto"/>
          <w:sz w:val="24"/>
          <w:szCs w:val="24"/>
          <w:highlight w:val="none"/>
        </w:rPr>
      </w:pPr>
    </w:p>
    <w:p w14:paraId="1A3B4690">
      <w:pPr>
        <w:pStyle w:val="5"/>
        <w:spacing w:before="0" w:after="0" w:line="360" w:lineRule="auto"/>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highlight w:val="none"/>
        </w:rPr>
        <w:t>投标人根据评标标准具体要求附业绩证明材料。</w:t>
      </w:r>
    </w:p>
    <w:p w14:paraId="0A770B7E">
      <w:pPr>
        <w:pStyle w:val="5"/>
        <w:spacing w:before="0" w:after="0" w:line="360" w:lineRule="auto"/>
        <w:contextualSpacing/>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法定代表人或者委托代理人（签字）：</w:t>
      </w:r>
      <w:r>
        <w:rPr>
          <w:rFonts w:hint="eastAsia" w:ascii="宋体" w:hAnsi="宋体" w:eastAsia="宋体" w:cs="宋体"/>
          <w:color w:val="auto"/>
          <w:sz w:val="24"/>
          <w:szCs w:val="24"/>
          <w:highlight w:val="none"/>
          <w:u w:val="single"/>
        </w:rPr>
        <w:t>　　　　　</w:t>
      </w:r>
    </w:p>
    <w:p w14:paraId="5796FF12">
      <w:pPr>
        <w:spacing w:line="360" w:lineRule="auto"/>
        <w:ind w:right="480"/>
        <w:contextualSpacing/>
        <w:jc w:val="left"/>
        <w:rPr>
          <w:rFonts w:ascii="宋体" w:hAnsi="宋体" w:cs="宋体"/>
          <w:color w:val="auto"/>
          <w:sz w:val="24"/>
          <w:szCs w:val="20"/>
          <w:highlight w:val="none"/>
        </w:rPr>
      </w:pPr>
      <w:r>
        <w:rPr>
          <w:rFonts w:hint="eastAsia" w:ascii="宋体" w:hAnsi="宋体" w:cs="宋体"/>
          <w:color w:val="auto"/>
          <w:sz w:val="24"/>
          <w:highlight w:val="none"/>
          <w:lang w:eastAsia="zh-CN"/>
        </w:rPr>
        <w:t>投标人名称(电子签章)：</w:t>
      </w:r>
      <w:r>
        <w:rPr>
          <w:rFonts w:hint="eastAsia" w:ascii="宋体" w:hAnsi="宋体" w:cs="宋体"/>
          <w:color w:val="auto"/>
          <w:spacing w:val="20"/>
          <w:sz w:val="24"/>
          <w:highlight w:val="none"/>
          <w:u w:val="single"/>
        </w:rPr>
        <w:t xml:space="preserve">          </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 xml:space="preserve">                                                             年    月    日</w:t>
      </w:r>
    </w:p>
    <w:p w14:paraId="3C06F59B">
      <w:pPr>
        <w:snapToGrid w:val="0"/>
        <w:spacing w:before="50"/>
        <w:ind w:firstLine="480" w:firstLineChars="200"/>
        <w:jc w:val="left"/>
        <w:rPr>
          <w:rFonts w:ascii="宋体" w:hAnsi="宋体" w:cs="宋体"/>
          <w:color w:val="auto"/>
          <w:sz w:val="24"/>
          <w:szCs w:val="20"/>
          <w:highlight w:val="none"/>
        </w:rPr>
      </w:pPr>
    </w:p>
    <w:p w14:paraId="6B56EF2F">
      <w:pPr>
        <w:snapToGrid w:val="0"/>
        <w:spacing w:before="50"/>
        <w:jc w:val="left"/>
        <w:rPr>
          <w:rFonts w:ascii="宋体" w:hAnsi="宋体" w:cs="宋体"/>
          <w:color w:val="auto"/>
          <w:sz w:val="24"/>
          <w:highlight w:val="none"/>
        </w:rPr>
      </w:pPr>
    </w:p>
    <w:p w14:paraId="45CB844F">
      <w:pPr>
        <w:snapToGrid w:val="0"/>
        <w:spacing w:before="120" w:beforeLines="50"/>
        <w:rPr>
          <w:rFonts w:ascii="宋体" w:hAnsi="宋体" w:cs="宋体"/>
          <w:color w:val="auto"/>
          <w:sz w:val="24"/>
          <w:szCs w:val="20"/>
          <w:highlight w:val="none"/>
        </w:rPr>
        <w:sectPr>
          <w:pgSz w:w="11906" w:h="16838"/>
          <w:pgMar w:top="1134" w:right="1134" w:bottom="1020" w:left="1134" w:header="851" w:footer="992" w:gutter="0"/>
          <w:cols w:space="720" w:num="1"/>
          <w:docGrid w:linePitch="312" w:charSpace="0"/>
        </w:sectPr>
      </w:pPr>
    </w:p>
    <w:p w14:paraId="349CE054">
      <w:pPr>
        <w:rPr>
          <w:rFonts w:ascii="宋体" w:hAnsi="宋体" w:cs="宋体"/>
          <w:b/>
          <w:color w:val="auto"/>
          <w:sz w:val="28"/>
          <w:szCs w:val="28"/>
          <w:highlight w:val="none"/>
        </w:rPr>
      </w:pPr>
      <w:r>
        <w:rPr>
          <w:rFonts w:hint="eastAsia" w:ascii="宋体" w:hAnsi="宋体" w:cs="宋体"/>
          <w:b/>
          <w:color w:val="auto"/>
          <w:sz w:val="28"/>
          <w:szCs w:val="28"/>
          <w:highlight w:val="none"/>
        </w:rPr>
        <w:t>四、技术文件格式</w:t>
      </w:r>
    </w:p>
    <w:p w14:paraId="3B11D5A1">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 xml:space="preserve">1. 技术文件封面格式： </w:t>
      </w:r>
    </w:p>
    <w:p w14:paraId="57180CF1">
      <w:pPr>
        <w:snapToGrid w:val="0"/>
        <w:spacing w:before="120" w:beforeLines="50" w:after="50"/>
        <w:rPr>
          <w:rFonts w:ascii="宋体" w:hAnsi="宋体" w:cs="宋体"/>
          <w:b/>
          <w:bCs/>
          <w:color w:val="auto"/>
          <w:sz w:val="32"/>
          <w:szCs w:val="20"/>
          <w:highlight w:val="none"/>
        </w:rPr>
      </w:pPr>
      <w:r>
        <w:rPr>
          <w:rFonts w:hint="eastAsia" w:ascii="宋体" w:hAnsi="宋体" w:cs="宋体"/>
          <w:color w:val="auto"/>
          <w:sz w:val="24"/>
          <w:highlight w:val="none"/>
        </w:rPr>
        <w:t xml:space="preserve">                                                   </w:t>
      </w:r>
    </w:p>
    <w:p w14:paraId="68FCE86D">
      <w:pPr>
        <w:snapToGrid w:val="0"/>
        <w:spacing w:before="120" w:beforeLines="50" w:after="50"/>
        <w:rPr>
          <w:rFonts w:ascii="宋体" w:hAnsi="宋体" w:cs="宋体"/>
          <w:color w:val="auto"/>
          <w:sz w:val="24"/>
          <w:szCs w:val="20"/>
          <w:highlight w:val="none"/>
        </w:rPr>
      </w:pPr>
    </w:p>
    <w:p w14:paraId="02C041D4">
      <w:pPr>
        <w:snapToGrid w:val="0"/>
        <w:spacing w:before="120" w:beforeLines="50" w:after="50"/>
        <w:rPr>
          <w:rFonts w:ascii="宋体" w:hAnsi="宋体" w:cs="宋体"/>
          <w:color w:val="auto"/>
          <w:sz w:val="24"/>
          <w:szCs w:val="20"/>
          <w:highlight w:val="none"/>
        </w:rPr>
      </w:pPr>
    </w:p>
    <w:p w14:paraId="58110925">
      <w:pPr>
        <w:snapToGrid w:val="0"/>
        <w:spacing w:before="120" w:beforeLines="50" w:after="50"/>
        <w:jc w:val="center"/>
        <w:rPr>
          <w:rFonts w:ascii="宋体" w:hAnsi="宋体" w:cs="宋体"/>
          <w:color w:val="auto"/>
          <w:sz w:val="84"/>
          <w:szCs w:val="84"/>
          <w:highlight w:val="none"/>
        </w:rPr>
      </w:pPr>
      <w:r>
        <w:rPr>
          <w:rFonts w:hint="eastAsia" w:ascii="宋体" w:hAnsi="宋体" w:cs="宋体"/>
          <w:color w:val="auto"/>
          <w:sz w:val="84"/>
          <w:szCs w:val="84"/>
          <w:highlight w:val="none"/>
        </w:rPr>
        <w:t>投  标  文  件</w:t>
      </w:r>
    </w:p>
    <w:p w14:paraId="280CD48A">
      <w:pPr>
        <w:snapToGrid w:val="0"/>
        <w:spacing w:before="120" w:beforeLines="50" w:after="50"/>
        <w:rPr>
          <w:rFonts w:ascii="宋体" w:hAnsi="宋体" w:cs="宋体"/>
          <w:color w:val="auto"/>
          <w:sz w:val="24"/>
          <w:szCs w:val="20"/>
          <w:highlight w:val="none"/>
        </w:rPr>
      </w:pPr>
    </w:p>
    <w:p w14:paraId="26BF949F">
      <w:pPr>
        <w:snapToGrid w:val="0"/>
        <w:spacing w:before="120" w:beforeLines="50" w:after="50"/>
        <w:rPr>
          <w:rFonts w:ascii="宋体" w:hAnsi="宋体" w:cs="宋体"/>
          <w:color w:val="auto"/>
          <w:sz w:val="24"/>
          <w:szCs w:val="20"/>
          <w:highlight w:val="none"/>
        </w:rPr>
      </w:pPr>
    </w:p>
    <w:p w14:paraId="7A311E56">
      <w:pPr>
        <w:snapToGrid w:val="0"/>
        <w:spacing w:before="120" w:beforeLines="50" w:after="5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技  术  文  件</w:t>
      </w:r>
    </w:p>
    <w:p w14:paraId="7F377657">
      <w:pPr>
        <w:snapToGrid w:val="0"/>
        <w:spacing w:before="120" w:beforeLines="50" w:after="50"/>
        <w:rPr>
          <w:rFonts w:ascii="宋体" w:hAnsi="宋体" w:cs="宋体"/>
          <w:bCs/>
          <w:color w:val="auto"/>
          <w:sz w:val="24"/>
          <w:szCs w:val="20"/>
          <w:highlight w:val="none"/>
        </w:rPr>
      </w:pPr>
    </w:p>
    <w:p w14:paraId="27F896DA">
      <w:pPr>
        <w:snapToGrid w:val="0"/>
        <w:spacing w:before="120" w:beforeLines="50" w:after="50"/>
        <w:rPr>
          <w:rFonts w:ascii="宋体" w:hAnsi="宋体" w:cs="宋体"/>
          <w:bCs/>
          <w:color w:val="auto"/>
          <w:sz w:val="24"/>
          <w:szCs w:val="20"/>
          <w:highlight w:val="none"/>
        </w:rPr>
      </w:pPr>
    </w:p>
    <w:p w14:paraId="5AF632E4">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76185ED3">
      <w:pPr>
        <w:snapToGrid w:val="0"/>
        <w:spacing w:before="120" w:beforeLines="50" w:after="50" w:line="400" w:lineRule="exact"/>
        <w:ind w:firstLine="360" w:firstLineChars="150"/>
        <w:rPr>
          <w:rFonts w:ascii="宋体" w:hAnsi="宋体" w:cs="宋体"/>
          <w:bCs/>
          <w:color w:val="auto"/>
          <w:sz w:val="24"/>
          <w:szCs w:val="20"/>
          <w:highlight w:val="none"/>
        </w:rPr>
      </w:pPr>
    </w:p>
    <w:p w14:paraId="4E933FCD">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14:paraId="08BCC3A5">
      <w:pPr>
        <w:snapToGrid w:val="0"/>
        <w:spacing w:before="120" w:beforeLines="50" w:after="50" w:line="400" w:lineRule="exact"/>
        <w:ind w:firstLine="360" w:firstLineChars="150"/>
        <w:rPr>
          <w:rFonts w:ascii="宋体" w:hAnsi="宋体" w:cs="宋体"/>
          <w:bCs/>
          <w:color w:val="auto"/>
          <w:sz w:val="24"/>
          <w:highlight w:val="none"/>
        </w:rPr>
      </w:pPr>
    </w:p>
    <w:p w14:paraId="3DB96F22">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lang w:eastAsia="zh-CN"/>
        </w:rPr>
        <w:t>分标</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标项名称（如有则填写，无分标时填写“无”或者留空）：</w:t>
      </w:r>
    </w:p>
    <w:p w14:paraId="32FE7158">
      <w:pPr>
        <w:snapToGrid w:val="0"/>
        <w:spacing w:before="120" w:beforeLines="50" w:after="50" w:line="400" w:lineRule="exact"/>
        <w:ind w:firstLine="360" w:firstLineChars="150"/>
        <w:rPr>
          <w:rFonts w:ascii="宋体" w:hAnsi="宋体" w:cs="宋体"/>
          <w:bCs/>
          <w:color w:val="auto"/>
          <w:sz w:val="24"/>
          <w:highlight w:val="none"/>
        </w:rPr>
      </w:pPr>
    </w:p>
    <w:p w14:paraId="008BA8EF">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233270B5">
      <w:pPr>
        <w:snapToGrid w:val="0"/>
        <w:spacing w:before="120" w:beforeLines="50" w:after="50" w:line="400" w:lineRule="exact"/>
        <w:ind w:firstLine="360" w:firstLineChars="150"/>
        <w:rPr>
          <w:rFonts w:ascii="宋体" w:hAnsi="宋体" w:cs="宋体"/>
          <w:bCs/>
          <w:color w:val="auto"/>
          <w:sz w:val="24"/>
          <w:highlight w:val="none"/>
        </w:rPr>
      </w:pPr>
    </w:p>
    <w:p w14:paraId="089A1A04">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6047EE3F">
      <w:pPr>
        <w:snapToGrid w:val="0"/>
        <w:spacing w:before="120" w:beforeLines="50" w:after="50" w:line="400" w:lineRule="exact"/>
        <w:ind w:firstLine="360" w:firstLineChars="150"/>
        <w:rPr>
          <w:rFonts w:ascii="宋体" w:hAnsi="宋体" w:cs="宋体"/>
          <w:bCs/>
          <w:color w:val="auto"/>
          <w:sz w:val="24"/>
          <w:highlight w:val="none"/>
        </w:rPr>
      </w:pPr>
    </w:p>
    <w:p w14:paraId="660BA6E5">
      <w:pPr>
        <w:snapToGrid w:val="0"/>
        <w:spacing w:before="120" w:beforeLines="50" w:after="50"/>
        <w:ind w:firstLine="645"/>
        <w:jc w:val="center"/>
        <w:rPr>
          <w:rFonts w:ascii="宋体" w:hAnsi="宋体" w:cs="宋体"/>
          <w:color w:val="auto"/>
          <w:sz w:val="24"/>
          <w:highlight w:val="none"/>
        </w:rPr>
      </w:pPr>
      <w:r>
        <w:rPr>
          <w:rFonts w:hint="eastAsia" w:ascii="宋体" w:hAnsi="宋体" w:cs="宋体"/>
          <w:color w:val="auto"/>
          <w:sz w:val="24"/>
          <w:highlight w:val="none"/>
        </w:rPr>
        <w:t xml:space="preserve">               </w:t>
      </w:r>
    </w:p>
    <w:p w14:paraId="6FF75CFE">
      <w:pPr>
        <w:snapToGrid w:val="0"/>
        <w:spacing w:before="120" w:beforeLines="50" w:after="50"/>
        <w:ind w:firstLine="645"/>
        <w:jc w:val="center"/>
        <w:rPr>
          <w:rFonts w:ascii="宋体" w:hAnsi="宋体" w:cs="宋体"/>
          <w:color w:val="auto"/>
          <w:sz w:val="24"/>
          <w:highlight w:val="none"/>
        </w:rPr>
      </w:pPr>
    </w:p>
    <w:p w14:paraId="6F7879C0">
      <w:pPr>
        <w:snapToGrid w:val="0"/>
        <w:spacing w:before="120" w:beforeLines="50" w:after="50"/>
        <w:ind w:firstLine="645"/>
        <w:jc w:val="center"/>
        <w:rPr>
          <w:rFonts w:ascii="宋体" w:hAnsi="宋体" w:cs="宋体"/>
          <w:color w:val="auto"/>
          <w:sz w:val="24"/>
          <w:highlight w:val="none"/>
        </w:rPr>
      </w:pPr>
      <w:r>
        <w:rPr>
          <w:rFonts w:hint="eastAsia" w:ascii="宋体" w:hAnsi="宋体" w:cs="宋体"/>
          <w:color w:val="auto"/>
          <w:sz w:val="24"/>
          <w:highlight w:val="none"/>
        </w:rPr>
        <w:t>年    月    日</w:t>
      </w:r>
    </w:p>
    <w:p w14:paraId="2DC34ECC">
      <w:pPr>
        <w:snapToGrid w:val="0"/>
        <w:spacing w:before="120" w:beforeLines="50" w:after="50"/>
        <w:ind w:firstLine="645"/>
        <w:jc w:val="center"/>
        <w:rPr>
          <w:rFonts w:ascii="宋体" w:hAnsi="宋体" w:cs="宋体"/>
          <w:color w:val="auto"/>
          <w:sz w:val="24"/>
          <w:szCs w:val="20"/>
          <w:highlight w:val="none"/>
        </w:rPr>
      </w:pPr>
    </w:p>
    <w:p w14:paraId="29D70374">
      <w:pPr>
        <w:snapToGrid w:val="0"/>
        <w:spacing w:before="120" w:beforeLines="50" w:after="50"/>
        <w:ind w:left="142"/>
        <w:jc w:val="left"/>
        <w:rPr>
          <w:rFonts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2.技术文件目录</w:t>
      </w:r>
    </w:p>
    <w:p w14:paraId="2E20709F">
      <w:pPr>
        <w:snapToGrid w:val="0"/>
        <w:spacing w:before="50" w:after="120" w:afterLines="50"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根据招标文件规定及投标人提供的材料自行编写目录。</w:t>
      </w:r>
    </w:p>
    <w:p w14:paraId="58E712F6">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 设备性能配置清单格式</w:t>
      </w:r>
    </w:p>
    <w:p w14:paraId="399B8CC2">
      <w:pPr>
        <w:snapToGrid w:val="0"/>
        <w:spacing w:before="120" w:beforeLines="50" w:after="50"/>
        <w:ind w:left="142"/>
        <w:jc w:val="left"/>
        <w:rPr>
          <w:rFonts w:ascii="宋体" w:hAnsi="宋体" w:cs="宋体"/>
          <w:b/>
          <w:color w:val="auto"/>
          <w:sz w:val="24"/>
          <w:highlight w:val="none"/>
        </w:rPr>
      </w:pPr>
    </w:p>
    <w:p w14:paraId="2FFD408D">
      <w:pPr>
        <w:snapToGrid w:val="0"/>
        <w:spacing w:line="360" w:lineRule="auto"/>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设备性能配置清单</w:t>
      </w:r>
    </w:p>
    <w:p w14:paraId="0D37C221">
      <w:pPr>
        <w:pStyle w:val="13"/>
        <w:rPr>
          <w:rFonts w:hAnsi="宋体" w:cs="宋体"/>
          <w:color w:val="auto"/>
          <w:sz w:val="24"/>
          <w:highlight w:val="none"/>
          <w:u w:val="single"/>
        </w:rPr>
      </w:pPr>
      <w:r>
        <w:rPr>
          <w:rFonts w:hint="eastAsia" w:hAnsi="宋体" w:cs="宋体"/>
          <w:color w:val="auto"/>
          <w:sz w:val="24"/>
          <w:highlight w:val="none"/>
        </w:rPr>
        <w:t>项目名称：</w:t>
      </w:r>
      <w:r>
        <w:rPr>
          <w:rFonts w:hint="eastAsia" w:hAnsi="宋体" w:cs="宋体"/>
          <w:color w:val="auto"/>
          <w:sz w:val="24"/>
          <w:highlight w:val="none"/>
          <w:u w:val="single"/>
        </w:rPr>
        <w:t xml:space="preserve">         </w:t>
      </w:r>
      <w:r>
        <w:rPr>
          <w:rFonts w:hint="eastAsia" w:hAnsi="宋体" w:cs="宋体"/>
          <w:color w:val="auto"/>
          <w:sz w:val="24"/>
          <w:highlight w:val="none"/>
        </w:rPr>
        <w:t xml:space="preserve">         项目编号：</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r>
        <w:rPr>
          <w:rFonts w:hint="eastAsia" w:ascii="宋体" w:hAnsi="宋体" w:cs="宋体"/>
          <w:bCs/>
          <w:color w:val="auto"/>
          <w:sz w:val="24"/>
          <w:highlight w:val="none"/>
          <w:lang w:eastAsia="zh-CN"/>
        </w:rPr>
        <w:t>分标</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标项名称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0BA8F433">
      <w:pPr>
        <w:rPr>
          <w:rFonts w:ascii="宋体" w:hAnsi="宋体" w:cs="宋体"/>
          <w:color w:val="auto"/>
          <w:highlight w:val="none"/>
        </w:rPr>
      </w:pPr>
    </w:p>
    <w:tbl>
      <w:tblPr>
        <w:tblStyle w:val="22"/>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13"/>
        <w:gridCol w:w="1372"/>
        <w:gridCol w:w="885"/>
        <w:gridCol w:w="985"/>
        <w:gridCol w:w="1967"/>
        <w:gridCol w:w="1372"/>
        <w:gridCol w:w="812"/>
        <w:gridCol w:w="1648"/>
      </w:tblGrid>
      <w:tr w14:paraId="56D1E6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68A1A0AC">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项号</w:t>
            </w:r>
          </w:p>
        </w:tc>
        <w:tc>
          <w:tcPr>
            <w:tcW w:w="696" w:type="pct"/>
            <w:tcBorders>
              <w:top w:val="single" w:color="auto" w:sz="4" w:space="0"/>
              <w:left w:val="single" w:color="auto" w:sz="4" w:space="0"/>
              <w:bottom w:val="single" w:color="auto" w:sz="4" w:space="0"/>
              <w:right w:val="single" w:color="auto" w:sz="4" w:space="0"/>
            </w:tcBorders>
            <w:vAlign w:val="center"/>
          </w:tcPr>
          <w:p w14:paraId="03CFAAAF">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货物名称</w:t>
            </w:r>
          </w:p>
        </w:tc>
        <w:tc>
          <w:tcPr>
            <w:tcW w:w="449" w:type="pct"/>
            <w:tcBorders>
              <w:top w:val="single" w:color="auto" w:sz="4" w:space="0"/>
              <w:left w:val="single" w:color="auto" w:sz="4" w:space="0"/>
              <w:bottom w:val="single" w:color="auto" w:sz="4" w:space="0"/>
              <w:right w:val="single" w:color="auto" w:sz="4" w:space="0"/>
            </w:tcBorders>
            <w:vAlign w:val="center"/>
          </w:tcPr>
          <w:p w14:paraId="2E87C952">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数量及单位</w:t>
            </w:r>
          </w:p>
        </w:tc>
        <w:tc>
          <w:tcPr>
            <w:tcW w:w="500" w:type="pct"/>
            <w:tcBorders>
              <w:top w:val="single" w:color="auto" w:sz="4" w:space="0"/>
              <w:left w:val="single" w:color="auto" w:sz="4" w:space="0"/>
              <w:bottom w:val="single" w:color="auto" w:sz="4" w:space="0"/>
              <w:right w:val="single" w:color="auto" w:sz="4" w:space="0"/>
            </w:tcBorders>
            <w:vAlign w:val="center"/>
          </w:tcPr>
          <w:p w14:paraId="549C9C6B">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品牌</w:t>
            </w:r>
          </w:p>
        </w:tc>
        <w:tc>
          <w:tcPr>
            <w:tcW w:w="998" w:type="pct"/>
            <w:tcBorders>
              <w:top w:val="single" w:color="auto" w:sz="4" w:space="0"/>
              <w:left w:val="single" w:color="auto" w:sz="4" w:space="0"/>
              <w:bottom w:val="single" w:color="auto" w:sz="4" w:space="0"/>
              <w:right w:val="single" w:color="auto" w:sz="4" w:space="0"/>
            </w:tcBorders>
          </w:tcPr>
          <w:p w14:paraId="07A16F51">
            <w:pPr>
              <w:snapToGrid w:val="0"/>
              <w:spacing w:before="50" w:after="50"/>
              <w:jc w:val="center"/>
              <w:rPr>
                <w:rFonts w:ascii="宋体" w:hAnsi="宋体" w:cs="宋体"/>
                <w:color w:val="auto"/>
                <w:sz w:val="24"/>
                <w:highlight w:val="none"/>
              </w:rPr>
            </w:pPr>
          </w:p>
          <w:p w14:paraId="5CB9DBDF">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规格型号</w:t>
            </w:r>
          </w:p>
        </w:tc>
        <w:tc>
          <w:tcPr>
            <w:tcW w:w="696" w:type="pct"/>
            <w:tcBorders>
              <w:top w:val="single" w:color="auto" w:sz="4" w:space="0"/>
              <w:left w:val="single" w:color="auto" w:sz="4" w:space="0"/>
              <w:bottom w:val="single" w:color="auto" w:sz="4" w:space="0"/>
              <w:right w:val="single" w:color="auto" w:sz="4" w:space="0"/>
            </w:tcBorders>
            <w:vAlign w:val="center"/>
          </w:tcPr>
          <w:p w14:paraId="29FBF2D2">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制造商</w:t>
            </w:r>
          </w:p>
        </w:tc>
        <w:tc>
          <w:tcPr>
            <w:tcW w:w="412" w:type="pct"/>
            <w:tcBorders>
              <w:top w:val="single" w:color="auto" w:sz="4" w:space="0"/>
              <w:left w:val="single" w:color="auto" w:sz="4" w:space="0"/>
              <w:bottom w:val="single" w:color="auto" w:sz="4" w:space="0"/>
              <w:right w:val="single" w:color="auto" w:sz="4" w:space="0"/>
            </w:tcBorders>
            <w:vAlign w:val="center"/>
          </w:tcPr>
          <w:p w14:paraId="32B75776">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原产地</w:t>
            </w:r>
          </w:p>
        </w:tc>
        <w:tc>
          <w:tcPr>
            <w:tcW w:w="836" w:type="pct"/>
            <w:tcBorders>
              <w:top w:val="single" w:color="auto" w:sz="4" w:space="0"/>
              <w:left w:val="single" w:color="auto" w:sz="4" w:space="0"/>
              <w:bottom w:val="single" w:color="auto" w:sz="4" w:space="0"/>
              <w:right w:val="single" w:color="auto" w:sz="4" w:space="0"/>
            </w:tcBorders>
            <w:vAlign w:val="center"/>
          </w:tcPr>
          <w:p w14:paraId="21805FB7">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参数性能、指标及配置</w:t>
            </w:r>
          </w:p>
        </w:tc>
      </w:tr>
      <w:tr w14:paraId="3B0B03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63E6DAA4">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1</w:t>
            </w:r>
          </w:p>
        </w:tc>
        <w:tc>
          <w:tcPr>
            <w:tcW w:w="696" w:type="pct"/>
            <w:tcBorders>
              <w:top w:val="single" w:color="auto" w:sz="4" w:space="0"/>
              <w:left w:val="single" w:color="auto" w:sz="4" w:space="0"/>
              <w:bottom w:val="single" w:color="auto" w:sz="4" w:space="0"/>
              <w:right w:val="single" w:color="auto" w:sz="4" w:space="0"/>
            </w:tcBorders>
            <w:vAlign w:val="center"/>
          </w:tcPr>
          <w:p w14:paraId="4F695161">
            <w:pPr>
              <w:snapToGrid w:val="0"/>
              <w:spacing w:before="50" w:after="50"/>
              <w:jc w:val="center"/>
              <w:rPr>
                <w:rFonts w:ascii="宋体" w:hAnsi="宋体" w:cs="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vAlign w:val="center"/>
          </w:tcPr>
          <w:p w14:paraId="6F223DAA">
            <w:pPr>
              <w:snapToGrid w:val="0"/>
              <w:spacing w:before="50" w:after="50"/>
              <w:jc w:val="center"/>
              <w:rPr>
                <w:rFonts w:ascii="宋体" w:hAnsi="宋体" w:cs="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6121836E">
            <w:pPr>
              <w:snapToGrid w:val="0"/>
              <w:spacing w:before="50" w:after="50"/>
              <w:jc w:val="center"/>
              <w:rPr>
                <w:rFonts w:ascii="宋体" w:hAnsi="宋体" w:cs="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tcPr>
          <w:p w14:paraId="5575C143">
            <w:pPr>
              <w:snapToGrid w:val="0"/>
              <w:spacing w:before="50" w:after="50"/>
              <w:jc w:val="center"/>
              <w:rPr>
                <w:rFonts w:ascii="宋体" w:hAnsi="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4DF7FADA">
            <w:pPr>
              <w:snapToGrid w:val="0"/>
              <w:spacing w:before="50" w:after="50"/>
              <w:jc w:val="center"/>
              <w:rPr>
                <w:rFonts w:ascii="宋体" w:hAnsi="宋体" w:cs="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049AE0F8">
            <w:pPr>
              <w:snapToGrid w:val="0"/>
              <w:spacing w:before="50" w:after="50"/>
              <w:jc w:val="center"/>
              <w:rPr>
                <w:rFonts w:ascii="宋体" w:hAnsi="宋体" w:cs="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14:paraId="6DE825D1">
            <w:pPr>
              <w:snapToGrid w:val="0"/>
              <w:spacing w:before="50" w:after="50"/>
              <w:jc w:val="center"/>
              <w:rPr>
                <w:rFonts w:ascii="宋体" w:hAnsi="宋体" w:cs="宋体"/>
                <w:color w:val="auto"/>
                <w:sz w:val="24"/>
                <w:highlight w:val="none"/>
              </w:rPr>
            </w:pPr>
          </w:p>
        </w:tc>
      </w:tr>
      <w:tr w14:paraId="521133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4A8D240F">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2</w:t>
            </w:r>
          </w:p>
        </w:tc>
        <w:tc>
          <w:tcPr>
            <w:tcW w:w="696" w:type="pct"/>
            <w:tcBorders>
              <w:top w:val="single" w:color="auto" w:sz="4" w:space="0"/>
              <w:left w:val="single" w:color="auto" w:sz="4" w:space="0"/>
              <w:bottom w:val="single" w:color="auto" w:sz="4" w:space="0"/>
              <w:right w:val="single" w:color="auto" w:sz="4" w:space="0"/>
            </w:tcBorders>
            <w:vAlign w:val="center"/>
          </w:tcPr>
          <w:p w14:paraId="567B66F4">
            <w:pPr>
              <w:snapToGrid w:val="0"/>
              <w:spacing w:before="50" w:after="50"/>
              <w:jc w:val="center"/>
              <w:rPr>
                <w:rFonts w:ascii="宋体" w:hAnsi="宋体" w:cs="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vAlign w:val="center"/>
          </w:tcPr>
          <w:p w14:paraId="24094C30">
            <w:pPr>
              <w:snapToGrid w:val="0"/>
              <w:spacing w:before="50" w:after="50"/>
              <w:jc w:val="center"/>
              <w:rPr>
                <w:rFonts w:ascii="宋体" w:hAnsi="宋体" w:cs="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0EBAC954">
            <w:pPr>
              <w:snapToGrid w:val="0"/>
              <w:spacing w:before="50" w:after="50"/>
              <w:jc w:val="center"/>
              <w:rPr>
                <w:rFonts w:ascii="宋体" w:hAnsi="宋体" w:cs="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tcPr>
          <w:p w14:paraId="6E16491A">
            <w:pPr>
              <w:snapToGrid w:val="0"/>
              <w:spacing w:before="50" w:after="50"/>
              <w:jc w:val="center"/>
              <w:rPr>
                <w:rFonts w:ascii="宋体" w:hAnsi="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2F27AABF">
            <w:pPr>
              <w:snapToGrid w:val="0"/>
              <w:spacing w:before="50" w:after="50"/>
              <w:jc w:val="center"/>
              <w:rPr>
                <w:rFonts w:ascii="宋体" w:hAnsi="宋体" w:cs="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258FAFFA">
            <w:pPr>
              <w:snapToGrid w:val="0"/>
              <w:spacing w:before="50" w:after="50"/>
              <w:jc w:val="center"/>
              <w:rPr>
                <w:rFonts w:ascii="宋体" w:hAnsi="宋体" w:cs="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14:paraId="7BBC6992">
            <w:pPr>
              <w:snapToGrid w:val="0"/>
              <w:spacing w:before="50" w:after="50"/>
              <w:jc w:val="center"/>
              <w:rPr>
                <w:rFonts w:ascii="宋体" w:hAnsi="宋体" w:cs="宋体"/>
                <w:color w:val="auto"/>
                <w:sz w:val="24"/>
                <w:highlight w:val="none"/>
              </w:rPr>
            </w:pPr>
          </w:p>
        </w:tc>
      </w:tr>
      <w:tr w14:paraId="4CE46F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34D736DA">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3</w:t>
            </w:r>
          </w:p>
        </w:tc>
        <w:tc>
          <w:tcPr>
            <w:tcW w:w="696" w:type="pct"/>
            <w:tcBorders>
              <w:top w:val="single" w:color="auto" w:sz="4" w:space="0"/>
              <w:left w:val="single" w:color="auto" w:sz="4" w:space="0"/>
              <w:bottom w:val="single" w:color="auto" w:sz="4" w:space="0"/>
              <w:right w:val="single" w:color="auto" w:sz="4" w:space="0"/>
            </w:tcBorders>
            <w:vAlign w:val="center"/>
          </w:tcPr>
          <w:p w14:paraId="51FB1210">
            <w:pPr>
              <w:snapToGrid w:val="0"/>
              <w:spacing w:before="50" w:after="50"/>
              <w:jc w:val="center"/>
              <w:rPr>
                <w:rFonts w:ascii="宋体" w:hAnsi="宋体" w:cs="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vAlign w:val="center"/>
          </w:tcPr>
          <w:p w14:paraId="6B82EED6">
            <w:pPr>
              <w:snapToGrid w:val="0"/>
              <w:spacing w:before="50" w:after="50"/>
              <w:jc w:val="center"/>
              <w:rPr>
                <w:rFonts w:ascii="宋体" w:hAnsi="宋体" w:cs="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15F99D1E">
            <w:pPr>
              <w:snapToGrid w:val="0"/>
              <w:spacing w:before="50" w:after="50"/>
              <w:jc w:val="center"/>
              <w:rPr>
                <w:rFonts w:ascii="宋体" w:hAnsi="宋体" w:cs="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tcPr>
          <w:p w14:paraId="0F675897">
            <w:pPr>
              <w:snapToGrid w:val="0"/>
              <w:spacing w:before="50" w:after="50"/>
              <w:jc w:val="center"/>
              <w:rPr>
                <w:rFonts w:ascii="宋体" w:hAnsi="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44559BC2">
            <w:pPr>
              <w:snapToGrid w:val="0"/>
              <w:spacing w:before="50" w:after="50"/>
              <w:jc w:val="center"/>
              <w:rPr>
                <w:rFonts w:ascii="宋体" w:hAnsi="宋体" w:cs="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069B95F2">
            <w:pPr>
              <w:snapToGrid w:val="0"/>
              <w:spacing w:before="50" w:after="50"/>
              <w:jc w:val="center"/>
              <w:rPr>
                <w:rFonts w:ascii="宋体" w:hAnsi="宋体" w:cs="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14:paraId="10F76221">
            <w:pPr>
              <w:snapToGrid w:val="0"/>
              <w:spacing w:before="50" w:after="50"/>
              <w:jc w:val="center"/>
              <w:rPr>
                <w:rFonts w:ascii="宋体" w:hAnsi="宋体" w:cs="宋体"/>
                <w:color w:val="auto"/>
                <w:sz w:val="24"/>
                <w:highlight w:val="none"/>
              </w:rPr>
            </w:pPr>
          </w:p>
        </w:tc>
      </w:tr>
      <w:tr w14:paraId="6DC3CC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75742726">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w:t>
            </w:r>
          </w:p>
        </w:tc>
        <w:tc>
          <w:tcPr>
            <w:tcW w:w="696" w:type="pct"/>
            <w:tcBorders>
              <w:top w:val="single" w:color="auto" w:sz="4" w:space="0"/>
              <w:left w:val="single" w:color="auto" w:sz="4" w:space="0"/>
              <w:bottom w:val="single" w:color="auto" w:sz="4" w:space="0"/>
              <w:right w:val="single" w:color="auto" w:sz="4" w:space="0"/>
            </w:tcBorders>
            <w:vAlign w:val="center"/>
          </w:tcPr>
          <w:p w14:paraId="646AF19D">
            <w:pPr>
              <w:snapToGrid w:val="0"/>
              <w:spacing w:before="50" w:after="50"/>
              <w:jc w:val="center"/>
              <w:rPr>
                <w:rFonts w:ascii="宋体" w:hAnsi="宋体" w:cs="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vAlign w:val="center"/>
          </w:tcPr>
          <w:p w14:paraId="18FCCBB4">
            <w:pPr>
              <w:snapToGrid w:val="0"/>
              <w:spacing w:before="50" w:after="50"/>
              <w:jc w:val="center"/>
              <w:rPr>
                <w:rFonts w:ascii="宋体" w:hAnsi="宋体" w:cs="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02F3F818">
            <w:pPr>
              <w:snapToGrid w:val="0"/>
              <w:spacing w:before="50" w:after="50"/>
              <w:jc w:val="center"/>
              <w:rPr>
                <w:rFonts w:ascii="宋体" w:hAnsi="宋体" w:cs="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tcPr>
          <w:p w14:paraId="6C4DD54B">
            <w:pPr>
              <w:snapToGrid w:val="0"/>
              <w:spacing w:before="50" w:after="50"/>
              <w:jc w:val="center"/>
              <w:rPr>
                <w:rFonts w:ascii="宋体" w:hAnsi="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2F50ABC7">
            <w:pPr>
              <w:snapToGrid w:val="0"/>
              <w:spacing w:before="50" w:after="50"/>
              <w:jc w:val="center"/>
              <w:rPr>
                <w:rFonts w:ascii="宋体" w:hAnsi="宋体" w:cs="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1EB3298E">
            <w:pPr>
              <w:snapToGrid w:val="0"/>
              <w:spacing w:before="50" w:after="50"/>
              <w:jc w:val="center"/>
              <w:rPr>
                <w:rFonts w:ascii="宋体" w:hAnsi="宋体" w:cs="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14:paraId="36C089AF">
            <w:pPr>
              <w:snapToGrid w:val="0"/>
              <w:spacing w:before="50" w:after="50"/>
              <w:jc w:val="center"/>
              <w:rPr>
                <w:rFonts w:ascii="宋体" w:hAnsi="宋体" w:cs="宋体"/>
                <w:color w:val="auto"/>
                <w:sz w:val="24"/>
                <w:highlight w:val="none"/>
              </w:rPr>
            </w:pPr>
          </w:p>
        </w:tc>
      </w:tr>
    </w:tbl>
    <w:p w14:paraId="694EB541">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备注：</w:t>
      </w:r>
    </w:p>
    <w:p w14:paraId="4AEBC629">
      <w:pPr>
        <w:spacing w:line="360" w:lineRule="auto"/>
        <w:ind w:firstLine="480" w:firstLineChars="200"/>
        <w:contextualSpacing/>
        <w:rPr>
          <w:rFonts w:ascii="宋体" w:hAnsi="宋体" w:cs="宋体"/>
          <w:b/>
          <w:color w:val="auto"/>
          <w:sz w:val="24"/>
          <w:highlight w:val="none"/>
        </w:rPr>
      </w:pPr>
      <w:r>
        <w:rPr>
          <w:rFonts w:hint="eastAsia" w:ascii="宋体" w:hAnsi="宋体" w:cs="宋体"/>
          <w:color w:val="auto"/>
          <w:sz w:val="24"/>
          <w:highlight w:val="none"/>
        </w:rPr>
        <w:t>以上设备性能配置清单中“货物名称、数量及单位、品牌、规格型号、制造商、原产地、参数性能、指标及配置”必须如实填写完整，品牌、规格型号没有则填无，货物名称、数量及单位、品牌必须与“开标一览表”一致</w:t>
      </w:r>
      <w:r>
        <w:rPr>
          <w:rFonts w:hint="eastAsia" w:ascii="宋体" w:hAnsi="宋体" w:cs="宋体"/>
          <w:b/>
          <w:color w:val="auto"/>
          <w:sz w:val="24"/>
          <w:highlight w:val="none"/>
        </w:rPr>
        <w:t>。</w:t>
      </w:r>
    </w:p>
    <w:p w14:paraId="34467B20">
      <w:pPr>
        <w:spacing w:line="360" w:lineRule="auto"/>
        <w:ind w:firstLine="480" w:firstLineChars="200"/>
        <w:contextualSpacing/>
        <w:rPr>
          <w:rFonts w:ascii="宋体" w:hAnsi="宋体" w:cs="宋体"/>
          <w:color w:val="auto"/>
          <w:sz w:val="24"/>
          <w:highlight w:val="none"/>
        </w:rPr>
      </w:pPr>
    </w:p>
    <w:p w14:paraId="33DA8F35">
      <w:pPr>
        <w:spacing w:line="360" w:lineRule="auto"/>
        <w:contextualSpacing/>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w:t>
      </w:r>
      <w:r>
        <w:rPr>
          <w:rFonts w:hint="eastAsia" w:ascii="宋体" w:hAnsi="宋体" w:cs="宋体"/>
          <w:color w:val="auto"/>
          <w:spacing w:val="20"/>
          <w:sz w:val="24"/>
          <w:highlight w:val="none"/>
          <w:u w:val="single"/>
        </w:rPr>
        <w:t xml:space="preserve">        </w:t>
      </w:r>
    </w:p>
    <w:p w14:paraId="79025FA6">
      <w:pPr>
        <w:spacing w:line="360" w:lineRule="auto"/>
        <w:contextualSpacing/>
        <w:rPr>
          <w:rFonts w:ascii="宋体" w:hAnsi="宋体" w:cs="宋体"/>
          <w:color w:val="auto"/>
          <w:sz w:val="24"/>
          <w:szCs w:val="20"/>
          <w:highlight w:val="none"/>
        </w:rPr>
      </w:pPr>
      <w:r>
        <w:rPr>
          <w:rFonts w:hint="eastAsia" w:ascii="宋体" w:hAnsi="宋体" w:cs="宋体"/>
          <w:color w:val="auto"/>
          <w:sz w:val="24"/>
          <w:highlight w:val="none"/>
          <w:lang w:eastAsia="zh-CN"/>
        </w:rPr>
        <w:t>投标人名称(电子签章)：</w:t>
      </w:r>
      <w:r>
        <w:rPr>
          <w:rFonts w:hint="eastAsia" w:ascii="宋体" w:hAnsi="宋体" w:cs="宋体"/>
          <w:color w:val="auto"/>
          <w:spacing w:val="20"/>
          <w:sz w:val="24"/>
          <w:highlight w:val="none"/>
          <w:u w:val="single"/>
        </w:rPr>
        <w:t xml:space="preserve">          </w:t>
      </w:r>
      <w:r>
        <w:rPr>
          <w:rFonts w:hint="eastAsia" w:ascii="宋体" w:hAnsi="宋体" w:cs="宋体"/>
          <w:color w:val="auto"/>
          <w:sz w:val="24"/>
          <w:highlight w:val="none"/>
          <w:lang w:eastAsia="zh-CN"/>
        </w:rPr>
        <w:t xml:space="preserve">        </w:t>
      </w:r>
      <w:r>
        <w:rPr>
          <w:rFonts w:hint="eastAsia" w:ascii="宋体" w:hAnsi="宋体" w:cs="宋体"/>
          <w:color w:val="auto"/>
          <w:spacing w:val="20"/>
          <w:sz w:val="24"/>
          <w:highlight w:val="none"/>
        </w:rPr>
        <w:t xml:space="preserve">            日  期：</w:t>
      </w:r>
      <w:r>
        <w:rPr>
          <w:rFonts w:hint="eastAsia" w:ascii="宋体" w:hAnsi="宋体" w:cs="宋体"/>
          <w:color w:val="auto"/>
          <w:spacing w:val="20"/>
          <w:sz w:val="24"/>
          <w:highlight w:val="none"/>
          <w:u w:val="single"/>
        </w:rPr>
        <w:t xml:space="preserve">          </w:t>
      </w:r>
    </w:p>
    <w:p w14:paraId="77E06AA4">
      <w:pPr>
        <w:snapToGrid w:val="0"/>
        <w:spacing w:before="50" w:after="120" w:afterLines="50"/>
        <w:jc w:val="left"/>
        <w:rPr>
          <w:rFonts w:ascii="宋体" w:hAnsi="宋体" w:cs="宋体"/>
          <w:color w:val="auto"/>
          <w:sz w:val="24"/>
          <w:szCs w:val="20"/>
          <w:highlight w:val="none"/>
        </w:rPr>
      </w:pPr>
    </w:p>
    <w:p w14:paraId="39E1DE12">
      <w:pPr>
        <w:snapToGrid w:val="0"/>
        <w:spacing w:before="50" w:after="120" w:afterLines="50"/>
        <w:jc w:val="left"/>
        <w:rPr>
          <w:rFonts w:ascii="宋体" w:hAnsi="宋体" w:cs="宋体"/>
          <w:color w:val="auto"/>
          <w:sz w:val="24"/>
          <w:szCs w:val="20"/>
          <w:highlight w:val="none"/>
        </w:rPr>
      </w:pPr>
    </w:p>
    <w:p w14:paraId="3468E7E3">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4. 技术要求偏离表格式</w:t>
      </w:r>
    </w:p>
    <w:p w14:paraId="29302D24">
      <w:pPr>
        <w:snapToGrid w:val="0"/>
        <w:spacing w:before="120" w:beforeLines="50" w:after="50"/>
        <w:ind w:left="142"/>
        <w:jc w:val="left"/>
        <w:rPr>
          <w:rFonts w:ascii="宋体" w:hAnsi="宋体" w:cs="宋体"/>
          <w:b/>
          <w:color w:val="auto"/>
          <w:sz w:val="24"/>
          <w:highlight w:val="none"/>
        </w:rPr>
      </w:pPr>
    </w:p>
    <w:p w14:paraId="135A1D33">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技术要求偏离表</w:t>
      </w:r>
    </w:p>
    <w:p w14:paraId="1DFF50E7">
      <w:pPr>
        <w:pStyle w:val="13"/>
        <w:rPr>
          <w:rFonts w:hAnsi="宋体" w:cs="宋体"/>
          <w:color w:val="auto"/>
          <w:sz w:val="24"/>
          <w:highlight w:val="none"/>
          <w:u w:val="single"/>
        </w:rPr>
      </w:pPr>
      <w:r>
        <w:rPr>
          <w:rFonts w:hint="eastAsia" w:hAnsi="宋体" w:cs="宋体"/>
          <w:color w:val="auto"/>
          <w:sz w:val="24"/>
          <w:highlight w:val="none"/>
        </w:rPr>
        <w:t>项目名称：</w:t>
      </w:r>
      <w:r>
        <w:rPr>
          <w:rFonts w:hint="eastAsia" w:hAnsi="宋体" w:cs="宋体"/>
          <w:color w:val="auto"/>
          <w:sz w:val="24"/>
          <w:highlight w:val="none"/>
          <w:u w:val="single"/>
        </w:rPr>
        <w:t xml:space="preserve">         </w:t>
      </w:r>
      <w:r>
        <w:rPr>
          <w:rFonts w:hint="eastAsia" w:hAnsi="宋体" w:cs="宋体"/>
          <w:color w:val="auto"/>
          <w:sz w:val="24"/>
          <w:highlight w:val="none"/>
        </w:rPr>
        <w:t xml:space="preserve">         项目编号：</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r>
        <w:rPr>
          <w:rFonts w:hint="eastAsia" w:ascii="宋体" w:hAnsi="宋体" w:cs="宋体"/>
          <w:bCs/>
          <w:color w:val="auto"/>
          <w:sz w:val="24"/>
          <w:highlight w:val="none"/>
          <w:lang w:eastAsia="zh-CN"/>
        </w:rPr>
        <w:t>分标</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标项名称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50813562">
      <w:pPr>
        <w:rPr>
          <w:rFonts w:ascii="宋体" w:hAnsi="宋体" w:cs="宋体"/>
          <w:color w:val="auto"/>
          <w:highlight w:val="none"/>
        </w:rPr>
      </w:pPr>
    </w:p>
    <w:tbl>
      <w:tblPr>
        <w:tblStyle w:val="22"/>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734"/>
        <w:gridCol w:w="2243"/>
        <w:gridCol w:w="2387"/>
        <w:gridCol w:w="1728"/>
      </w:tblGrid>
      <w:tr w14:paraId="72FDF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4DD43F09">
            <w:pPr>
              <w:pStyle w:val="13"/>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项号</w:t>
            </w:r>
          </w:p>
        </w:tc>
        <w:tc>
          <w:tcPr>
            <w:tcW w:w="1734" w:type="dxa"/>
            <w:vAlign w:val="center"/>
          </w:tcPr>
          <w:p w14:paraId="75EA75FD">
            <w:pPr>
              <w:pStyle w:val="13"/>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标的的名称</w:t>
            </w:r>
          </w:p>
        </w:tc>
        <w:tc>
          <w:tcPr>
            <w:tcW w:w="2243" w:type="dxa"/>
            <w:vAlign w:val="center"/>
          </w:tcPr>
          <w:p w14:paraId="1D670E1E">
            <w:pPr>
              <w:pStyle w:val="13"/>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技术参数及性能（配置）要求</w:t>
            </w:r>
          </w:p>
        </w:tc>
        <w:tc>
          <w:tcPr>
            <w:tcW w:w="2387" w:type="dxa"/>
            <w:vAlign w:val="center"/>
          </w:tcPr>
          <w:p w14:paraId="70C097B4">
            <w:pPr>
              <w:pStyle w:val="13"/>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投标响应的技术参数及性能（配置）要求</w:t>
            </w:r>
          </w:p>
        </w:tc>
        <w:tc>
          <w:tcPr>
            <w:tcW w:w="1728" w:type="dxa"/>
            <w:vAlign w:val="center"/>
          </w:tcPr>
          <w:p w14:paraId="2562C2A3">
            <w:pPr>
              <w:pStyle w:val="13"/>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偏离说明</w:t>
            </w:r>
          </w:p>
        </w:tc>
      </w:tr>
      <w:tr w14:paraId="131A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Merge w:val="restart"/>
            <w:vAlign w:val="center"/>
          </w:tcPr>
          <w:p w14:paraId="04B9FCA3">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1</w:t>
            </w:r>
          </w:p>
        </w:tc>
        <w:tc>
          <w:tcPr>
            <w:tcW w:w="1734" w:type="dxa"/>
            <w:vMerge w:val="restart"/>
            <w:vAlign w:val="center"/>
          </w:tcPr>
          <w:p w14:paraId="18EC56DB">
            <w:pPr>
              <w:pStyle w:val="13"/>
              <w:spacing w:line="600" w:lineRule="exact"/>
              <w:jc w:val="center"/>
              <w:rPr>
                <w:rFonts w:hAnsi="宋体" w:cs="宋体"/>
                <w:color w:val="auto"/>
                <w:kern w:val="2"/>
                <w:sz w:val="24"/>
                <w:szCs w:val="24"/>
                <w:highlight w:val="none"/>
              </w:rPr>
            </w:pPr>
          </w:p>
        </w:tc>
        <w:tc>
          <w:tcPr>
            <w:tcW w:w="2243" w:type="dxa"/>
            <w:vAlign w:val="center"/>
          </w:tcPr>
          <w:p w14:paraId="5CBBFF7F">
            <w:pPr>
              <w:pStyle w:val="13"/>
              <w:spacing w:line="600" w:lineRule="exact"/>
              <w:jc w:val="center"/>
              <w:rPr>
                <w:rFonts w:hAnsi="宋体" w:cs="宋体"/>
                <w:color w:val="auto"/>
                <w:kern w:val="2"/>
                <w:sz w:val="24"/>
                <w:szCs w:val="24"/>
                <w:highlight w:val="none"/>
              </w:rPr>
            </w:pPr>
          </w:p>
        </w:tc>
        <w:tc>
          <w:tcPr>
            <w:tcW w:w="2387" w:type="dxa"/>
            <w:vAlign w:val="center"/>
          </w:tcPr>
          <w:p w14:paraId="5CE1A2E1">
            <w:pPr>
              <w:pStyle w:val="13"/>
              <w:spacing w:line="600" w:lineRule="exact"/>
              <w:jc w:val="center"/>
              <w:rPr>
                <w:rFonts w:hAnsi="宋体" w:cs="宋体"/>
                <w:color w:val="auto"/>
                <w:kern w:val="2"/>
                <w:sz w:val="24"/>
                <w:szCs w:val="24"/>
                <w:highlight w:val="none"/>
              </w:rPr>
            </w:pPr>
          </w:p>
        </w:tc>
        <w:tc>
          <w:tcPr>
            <w:tcW w:w="1728" w:type="dxa"/>
            <w:vAlign w:val="center"/>
          </w:tcPr>
          <w:p w14:paraId="34880B3D">
            <w:pPr>
              <w:pStyle w:val="13"/>
              <w:spacing w:line="600" w:lineRule="exact"/>
              <w:jc w:val="center"/>
              <w:rPr>
                <w:rFonts w:hAnsi="宋体" w:cs="宋体"/>
                <w:color w:val="auto"/>
                <w:kern w:val="2"/>
                <w:sz w:val="24"/>
                <w:szCs w:val="24"/>
                <w:highlight w:val="none"/>
              </w:rPr>
            </w:pPr>
          </w:p>
        </w:tc>
      </w:tr>
      <w:tr w14:paraId="2DB3E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Merge w:val="continue"/>
            <w:vAlign w:val="center"/>
          </w:tcPr>
          <w:p w14:paraId="05986989">
            <w:pPr>
              <w:snapToGrid w:val="0"/>
              <w:spacing w:before="50" w:after="50"/>
              <w:jc w:val="center"/>
              <w:rPr>
                <w:rFonts w:hint="eastAsia" w:ascii="宋体" w:hAnsi="宋体" w:cs="宋体"/>
                <w:color w:val="auto"/>
                <w:sz w:val="24"/>
                <w:highlight w:val="none"/>
              </w:rPr>
            </w:pPr>
          </w:p>
        </w:tc>
        <w:tc>
          <w:tcPr>
            <w:tcW w:w="1734" w:type="dxa"/>
            <w:vMerge w:val="continue"/>
            <w:vAlign w:val="center"/>
          </w:tcPr>
          <w:p w14:paraId="243AE7AD">
            <w:pPr>
              <w:pStyle w:val="13"/>
              <w:spacing w:line="600" w:lineRule="exact"/>
              <w:jc w:val="center"/>
              <w:rPr>
                <w:rFonts w:hAnsi="宋体" w:cs="宋体"/>
                <w:color w:val="auto"/>
                <w:kern w:val="2"/>
                <w:sz w:val="24"/>
                <w:szCs w:val="24"/>
                <w:highlight w:val="none"/>
              </w:rPr>
            </w:pPr>
          </w:p>
        </w:tc>
        <w:tc>
          <w:tcPr>
            <w:tcW w:w="2243" w:type="dxa"/>
            <w:vAlign w:val="center"/>
          </w:tcPr>
          <w:p w14:paraId="552592B5">
            <w:pPr>
              <w:pStyle w:val="13"/>
              <w:spacing w:line="600" w:lineRule="exact"/>
              <w:jc w:val="center"/>
              <w:rPr>
                <w:rFonts w:hAnsi="宋体" w:cs="宋体"/>
                <w:color w:val="auto"/>
                <w:kern w:val="2"/>
                <w:sz w:val="24"/>
                <w:szCs w:val="24"/>
                <w:highlight w:val="none"/>
              </w:rPr>
            </w:pPr>
          </w:p>
        </w:tc>
        <w:tc>
          <w:tcPr>
            <w:tcW w:w="2387" w:type="dxa"/>
            <w:vAlign w:val="center"/>
          </w:tcPr>
          <w:p w14:paraId="0C575E65">
            <w:pPr>
              <w:pStyle w:val="13"/>
              <w:spacing w:line="600" w:lineRule="exact"/>
              <w:jc w:val="center"/>
              <w:rPr>
                <w:rFonts w:hAnsi="宋体" w:cs="宋体"/>
                <w:color w:val="auto"/>
                <w:kern w:val="2"/>
                <w:sz w:val="24"/>
                <w:szCs w:val="24"/>
                <w:highlight w:val="none"/>
              </w:rPr>
            </w:pPr>
          </w:p>
        </w:tc>
        <w:tc>
          <w:tcPr>
            <w:tcW w:w="1728" w:type="dxa"/>
            <w:vAlign w:val="center"/>
          </w:tcPr>
          <w:p w14:paraId="76EECF45">
            <w:pPr>
              <w:pStyle w:val="13"/>
              <w:spacing w:line="600" w:lineRule="exact"/>
              <w:jc w:val="center"/>
              <w:rPr>
                <w:rFonts w:hAnsi="宋体" w:cs="宋体"/>
                <w:color w:val="auto"/>
                <w:kern w:val="2"/>
                <w:sz w:val="24"/>
                <w:szCs w:val="24"/>
                <w:highlight w:val="none"/>
              </w:rPr>
            </w:pPr>
          </w:p>
        </w:tc>
      </w:tr>
      <w:tr w14:paraId="0961E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Merge w:val="continue"/>
            <w:vAlign w:val="center"/>
          </w:tcPr>
          <w:p w14:paraId="7898FE4E">
            <w:pPr>
              <w:snapToGrid w:val="0"/>
              <w:spacing w:before="50" w:after="50"/>
              <w:jc w:val="center"/>
              <w:rPr>
                <w:rFonts w:hint="eastAsia" w:ascii="宋体" w:hAnsi="宋体" w:cs="宋体"/>
                <w:color w:val="auto"/>
                <w:sz w:val="24"/>
                <w:highlight w:val="none"/>
              </w:rPr>
            </w:pPr>
          </w:p>
        </w:tc>
        <w:tc>
          <w:tcPr>
            <w:tcW w:w="1734" w:type="dxa"/>
            <w:vMerge w:val="continue"/>
            <w:vAlign w:val="center"/>
          </w:tcPr>
          <w:p w14:paraId="614210B9">
            <w:pPr>
              <w:pStyle w:val="13"/>
              <w:spacing w:line="600" w:lineRule="exact"/>
              <w:jc w:val="center"/>
              <w:rPr>
                <w:rFonts w:hAnsi="宋体" w:cs="宋体"/>
                <w:color w:val="auto"/>
                <w:kern w:val="2"/>
                <w:sz w:val="24"/>
                <w:szCs w:val="24"/>
                <w:highlight w:val="none"/>
              </w:rPr>
            </w:pPr>
          </w:p>
        </w:tc>
        <w:tc>
          <w:tcPr>
            <w:tcW w:w="2243" w:type="dxa"/>
            <w:vAlign w:val="center"/>
          </w:tcPr>
          <w:p w14:paraId="0DB0CFD6">
            <w:pPr>
              <w:pStyle w:val="13"/>
              <w:spacing w:line="600" w:lineRule="exact"/>
              <w:jc w:val="center"/>
              <w:rPr>
                <w:rFonts w:hAnsi="宋体" w:cs="宋体"/>
                <w:color w:val="auto"/>
                <w:kern w:val="2"/>
                <w:sz w:val="24"/>
                <w:szCs w:val="24"/>
                <w:highlight w:val="none"/>
              </w:rPr>
            </w:pPr>
          </w:p>
        </w:tc>
        <w:tc>
          <w:tcPr>
            <w:tcW w:w="2387" w:type="dxa"/>
            <w:vAlign w:val="center"/>
          </w:tcPr>
          <w:p w14:paraId="4D8DA15E">
            <w:pPr>
              <w:pStyle w:val="13"/>
              <w:spacing w:line="600" w:lineRule="exact"/>
              <w:jc w:val="center"/>
              <w:rPr>
                <w:rFonts w:hAnsi="宋体" w:cs="宋体"/>
                <w:color w:val="auto"/>
                <w:kern w:val="2"/>
                <w:sz w:val="24"/>
                <w:szCs w:val="24"/>
                <w:highlight w:val="none"/>
              </w:rPr>
            </w:pPr>
          </w:p>
        </w:tc>
        <w:tc>
          <w:tcPr>
            <w:tcW w:w="1728" w:type="dxa"/>
            <w:vAlign w:val="center"/>
          </w:tcPr>
          <w:p w14:paraId="020C18A8">
            <w:pPr>
              <w:pStyle w:val="13"/>
              <w:spacing w:line="600" w:lineRule="exact"/>
              <w:jc w:val="center"/>
              <w:rPr>
                <w:rFonts w:hAnsi="宋体" w:cs="宋体"/>
                <w:color w:val="auto"/>
                <w:kern w:val="2"/>
                <w:sz w:val="24"/>
                <w:szCs w:val="24"/>
                <w:highlight w:val="none"/>
              </w:rPr>
            </w:pPr>
          </w:p>
        </w:tc>
      </w:tr>
      <w:tr w14:paraId="1F37D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Merge w:val="continue"/>
            <w:vAlign w:val="center"/>
          </w:tcPr>
          <w:p w14:paraId="34A9151E">
            <w:pPr>
              <w:snapToGrid w:val="0"/>
              <w:spacing w:before="50" w:after="50"/>
              <w:jc w:val="center"/>
              <w:rPr>
                <w:rFonts w:hint="eastAsia" w:ascii="宋体" w:hAnsi="宋体" w:cs="宋体"/>
                <w:color w:val="auto"/>
                <w:sz w:val="24"/>
                <w:highlight w:val="none"/>
              </w:rPr>
            </w:pPr>
          </w:p>
        </w:tc>
        <w:tc>
          <w:tcPr>
            <w:tcW w:w="1734" w:type="dxa"/>
            <w:vMerge w:val="continue"/>
            <w:vAlign w:val="center"/>
          </w:tcPr>
          <w:p w14:paraId="64895DFC">
            <w:pPr>
              <w:pStyle w:val="13"/>
              <w:spacing w:line="600" w:lineRule="exact"/>
              <w:jc w:val="center"/>
              <w:rPr>
                <w:rFonts w:hAnsi="宋体" w:cs="宋体"/>
                <w:color w:val="auto"/>
                <w:kern w:val="2"/>
                <w:sz w:val="24"/>
                <w:szCs w:val="24"/>
                <w:highlight w:val="none"/>
              </w:rPr>
            </w:pPr>
          </w:p>
        </w:tc>
        <w:tc>
          <w:tcPr>
            <w:tcW w:w="2243" w:type="dxa"/>
            <w:vAlign w:val="center"/>
          </w:tcPr>
          <w:p w14:paraId="5A03ED5F">
            <w:pPr>
              <w:pStyle w:val="13"/>
              <w:spacing w:line="600" w:lineRule="exact"/>
              <w:jc w:val="center"/>
              <w:rPr>
                <w:rFonts w:hAnsi="宋体" w:cs="宋体"/>
                <w:color w:val="auto"/>
                <w:kern w:val="2"/>
                <w:sz w:val="24"/>
                <w:szCs w:val="24"/>
                <w:highlight w:val="none"/>
              </w:rPr>
            </w:pPr>
          </w:p>
        </w:tc>
        <w:tc>
          <w:tcPr>
            <w:tcW w:w="2387" w:type="dxa"/>
            <w:vAlign w:val="center"/>
          </w:tcPr>
          <w:p w14:paraId="3AF0D4A6">
            <w:pPr>
              <w:pStyle w:val="13"/>
              <w:spacing w:line="600" w:lineRule="exact"/>
              <w:jc w:val="center"/>
              <w:rPr>
                <w:rFonts w:hAnsi="宋体" w:cs="宋体"/>
                <w:color w:val="auto"/>
                <w:kern w:val="2"/>
                <w:sz w:val="24"/>
                <w:szCs w:val="24"/>
                <w:highlight w:val="none"/>
              </w:rPr>
            </w:pPr>
          </w:p>
        </w:tc>
        <w:tc>
          <w:tcPr>
            <w:tcW w:w="1728" w:type="dxa"/>
            <w:vAlign w:val="center"/>
          </w:tcPr>
          <w:p w14:paraId="025E592B">
            <w:pPr>
              <w:pStyle w:val="13"/>
              <w:spacing w:line="600" w:lineRule="exact"/>
              <w:jc w:val="center"/>
              <w:rPr>
                <w:rFonts w:hAnsi="宋体" w:cs="宋体"/>
                <w:color w:val="auto"/>
                <w:kern w:val="2"/>
                <w:sz w:val="24"/>
                <w:szCs w:val="24"/>
                <w:highlight w:val="none"/>
              </w:rPr>
            </w:pPr>
          </w:p>
        </w:tc>
      </w:tr>
      <w:tr w14:paraId="2898B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Merge w:val="continue"/>
            <w:vAlign w:val="center"/>
          </w:tcPr>
          <w:p w14:paraId="02DF8C42">
            <w:pPr>
              <w:snapToGrid w:val="0"/>
              <w:spacing w:before="50" w:after="50"/>
              <w:jc w:val="center"/>
              <w:rPr>
                <w:rFonts w:hint="eastAsia" w:ascii="宋体" w:hAnsi="宋体" w:cs="宋体"/>
                <w:color w:val="auto"/>
                <w:sz w:val="24"/>
                <w:highlight w:val="none"/>
              </w:rPr>
            </w:pPr>
          </w:p>
        </w:tc>
        <w:tc>
          <w:tcPr>
            <w:tcW w:w="1734" w:type="dxa"/>
            <w:vMerge w:val="continue"/>
            <w:vAlign w:val="center"/>
          </w:tcPr>
          <w:p w14:paraId="48E1AC28">
            <w:pPr>
              <w:pStyle w:val="13"/>
              <w:spacing w:line="600" w:lineRule="exact"/>
              <w:jc w:val="center"/>
              <w:rPr>
                <w:rFonts w:hAnsi="宋体" w:cs="宋体"/>
                <w:color w:val="auto"/>
                <w:kern w:val="2"/>
                <w:sz w:val="24"/>
                <w:szCs w:val="24"/>
                <w:highlight w:val="none"/>
              </w:rPr>
            </w:pPr>
          </w:p>
        </w:tc>
        <w:tc>
          <w:tcPr>
            <w:tcW w:w="2243" w:type="dxa"/>
            <w:vAlign w:val="center"/>
          </w:tcPr>
          <w:p w14:paraId="49EA916E">
            <w:pPr>
              <w:pStyle w:val="13"/>
              <w:spacing w:line="600" w:lineRule="exact"/>
              <w:jc w:val="center"/>
              <w:rPr>
                <w:rFonts w:hAnsi="宋体" w:cs="宋体"/>
                <w:color w:val="auto"/>
                <w:kern w:val="2"/>
                <w:sz w:val="24"/>
                <w:szCs w:val="24"/>
                <w:highlight w:val="none"/>
              </w:rPr>
            </w:pPr>
          </w:p>
        </w:tc>
        <w:tc>
          <w:tcPr>
            <w:tcW w:w="2387" w:type="dxa"/>
            <w:vAlign w:val="center"/>
          </w:tcPr>
          <w:p w14:paraId="7FB4A929">
            <w:pPr>
              <w:pStyle w:val="13"/>
              <w:spacing w:line="600" w:lineRule="exact"/>
              <w:jc w:val="center"/>
              <w:rPr>
                <w:rFonts w:hAnsi="宋体" w:cs="宋体"/>
                <w:color w:val="auto"/>
                <w:kern w:val="2"/>
                <w:sz w:val="24"/>
                <w:szCs w:val="24"/>
                <w:highlight w:val="none"/>
              </w:rPr>
            </w:pPr>
          </w:p>
        </w:tc>
        <w:tc>
          <w:tcPr>
            <w:tcW w:w="1728" w:type="dxa"/>
            <w:vAlign w:val="center"/>
          </w:tcPr>
          <w:p w14:paraId="1F67DE86">
            <w:pPr>
              <w:pStyle w:val="13"/>
              <w:spacing w:line="600" w:lineRule="exact"/>
              <w:jc w:val="center"/>
              <w:rPr>
                <w:rFonts w:hAnsi="宋体" w:cs="宋体"/>
                <w:color w:val="auto"/>
                <w:kern w:val="2"/>
                <w:sz w:val="24"/>
                <w:szCs w:val="24"/>
                <w:highlight w:val="none"/>
              </w:rPr>
            </w:pPr>
          </w:p>
        </w:tc>
      </w:tr>
      <w:tr w14:paraId="1BDF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Merge w:val="continue"/>
            <w:vAlign w:val="center"/>
          </w:tcPr>
          <w:p w14:paraId="6796338B">
            <w:pPr>
              <w:snapToGrid w:val="0"/>
              <w:spacing w:before="50" w:after="50"/>
              <w:jc w:val="center"/>
              <w:rPr>
                <w:rFonts w:ascii="宋体" w:hAnsi="宋体" w:cs="宋体"/>
                <w:color w:val="auto"/>
                <w:sz w:val="24"/>
                <w:highlight w:val="none"/>
              </w:rPr>
            </w:pPr>
          </w:p>
        </w:tc>
        <w:tc>
          <w:tcPr>
            <w:tcW w:w="1734" w:type="dxa"/>
            <w:vMerge w:val="continue"/>
          </w:tcPr>
          <w:p w14:paraId="27A992F2">
            <w:pPr>
              <w:pStyle w:val="13"/>
              <w:spacing w:line="600" w:lineRule="exact"/>
              <w:rPr>
                <w:rFonts w:hAnsi="宋体" w:cs="宋体"/>
                <w:color w:val="auto"/>
                <w:kern w:val="2"/>
                <w:sz w:val="24"/>
                <w:szCs w:val="24"/>
                <w:highlight w:val="none"/>
              </w:rPr>
            </w:pPr>
          </w:p>
        </w:tc>
        <w:tc>
          <w:tcPr>
            <w:tcW w:w="2243" w:type="dxa"/>
          </w:tcPr>
          <w:p w14:paraId="190C2AEE">
            <w:pPr>
              <w:pStyle w:val="13"/>
              <w:spacing w:line="600" w:lineRule="exact"/>
              <w:rPr>
                <w:rFonts w:hAnsi="宋体" w:cs="宋体"/>
                <w:color w:val="auto"/>
                <w:kern w:val="2"/>
                <w:sz w:val="24"/>
                <w:szCs w:val="24"/>
                <w:highlight w:val="none"/>
              </w:rPr>
            </w:pPr>
          </w:p>
        </w:tc>
        <w:tc>
          <w:tcPr>
            <w:tcW w:w="2387" w:type="dxa"/>
          </w:tcPr>
          <w:p w14:paraId="7A91E37D">
            <w:pPr>
              <w:pStyle w:val="13"/>
              <w:spacing w:line="600" w:lineRule="exact"/>
              <w:rPr>
                <w:rFonts w:hAnsi="宋体" w:cs="宋体"/>
                <w:color w:val="auto"/>
                <w:kern w:val="2"/>
                <w:sz w:val="24"/>
                <w:szCs w:val="24"/>
                <w:highlight w:val="none"/>
              </w:rPr>
            </w:pPr>
          </w:p>
        </w:tc>
        <w:tc>
          <w:tcPr>
            <w:tcW w:w="1728" w:type="dxa"/>
          </w:tcPr>
          <w:p w14:paraId="3E3AAC32">
            <w:pPr>
              <w:pStyle w:val="13"/>
              <w:spacing w:line="600" w:lineRule="exact"/>
              <w:rPr>
                <w:rFonts w:hAnsi="宋体" w:cs="宋体"/>
                <w:color w:val="auto"/>
                <w:kern w:val="2"/>
                <w:sz w:val="24"/>
                <w:szCs w:val="24"/>
                <w:highlight w:val="none"/>
              </w:rPr>
            </w:pPr>
          </w:p>
        </w:tc>
      </w:tr>
      <w:tr w14:paraId="3B2E9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Merge w:val="continue"/>
            <w:vAlign w:val="center"/>
          </w:tcPr>
          <w:p w14:paraId="3B6FEAF8">
            <w:pPr>
              <w:snapToGrid w:val="0"/>
              <w:spacing w:before="50" w:after="50"/>
              <w:jc w:val="center"/>
              <w:rPr>
                <w:rFonts w:ascii="宋体" w:hAnsi="宋体" w:cs="宋体"/>
                <w:color w:val="auto"/>
                <w:sz w:val="24"/>
                <w:highlight w:val="none"/>
              </w:rPr>
            </w:pPr>
          </w:p>
        </w:tc>
        <w:tc>
          <w:tcPr>
            <w:tcW w:w="1734" w:type="dxa"/>
            <w:vMerge w:val="continue"/>
          </w:tcPr>
          <w:p w14:paraId="5E5F4FFB">
            <w:pPr>
              <w:pStyle w:val="13"/>
              <w:spacing w:line="600" w:lineRule="exact"/>
              <w:rPr>
                <w:rFonts w:hAnsi="宋体" w:cs="宋体"/>
                <w:color w:val="auto"/>
                <w:kern w:val="2"/>
                <w:sz w:val="24"/>
                <w:szCs w:val="24"/>
                <w:highlight w:val="none"/>
              </w:rPr>
            </w:pPr>
          </w:p>
        </w:tc>
        <w:tc>
          <w:tcPr>
            <w:tcW w:w="2243" w:type="dxa"/>
          </w:tcPr>
          <w:p w14:paraId="3EB41002">
            <w:pPr>
              <w:pStyle w:val="13"/>
              <w:spacing w:line="600" w:lineRule="exact"/>
              <w:rPr>
                <w:rFonts w:hAnsi="宋体" w:cs="宋体"/>
                <w:color w:val="auto"/>
                <w:kern w:val="2"/>
                <w:sz w:val="24"/>
                <w:szCs w:val="24"/>
                <w:highlight w:val="none"/>
              </w:rPr>
            </w:pPr>
          </w:p>
        </w:tc>
        <w:tc>
          <w:tcPr>
            <w:tcW w:w="2387" w:type="dxa"/>
          </w:tcPr>
          <w:p w14:paraId="37F8376E">
            <w:pPr>
              <w:pStyle w:val="13"/>
              <w:spacing w:line="600" w:lineRule="exact"/>
              <w:rPr>
                <w:rFonts w:hAnsi="宋体" w:cs="宋体"/>
                <w:color w:val="auto"/>
                <w:kern w:val="2"/>
                <w:sz w:val="24"/>
                <w:szCs w:val="24"/>
                <w:highlight w:val="none"/>
              </w:rPr>
            </w:pPr>
          </w:p>
        </w:tc>
        <w:tc>
          <w:tcPr>
            <w:tcW w:w="1728" w:type="dxa"/>
          </w:tcPr>
          <w:p w14:paraId="42D96C91">
            <w:pPr>
              <w:pStyle w:val="13"/>
              <w:spacing w:line="600" w:lineRule="exact"/>
              <w:rPr>
                <w:rFonts w:hAnsi="宋体" w:cs="宋体"/>
                <w:color w:val="auto"/>
                <w:kern w:val="2"/>
                <w:sz w:val="24"/>
                <w:szCs w:val="24"/>
                <w:highlight w:val="none"/>
              </w:rPr>
            </w:pPr>
          </w:p>
        </w:tc>
      </w:tr>
      <w:tr w14:paraId="2A311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Merge w:val="continue"/>
            <w:vAlign w:val="center"/>
          </w:tcPr>
          <w:p w14:paraId="4701F612">
            <w:pPr>
              <w:snapToGrid w:val="0"/>
              <w:spacing w:before="50" w:after="50"/>
              <w:jc w:val="center"/>
              <w:rPr>
                <w:rFonts w:ascii="宋体" w:hAnsi="宋体" w:cs="宋体"/>
                <w:color w:val="auto"/>
                <w:sz w:val="24"/>
                <w:highlight w:val="none"/>
              </w:rPr>
            </w:pPr>
          </w:p>
        </w:tc>
        <w:tc>
          <w:tcPr>
            <w:tcW w:w="1734" w:type="dxa"/>
            <w:vMerge w:val="continue"/>
          </w:tcPr>
          <w:p w14:paraId="7AA18DBA">
            <w:pPr>
              <w:pStyle w:val="13"/>
              <w:spacing w:line="600" w:lineRule="exact"/>
              <w:rPr>
                <w:rFonts w:hAnsi="宋体" w:cs="宋体"/>
                <w:color w:val="auto"/>
                <w:kern w:val="2"/>
                <w:sz w:val="24"/>
                <w:szCs w:val="24"/>
                <w:highlight w:val="none"/>
              </w:rPr>
            </w:pPr>
          </w:p>
        </w:tc>
        <w:tc>
          <w:tcPr>
            <w:tcW w:w="2243" w:type="dxa"/>
          </w:tcPr>
          <w:p w14:paraId="159F3868">
            <w:pPr>
              <w:pStyle w:val="13"/>
              <w:spacing w:line="600" w:lineRule="exact"/>
              <w:rPr>
                <w:rFonts w:hAnsi="宋体" w:cs="宋体"/>
                <w:color w:val="auto"/>
                <w:kern w:val="2"/>
                <w:sz w:val="24"/>
                <w:szCs w:val="24"/>
                <w:highlight w:val="none"/>
              </w:rPr>
            </w:pPr>
          </w:p>
        </w:tc>
        <w:tc>
          <w:tcPr>
            <w:tcW w:w="2387" w:type="dxa"/>
          </w:tcPr>
          <w:p w14:paraId="488EEA1A">
            <w:pPr>
              <w:pStyle w:val="13"/>
              <w:spacing w:line="600" w:lineRule="exact"/>
              <w:rPr>
                <w:rFonts w:hAnsi="宋体" w:cs="宋体"/>
                <w:color w:val="auto"/>
                <w:kern w:val="2"/>
                <w:sz w:val="24"/>
                <w:szCs w:val="24"/>
                <w:highlight w:val="none"/>
              </w:rPr>
            </w:pPr>
          </w:p>
        </w:tc>
        <w:tc>
          <w:tcPr>
            <w:tcW w:w="1728" w:type="dxa"/>
          </w:tcPr>
          <w:p w14:paraId="1078FA4D">
            <w:pPr>
              <w:pStyle w:val="13"/>
              <w:spacing w:line="600" w:lineRule="exact"/>
              <w:rPr>
                <w:rFonts w:hAnsi="宋体" w:cs="宋体"/>
                <w:color w:val="auto"/>
                <w:kern w:val="2"/>
                <w:sz w:val="24"/>
                <w:szCs w:val="24"/>
                <w:highlight w:val="none"/>
              </w:rPr>
            </w:pPr>
          </w:p>
        </w:tc>
      </w:tr>
      <w:tr w14:paraId="74F5D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Merge w:val="continue"/>
          </w:tcPr>
          <w:p w14:paraId="3337121B">
            <w:pPr>
              <w:pStyle w:val="13"/>
              <w:spacing w:line="600" w:lineRule="exact"/>
              <w:rPr>
                <w:rFonts w:hAnsi="宋体" w:cs="宋体"/>
                <w:color w:val="auto"/>
                <w:kern w:val="2"/>
                <w:sz w:val="24"/>
                <w:szCs w:val="24"/>
                <w:highlight w:val="none"/>
              </w:rPr>
            </w:pPr>
          </w:p>
        </w:tc>
        <w:tc>
          <w:tcPr>
            <w:tcW w:w="1734" w:type="dxa"/>
            <w:vMerge w:val="continue"/>
          </w:tcPr>
          <w:p w14:paraId="71543DC9">
            <w:pPr>
              <w:pStyle w:val="13"/>
              <w:spacing w:line="600" w:lineRule="exact"/>
              <w:rPr>
                <w:rFonts w:hAnsi="宋体" w:cs="宋体"/>
                <w:color w:val="auto"/>
                <w:kern w:val="2"/>
                <w:sz w:val="24"/>
                <w:szCs w:val="24"/>
                <w:highlight w:val="none"/>
              </w:rPr>
            </w:pPr>
          </w:p>
        </w:tc>
        <w:tc>
          <w:tcPr>
            <w:tcW w:w="2243" w:type="dxa"/>
          </w:tcPr>
          <w:p w14:paraId="13B57640">
            <w:pPr>
              <w:pStyle w:val="13"/>
              <w:spacing w:line="600" w:lineRule="exact"/>
              <w:rPr>
                <w:rFonts w:hAnsi="宋体" w:cs="宋体"/>
                <w:color w:val="auto"/>
                <w:kern w:val="2"/>
                <w:sz w:val="24"/>
                <w:szCs w:val="24"/>
                <w:highlight w:val="none"/>
              </w:rPr>
            </w:pPr>
          </w:p>
        </w:tc>
        <w:tc>
          <w:tcPr>
            <w:tcW w:w="2387" w:type="dxa"/>
          </w:tcPr>
          <w:p w14:paraId="20184EC3">
            <w:pPr>
              <w:pStyle w:val="13"/>
              <w:spacing w:line="600" w:lineRule="exact"/>
              <w:rPr>
                <w:rFonts w:hAnsi="宋体" w:cs="宋体"/>
                <w:color w:val="auto"/>
                <w:kern w:val="2"/>
                <w:sz w:val="24"/>
                <w:szCs w:val="24"/>
                <w:highlight w:val="none"/>
              </w:rPr>
            </w:pPr>
          </w:p>
        </w:tc>
        <w:tc>
          <w:tcPr>
            <w:tcW w:w="1728" w:type="dxa"/>
          </w:tcPr>
          <w:p w14:paraId="20C51288">
            <w:pPr>
              <w:pStyle w:val="13"/>
              <w:spacing w:line="600" w:lineRule="exact"/>
              <w:rPr>
                <w:rFonts w:hAnsi="宋体" w:cs="宋体"/>
                <w:color w:val="auto"/>
                <w:kern w:val="2"/>
                <w:sz w:val="24"/>
                <w:szCs w:val="24"/>
                <w:highlight w:val="none"/>
              </w:rPr>
            </w:pPr>
          </w:p>
        </w:tc>
      </w:tr>
      <w:tr w14:paraId="5CBF8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Merge w:val="continue"/>
          </w:tcPr>
          <w:p w14:paraId="4D7A87CD">
            <w:pPr>
              <w:pStyle w:val="13"/>
              <w:spacing w:line="600" w:lineRule="exact"/>
              <w:rPr>
                <w:rFonts w:hAnsi="宋体" w:cs="宋体"/>
                <w:color w:val="auto"/>
                <w:kern w:val="2"/>
                <w:sz w:val="24"/>
                <w:szCs w:val="24"/>
                <w:highlight w:val="none"/>
              </w:rPr>
            </w:pPr>
          </w:p>
        </w:tc>
        <w:tc>
          <w:tcPr>
            <w:tcW w:w="1734" w:type="dxa"/>
            <w:vMerge w:val="continue"/>
          </w:tcPr>
          <w:p w14:paraId="4443E4A9">
            <w:pPr>
              <w:pStyle w:val="13"/>
              <w:spacing w:line="600" w:lineRule="exact"/>
              <w:rPr>
                <w:rFonts w:hAnsi="宋体" w:cs="宋体"/>
                <w:color w:val="auto"/>
                <w:kern w:val="2"/>
                <w:sz w:val="24"/>
                <w:szCs w:val="24"/>
                <w:highlight w:val="none"/>
              </w:rPr>
            </w:pPr>
          </w:p>
        </w:tc>
        <w:tc>
          <w:tcPr>
            <w:tcW w:w="2243" w:type="dxa"/>
          </w:tcPr>
          <w:p w14:paraId="75D29391">
            <w:pPr>
              <w:pStyle w:val="13"/>
              <w:spacing w:line="600" w:lineRule="exact"/>
              <w:rPr>
                <w:rFonts w:hAnsi="宋体" w:cs="宋体"/>
                <w:color w:val="auto"/>
                <w:kern w:val="2"/>
                <w:sz w:val="24"/>
                <w:szCs w:val="24"/>
                <w:highlight w:val="none"/>
              </w:rPr>
            </w:pPr>
          </w:p>
        </w:tc>
        <w:tc>
          <w:tcPr>
            <w:tcW w:w="2387" w:type="dxa"/>
          </w:tcPr>
          <w:p w14:paraId="0E1977C6">
            <w:pPr>
              <w:pStyle w:val="13"/>
              <w:spacing w:line="600" w:lineRule="exact"/>
              <w:rPr>
                <w:rFonts w:hAnsi="宋体" w:cs="宋体"/>
                <w:color w:val="auto"/>
                <w:kern w:val="2"/>
                <w:sz w:val="24"/>
                <w:szCs w:val="24"/>
                <w:highlight w:val="none"/>
              </w:rPr>
            </w:pPr>
          </w:p>
        </w:tc>
        <w:tc>
          <w:tcPr>
            <w:tcW w:w="1728" w:type="dxa"/>
          </w:tcPr>
          <w:p w14:paraId="7F538B8D">
            <w:pPr>
              <w:pStyle w:val="13"/>
              <w:spacing w:line="600" w:lineRule="exact"/>
              <w:rPr>
                <w:rFonts w:hAnsi="宋体" w:cs="宋体"/>
                <w:color w:val="auto"/>
                <w:kern w:val="2"/>
                <w:sz w:val="24"/>
                <w:szCs w:val="24"/>
                <w:highlight w:val="none"/>
              </w:rPr>
            </w:pPr>
          </w:p>
        </w:tc>
      </w:tr>
    </w:tbl>
    <w:p w14:paraId="1089EA83">
      <w:pPr>
        <w:pStyle w:val="8"/>
        <w:rPr>
          <w:rFonts w:ascii="宋体" w:hAnsi="宋体" w:cs="宋体"/>
          <w:color w:val="auto"/>
          <w:highlight w:val="none"/>
        </w:rPr>
      </w:pPr>
      <w:r>
        <w:rPr>
          <w:rFonts w:hint="eastAsia" w:ascii="宋体" w:hAnsi="宋体" w:cs="宋体"/>
          <w:color w:val="auto"/>
          <w:highlight w:val="none"/>
        </w:rPr>
        <w:t>注：</w:t>
      </w:r>
    </w:p>
    <w:p w14:paraId="61228935">
      <w:pPr>
        <w:pStyle w:val="11"/>
        <w:spacing w:line="360" w:lineRule="auto"/>
        <w:ind w:firstLine="0" w:firstLineChars="0"/>
        <w:rPr>
          <w:rFonts w:ascii="宋体" w:hAnsi="宋体" w:eastAsia="宋体" w:cs="宋体"/>
          <w:color w:val="auto"/>
          <w:szCs w:val="32"/>
          <w:highlight w:val="none"/>
        </w:rPr>
      </w:pPr>
      <w:r>
        <w:rPr>
          <w:rFonts w:hint="eastAsia" w:ascii="宋体" w:hAnsi="宋体" w:eastAsia="宋体" w:cs="宋体"/>
          <w:color w:val="auto"/>
          <w:sz w:val="24"/>
          <w:szCs w:val="24"/>
          <w:highlight w:val="none"/>
        </w:rPr>
        <w:t>1. 说明：应对照招标文件“第二章 采购需求”中的“</w:t>
      </w:r>
      <w:r>
        <w:rPr>
          <w:rFonts w:hint="eastAsia" w:ascii="宋体" w:hAnsi="宋体" w:eastAsia="宋体" w:cs="宋体"/>
          <w:color w:val="auto"/>
          <w:sz w:val="24"/>
          <w:szCs w:val="24"/>
          <w:highlight w:val="none"/>
          <w:lang w:val="en-US" w:eastAsia="zh-CN"/>
        </w:rPr>
        <w:t>服务内容</w:t>
      </w:r>
      <w:r>
        <w:rPr>
          <w:rFonts w:hint="eastAsia" w:ascii="宋体" w:hAnsi="宋体" w:eastAsia="宋体" w:cs="宋体"/>
          <w:color w:val="auto"/>
          <w:sz w:val="24"/>
          <w:szCs w:val="24"/>
          <w:highlight w:val="none"/>
        </w:rPr>
        <w:t>”逐条作明确的投标响应，并作出偏离说明。</w:t>
      </w:r>
    </w:p>
    <w:p w14:paraId="442038D1">
      <w:pPr>
        <w:pStyle w:val="8"/>
        <w:spacing w:line="360" w:lineRule="auto"/>
        <w:rPr>
          <w:rFonts w:ascii="宋体" w:hAnsi="宋体" w:cs="宋体"/>
          <w:b w:val="0"/>
          <w:bCs w:val="0"/>
          <w:color w:val="auto"/>
          <w:highlight w:val="none"/>
        </w:rPr>
      </w:pPr>
      <w:r>
        <w:rPr>
          <w:rFonts w:hint="eastAsia" w:ascii="宋体" w:hAnsi="宋体" w:cs="宋体"/>
          <w:b w:val="0"/>
          <w:bCs w:val="0"/>
          <w:color w:val="auto"/>
          <w:highlight w:val="none"/>
        </w:rPr>
        <w:t>2.投标人根据投标货物的性能指标，对照招标文件技术要求，在“偏离说明”中注明“</w:t>
      </w:r>
      <w:r>
        <w:rPr>
          <w:rFonts w:hint="eastAsia" w:ascii="宋体" w:hAnsi="宋体" w:cs="宋体"/>
          <w:color w:val="auto"/>
          <w:highlight w:val="none"/>
        </w:rPr>
        <w:t>正偏离</w:t>
      </w:r>
      <w:r>
        <w:rPr>
          <w:rFonts w:hint="eastAsia" w:ascii="宋体" w:hAnsi="宋体" w:cs="宋体"/>
          <w:b w:val="0"/>
          <w:bCs w:val="0"/>
          <w:color w:val="auto"/>
          <w:highlight w:val="none"/>
        </w:rPr>
        <w:t>”、“</w:t>
      </w:r>
      <w:r>
        <w:rPr>
          <w:rFonts w:hint="eastAsia" w:ascii="宋体" w:hAnsi="宋体" w:cs="宋体"/>
          <w:color w:val="auto"/>
          <w:highlight w:val="none"/>
        </w:rPr>
        <w:t>负偏离</w:t>
      </w:r>
      <w:r>
        <w:rPr>
          <w:rFonts w:hint="eastAsia" w:ascii="宋体" w:hAnsi="宋体" w:cs="宋体"/>
          <w:b w:val="0"/>
          <w:bCs w:val="0"/>
          <w:color w:val="auto"/>
          <w:highlight w:val="none"/>
        </w:rPr>
        <w:t>”或者“</w:t>
      </w:r>
      <w:r>
        <w:rPr>
          <w:rFonts w:hint="eastAsia" w:ascii="宋体" w:hAnsi="宋体" w:cs="宋体"/>
          <w:color w:val="auto"/>
          <w:highlight w:val="none"/>
        </w:rPr>
        <w:t>无偏离</w:t>
      </w:r>
      <w:r>
        <w:rPr>
          <w:rFonts w:hint="eastAsia" w:ascii="宋体" w:hAnsi="宋体" w:cs="宋体"/>
          <w:b w:val="0"/>
          <w:bCs w:val="0"/>
          <w:color w:val="auto"/>
          <w:highlight w:val="none"/>
        </w:rPr>
        <w:t>”。既不属于“</w:t>
      </w:r>
      <w:r>
        <w:rPr>
          <w:rFonts w:hint="eastAsia" w:ascii="宋体" w:hAnsi="宋体" w:cs="宋体"/>
          <w:color w:val="auto"/>
          <w:highlight w:val="none"/>
        </w:rPr>
        <w:t>正偏离</w:t>
      </w:r>
      <w:r>
        <w:rPr>
          <w:rFonts w:hint="eastAsia" w:ascii="宋体" w:hAnsi="宋体" w:cs="宋体"/>
          <w:b w:val="0"/>
          <w:bCs w:val="0"/>
          <w:color w:val="auto"/>
          <w:highlight w:val="none"/>
        </w:rPr>
        <w:t>”也不属于“</w:t>
      </w:r>
      <w:r>
        <w:rPr>
          <w:rFonts w:hint="eastAsia" w:ascii="宋体" w:hAnsi="宋体" w:cs="宋体"/>
          <w:color w:val="auto"/>
          <w:highlight w:val="none"/>
        </w:rPr>
        <w:t>负偏离</w:t>
      </w:r>
      <w:r>
        <w:rPr>
          <w:rFonts w:hint="eastAsia" w:ascii="宋体" w:hAnsi="宋体" w:cs="宋体"/>
          <w:b w:val="0"/>
          <w:bCs w:val="0"/>
          <w:color w:val="auto"/>
          <w:highlight w:val="none"/>
        </w:rPr>
        <w:t>”即为“</w:t>
      </w:r>
      <w:r>
        <w:rPr>
          <w:rFonts w:hint="eastAsia" w:ascii="宋体" w:hAnsi="宋体" w:cs="宋体"/>
          <w:color w:val="auto"/>
          <w:highlight w:val="none"/>
        </w:rPr>
        <w:t>无偏离</w:t>
      </w:r>
      <w:r>
        <w:rPr>
          <w:rFonts w:hint="eastAsia" w:ascii="宋体" w:hAnsi="宋体" w:cs="宋体"/>
          <w:b w:val="0"/>
          <w:bCs w:val="0"/>
          <w:color w:val="auto"/>
          <w:highlight w:val="none"/>
        </w:rPr>
        <w:t>”。</w:t>
      </w:r>
    </w:p>
    <w:p w14:paraId="7D34E9AA">
      <w:pPr>
        <w:pStyle w:val="11"/>
        <w:spacing w:line="360" w:lineRule="auto"/>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认为其投标响应有正偏离的，请在技术要求偏离表中列明，且在投标文件中提供投标产品的彩页或国家认可的有资质的第三方检测机构出具的检测报告复印件或产品生产厂家出具的技术参数说明证明作为佐证。</w:t>
      </w:r>
    </w:p>
    <w:p w14:paraId="63457BE5">
      <w:pPr>
        <w:pStyle w:val="11"/>
        <w:spacing w:line="360" w:lineRule="auto"/>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4.如技术要求偏离表中的投标响应与佐证材料不一致的，以佐证材料为准。</w:t>
      </w:r>
    </w:p>
    <w:p w14:paraId="5EFBA1B7">
      <w:pPr>
        <w:snapToGrid w:val="0"/>
        <w:spacing w:before="50" w:after="50" w:line="360" w:lineRule="auto"/>
        <w:rPr>
          <w:rFonts w:ascii="宋体" w:hAnsi="宋体" w:cs="宋体"/>
          <w:color w:val="auto"/>
          <w:sz w:val="24"/>
          <w:highlight w:val="none"/>
        </w:rPr>
      </w:pPr>
    </w:p>
    <w:p w14:paraId="633CFD1F">
      <w:pPr>
        <w:snapToGrid w:val="0"/>
        <w:spacing w:before="50" w:after="50" w:line="360" w:lineRule="auto"/>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w:t>
      </w:r>
      <w:r>
        <w:rPr>
          <w:rFonts w:hint="eastAsia" w:ascii="宋体" w:hAnsi="宋体" w:cs="宋体"/>
          <w:color w:val="auto"/>
          <w:spacing w:val="20"/>
          <w:sz w:val="24"/>
          <w:highlight w:val="none"/>
          <w:u w:val="single"/>
        </w:rPr>
        <w:t xml:space="preserve">        </w:t>
      </w:r>
    </w:p>
    <w:p w14:paraId="43C579D1">
      <w:pPr>
        <w:snapToGrid w:val="0"/>
        <w:spacing w:before="50" w:after="50" w:line="360" w:lineRule="auto"/>
        <w:rPr>
          <w:rFonts w:ascii="宋体" w:hAnsi="宋体" w:cs="宋体"/>
          <w:color w:val="auto"/>
          <w:spacing w:val="20"/>
          <w:sz w:val="24"/>
          <w:highlight w:val="none"/>
          <w:u w:val="single"/>
        </w:rPr>
      </w:pPr>
      <w:r>
        <w:rPr>
          <w:rFonts w:hint="eastAsia" w:ascii="宋体" w:hAnsi="宋体" w:cs="宋体"/>
          <w:color w:val="auto"/>
          <w:sz w:val="24"/>
          <w:highlight w:val="none"/>
          <w:lang w:val="zh-CN"/>
        </w:rPr>
        <w:t>投标人名称(电子签章)：</w:t>
      </w:r>
      <w:r>
        <w:rPr>
          <w:rFonts w:hint="eastAsia" w:ascii="宋体" w:hAnsi="宋体" w:cs="宋体"/>
          <w:color w:val="auto"/>
          <w:sz w:val="24"/>
          <w:highlight w:val="none"/>
          <w:u w:val="single"/>
        </w:rPr>
        <w:t xml:space="preserve">         </w:t>
      </w:r>
      <w:r>
        <w:rPr>
          <w:rFonts w:hint="eastAsia" w:ascii="宋体" w:hAnsi="宋体" w:cs="宋体"/>
          <w:color w:val="auto"/>
          <w:spacing w:val="20"/>
          <w:sz w:val="24"/>
          <w:highlight w:val="none"/>
        </w:rPr>
        <w:t xml:space="preserve">           日 期：</w:t>
      </w:r>
      <w:r>
        <w:rPr>
          <w:rFonts w:hint="eastAsia" w:ascii="宋体" w:hAnsi="宋体" w:cs="宋体"/>
          <w:color w:val="auto"/>
          <w:spacing w:val="20"/>
          <w:sz w:val="24"/>
          <w:highlight w:val="none"/>
          <w:u w:val="single"/>
        </w:rPr>
        <w:t xml:space="preserve">        </w:t>
      </w:r>
    </w:p>
    <w:p w14:paraId="39DE8AE6">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5. 项目实施人员一览表格式</w:t>
      </w:r>
    </w:p>
    <w:p w14:paraId="08BF12DA">
      <w:pPr>
        <w:snapToGrid w:val="0"/>
        <w:spacing w:before="120" w:beforeLines="50" w:after="50"/>
        <w:ind w:left="142"/>
        <w:jc w:val="left"/>
        <w:rPr>
          <w:rFonts w:ascii="宋体" w:hAnsi="宋体" w:cs="宋体"/>
          <w:b/>
          <w:color w:val="auto"/>
          <w:sz w:val="24"/>
          <w:highlight w:val="none"/>
        </w:rPr>
      </w:pPr>
    </w:p>
    <w:p w14:paraId="2C8BFB1C">
      <w:pPr>
        <w:snapToGrid w:val="0"/>
        <w:spacing w:line="360" w:lineRule="auto"/>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项目实施人员一览表</w:t>
      </w:r>
    </w:p>
    <w:p w14:paraId="6468EAD9">
      <w:pPr>
        <w:pStyle w:val="13"/>
        <w:rPr>
          <w:rFonts w:hAnsi="宋体" w:cs="宋体"/>
          <w:color w:val="auto"/>
          <w:sz w:val="24"/>
          <w:highlight w:val="none"/>
          <w:u w:val="single"/>
        </w:rPr>
      </w:pPr>
      <w:r>
        <w:rPr>
          <w:rFonts w:hint="eastAsia" w:hAnsi="宋体" w:cs="宋体"/>
          <w:color w:val="auto"/>
          <w:sz w:val="24"/>
          <w:highlight w:val="none"/>
        </w:rPr>
        <w:t>项目名称：</w:t>
      </w:r>
      <w:r>
        <w:rPr>
          <w:rFonts w:hint="eastAsia" w:hAnsi="宋体" w:cs="宋体"/>
          <w:color w:val="auto"/>
          <w:sz w:val="24"/>
          <w:highlight w:val="none"/>
          <w:u w:val="single"/>
        </w:rPr>
        <w:t xml:space="preserve">         </w:t>
      </w:r>
      <w:r>
        <w:rPr>
          <w:rFonts w:hint="eastAsia" w:hAnsi="宋体" w:cs="宋体"/>
          <w:color w:val="auto"/>
          <w:sz w:val="24"/>
          <w:highlight w:val="none"/>
        </w:rPr>
        <w:t xml:space="preserve">         项目编号：</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r>
        <w:rPr>
          <w:rFonts w:hint="eastAsia" w:ascii="宋体" w:hAnsi="宋体" w:cs="宋体"/>
          <w:bCs/>
          <w:color w:val="auto"/>
          <w:sz w:val="24"/>
          <w:highlight w:val="none"/>
          <w:lang w:eastAsia="zh-CN"/>
        </w:rPr>
        <w:t>分标</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标项名称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147CC9D7">
      <w:pPr>
        <w:rPr>
          <w:rFonts w:ascii="宋体" w:hAnsi="宋体" w:cs="宋体"/>
          <w:color w:val="auto"/>
          <w:highlight w:val="none"/>
        </w:rPr>
      </w:pPr>
    </w:p>
    <w:tbl>
      <w:tblPr>
        <w:tblStyle w:val="22"/>
        <w:tblW w:w="90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17"/>
        <w:gridCol w:w="709"/>
        <w:gridCol w:w="1701"/>
        <w:gridCol w:w="1420"/>
        <w:gridCol w:w="1698"/>
        <w:gridCol w:w="1843"/>
      </w:tblGrid>
      <w:tr w14:paraId="0C0D7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5CF937E">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序号</w:t>
            </w:r>
          </w:p>
        </w:tc>
        <w:tc>
          <w:tcPr>
            <w:tcW w:w="817" w:type="dxa"/>
            <w:vAlign w:val="center"/>
          </w:tcPr>
          <w:p w14:paraId="75A84DEE">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姓名</w:t>
            </w:r>
          </w:p>
        </w:tc>
        <w:tc>
          <w:tcPr>
            <w:tcW w:w="709" w:type="dxa"/>
            <w:vAlign w:val="center"/>
          </w:tcPr>
          <w:p w14:paraId="2FF2B878">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职务</w:t>
            </w:r>
          </w:p>
        </w:tc>
        <w:tc>
          <w:tcPr>
            <w:tcW w:w="1701" w:type="dxa"/>
            <w:vAlign w:val="center"/>
          </w:tcPr>
          <w:p w14:paraId="7434BD29">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专业技术资格（职称）或者职业资格或者执业资格证或者其他证书</w:t>
            </w:r>
          </w:p>
        </w:tc>
        <w:tc>
          <w:tcPr>
            <w:tcW w:w="1420" w:type="dxa"/>
            <w:vAlign w:val="center"/>
          </w:tcPr>
          <w:p w14:paraId="6CBB8ED7">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证书编号</w:t>
            </w:r>
          </w:p>
        </w:tc>
        <w:tc>
          <w:tcPr>
            <w:tcW w:w="1698" w:type="dxa"/>
            <w:vAlign w:val="center"/>
          </w:tcPr>
          <w:p w14:paraId="11AB6145">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参加本单位</w:t>
            </w:r>
          </w:p>
          <w:p w14:paraId="13115740">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工作时间</w:t>
            </w:r>
          </w:p>
        </w:tc>
        <w:tc>
          <w:tcPr>
            <w:tcW w:w="1843" w:type="dxa"/>
            <w:vAlign w:val="center"/>
          </w:tcPr>
          <w:p w14:paraId="0DAA25CA">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劳动合同编号</w:t>
            </w:r>
          </w:p>
        </w:tc>
      </w:tr>
      <w:tr w14:paraId="6B2C6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A7FDFD1">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1</w:t>
            </w:r>
          </w:p>
        </w:tc>
        <w:tc>
          <w:tcPr>
            <w:tcW w:w="817" w:type="dxa"/>
            <w:vAlign w:val="center"/>
          </w:tcPr>
          <w:p w14:paraId="0A01FE3A">
            <w:pPr>
              <w:snapToGrid w:val="0"/>
              <w:spacing w:before="50" w:after="120" w:afterLines="50"/>
              <w:jc w:val="center"/>
              <w:rPr>
                <w:rFonts w:ascii="宋体" w:hAnsi="宋体" w:cs="宋体"/>
                <w:color w:val="auto"/>
                <w:sz w:val="24"/>
                <w:szCs w:val="20"/>
                <w:highlight w:val="none"/>
              </w:rPr>
            </w:pPr>
          </w:p>
        </w:tc>
        <w:tc>
          <w:tcPr>
            <w:tcW w:w="709" w:type="dxa"/>
            <w:vAlign w:val="center"/>
          </w:tcPr>
          <w:p w14:paraId="6BBA69EE">
            <w:pPr>
              <w:snapToGrid w:val="0"/>
              <w:spacing w:before="50" w:after="120" w:afterLines="50"/>
              <w:jc w:val="center"/>
              <w:rPr>
                <w:rFonts w:ascii="宋体" w:hAnsi="宋体" w:cs="宋体"/>
                <w:color w:val="auto"/>
                <w:sz w:val="24"/>
                <w:szCs w:val="20"/>
                <w:highlight w:val="none"/>
              </w:rPr>
            </w:pPr>
          </w:p>
        </w:tc>
        <w:tc>
          <w:tcPr>
            <w:tcW w:w="1701" w:type="dxa"/>
            <w:vAlign w:val="center"/>
          </w:tcPr>
          <w:p w14:paraId="655E9FA6">
            <w:pPr>
              <w:snapToGrid w:val="0"/>
              <w:spacing w:before="50" w:after="120" w:afterLines="50"/>
              <w:jc w:val="center"/>
              <w:rPr>
                <w:rFonts w:ascii="宋体" w:hAnsi="宋体" w:cs="宋体"/>
                <w:color w:val="auto"/>
                <w:sz w:val="24"/>
                <w:szCs w:val="20"/>
                <w:highlight w:val="none"/>
              </w:rPr>
            </w:pPr>
          </w:p>
        </w:tc>
        <w:tc>
          <w:tcPr>
            <w:tcW w:w="1420" w:type="dxa"/>
            <w:vAlign w:val="center"/>
          </w:tcPr>
          <w:p w14:paraId="528133B5">
            <w:pPr>
              <w:snapToGrid w:val="0"/>
              <w:spacing w:before="50" w:after="120" w:afterLines="50"/>
              <w:jc w:val="center"/>
              <w:rPr>
                <w:rFonts w:ascii="宋体" w:hAnsi="宋体" w:cs="宋体"/>
                <w:color w:val="auto"/>
                <w:sz w:val="24"/>
                <w:szCs w:val="20"/>
                <w:highlight w:val="none"/>
              </w:rPr>
            </w:pPr>
          </w:p>
        </w:tc>
        <w:tc>
          <w:tcPr>
            <w:tcW w:w="1698" w:type="dxa"/>
            <w:vAlign w:val="center"/>
          </w:tcPr>
          <w:p w14:paraId="5081DB69">
            <w:pPr>
              <w:snapToGrid w:val="0"/>
              <w:spacing w:before="50" w:after="120" w:afterLines="50"/>
              <w:jc w:val="center"/>
              <w:rPr>
                <w:rFonts w:ascii="宋体" w:hAnsi="宋体" w:cs="宋体"/>
                <w:color w:val="auto"/>
                <w:sz w:val="24"/>
                <w:szCs w:val="20"/>
                <w:highlight w:val="none"/>
              </w:rPr>
            </w:pPr>
          </w:p>
        </w:tc>
        <w:tc>
          <w:tcPr>
            <w:tcW w:w="1843" w:type="dxa"/>
            <w:vAlign w:val="center"/>
          </w:tcPr>
          <w:p w14:paraId="1142A4B4">
            <w:pPr>
              <w:snapToGrid w:val="0"/>
              <w:spacing w:before="50" w:after="120" w:afterLines="50"/>
              <w:jc w:val="center"/>
              <w:rPr>
                <w:rFonts w:ascii="宋体" w:hAnsi="宋体" w:cs="宋体"/>
                <w:color w:val="auto"/>
                <w:sz w:val="24"/>
                <w:szCs w:val="20"/>
                <w:highlight w:val="none"/>
              </w:rPr>
            </w:pPr>
          </w:p>
        </w:tc>
      </w:tr>
      <w:tr w14:paraId="00F2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02A569A">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2</w:t>
            </w:r>
          </w:p>
        </w:tc>
        <w:tc>
          <w:tcPr>
            <w:tcW w:w="817" w:type="dxa"/>
            <w:vAlign w:val="center"/>
          </w:tcPr>
          <w:p w14:paraId="3FBCCD34">
            <w:pPr>
              <w:snapToGrid w:val="0"/>
              <w:spacing w:before="50" w:after="120" w:afterLines="50"/>
              <w:jc w:val="center"/>
              <w:rPr>
                <w:rFonts w:ascii="宋体" w:hAnsi="宋体" w:cs="宋体"/>
                <w:color w:val="auto"/>
                <w:sz w:val="24"/>
                <w:szCs w:val="20"/>
                <w:highlight w:val="none"/>
              </w:rPr>
            </w:pPr>
          </w:p>
        </w:tc>
        <w:tc>
          <w:tcPr>
            <w:tcW w:w="709" w:type="dxa"/>
            <w:vAlign w:val="center"/>
          </w:tcPr>
          <w:p w14:paraId="062D5F8F">
            <w:pPr>
              <w:snapToGrid w:val="0"/>
              <w:spacing w:before="50" w:after="120" w:afterLines="50"/>
              <w:jc w:val="center"/>
              <w:rPr>
                <w:rFonts w:ascii="宋体" w:hAnsi="宋体" w:cs="宋体"/>
                <w:color w:val="auto"/>
                <w:sz w:val="24"/>
                <w:szCs w:val="20"/>
                <w:highlight w:val="none"/>
              </w:rPr>
            </w:pPr>
          </w:p>
        </w:tc>
        <w:tc>
          <w:tcPr>
            <w:tcW w:w="1701" w:type="dxa"/>
            <w:vAlign w:val="center"/>
          </w:tcPr>
          <w:p w14:paraId="23F3622E">
            <w:pPr>
              <w:snapToGrid w:val="0"/>
              <w:spacing w:before="50" w:after="120" w:afterLines="50"/>
              <w:jc w:val="center"/>
              <w:rPr>
                <w:rFonts w:ascii="宋体" w:hAnsi="宋体" w:cs="宋体"/>
                <w:color w:val="auto"/>
                <w:sz w:val="24"/>
                <w:szCs w:val="20"/>
                <w:highlight w:val="none"/>
              </w:rPr>
            </w:pPr>
          </w:p>
        </w:tc>
        <w:tc>
          <w:tcPr>
            <w:tcW w:w="1420" w:type="dxa"/>
            <w:vAlign w:val="center"/>
          </w:tcPr>
          <w:p w14:paraId="6F258FC0">
            <w:pPr>
              <w:snapToGrid w:val="0"/>
              <w:spacing w:before="50" w:after="120" w:afterLines="50"/>
              <w:jc w:val="center"/>
              <w:rPr>
                <w:rFonts w:ascii="宋体" w:hAnsi="宋体" w:cs="宋体"/>
                <w:color w:val="auto"/>
                <w:sz w:val="24"/>
                <w:szCs w:val="20"/>
                <w:highlight w:val="none"/>
              </w:rPr>
            </w:pPr>
          </w:p>
        </w:tc>
        <w:tc>
          <w:tcPr>
            <w:tcW w:w="1698" w:type="dxa"/>
            <w:vAlign w:val="center"/>
          </w:tcPr>
          <w:p w14:paraId="7130C9B9">
            <w:pPr>
              <w:snapToGrid w:val="0"/>
              <w:spacing w:before="50" w:after="120" w:afterLines="50"/>
              <w:jc w:val="center"/>
              <w:rPr>
                <w:rFonts w:ascii="宋体" w:hAnsi="宋体" w:cs="宋体"/>
                <w:color w:val="auto"/>
                <w:sz w:val="24"/>
                <w:szCs w:val="20"/>
                <w:highlight w:val="none"/>
              </w:rPr>
            </w:pPr>
          </w:p>
        </w:tc>
        <w:tc>
          <w:tcPr>
            <w:tcW w:w="1843" w:type="dxa"/>
            <w:vAlign w:val="center"/>
          </w:tcPr>
          <w:p w14:paraId="0BB39955">
            <w:pPr>
              <w:snapToGrid w:val="0"/>
              <w:spacing w:before="50" w:after="120" w:afterLines="50"/>
              <w:jc w:val="center"/>
              <w:rPr>
                <w:rFonts w:ascii="宋体" w:hAnsi="宋体" w:cs="宋体"/>
                <w:color w:val="auto"/>
                <w:sz w:val="24"/>
                <w:szCs w:val="20"/>
                <w:highlight w:val="none"/>
              </w:rPr>
            </w:pPr>
          </w:p>
        </w:tc>
      </w:tr>
      <w:tr w14:paraId="20B64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55EB5D8">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3</w:t>
            </w:r>
          </w:p>
        </w:tc>
        <w:tc>
          <w:tcPr>
            <w:tcW w:w="817" w:type="dxa"/>
            <w:vAlign w:val="center"/>
          </w:tcPr>
          <w:p w14:paraId="779F599F">
            <w:pPr>
              <w:snapToGrid w:val="0"/>
              <w:spacing w:before="50" w:after="120" w:afterLines="50"/>
              <w:jc w:val="center"/>
              <w:rPr>
                <w:rFonts w:ascii="宋体" w:hAnsi="宋体" w:cs="宋体"/>
                <w:color w:val="auto"/>
                <w:sz w:val="24"/>
                <w:szCs w:val="20"/>
                <w:highlight w:val="none"/>
              </w:rPr>
            </w:pPr>
          </w:p>
        </w:tc>
        <w:tc>
          <w:tcPr>
            <w:tcW w:w="709" w:type="dxa"/>
            <w:vAlign w:val="center"/>
          </w:tcPr>
          <w:p w14:paraId="06017D20">
            <w:pPr>
              <w:snapToGrid w:val="0"/>
              <w:spacing w:before="50" w:after="120" w:afterLines="50"/>
              <w:jc w:val="center"/>
              <w:rPr>
                <w:rFonts w:ascii="宋体" w:hAnsi="宋体" w:cs="宋体"/>
                <w:color w:val="auto"/>
                <w:sz w:val="24"/>
                <w:szCs w:val="20"/>
                <w:highlight w:val="none"/>
              </w:rPr>
            </w:pPr>
          </w:p>
        </w:tc>
        <w:tc>
          <w:tcPr>
            <w:tcW w:w="1701" w:type="dxa"/>
            <w:vAlign w:val="center"/>
          </w:tcPr>
          <w:p w14:paraId="09566F15">
            <w:pPr>
              <w:snapToGrid w:val="0"/>
              <w:spacing w:before="50" w:after="120" w:afterLines="50"/>
              <w:jc w:val="center"/>
              <w:rPr>
                <w:rFonts w:ascii="宋体" w:hAnsi="宋体" w:cs="宋体"/>
                <w:color w:val="auto"/>
                <w:sz w:val="24"/>
                <w:szCs w:val="20"/>
                <w:highlight w:val="none"/>
              </w:rPr>
            </w:pPr>
          </w:p>
        </w:tc>
        <w:tc>
          <w:tcPr>
            <w:tcW w:w="1420" w:type="dxa"/>
            <w:vAlign w:val="center"/>
          </w:tcPr>
          <w:p w14:paraId="03CDC04F">
            <w:pPr>
              <w:snapToGrid w:val="0"/>
              <w:spacing w:before="50" w:after="120" w:afterLines="50"/>
              <w:jc w:val="center"/>
              <w:rPr>
                <w:rFonts w:ascii="宋体" w:hAnsi="宋体" w:cs="宋体"/>
                <w:color w:val="auto"/>
                <w:sz w:val="24"/>
                <w:szCs w:val="20"/>
                <w:highlight w:val="none"/>
              </w:rPr>
            </w:pPr>
          </w:p>
        </w:tc>
        <w:tc>
          <w:tcPr>
            <w:tcW w:w="1698" w:type="dxa"/>
            <w:vAlign w:val="center"/>
          </w:tcPr>
          <w:p w14:paraId="0AFEB454">
            <w:pPr>
              <w:snapToGrid w:val="0"/>
              <w:spacing w:before="50" w:after="120" w:afterLines="50"/>
              <w:jc w:val="center"/>
              <w:rPr>
                <w:rFonts w:ascii="宋体" w:hAnsi="宋体" w:cs="宋体"/>
                <w:color w:val="auto"/>
                <w:sz w:val="24"/>
                <w:szCs w:val="20"/>
                <w:highlight w:val="none"/>
              </w:rPr>
            </w:pPr>
          </w:p>
        </w:tc>
        <w:tc>
          <w:tcPr>
            <w:tcW w:w="1843" w:type="dxa"/>
            <w:vAlign w:val="center"/>
          </w:tcPr>
          <w:p w14:paraId="780D97CA">
            <w:pPr>
              <w:snapToGrid w:val="0"/>
              <w:spacing w:before="50" w:after="120" w:afterLines="50"/>
              <w:jc w:val="center"/>
              <w:rPr>
                <w:rFonts w:ascii="宋体" w:hAnsi="宋体" w:cs="宋体"/>
                <w:color w:val="auto"/>
                <w:sz w:val="24"/>
                <w:szCs w:val="20"/>
                <w:highlight w:val="none"/>
              </w:rPr>
            </w:pPr>
          </w:p>
        </w:tc>
      </w:tr>
      <w:tr w14:paraId="75CA5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D1A6814">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2"/>
                <w:szCs w:val="22"/>
                <w:highlight w:val="none"/>
              </w:rPr>
              <w:t>……</w:t>
            </w:r>
          </w:p>
        </w:tc>
        <w:tc>
          <w:tcPr>
            <w:tcW w:w="817" w:type="dxa"/>
            <w:vAlign w:val="center"/>
          </w:tcPr>
          <w:p w14:paraId="37A11626">
            <w:pPr>
              <w:snapToGrid w:val="0"/>
              <w:spacing w:before="50" w:after="120" w:afterLines="50"/>
              <w:jc w:val="center"/>
              <w:rPr>
                <w:rFonts w:ascii="宋体" w:hAnsi="宋体" w:cs="宋体"/>
                <w:color w:val="auto"/>
                <w:sz w:val="24"/>
                <w:szCs w:val="20"/>
                <w:highlight w:val="none"/>
              </w:rPr>
            </w:pPr>
          </w:p>
        </w:tc>
        <w:tc>
          <w:tcPr>
            <w:tcW w:w="709" w:type="dxa"/>
            <w:vAlign w:val="center"/>
          </w:tcPr>
          <w:p w14:paraId="25716EBB">
            <w:pPr>
              <w:snapToGrid w:val="0"/>
              <w:spacing w:before="50" w:after="120" w:afterLines="50"/>
              <w:jc w:val="center"/>
              <w:rPr>
                <w:rFonts w:ascii="宋体" w:hAnsi="宋体" w:cs="宋体"/>
                <w:color w:val="auto"/>
                <w:sz w:val="24"/>
                <w:szCs w:val="20"/>
                <w:highlight w:val="none"/>
              </w:rPr>
            </w:pPr>
          </w:p>
        </w:tc>
        <w:tc>
          <w:tcPr>
            <w:tcW w:w="1701" w:type="dxa"/>
            <w:vAlign w:val="center"/>
          </w:tcPr>
          <w:p w14:paraId="088E2B45">
            <w:pPr>
              <w:snapToGrid w:val="0"/>
              <w:spacing w:before="50" w:after="120" w:afterLines="50"/>
              <w:jc w:val="center"/>
              <w:rPr>
                <w:rFonts w:ascii="宋体" w:hAnsi="宋体" w:cs="宋体"/>
                <w:color w:val="auto"/>
                <w:sz w:val="24"/>
                <w:szCs w:val="20"/>
                <w:highlight w:val="none"/>
              </w:rPr>
            </w:pPr>
          </w:p>
        </w:tc>
        <w:tc>
          <w:tcPr>
            <w:tcW w:w="1420" w:type="dxa"/>
            <w:vAlign w:val="center"/>
          </w:tcPr>
          <w:p w14:paraId="56E5B529">
            <w:pPr>
              <w:snapToGrid w:val="0"/>
              <w:spacing w:before="50" w:after="120" w:afterLines="50"/>
              <w:jc w:val="center"/>
              <w:rPr>
                <w:rFonts w:ascii="宋体" w:hAnsi="宋体" w:cs="宋体"/>
                <w:color w:val="auto"/>
                <w:sz w:val="24"/>
                <w:szCs w:val="20"/>
                <w:highlight w:val="none"/>
              </w:rPr>
            </w:pPr>
          </w:p>
        </w:tc>
        <w:tc>
          <w:tcPr>
            <w:tcW w:w="1698" w:type="dxa"/>
            <w:vAlign w:val="center"/>
          </w:tcPr>
          <w:p w14:paraId="162BEDB8">
            <w:pPr>
              <w:snapToGrid w:val="0"/>
              <w:spacing w:before="50" w:after="120" w:afterLines="50"/>
              <w:jc w:val="center"/>
              <w:rPr>
                <w:rFonts w:ascii="宋体" w:hAnsi="宋体" w:cs="宋体"/>
                <w:color w:val="auto"/>
                <w:sz w:val="24"/>
                <w:szCs w:val="20"/>
                <w:highlight w:val="none"/>
              </w:rPr>
            </w:pPr>
          </w:p>
        </w:tc>
        <w:tc>
          <w:tcPr>
            <w:tcW w:w="1843" w:type="dxa"/>
            <w:vAlign w:val="center"/>
          </w:tcPr>
          <w:p w14:paraId="14CD1D6C">
            <w:pPr>
              <w:snapToGrid w:val="0"/>
              <w:spacing w:before="50" w:after="120" w:afterLines="50"/>
              <w:jc w:val="center"/>
              <w:rPr>
                <w:rFonts w:ascii="宋体" w:hAnsi="宋体" w:cs="宋体"/>
                <w:color w:val="auto"/>
                <w:sz w:val="24"/>
                <w:szCs w:val="20"/>
                <w:highlight w:val="none"/>
              </w:rPr>
            </w:pPr>
          </w:p>
        </w:tc>
      </w:tr>
    </w:tbl>
    <w:p w14:paraId="55806E6F">
      <w:pPr>
        <w:snapToGrid w:val="0"/>
        <w:spacing w:before="50" w:after="120" w:afterLines="50"/>
        <w:jc w:val="left"/>
        <w:rPr>
          <w:rFonts w:ascii="宋体" w:hAnsi="宋体" w:cs="宋体"/>
          <w:color w:val="auto"/>
          <w:sz w:val="24"/>
          <w:szCs w:val="20"/>
          <w:highlight w:val="none"/>
        </w:rPr>
      </w:pPr>
    </w:p>
    <w:p w14:paraId="53E2F3EC">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注：</w:t>
      </w:r>
    </w:p>
    <w:p w14:paraId="7CB85AA1">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1.在填写时，如本表格不适合投标单位的实际情况，可根据本表格式自行制表填写。</w:t>
      </w:r>
    </w:p>
    <w:p w14:paraId="0FB35FE3">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2.投标人应当附本表所列证书的复印件并加盖投标人公章。</w:t>
      </w:r>
    </w:p>
    <w:p w14:paraId="5452999B">
      <w:pPr>
        <w:snapToGrid w:val="0"/>
        <w:spacing w:before="50" w:after="50" w:line="440" w:lineRule="exact"/>
        <w:rPr>
          <w:rFonts w:ascii="宋体" w:hAnsi="宋体" w:cs="宋体"/>
          <w:color w:val="auto"/>
          <w:sz w:val="24"/>
          <w:highlight w:val="none"/>
        </w:rPr>
      </w:pPr>
    </w:p>
    <w:p w14:paraId="1EFDACE1">
      <w:pPr>
        <w:spacing w:line="360" w:lineRule="auto"/>
        <w:contextualSpacing/>
        <w:rPr>
          <w:rFonts w:ascii="宋体" w:hAnsi="宋体" w:cs="宋体"/>
          <w:color w:val="auto"/>
          <w:sz w:val="24"/>
          <w:highlight w:val="none"/>
        </w:rPr>
      </w:pPr>
    </w:p>
    <w:p w14:paraId="62F2674C">
      <w:pPr>
        <w:spacing w:line="360" w:lineRule="auto"/>
        <w:contextualSpacing/>
        <w:rPr>
          <w:rFonts w:ascii="宋体" w:hAnsi="宋体" w:cs="宋体"/>
          <w:color w:val="auto"/>
          <w:spacing w:val="20"/>
          <w:sz w:val="24"/>
          <w:szCs w:val="20"/>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w:t>
      </w:r>
      <w:r>
        <w:rPr>
          <w:rFonts w:hint="eastAsia" w:ascii="宋体" w:hAnsi="宋体" w:cs="宋体"/>
          <w:color w:val="auto"/>
          <w:spacing w:val="20"/>
          <w:sz w:val="24"/>
          <w:highlight w:val="none"/>
          <w:u w:val="single"/>
        </w:rPr>
        <w:t xml:space="preserve">        </w:t>
      </w:r>
    </w:p>
    <w:p w14:paraId="0B91E7CB">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highlight w:val="none"/>
          <w:lang w:val="zh-CN"/>
        </w:rPr>
        <w:t>投标人名称(电子签章)：</w:t>
      </w:r>
      <w:r>
        <w:rPr>
          <w:rFonts w:hint="eastAsia" w:ascii="宋体" w:hAnsi="宋体" w:cs="宋体"/>
          <w:color w:val="auto"/>
          <w:sz w:val="24"/>
          <w:highlight w:val="none"/>
          <w:u w:val="single"/>
        </w:rPr>
        <w:t xml:space="preserve">         </w:t>
      </w:r>
      <w:r>
        <w:rPr>
          <w:rFonts w:hint="eastAsia" w:ascii="宋体" w:hAnsi="宋体" w:cs="宋体"/>
          <w:color w:val="auto"/>
          <w:spacing w:val="20"/>
          <w:sz w:val="24"/>
          <w:highlight w:val="none"/>
        </w:rPr>
        <w:t xml:space="preserve">              日 期：</w:t>
      </w:r>
      <w:r>
        <w:rPr>
          <w:rFonts w:hint="eastAsia" w:ascii="宋体" w:hAnsi="宋体" w:cs="宋体"/>
          <w:color w:val="auto"/>
          <w:spacing w:val="20"/>
          <w:sz w:val="24"/>
          <w:highlight w:val="none"/>
          <w:u w:val="single"/>
        </w:rPr>
        <w:t xml:space="preserve">         </w:t>
      </w:r>
    </w:p>
    <w:p w14:paraId="29B1DC62">
      <w:pPr>
        <w:snapToGrid w:val="0"/>
        <w:spacing w:before="50" w:after="120" w:afterLines="50"/>
        <w:jc w:val="left"/>
        <w:rPr>
          <w:rFonts w:ascii="宋体" w:hAnsi="宋体" w:cs="宋体"/>
          <w:color w:val="auto"/>
          <w:sz w:val="24"/>
          <w:szCs w:val="20"/>
          <w:highlight w:val="none"/>
        </w:rPr>
      </w:pPr>
    </w:p>
    <w:p w14:paraId="4945FB27">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6. 选配件、专用耗材、售后服务优惠表格式（注：按项目需求表具体项目修改）</w:t>
      </w:r>
    </w:p>
    <w:p w14:paraId="0184B716">
      <w:pPr>
        <w:snapToGrid w:val="0"/>
        <w:spacing w:before="120" w:beforeLines="50" w:after="50"/>
        <w:ind w:left="142"/>
        <w:jc w:val="left"/>
        <w:rPr>
          <w:rFonts w:ascii="宋体" w:hAnsi="宋体" w:cs="宋体"/>
          <w:b/>
          <w:color w:val="auto"/>
          <w:sz w:val="24"/>
          <w:highlight w:val="none"/>
        </w:rPr>
      </w:pPr>
    </w:p>
    <w:p w14:paraId="13C0E5AD">
      <w:pPr>
        <w:snapToGrid w:val="0"/>
        <w:spacing w:line="360" w:lineRule="auto"/>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选配件、专用耗材、售后服务优惠表</w:t>
      </w:r>
    </w:p>
    <w:p w14:paraId="018A7087">
      <w:pPr>
        <w:pStyle w:val="13"/>
        <w:rPr>
          <w:rFonts w:hAnsi="宋体" w:cs="宋体"/>
          <w:color w:val="auto"/>
          <w:sz w:val="24"/>
          <w:szCs w:val="24"/>
          <w:highlight w:val="none"/>
        </w:rPr>
      </w:pPr>
      <w:r>
        <w:rPr>
          <w:rFonts w:hint="eastAsia" w:hAnsi="宋体" w:cs="宋体"/>
          <w:color w:val="auto"/>
          <w:sz w:val="24"/>
          <w:highlight w:val="none"/>
        </w:rPr>
        <w:t>项目名称：</w:t>
      </w:r>
      <w:r>
        <w:rPr>
          <w:rFonts w:hint="eastAsia" w:hAnsi="宋体" w:cs="宋体"/>
          <w:color w:val="auto"/>
          <w:sz w:val="24"/>
          <w:highlight w:val="none"/>
          <w:u w:val="single"/>
        </w:rPr>
        <w:t xml:space="preserve">         </w:t>
      </w:r>
      <w:r>
        <w:rPr>
          <w:rFonts w:hint="eastAsia" w:hAnsi="宋体" w:cs="宋体"/>
          <w:color w:val="auto"/>
          <w:sz w:val="24"/>
          <w:highlight w:val="none"/>
        </w:rPr>
        <w:t xml:space="preserve">         项目编号：</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r>
        <w:rPr>
          <w:rFonts w:hint="eastAsia" w:ascii="宋体" w:hAnsi="宋体" w:cs="宋体"/>
          <w:bCs/>
          <w:color w:val="auto"/>
          <w:sz w:val="24"/>
          <w:highlight w:val="none"/>
          <w:lang w:eastAsia="zh-CN"/>
        </w:rPr>
        <w:t>分标</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标项名称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tbl>
      <w:tblPr>
        <w:tblStyle w:val="22"/>
        <w:tblW w:w="86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7E235D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5827655">
            <w:pPr>
              <w:pStyle w:val="13"/>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序号</w:t>
            </w:r>
          </w:p>
        </w:tc>
        <w:tc>
          <w:tcPr>
            <w:tcW w:w="2700" w:type="dxa"/>
            <w:tcBorders>
              <w:top w:val="single" w:color="auto" w:sz="4" w:space="0"/>
              <w:left w:val="single" w:color="auto" w:sz="4" w:space="0"/>
              <w:bottom w:val="single" w:color="auto" w:sz="2" w:space="0"/>
              <w:right w:val="single" w:color="auto" w:sz="4" w:space="0"/>
            </w:tcBorders>
            <w:vAlign w:val="center"/>
          </w:tcPr>
          <w:p w14:paraId="65A3BF3F">
            <w:pPr>
              <w:pStyle w:val="13"/>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14:paraId="41D0BBE0">
            <w:pPr>
              <w:pStyle w:val="13"/>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60BDBC70">
            <w:pPr>
              <w:pStyle w:val="13"/>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单价</w:t>
            </w:r>
          </w:p>
        </w:tc>
        <w:tc>
          <w:tcPr>
            <w:tcW w:w="2340" w:type="dxa"/>
            <w:tcBorders>
              <w:top w:val="single" w:color="auto" w:sz="4" w:space="0"/>
              <w:left w:val="single" w:color="auto" w:sz="4" w:space="0"/>
              <w:bottom w:val="single" w:color="auto" w:sz="2" w:space="0"/>
              <w:right w:val="single" w:color="auto" w:sz="4" w:space="0"/>
            </w:tcBorders>
            <w:vAlign w:val="center"/>
          </w:tcPr>
          <w:p w14:paraId="5E55614E">
            <w:pPr>
              <w:pStyle w:val="13"/>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比市场价优惠率</w:t>
            </w:r>
          </w:p>
        </w:tc>
      </w:tr>
      <w:tr w14:paraId="38249F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2C9488E9">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1</w:t>
            </w:r>
          </w:p>
        </w:tc>
        <w:tc>
          <w:tcPr>
            <w:tcW w:w="2700" w:type="dxa"/>
            <w:tcBorders>
              <w:top w:val="single" w:color="auto" w:sz="2" w:space="0"/>
              <w:left w:val="single" w:color="auto" w:sz="2" w:space="0"/>
              <w:bottom w:val="single" w:color="auto" w:sz="6" w:space="0"/>
              <w:right w:val="single" w:color="auto" w:sz="4" w:space="0"/>
            </w:tcBorders>
            <w:vAlign w:val="center"/>
          </w:tcPr>
          <w:p w14:paraId="74B39A92">
            <w:pPr>
              <w:pStyle w:val="13"/>
              <w:snapToGrid w:val="0"/>
              <w:spacing w:before="295" w:after="295"/>
              <w:jc w:val="center"/>
              <w:rPr>
                <w:rFonts w:hAnsi="宋体" w:cs="宋体"/>
                <w:color w:val="auto"/>
                <w:kern w:val="2"/>
                <w:sz w:val="24"/>
                <w:szCs w:val="24"/>
                <w:highlight w:val="none"/>
              </w:rPr>
            </w:pPr>
          </w:p>
        </w:tc>
        <w:tc>
          <w:tcPr>
            <w:tcW w:w="1440" w:type="dxa"/>
            <w:tcBorders>
              <w:top w:val="single" w:color="auto" w:sz="2" w:space="0"/>
              <w:left w:val="single" w:color="auto" w:sz="4" w:space="0"/>
              <w:bottom w:val="single" w:color="auto" w:sz="6" w:space="0"/>
              <w:right w:val="single" w:color="auto" w:sz="6" w:space="0"/>
            </w:tcBorders>
            <w:vAlign w:val="center"/>
          </w:tcPr>
          <w:p w14:paraId="74936C17">
            <w:pPr>
              <w:pStyle w:val="13"/>
              <w:snapToGrid w:val="0"/>
              <w:spacing w:before="295" w:after="295"/>
              <w:jc w:val="center"/>
              <w:rPr>
                <w:rFonts w:hAnsi="宋体" w:cs="宋体"/>
                <w:color w:val="auto"/>
                <w:kern w:val="2"/>
                <w:sz w:val="24"/>
                <w:szCs w:val="24"/>
                <w:highlight w:val="none"/>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5E382A29">
            <w:pPr>
              <w:pStyle w:val="13"/>
              <w:snapToGrid w:val="0"/>
              <w:spacing w:before="295" w:after="295"/>
              <w:jc w:val="center"/>
              <w:rPr>
                <w:rFonts w:hAnsi="宋体" w:cs="宋体"/>
                <w:color w:val="auto"/>
                <w:kern w:val="2"/>
                <w:sz w:val="24"/>
                <w:szCs w:val="24"/>
                <w:highlight w:val="none"/>
              </w:rPr>
            </w:pPr>
          </w:p>
        </w:tc>
        <w:tc>
          <w:tcPr>
            <w:tcW w:w="2340" w:type="dxa"/>
            <w:tcBorders>
              <w:top w:val="single" w:color="auto" w:sz="2" w:space="0"/>
              <w:left w:val="single" w:color="auto" w:sz="6" w:space="0"/>
              <w:bottom w:val="single" w:color="auto" w:sz="6" w:space="0"/>
              <w:right w:val="single" w:color="auto" w:sz="2" w:space="0"/>
            </w:tcBorders>
            <w:vAlign w:val="center"/>
          </w:tcPr>
          <w:p w14:paraId="08912543">
            <w:pPr>
              <w:pStyle w:val="13"/>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 xml:space="preserve"> </w:t>
            </w:r>
            <w:r>
              <w:rPr>
                <w:rFonts w:hint="eastAsia" w:hAnsi="宋体" w:cs="宋体"/>
                <w:color w:val="auto"/>
                <w:kern w:val="2"/>
                <w:sz w:val="24"/>
                <w:szCs w:val="24"/>
                <w:highlight w:val="none"/>
                <w:u w:val="single"/>
              </w:rPr>
              <w:t xml:space="preserve">           </w:t>
            </w:r>
            <w:r>
              <w:rPr>
                <w:rFonts w:hint="eastAsia" w:hAnsi="宋体" w:cs="宋体"/>
                <w:color w:val="auto"/>
                <w:kern w:val="2"/>
                <w:sz w:val="24"/>
                <w:szCs w:val="24"/>
                <w:highlight w:val="none"/>
              </w:rPr>
              <w:t>%</w:t>
            </w:r>
          </w:p>
        </w:tc>
      </w:tr>
      <w:tr w14:paraId="14CC41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32E53D3B">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2</w:t>
            </w:r>
          </w:p>
        </w:tc>
        <w:tc>
          <w:tcPr>
            <w:tcW w:w="2700" w:type="dxa"/>
            <w:tcBorders>
              <w:top w:val="single" w:color="auto" w:sz="6" w:space="0"/>
              <w:left w:val="single" w:color="auto" w:sz="2" w:space="0"/>
              <w:bottom w:val="single" w:color="auto" w:sz="6" w:space="0"/>
              <w:right w:val="single" w:color="auto" w:sz="4" w:space="0"/>
            </w:tcBorders>
            <w:vAlign w:val="center"/>
          </w:tcPr>
          <w:p w14:paraId="7D3D9C5D">
            <w:pPr>
              <w:pStyle w:val="13"/>
              <w:snapToGrid w:val="0"/>
              <w:spacing w:before="295" w:after="295"/>
              <w:jc w:val="center"/>
              <w:rPr>
                <w:rFonts w:hAnsi="宋体" w:cs="宋体"/>
                <w:color w:val="auto"/>
                <w:kern w:val="2"/>
                <w:sz w:val="24"/>
                <w:szCs w:val="24"/>
                <w:highlight w:val="none"/>
              </w:rPr>
            </w:pPr>
          </w:p>
        </w:tc>
        <w:tc>
          <w:tcPr>
            <w:tcW w:w="1440" w:type="dxa"/>
            <w:tcBorders>
              <w:top w:val="single" w:color="auto" w:sz="6" w:space="0"/>
              <w:left w:val="single" w:color="auto" w:sz="4" w:space="0"/>
              <w:bottom w:val="single" w:color="auto" w:sz="6" w:space="0"/>
              <w:right w:val="single" w:color="auto" w:sz="6" w:space="0"/>
            </w:tcBorders>
            <w:vAlign w:val="center"/>
          </w:tcPr>
          <w:p w14:paraId="640C8E31">
            <w:pPr>
              <w:pStyle w:val="13"/>
              <w:snapToGrid w:val="0"/>
              <w:spacing w:before="295" w:after="295"/>
              <w:jc w:val="center"/>
              <w:rPr>
                <w:rFonts w:hAnsi="宋体" w:cs="宋体"/>
                <w:color w:val="auto"/>
                <w:kern w:val="2"/>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055DF735">
            <w:pPr>
              <w:pStyle w:val="13"/>
              <w:snapToGrid w:val="0"/>
              <w:spacing w:before="295" w:after="295"/>
              <w:jc w:val="center"/>
              <w:rPr>
                <w:rFonts w:hAnsi="宋体" w:cs="宋体"/>
                <w:color w:val="auto"/>
                <w:kern w:val="2"/>
                <w:sz w:val="24"/>
                <w:szCs w:val="24"/>
                <w:highlight w:val="none"/>
              </w:rPr>
            </w:pPr>
          </w:p>
        </w:tc>
        <w:tc>
          <w:tcPr>
            <w:tcW w:w="2340" w:type="dxa"/>
            <w:tcBorders>
              <w:top w:val="single" w:color="auto" w:sz="6" w:space="0"/>
              <w:left w:val="single" w:color="auto" w:sz="6" w:space="0"/>
              <w:bottom w:val="single" w:color="auto" w:sz="6" w:space="0"/>
              <w:right w:val="single" w:color="auto" w:sz="2" w:space="0"/>
            </w:tcBorders>
            <w:vAlign w:val="center"/>
          </w:tcPr>
          <w:p w14:paraId="5BEF61D1">
            <w:pPr>
              <w:pStyle w:val="13"/>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 xml:space="preserve"> </w:t>
            </w:r>
            <w:r>
              <w:rPr>
                <w:rFonts w:hint="eastAsia" w:hAnsi="宋体" w:cs="宋体"/>
                <w:color w:val="auto"/>
                <w:kern w:val="2"/>
                <w:sz w:val="24"/>
                <w:szCs w:val="24"/>
                <w:highlight w:val="none"/>
                <w:u w:val="single"/>
              </w:rPr>
              <w:t xml:space="preserve">           </w:t>
            </w:r>
            <w:r>
              <w:rPr>
                <w:rFonts w:hint="eastAsia" w:hAnsi="宋体" w:cs="宋体"/>
                <w:color w:val="auto"/>
                <w:kern w:val="2"/>
                <w:sz w:val="24"/>
                <w:szCs w:val="24"/>
                <w:highlight w:val="none"/>
              </w:rPr>
              <w:t>%</w:t>
            </w:r>
          </w:p>
        </w:tc>
      </w:tr>
      <w:tr w14:paraId="267215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3A65A21B">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3</w:t>
            </w:r>
          </w:p>
        </w:tc>
        <w:tc>
          <w:tcPr>
            <w:tcW w:w="2700" w:type="dxa"/>
            <w:tcBorders>
              <w:top w:val="single" w:color="auto" w:sz="6" w:space="0"/>
              <w:left w:val="single" w:color="auto" w:sz="2" w:space="0"/>
              <w:bottom w:val="single" w:color="auto" w:sz="6" w:space="0"/>
              <w:right w:val="single" w:color="auto" w:sz="4" w:space="0"/>
            </w:tcBorders>
            <w:vAlign w:val="center"/>
          </w:tcPr>
          <w:p w14:paraId="4B648E70">
            <w:pPr>
              <w:pStyle w:val="13"/>
              <w:snapToGrid w:val="0"/>
              <w:spacing w:before="295" w:after="295"/>
              <w:jc w:val="center"/>
              <w:rPr>
                <w:rFonts w:hAnsi="宋体" w:cs="宋体"/>
                <w:color w:val="auto"/>
                <w:kern w:val="2"/>
                <w:sz w:val="24"/>
                <w:szCs w:val="24"/>
                <w:highlight w:val="none"/>
              </w:rPr>
            </w:pPr>
          </w:p>
        </w:tc>
        <w:tc>
          <w:tcPr>
            <w:tcW w:w="1440" w:type="dxa"/>
            <w:tcBorders>
              <w:top w:val="single" w:color="auto" w:sz="6" w:space="0"/>
              <w:left w:val="single" w:color="auto" w:sz="4" w:space="0"/>
              <w:bottom w:val="single" w:color="auto" w:sz="6" w:space="0"/>
              <w:right w:val="single" w:color="auto" w:sz="6" w:space="0"/>
            </w:tcBorders>
            <w:vAlign w:val="center"/>
          </w:tcPr>
          <w:p w14:paraId="7777554D">
            <w:pPr>
              <w:pStyle w:val="13"/>
              <w:snapToGrid w:val="0"/>
              <w:spacing w:before="295" w:after="295"/>
              <w:jc w:val="center"/>
              <w:rPr>
                <w:rFonts w:hAnsi="宋体" w:cs="宋体"/>
                <w:color w:val="auto"/>
                <w:kern w:val="2"/>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0F0FF081">
            <w:pPr>
              <w:pStyle w:val="13"/>
              <w:snapToGrid w:val="0"/>
              <w:spacing w:before="295" w:after="295"/>
              <w:jc w:val="center"/>
              <w:rPr>
                <w:rFonts w:hAnsi="宋体" w:cs="宋体"/>
                <w:color w:val="auto"/>
                <w:kern w:val="2"/>
                <w:sz w:val="24"/>
                <w:szCs w:val="24"/>
                <w:highlight w:val="none"/>
              </w:rPr>
            </w:pPr>
          </w:p>
        </w:tc>
        <w:tc>
          <w:tcPr>
            <w:tcW w:w="2340" w:type="dxa"/>
            <w:tcBorders>
              <w:top w:val="single" w:color="auto" w:sz="6" w:space="0"/>
              <w:left w:val="single" w:color="auto" w:sz="6" w:space="0"/>
              <w:bottom w:val="single" w:color="auto" w:sz="6" w:space="0"/>
              <w:right w:val="single" w:color="auto" w:sz="2" w:space="0"/>
            </w:tcBorders>
            <w:vAlign w:val="center"/>
          </w:tcPr>
          <w:p w14:paraId="77D27753">
            <w:pPr>
              <w:pStyle w:val="13"/>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 xml:space="preserve"> </w:t>
            </w:r>
            <w:r>
              <w:rPr>
                <w:rFonts w:hint="eastAsia" w:hAnsi="宋体" w:cs="宋体"/>
                <w:color w:val="auto"/>
                <w:kern w:val="2"/>
                <w:sz w:val="24"/>
                <w:szCs w:val="24"/>
                <w:highlight w:val="none"/>
                <w:u w:val="single"/>
              </w:rPr>
              <w:t xml:space="preserve">           </w:t>
            </w:r>
            <w:r>
              <w:rPr>
                <w:rFonts w:hint="eastAsia" w:hAnsi="宋体" w:cs="宋体"/>
                <w:color w:val="auto"/>
                <w:kern w:val="2"/>
                <w:sz w:val="24"/>
                <w:szCs w:val="24"/>
                <w:highlight w:val="none"/>
              </w:rPr>
              <w:t>%</w:t>
            </w:r>
          </w:p>
        </w:tc>
      </w:tr>
      <w:tr w14:paraId="01D941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5762E046">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w:t>
            </w:r>
          </w:p>
        </w:tc>
        <w:tc>
          <w:tcPr>
            <w:tcW w:w="2700" w:type="dxa"/>
            <w:tcBorders>
              <w:top w:val="single" w:color="auto" w:sz="6" w:space="0"/>
              <w:left w:val="single" w:color="auto" w:sz="2" w:space="0"/>
              <w:bottom w:val="single" w:color="auto" w:sz="6" w:space="0"/>
              <w:right w:val="single" w:color="auto" w:sz="4" w:space="0"/>
            </w:tcBorders>
            <w:vAlign w:val="center"/>
          </w:tcPr>
          <w:p w14:paraId="68B400D8">
            <w:pPr>
              <w:pStyle w:val="13"/>
              <w:snapToGrid w:val="0"/>
              <w:spacing w:before="295" w:after="295"/>
              <w:jc w:val="center"/>
              <w:rPr>
                <w:rFonts w:hAnsi="宋体" w:cs="宋体"/>
                <w:color w:val="auto"/>
                <w:kern w:val="2"/>
                <w:sz w:val="24"/>
                <w:szCs w:val="24"/>
                <w:highlight w:val="none"/>
              </w:rPr>
            </w:pPr>
          </w:p>
        </w:tc>
        <w:tc>
          <w:tcPr>
            <w:tcW w:w="1440" w:type="dxa"/>
            <w:tcBorders>
              <w:top w:val="single" w:color="auto" w:sz="6" w:space="0"/>
              <w:left w:val="single" w:color="auto" w:sz="4" w:space="0"/>
              <w:bottom w:val="single" w:color="auto" w:sz="6" w:space="0"/>
              <w:right w:val="single" w:color="auto" w:sz="6" w:space="0"/>
            </w:tcBorders>
            <w:vAlign w:val="center"/>
          </w:tcPr>
          <w:p w14:paraId="696B6621">
            <w:pPr>
              <w:pStyle w:val="13"/>
              <w:snapToGrid w:val="0"/>
              <w:spacing w:before="295" w:after="295"/>
              <w:jc w:val="center"/>
              <w:rPr>
                <w:rFonts w:hAnsi="宋体" w:cs="宋体"/>
                <w:color w:val="auto"/>
                <w:kern w:val="2"/>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2ABCAC36">
            <w:pPr>
              <w:pStyle w:val="13"/>
              <w:snapToGrid w:val="0"/>
              <w:spacing w:before="295" w:after="295"/>
              <w:jc w:val="center"/>
              <w:rPr>
                <w:rFonts w:hAnsi="宋体" w:cs="宋体"/>
                <w:color w:val="auto"/>
                <w:kern w:val="2"/>
                <w:sz w:val="24"/>
                <w:szCs w:val="24"/>
                <w:highlight w:val="none"/>
              </w:rPr>
            </w:pPr>
          </w:p>
        </w:tc>
        <w:tc>
          <w:tcPr>
            <w:tcW w:w="2340" w:type="dxa"/>
            <w:tcBorders>
              <w:top w:val="single" w:color="auto" w:sz="6" w:space="0"/>
              <w:left w:val="single" w:color="auto" w:sz="6" w:space="0"/>
              <w:bottom w:val="single" w:color="auto" w:sz="6" w:space="0"/>
              <w:right w:val="single" w:color="auto" w:sz="2" w:space="0"/>
            </w:tcBorders>
            <w:vAlign w:val="center"/>
          </w:tcPr>
          <w:p w14:paraId="76087BEF">
            <w:pPr>
              <w:pStyle w:val="13"/>
              <w:snapToGrid w:val="0"/>
              <w:spacing w:before="295" w:after="295"/>
              <w:jc w:val="center"/>
              <w:rPr>
                <w:rFonts w:hAnsi="宋体" w:cs="宋体"/>
                <w:color w:val="auto"/>
                <w:kern w:val="2"/>
                <w:sz w:val="24"/>
                <w:szCs w:val="24"/>
                <w:highlight w:val="none"/>
              </w:rPr>
            </w:pPr>
          </w:p>
        </w:tc>
      </w:tr>
    </w:tbl>
    <w:p w14:paraId="5C09C5F5">
      <w:pPr>
        <w:spacing w:line="360" w:lineRule="auto"/>
        <w:contextualSpacing/>
        <w:rPr>
          <w:rFonts w:ascii="宋体" w:hAnsi="宋体" w:cs="宋体"/>
          <w:color w:val="auto"/>
          <w:sz w:val="24"/>
          <w:highlight w:val="none"/>
        </w:rPr>
      </w:pPr>
    </w:p>
    <w:p w14:paraId="2E4E05BA">
      <w:pPr>
        <w:spacing w:line="360" w:lineRule="auto"/>
        <w:contextualSpacing/>
        <w:rPr>
          <w:rFonts w:ascii="宋体" w:hAnsi="宋体" w:cs="宋体"/>
          <w:color w:val="auto"/>
          <w:spacing w:val="20"/>
          <w:sz w:val="24"/>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w:t>
      </w:r>
      <w:r>
        <w:rPr>
          <w:rFonts w:hint="eastAsia" w:ascii="宋体" w:hAnsi="宋体" w:cs="宋体"/>
          <w:color w:val="auto"/>
          <w:spacing w:val="20"/>
          <w:sz w:val="24"/>
          <w:highlight w:val="none"/>
          <w:u w:val="single"/>
        </w:rPr>
        <w:t xml:space="preserve">        </w:t>
      </w:r>
    </w:p>
    <w:p w14:paraId="0E51826B">
      <w:pPr>
        <w:spacing w:line="360" w:lineRule="auto"/>
        <w:contextualSpacing/>
        <w:rPr>
          <w:rFonts w:ascii="宋体" w:hAnsi="宋体" w:cs="宋体"/>
          <w:color w:val="auto"/>
          <w:sz w:val="24"/>
          <w:szCs w:val="20"/>
          <w:highlight w:val="none"/>
        </w:rPr>
      </w:pPr>
      <w:r>
        <w:rPr>
          <w:rFonts w:hint="eastAsia" w:ascii="宋体" w:hAnsi="宋体" w:cs="宋体"/>
          <w:color w:val="auto"/>
          <w:sz w:val="24"/>
          <w:highlight w:val="none"/>
          <w:lang w:val="zh-CN"/>
        </w:rPr>
        <w:t>投标人名称(电子签章)：</w:t>
      </w:r>
      <w:r>
        <w:rPr>
          <w:rFonts w:hint="eastAsia" w:ascii="宋体" w:hAnsi="宋体" w:cs="宋体"/>
          <w:color w:val="auto"/>
          <w:sz w:val="24"/>
          <w:highlight w:val="none"/>
          <w:u w:val="single"/>
        </w:rPr>
        <w:t xml:space="preserve">         </w:t>
      </w:r>
      <w:r>
        <w:rPr>
          <w:rFonts w:hint="eastAsia" w:ascii="宋体" w:hAnsi="宋体" w:cs="宋体"/>
          <w:color w:val="auto"/>
          <w:spacing w:val="20"/>
          <w:sz w:val="24"/>
          <w:highlight w:val="none"/>
        </w:rPr>
        <w:t xml:space="preserve">             日 期：</w:t>
      </w:r>
      <w:r>
        <w:rPr>
          <w:rFonts w:hint="eastAsia" w:ascii="宋体" w:hAnsi="宋体" w:cs="宋体"/>
          <w:color w:val="auto"/>
          <w:spacing w:val="20"/>
          <w:sz w:val="24"/>
          <w:highlight w:val="none"/>
          <w:u w:val="single"/>
        </w:rPr>
        <w:t xml:space="preserve">            </w:t>
      </w:r>
    </w:p>
    <w:p w14:paraId="46940DC4">
      <w:pPr>
        <w:snapToGrid w:val="0"/>
        <w:spacing w:before="50" w:after="120" w:afterLines="50"/>
        <w:jc w:val="left"/>
        <w:rPr>
          <w:rFonts w:ascii="宋体" w:hAnsi="宋体" w:cs="宋体"/>
          <w:color w:val="auto"/>
          <w:sz w:val="24"/>
          <w:szCs w:val="20"/>
          <w:highlight w:val="none"/>
        </w:rPr>
      </w:pPr>
    </w:p>
    <w:p w14:paraId="5EF2574B">
      <w:pPr>
        <w:rPr>
          <w:rFonts w:ascii="宋体" w:hAnsi="宋体" w:cs="宋体"/>
          <w:b/>
          <w:color w:val="auto"/>
          <w:sz w:val="28"/>
          <w:szCs w:val="28"/>
          <w:highlight w:val="none"/>
        </w:rPr>
      </w:pPr>
      <w:r>
        <w:rPr>
          <w:rFonts w:hint="eastAsia" w:ascii="宋体" w:hAnsi="宋体" w:cs="宋体"/>
          <w:b/>
          <w:bCs/>
          <w:color w:val="auto"/>
          <w:sz w:val="24"/>
          <w:highlight w:val="none"/>
        </w:rPr>
        <w:br w:type="page"/>
      </w:r>
      <w:r>
        <w:rPr>
          <w:rFonts w:hint="eastAsia" w:ascii="宋体" w:hAnsi="宋体" w:cs="宋体"/>
          <w:b/>
          <w:color w:val="auto"/>
          <w:sz w:val="28"/>
          <w:szCs w:val="28"/>
          <w:highlight w:val="none"/>
        </w:rPr>
        <w:t>五、其他文书、文件格式</w:t>
      </w:r>
    </w:p>
    <w:p w14:paraId="41AD32D1">
      <w:pPr>
        <w:snapToGrid w:val="0"/>
        <w:spacing w:before="120" w:beforeLines="50" w:after="50"/>
        <w:ind w:left="142"/>
        <w:jc w:val="left"/>
        <w:rPr>
          <w:rFonts w:ascii="宋体" w:hAnsi="宋体" w:cs="宋体"/>
          <w:b/>
          <w:color w:val="auto"/>
          <w:spacing w:val="20"/>
          <w:sz w:val="24"/>
          <w:highlight w:val="none"/>
        </w:rPr>
      </w:pPr>
      <w:r>
        <w:rPr>
          <w:rFonts w:hint="eastAsia" w:ascii="宋体" w:hAnsi="宋体" w:cs="宋体"/>
          <w:b/>
          <w:color w:val="auto"/>
          <w:spacing w:val="20"/>
          <w:sz w:val="24"/>
          <w:highlight w:val="none"/>
        </w:rPr>
        <w:t>1.联合投标协议书格式</w:t>
      </w:r>
    </w:p>
    <w:p w14:paraId="1E466DC2">
      <w:pPr>
        <w:snapToGrid w:val="0"/>
        <w:spacing w:before="120" w:beforeLines="50" w:after="50"/>
        <w:ind w:left="142"/>
        <w:jc w:val="left"/>
        <w:rPr>
          <w:rFonts w:ascii="宋体" w:hAnsi="宋体" w:cs="宋体"/>
          <w:b/>
          <w:color w:val="auto"/>
          <w:spacing w:val="20"/>
          <w:sz w:val="24"/>
          <w:highlight w:val="none"/>
        </w:rPr>
      </w:pPr>
    </w:p>
    <w:p w14:paraId="7C7955FC">
      <w:pPr>
        <w:pStyle w:val="4"/>
        <w:overflowPunct w:val="0"/>
        <w:jc w:val="center"/>
        <w:rPr>
          <w:rFonts w:ascii="宋体" w:hAnsi="宋体" w:cs="宋体"/>
          <w:color w:val="auto"/>
          <w:sz w:val="44"/>
          <w:szCs w:val="44"/>
          <w:highlight w:val="none"/>
        </w:rPr>
      </w:pPr>
      <w:r>
        <w:rPr>
          <w:rFonts w:hint="eastAsia" w:ascii="宋体" w:hAnsi="宋体" w:cs="宋体"/>
          <w:color w:val="auto"/>
          <w:sz w:val="44"/>
          <w:szCs w:val="44"/>
          <w:highlight w:val="none"/>
        </w:rPr>
        <w:t>联合体协议书</w:t>
      </w:r>
    </w:p>
    <w:p w14:paraId="7F05DF25">
      <w:pPr>
        <w:pStyle w:val="4"/>
        <w:overflowPunct w:val="0"/>
        <w:rPr>
          <w:rFonts w:ascii="宋体" w:hAnsi="宋体" w:cs="宋体"/>
          <w:color w:val="auto"/>
          <w:sz w:val="24"/>
          <w:highlight w:val="none"/>
        </w:rPr>
      </w:pPr>
    </w:p>
    <w:p w14:paraId="5C35BE14">
      <w:pPr>
        <w:pStyle w:val="4"/>
        <w:overflowPunct w:val="0"/>
        <w:spacing w:line="360" w:lineRule="auto"/>
        <w:contextualSpacing/>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（所有成员单位名称）自愿组成</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（联合体名称）联合体，共同参加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（项</w:t>
      </w:r>
      <w:r>
        <w:rPr>
          <w:rFonts w:hint="eastAsia" w:ascii="宋体" w:hAnsi="宋体" w:cs="宋体"/>
          <w:color w:val="auto"/>
          <w:sz w:val="24"/>
          <w:highlight w:val="none"/>
        </w:rPr>
        <w:t>目名称）采购招标项目投标。现就联合体投标事宜订立如下协议。</w:t>
      </w:r>
    </w:p>
    <w:p w14:paraId="17FFF7D8">
      <w:pPr>
        <w:pStyle w:val="4"/>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 xml:space="preserve">1.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（某成员单位名称）为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（联合体名称）牵头人。</w:t>
      </w:r>
    </w:p>
    <w:p w14:paraId="3CEFC0A9">
      <w:pPr>
        <w:pStyle w:val="4"/>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2.联合体各成员授权牵头人代表联合体参加投标活动，签署文件及对文件的盖章，提交和接收相关的资料、 信息及指示，进行合同谈判活动，负责合同实施阶段的组织和协调工作，以及处理与本招标项 目有关的一切事宜。</w:t>
      </w:r>
    </w:p>
    <w:p w14:paraId="3A604F7E">
      <w:pPr>
        <w:pStyle w:val="4"/>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3.联合体牵头人在本项目中签署和盖章的一切文件和处理的一切事宜，联合体各成员均予以承认。 联合体各成员将严格按照招标文件、投标文件和合同的要求全面履行义务，并向招标人承担连带责任。</w:t>
      </w:r>
    </w:p>
    <w:p w14:paraId="5EDBB8CE">
      <w:pPr>
        <w:pStyle w:val="4"/>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4.联合体各成员单位内部的职责分工如下：</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w:t>
      </w:r>
    </w:p>
    <w:p w14:paraId="4805E5C1">
      <w:pPr>
        <w:pStyle w:val="4"/>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5.本协议书自所有成员单位法定代表人或者其委托代理人签字或者盖公章之日起生效，合同履行完毕后自动失效。</w:t>
      </w:r>
    </w:p>
    <w:p w14:paraId="51976268">
      <w:pPr>
        <w:pStyle w:val="4"/>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6.本协议书一式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份，联合体成员和招标人各执一份。</w:t>
      </w:r>
    </w:p>
    <w:p w14:paraId="7639C9A0">
      <w:pPr>
        <w:pStyle w:val="4"/>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注：本协议书由法定代表人签字的，应附法定代表人身份证明；由委托代理人签字的，应附授权委托书。</w:t>
      </w:r>
    </w:p>
    <w:p w14:paraId="6772A7B7">
      <w:pPr>
        <w:pStyle w:val="4"/>
        <w:overflowPunct w:val="0"/>
        <w:spacing w:line="360" w:lineRule="auto"/>
        <w:ind w:firstLineChars="175"/>
        <w:contextualSpacing/>
        <w:rPr>
          <w:rFonts w:ascii="宋体" w:hAnsi="宋体" w:cs="宋体"/>
          <w:color w:val="auto"/>
          <w:sz w:val="24"/>
          <w:highlight w:val="none"/>
        </w:rPr>
      </w:pPr>
    </w:p>
    <w:p w14:paraId="34B5AF4D">
      <w:pPr>
        <w:pStyle w:val="4"/>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联合体牵头人名称（盖公章）：</w:t>
      </w:r>
    </w:p>
    <w:p w14:paraId="66DCF08E">
      <w:pPr>
        <w:pStyle w:val="4"/>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 xml:space="preserve">法定代表人或者其委托代理人： </w:t>
      </w:r>
      <w:r>
        <w:rPr>
          <w:rFonts w:hint="eastAsia" w:ascii="宋体" w:hAnsi="宋体" w:cs="宋体"/>
          <w:color w:val="auto"/>
          <w:sz w:val="24"/>
          <w:highlight w:val="none"/>
        </w:rPr>
        <w:tab/>
      </w:r>
      <w:r>
        <w:rPr>
          <w:rFonts w:hint="eastAsia" w:ascii="宋体" w:hAnsi="宋体" w:cs="宋体"/>
          <w:color w:val="auto"/>
          <w:sz w:val="24"/>
          <w:highlight w:val="none"/>
        </w:rPr>
        <w:t>（签字）</w:t>
      </w:r>
    </w:p>
    <w:p w14:paraId="5A8910AE">
      <w:pPr>
        <w:pStyle w:val="4"/>
        <w:overflowPunct w:val="0"/>
        <w:spacing w:line="360" w:lineRule="auto"/>
        <w:ind w:firstLineChars="175"/>
        <w:contextualSpacing/>
        <w:rPr>
          <w:rFonts w:ascii="宋体" w:hAnsi="宋体" w:cs="宋体"/>
          <w:color w:val="auto"/>
          <w:sz w:val="24"/>
          <w:highlight w:val="none"/>
        </w:rPr>
      </w:pPr>
    </w:p>
    <w:p w14:paraId="71FDD95C">
      <w:pPr>
        <w:pStyle w:val="4"/>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联合体成员名称（盖公章）：</w:t>
      </w:r>
    </w:p>
    <w:p w14:paraId="748E48D5">
      <w:pPr>
        <w:pStyle w:val="4"/>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 xml:space="preserve">法定代表人或者其委托代理人： </w:t>
      </w:r>
      <w:r>
        <w:rPr>
          <w:rFonts w:hint="eastAsia" w:ascii="宋体" w:hAnsi="宋体" w:cs="宋体"/>
          <w:color w:val="auto"/>
          <w:sz w:val="24"/>
          <w:highlight w:val="none"/>
        </w:rPr>
        <w:tab/>
      </w:r>
      <w:r>
        <w:rPr>
          <w:rFonts w:hint="eastAsia" w:ascii="宋体" w:hAnsi="宋体" w:cs="宋体"/>
          <w:color w:val="auto"/>
          <w:sz w:val="24"/>
          <w:highlight w:val="none"/>
        </w:rPr>
        <w:t>（签字）</w:t>
      </w:r>
    </w:p>
    <w:p w14:paraId="793ED338">
      <w:pPr>
        <w:pStyle w:val="4"/>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w:t>
      </w:r>
    </w:p>
    <w:p w14:paraId="69026629">
      <w:pPr>
        <w:pStyle w:val="4"/>
        <w:overflowPunct w:val="0"/>
        <w:spacing w:line="360" w:lineRule="auto"/>
        <w:ind w:firstLineChars="175"/>
        <w:contextualSpacing/>
        <w:rPr>
          <w:rFonts w:ascii="宋体" w:hAnsi="宋体" w:cs="宋体"/>
          <w:color w:val="auto"/>
          <w:sz w:val="24"/>
          <w:highlight w:val="none"/>
        </w:rPr>
      </w:pPr>
    </w:p>
    <w:p w14:paraId="07378FD6">
      <w:pPr>
        <w:pStyle w:val="4"/>
        <w:overflowPunct w:val="0"/>
        <w:spacing w:line="360" w:lineRule="auto"/>
        <w:ind w:firstLineChars="175"/>
        <w:contextualSpacing/>
        <w:jc w:val="right"/>
        <w:rPr>
          <w:rFonts w:ascii="宋体" w:hAnsi="宋体" w:cs="宋体"/>
          <w:b/>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rPr>
        <w:tab/>
      </w:r>
      <w:r>
        <w:rPr>
          <w:rFonts w:hint="eastAsia" w:ascii="宋体" w:hAnsi="宋体" w:cs="宋体"/>
          <w:color w:val="auto"/>
          <w:sz w:val="24"/>
          <w:highlight w:val="none"/>
        </w:rPr>
        <w:t xml:space="preserve">年 </w:t>
      </w:r>
      <w:r>
        <w:rPr>
          <w:rFonts w:hint="eastAsia" w:ascii="宋体" w:hAnsi="宋体" w:cs="宋体"/>
          <w:color w:val="auto"/>
          <w:sz w:val="24"/>
          <w:highlight w:val="none"/>
        </w:rPr>
        <w:tab/>
      </w:r>
      <w:r>
        <w:rPr>
          <w:rFonts w:hint="eastAsia" w:ascii="宋体" w:hAnsi="宋体" w:cs="宋体"/>
          <w:color w:val="auto"/>
          <w:sz w:val="24"/>
          <w:highlight w:val="none"/>
        </w:rPr>
        <w:t xml:space="preserve">月 </w:t>
      </w:r>
      <w:r>
        <w:rPr>
          <w:rFonts w:hint="eastAsia" w:ascii="宋体" w:hAnsi="宋体" w:cs="宋体"/>
          <w:color w:val="auto"/>
          <w:sz w:val="24"/>
          <w:highlight w:val="none"/>
        </w:rPr>
        <w:tab/>
      </w:r>
      <w:r>
        <w:rPr>
          <w:rFonts w:hint="eastAsia" w:ascii="宋体" w:hAnsi="宋体" w:cs="宋体"/>
          <w:color w:val="auto"/>
          <w:sz w:val="24"/>
          <w:highlight w:val="none"/>
        </w:rPr>
        <w:t>日</w:t>
      </w:r>
    </w:p>
    <w:p w14:paraId="787EB784">
      <w:pPr>
        <w:snapToGrid w:val="0"/>
        <w:spacing w:before="120" w:beforeLines="50" w:after="50"/>
        <w:jc w:val="left"/>
        <w:rPr>
          <w:rFonts w:ascii="宋体" w:hAnsi="宋体" w:cs="宋体"/>
          <w:b/>
          <w:color w:val="auto"/>
          <w:sz w:val="24"/>
          <w:highlight w:val="none"/>
        </w:rPr>
      </w:pPr>
    </w:p>
    <w:p w14:paraId="0F433187">
      <w:pPr>
        <w:snapToGrid w:val="0"/>
        <w:spacing w:before="120" w:beforeLines="50" w:after="50"/>
        <w:jc w:val="left"/>
        <w:rPr>
          <w:rFonts w:ascii="宋体" w:hAnsi="宋体" w:cs="宋体"/>
          <w:b/>
          <w:color w:val="auto"/>
          <w:sz w:val="24"/>
          <w:highlight w:val="none"/>
        </w:rPr>
      </w:pPr>
    </w:p>
    <w:p w14:paraId="24309A99">
      <w:pPr>
        <w:spacing w:line="360" w:lineRule="auto"/>
        <w:jc w:val="lef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24"/>
          <w:highlight w:val="none"/>
          <w:lang w:val="en-US" w:eastAsia="zh-CN"/>
        </w:rPr>
        <w:t>2</w:t>
      </w:r>
      <w:r>
        <w:rPr>
          <w:rFonts w:hint="eastAsia" w:ascii="宋体" w:hAnsi="宋体" w:cs="宋体"/>
          <w:b/>
          <w:color w:val="auto"/>
          <w:sz w:val="24"/>
          <w:highlight w:val="none"/>
        </w:rPr>
        <w:t>.质疑函格式</w:t>
      </w:r>
    </w:p>
    <w:p w14:paraId="3D466621">
      <w:pPr>
        <w:spacing w:line="36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质疑函</w:t>
      </w:r>
    </w:p>
    <w:p w14:paraId="110A921D">
      <w:pPr>
        <w:pStyle w:val="13"/>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13BD530F">
      <w:pPr>
        <w:pStyle w:val="13"/>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2C32E732">
      <w:pPr>
        <w:pStyle w:val="13"/>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48C619F">
      <w:pPr>
        <w:pStyle w:val="13"/>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1580DF44">
      <w:pPr>
        <w:pStyle w:val="13"/>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p>
    <w:p w14:paraId="0F4087F1">
      <w:pPr>
        <w:pStyle w:val="13"/>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191F4BD2">
      <w:pPr>
        <w:pStyle w:val="13"/>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28DF50DE">
      <w:pPr>
        <w:pStyle w:val="13"/>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二、质疑项目基本情况：</w:t>
      </w:r>
    </w:p>
    <w:p w14:paraId="4D623D0D">
      <w:pPr>
        <w:pStyle w:val="13"/>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2D3583B0">
      <w:pPr>
        <w:pStyle w:val="13"/>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54FC11A7">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01A0B35F">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w:t>
      </w:r>
    </w:p>
    <w:p w14:paraId="241C45B9">
      <w:pPr>
        <w:pStyle w:val="13"/>
        <w:spacing w:line="360" w:lineRule="auto"/>
        <w:ind w:left="25" w:leftChars="12" w:firstLine="352" w:firstLineChars="147"/>
        <w:rPr>
          <w:rFonts w:hAnsi="宋体" w:cs="宋体"/>
          <w:color w:val="auto"/>
          <w:sz w:val="24"/>
          <w:szCs w:val="24"/>
          <w:highlight w:val="none"/>
        </w:rPr>
      </w:pPr>
      <w:r>
        <w:rPr>
          <w:rFonts w:hint="eastAsia" w:hAnsi="宋体" w:cs="宋体"/>
          <w:color w:val="auto"/>
          <w:sz w:val="24"/>
          <w:szCs w:val="24"/>
          <w:highlight w:val="none"/>
        </w:rPr>
        <w:t>□招标文件   招标文件获取日期：</w:t>
      </w:r>
      <w:r>
        <w:rPr>
          <w:rFonts w:hint="eastAsia" w:hAnsi="宋体" w:cs="宋体"/>
          <w:bCs/>
          <w:color w:val="auto"/>
          <w:sz w:val="24"/>
          <w:szCs w:val="24"/>
          <w:highlight w:val="none"/>
          <w:u w:val="single"/>
        </w:rPr>
        <w:t xml:space="preserve">                                   </w:t>
      </w:r>
    </w:p>
    <w:p w14:paraId="77A60191">
      <w:pPr>
        <w:pStyle w:val="13"/>
        <w:spacing w:line="360" w:lineRule="auto"/>
        <w:ind w:left="25" w:leftChars="12" w:firstLine="352" w:firstLineChars="147"/>
        <w:rPr>
          <w:rFonts w:hAnsi="宋体" w:cs="宋体"/>
          <w:color w:val="auto"/>
          <w:sz w:val="24"/>
          <w:szCs w:val="24"/>
          <w:highlight w:val="none"/>
        </w:rPr>
      </w:pPr>
      <w:r>
        <w:rPr>
          <w:rFonts w:hint="eastAsia" w:hAnsi="宋体" w:cs="宋体"/>
          <w:color w:val="auto"/>
          <w:sz w:val="24"/>
          <w:szCs w:val="24"/>
          <w:highlight w:val="none"/>
        </w:rPr>
        <w:t xml:space="preserve">□采购过程   </w:t>
      </w:r>
    </w:p>
    <w:p w14:paraId="54DC3229">
      <w:pPr>
        <w:pStyle w:val="13"/>
        <w:spacing w:line="360" w:lineRule="auto"/>
        <w:ind w:left="25" w:leftChars="12" w:firstLine="352" w:firstLineChars="147"/>
        <w:rPr>
          <w:rFonts w:hAnsi="宋体" w:cs="宋体"/>
          <w:bCs/>
          <w:color w:val="auto"/>
          <w:sz w:val="24"/>
          <w:szCs w:val="24"/>
          <w:highlight w:val="none"/>
          <w:u w:val="single"/>
        </w:rPr>
      </w:pPr>
      <w:r>
        <w:rPr>
          <w:rFonts w:hint="eastAsia" w:hAnsi="宋体" w:cs="宋体"/>
          <w:color w:val="auto"/>
          <w:sz w:val="24"/>
          <w:szCs w:val="24"/>
          <w:highlight w:val="none"/>
        </w:rPr>
        <w:t xml:space="preserve">□中标结果   </w:t>
      </w:r>
    </w:p>
    <w:p w14:paraId="5DDB0A5F">
      <w:pPr>
        <w:pStyle w:val="13"/>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三、质疑事项具体内容</w:t>
      </w:r>
    </w:p>
    <w:p w14:paraId="249A6CE6">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质疑事项1：</w:t>
      </w:r>
      <w:r>
        <w:rPr>
          <w:rFonts w:hint="eastAsia" w:hAnsi="宋体" w:cs="宋体"/>
          <w:bCs/>
          <w:color w:val="auto"/>
          <w:sz w:val="24"/>
          <w:szCs w:val="24"/>
          <w:highlight w:val="none"/>
          <w:u w:val="single"/>
        </w:rPr>
        <w:t xml:space="preserve">                                                                    </w:t>
      </w:r>
    </w:p>
    <w:p w14:paraId="4B292B39">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事实依据：</w:t>
      </w:r>
      <w:r>
        <w:rPr>
          <w:rFonts w:hint="eastAsia" w:hAnsi="宋体" w:cs="宋体"/>
          <w:bCs/>
          <w:color w:val="auto"/>
          <w:sz w:val="24"/>
          <w:szCs w:val="24"/>
          <w:highlight w:val="none"/>
          <w:u w:val="single"/>
        </w:rPr>
        <w:t xml:space="preserve">                                                                      </w:t>
      </w:r>
    </w:p>
    <w:p w14:paraId="0731627A">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法律依据：</w:t>
      </w:r>
      <w:r>
        <w:rPr>
          <w:rFonts w:hint="eastAsia" w:hAnsi="宋体" w:cs="宋体"/>
          <w:color w:val="auto"/>
          <w:sz w:val="24"/>
          <w:szCs w:val="24"/>
          <w:highlight w:val="none"/>
          <w:u w:val="single"/>
        </w:rPr>
        <w:t xml:space="preserve">                                                        </w:t>
      </w:r>
      <w:r>
        <w:rPr>
          <w:rFonts w:hint="eastAsia" w:hAnsi="宋体" w:cs="宋体"/>
          <w:bCs/>
          <w:color w:val="auto"/>
          <w:sz w:val="24"/>
          <w:szCs w:val="24"/>
          <w:highlight w:val="none"/>
          <w:u w:val="single"/>
        </w:rPr>
        <w:t xml:space="preserve">               </w:t>
      </w:r>
    </w:p>
    <w:p w14:paraId="48BF62AF">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质疑事项2</w:t>
      </w:r>
    </w:p>
    <w:p w14:paraId="07C80EFD">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w:t>
      </w:r>
    </w:p>
    <w:p w14:paraId="12126C2E">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四、与质疑事项相关的质疑请求：</w:t>
      </w:r>
    </w:p>
    <w:p w14:paraId="791658EC">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3EFEE6B9">
      <w:pPr>
        <w:pStyle w:val="13"/>
        <w:spacing w:line="360" w:lineRule="auto"/>
        <w:ind w:left="25" w:leftChars="12" w:firstLine="352" w:firstLineChars="147"/>
        <w:rPr>
          <w:rFonts w:hAnsi="宋体" w:cs="宋体"/>
          <w:color w:val="auto"/>
          <w:sz w:val="24"/>
          <w:szCs w:val="24"/>
          <w:highlight w:val="none"/>
        </w:rPr>
      </w:pPr>
    </w:p>
    <w:p w14:paraId="43BB3291">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签字（签章）：                                       公章：</w:t>
      </w:r>
    </w:p>
    <w:p w14:paraId="02BAEA86">
      <w:pPr>
        <w:pStyle w:val="13"/>
        <w:spacing w:line="360" w:lineRule="auto"/>
        <w:ind w:left="25" w:leftChars="12" w:firstLine="352" w:firstLineChars="147"/>
        <w:rPr>
          <w:rFonts w:hAnsi="宋体" w:cs="宋体"/>
          <w:color w:val="auto"/>
          <w:sz w:val="24"/>
          <w:szCs w:val="24"/>
          <w:highlight w:val="none"/>
        </w:rPr>
      </w:pPr>
    </w:p>
    <w:p w14:paraId="4134111B">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p>
    <w:p w14:paraId="33C54B7B">
      <w:pPr>
        <w:pStyle w:val="13"/>
        <w:snapToGrid w:val="0"/>
        <w:spacing w:line="360" w:lineRule="auto"/>
        <w:rPr>
          <w:rFonts w:hAnsi="宋体" w:cs="宋体"/>
          <w:b/>
          <w:color w:val="auto"/>
          <w:sz w:val="24"/>
          <w:szCs w:val="24"/>
          <w:highlight w:val="none"/>
        </w:rPr>
      </w:pPr>
    </w:p>
    <w:p w14:paraId="2DFED0FC">
      <w:pPr>
        <w:pStyle w:val="13"/>
        <w:snapToGrid w:val="0"/>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04021E62">
      <w:pPr>
        <w:pStyle w:val="13"/>
        <w:spacing w:line="360" w:lineRule="auto"/>
        <w:ind w:left="25" w:leftChars="12" w:firstLine="354" w:firstLineChars="147"/>
        <w:rPr>
          <w:rFonts w:hAnsi="宋体" w:cs="宋体"/>
          <w:b/>
          <w:bCs/>
          <w:color w:val="auto"/>
          <w:sz w:val="24"/>
          <w:szCs w:val="24"/>
          <w:highlight w:val="none"/>
        </w:rPr>
      </w:pPr>
      <w:r>
        <w:rPr>
          <w:rFonts w:hint="eastAsia" w:hAnsi="宋体" w:cs="宋体"/>
          <w:b/>
          <w:color w:val="auto"/>
          <w:sz w:val="24"/>
          <w:szCs w:val="24"/>
          <w:highlight w:val="none"/>
        </w:rPr>
        <w:t>1.供应商提出质疑时，应提交质疑函和必要的证明材料</w:t>
      </w:r>
      <w:r>
        <w:rPr>
          <w:rFonts w:hint="eastAsia" w:hAnsi="宋体" w:cs="宋体"/>
          <w:b/>
          <w:bCs/>
          <w:color w:val="auto"/>
          <w:sz w:val="24"/>
          <w:szCs w:val="24"/>
          <w:highlight w:val="none"/>
        </w:rPr>
        <w:t>。</w:t>
      </w:r>
    </w:p>
    <w:p w14:paraId="6112D774">
      <w:pPr>
        <w:pStyle w:val="13"/>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E4C62E2">
      <w:pPr>
        <w:pStyle w:val="13"/>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3.质疑函的质疑事项应具体、明确，并有必要的事实依据和法律依据。</w:t>
      </w:r>
    </w:p>
    <w:p w14:paraId="58CFD800">
      <w:pPr>
        <w:pStyle w:val="13"/>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4.质疑函的质疑请求应与质疑事项相关。</w:t>
      </w:r>
    </w:p>
    <w:p w14:paraId="578FA974">
      <w:pPr>
        <w:pStyle w:val="13"/>
        <w:spacing w:line="360" w:lineRule="auto"/>
        <w:ind w:left="25" w:leftChars="12" w:firstLine="354" w:firstLineChars="147"/>
        <w:rPr>
          <w:rFonts w:hAnsi="宋体" w:cs="宋体"/>
          <w:b/>
          <w:color w:val="auto"/>
          <w:highlight w:val="none"/>
        </w:rPr>
      </w:pPr>
      <w:r>
        <w:rPr>
          <w:rFonts w:hint="eastAsia" w:hAnsi="宋体" w:cs="宋体"/>
          <w:b/>
          <w:color w:val="auto"/>
          <w:sz w:val="24"/>
          <w:szCs w:val="24"/>
          <w:highlight w:val="none"/>
        </w:rPr>
        <w:t>5.质疑供应商为法人或者其他组织的，质疑函应由法定代表人、主要负责人，或者其授权代表签字或者盖章，并加盖公章。</w:t>
      </w:r>
    </w:p>
    <w:p w14:paraId="0F997FDC">
      <w:pPr>
        <w:pStyle w:val="13"/>
        <w:snapToGrid w:val="0"/>
        <w:rPr>
          <w:rFonts w:hAnsi="宋体" w:cs="宋体"/>
          <w:b/>
          <w:color w:val="auto"/>
          <w:sz w:val="24"/>
          <w:szCs w:val="24"/>
          <w:highlight w:val="none"/>
        </w:rPr>
      </w:pPr>
    </w:p>
    <w:p w14:paraId="3997DADD">
      <w:pPr>
        <w:spacing w:line="360" w:lineRule="auto"/>
        <w:jc w:val="left"/>
        <w:rPr>
          <w:rFonts w:ascii="宋体" w:hAnsi="宋体" w:cs="宋体"/>
          <w:b/>
          <w:bCs/>
          <w:color w:val="auto"/>
          <w:sz w:val="32"/>
          <w:szCs w:val="32"/>
          <w:highlight w:val="none"/>
        </w:rPr>
      </w:pPr>
      <w:r>
        <w:rPr>
          <w:rFonts w:hint="eastAsia" w:ascii="宋体" w:hAnsi="宋体" w:cs="宋体"/>
          <w:color w:val="auto"/>
          <w:sz w:val="44"/>
          <w:highlight w:val="none"/>
        </w:rPr>
        <w:br w:type="page"/>
      </w:r>
      <w:r>
        <w:rPr>
          <w:rFonts w:hint="eastAsia" w:ascii="宋体" w:hAnsi="宋体" w:cs="宋体"/>
          <w:b/>
          <w:color w:val="auto"/>
          <w:sz w:val="24"/>
          <w:highlight w:val="none"/>
          <w:lang w:val="en-US" w:eastAsia="zh-CN"/>
        </w:rPr>
        <w:t>3</w:t>
      </w:r>
      <w:r>
        <w:rPr>
          <w:rFonts w:hint="eastAsia" w:ascii="宋体" w:hAnsi="宋体" w:cs="宋体"/>
          <w:b/>
          <w:color w:val="auto"/>
          <w:sz w:val="24"/>
          <w:highlight w:val="none"/>
        </w:rPr>
        <w:t>.投诉书格式</w:t>
      </w:r>
    </w:p>
    <w:p w14:paraId="79B38A40">
      <w:pPr>
        <w:jc w:val="center"/>
        <w:rPr>
          <w:rFonts w:ascii="宋体" w:hAnsi="宋体" w:cs="宋体"/>
          <w:color w:val="auto"/>
          <w:sz w:val="44"/>
          <w:szCs w:val="44"/>
          <w:highlight w:val="none"/>
        </w:rPr>
      </w:pPr>
      <w:r>
        <w:rPr>
          <w:rFonts w:hint="eastAsia" w:ascii="宋体" w:hAnsi="宋体" w:cs="宋体"/>
          <w:color w:val="auto"/>
          <w:sz w:val="44"/>
          <w:szCs w:val="44"/>
          <w:highlight w:val="none"/>
        </w:rPr>
        <w:t>投诉书</w:t>
      </w:r>
    </w:p>
    <w:p w14:paraId="6E8D805A">
      <w:pPr>
        <w:pStyle w:val="13"/>
        <w:snapToGrid w:val="0"/>
        <w:spacing w:line="440" w:lineRule="exact"/>
        <w:ind w:firstLine="482" w:firstLineChars="200"/>
        <w:rPr>
          <w:rFonts w:hAnsi="宋体" w:cs="宋体"/>
          <w:b/>
          <w:bCs/>
          <w:color w:val="auto"/>
          <w:sz w:val="24"/>
          <w:szCs w:val="24"/>
          <w:highlight w:val="none"/>
        </w:rPr>
      </w:pPr>
    </w:p>
    <w:p w14:paraId="0C597FC9">
      <w:pPr>
        <w:pStyle w:val="13"/>
        <w:snapToGrid w:val="0"/>
        <w:spacing w:line="440" w:lineRule="exact"/>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2AE8C2D0">
      <w:pPr>
        <w:pStyle w:val="13"/>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投标人：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6969A6B8">
      <w:pPr>
        <w:pStyle w:val="13"/>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0CC0280A">
      <w:pPr>
        <w:pStyle w:val="13"/>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bCs/>
          <w:color w:val="auto"/>
          <w:sz w:val="24"/>
          <w:szCs w:val="24"/>
          <w:highlight w:val="none"/>
          <w:u w:val="single"/>
        </w:rPr>
        <w:t xml:space="preserve">                                                         </w:t>
      </w:r>
    </w:p>
    <w:p w14:paraId="29A630B4">
      <w:pPr>
        <w:pStyle w:val="13"/>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07BE782B">
      <w:pPr>
        <w:pStyle w:val="13"/>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1CDE301B">
      <w:pPr>
        <w:pStyle w:val="13"/>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7E4E7460">
      <w:pPr>
        <w:pStyle w:val="13"/>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6A823390">
      <w:pPr>
        <w:pStyle w:val="13"/>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被投诉人1：</w:t>
      </w:r>
    </w:p>
    <w:p w14:paraId="35651995">
      <w:pPr>
        <w:pStyle w:val="13"/>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794E1DCB">
      <w:pPr>
        <w:pStyle w:val="13"/>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04FE323">
      <w:pPr>
        <w:pStyle w:val="13"/>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6F848D38">
      <w:pPr>
        <w:pStyle w:val="13"/>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被投诉人2：</w:t>
      </w:r>
    </w:p>
    <w:p w14:paraId="39CC5328">
      <w:pPr>
        <w:pStyle w:val="13"/>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w:t>
      </w:r>
    </w:p>
    <w:p w14:paraId="4614508C">
      <w:pPr>
        <w:pStyle w:val="13"/>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bCs/>
          <w:color w:val="auto"/>
          <w:sz w:val="24"/>
          <w:szCs w:val="24"/>
          <w:highlight w:val="none"/>
          <w:u w:val="single"/>
        </w:rPr>
        <w:t xml:space="preserve">                                                                       </w:t>
      </w:r>
    </w:p>
    <w:p w14:paraId="16147C75">
      <w:pPr>
        <w:pStyle w:val="13"/>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p>
    <w:p w14:paraId="7BC9C0F9">
      <w:pPr>
        <w:pStyle w:val="13"/>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377C2D14">
      <w:pPr>
        <w:pStyle w:val="13"/>
        <w:snapToGrid w:val="0"/>
        <w:spacing w:line="440" w:lineRule="exact"/>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二、投诉项目基本情况：</w:t>
      </w:r>
    </w:p>
    <w:p w14:paraId="7044DA45">
      <w:pPr>
        <w:pStyle w:val="13"/>
        <w:spacing w:line="440" w:lineRule="exact"/>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4C42D462">
      <w:pPr>
        <w:pStyle w:val="13"/>
        <w:spacing w:line="440" w:lineRule="exact"/>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40BCE46E">
      <w:pPr>
        <w:pStyle w:val="13"/>
        <w:spacing w:line="440" w:lineRule="exact"/>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74A97932">
      <w:pPr>
        <w:pStyle w:val="13"/>
        <w:spacing w:line="440" w:lineRule="exact"/>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bCs/>
          <w:color w:val="auto"/>
          <w:sz w:val="24"/>
          <w:szCs w:val="24"/>
          <w:highlight w:val="none"/>
          <w:u w:val="single"/>
        </w:rPr>
        <w:t xml:space="preserve">                                                                      </w:t>
      </w:r>
    </w:p>
    <w:p w14:paraId="40628DFB">
      <w:pPr>
        <w:pStyle w:val="13"/>
        <w:spacing w:line="440" w:lineRule="exact"/>
        <w:ind w:left="25" w:leftChars="12" w:firstLine="472" w:firstLineChars="197"/>
        <w:rPr>
          <w:rFonts w:hAnsi="宋体" w:cs="宋体"/>
          <w:bCs/>
          <w:color w:val="auto"/>
          <w:sz w:val="24"/>
          <w:szCs w:val="24"/>
          <w:highlight w:val="none"/>
          <w:u w:val="single"/>
        </w:rPr>
      </w:pPr>
      <w:r>
        <w:rPr>
          <w:rFonts w:hint="eastAsia" w:hAnsi="宋体" w:cs="宋体"/>
          <w:bCs/>
          <w:color w:val="auto"/>
          <w:sz w:val="24"/>
          <w:szCs w:val="24"/>
          <w:highlight w:val="none"/>
        </w:rPr>
        <w:t>招标文件公告：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5EF539D4">
      <w:pPr>
        <w:pStyle w:val="13"/>
        <w:spacing w:line="440" w:lineRule="exact"/>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400E8EBC">
      <w:pPr>
        <w:pStyle w:val="13"/>
        <w:spacing w:line="440" w:lineRule="exact"/>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三、质疑基本情况</w:t>
      </w:r>
    </w:p>
    <w:p w14:paraId="6E4E9D5A">
      <w:pPr>
        <w:pStyle w:val="13"/>
        <w:spacing w:line="440" w:lineRule="exact"/>
        <w:ind w:left="25" w:leftChars="12" w:firstLine="480" w:firstLineChars="200"/>
        <w:rPr>
          <w:rFonts w:hAnsi="宋体" w:cs="宋体"/>
          <w:color w:val="auto"/>
          <w:sz w:val="24"/>
          <w:szCs w:val="24"/>
          <w:highlight w:val="none"/>
        </w:rPr>
      </w:pPr>
      <w:r>
        <w:rPr>
          <w:rFonts w:hint="eastAsia" w:hAnsi="宋体" w:cs="宋体"/>
          <w:color w:val="auto"/>
          <w:sz w:val="24"/>
          <w:szCs w:val="24"/>
          <w:highlight w:val="none"/>
        </w:rPr>
        <w:t>投诉人于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日，向</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提出质疑，质疑事项为：</w:t>
      </w:r>
    </w:p>
    <w:p w14:paraId="761F104A">
      <w:pPr>
        <w:pStyle w:val="13"/>
        <w:spacing w:line="440" w:lineRule="exact"/>
        <w:ind w:firstLine="241"/>
        <w:rPr>
          <w:rFonts w:hAnsi="宋体" w:cs="宋体"/>
          <w:bCs/>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78096CEE">
      <w:pPr>
        <w:pStyle w:val="13"/>
        <w:spacing w:line="440" w:lineRule="exact"/>
        <w:ind w:firstLine="241"/>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7CC4BF9C">
      <w:pPr>
        <w:pStyle w:val="13"/>
        <w:spacing w:line="440" w:lineRule="exact"/>
        <w:ind w:firstLine="480" w:firstLineChars="200"/>
        <w:rPr>
          <w:rFonts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r>
        <w:rPr>
          <w:rFonts w:hint="eastAsia" w:hAnsi="宋体" w:cs="宋体"/>
          <w:bCs/>
          <w:color w:val="auto"/>
          <w:sz w:val="24"/>
          <w:szCs w:val="24"/>
          <w:highlight w:val="none"/>
        </w:rPr>
        <w:t xml:space="preserve">就质疑事项作出了答复/没有在法定期限内作出答复。                                                                                             </w:t>
      </w:r>
    </w:p>
    <w:p w14:paraId="06FB582F">
      <w:pPr>
        <w:pStyle w:val="13"/>
        <w:spacing w:line="440" w:lineRule="exact"/>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四、投诉事项具体内容</w:t>
      </w:r>
    </w:p>
    <w:p w14:paraId="2A7B0D80">
      <w:pPr>
        <w:pStyle w:val="13"/>
        <w:spacing w:line="440" w:lineRule="exact"/>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投诉事项1：</w:t>
      </w:r>
      <w:r>
        <w:rPr>
          <w:rFonts w:hint="eastAsia" w:hAnsi="宋体" w:cs="宋体"/>
          <w:bCs/>
          <w:color w:val="auto"/>
          <w:sz w:val="24"/>
          <w:szCs w:val="24"/>
          <w:highlight w:val="none"/>
          <w:u w:val="single"/>
        </w:rPr>
        <w:t xml:space="preserve">                                                                           </w:t>
      </w:r>
    </w:p>
    <w:p w14:paraId="03B3EED5">
      <w:pPr>
        <w:pStyle w:val="13"/>
        <w:spacing w:line="440" w:lineRule="exact"/>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事实依据：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4339E191">
      <w:pPr>
        <w:pStyle w:val="13"/>
        <w:spacing w:line="440" w:lineRule="exact"/>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u w:val="single"/>
        </w:rPr>
        <w:t xml:space="preserve">                                                                                        </w:t>
      </w:r>
    </w:p>
    <w:p w14:paraId="63840FF5">
      <w:pPr>
        <w:pStyle w:val="13"/>
        <w:spacing w:line="440" w:lineRule="exact"/>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法律依据：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119BA2D3">
      <w:pPr>
        <w:pStyle w:val="13"/>
        <w:spacing w:line="440" w:lineRule="exact"/>
        <w:ind w:left="25" w:leftChars="12" w:firstLine="352" w:firstLineChars="147"/>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31E46346">
      <w:pPr>
        <w:pStyle w:val="13"/>
        <w:spacing w:line="440" w:lineRule="exact"/>
        <w:ind w:left="25" w:leftChars="12" w:firstLine="472" w:firstLineChars="197"/>
        <w:rPr>
          <w:rFonts w:hAnsi="宋体" w:cs="宋体"/>
          <w:bCs/>
          <w:color w:val="auto"/>
          <w:sz w:val="24"/>
          <w:szCs w:val="24"/>
          <w:highlight w:val="none"/>
        </w:rPr>
      </w:pPr>
      <w:r>
        <w:rPr>
          <w:rFonts w:hint="eastAsia" w:hAnsi="宋体" w:cs="宋体"/>
          <w:color w:val="auto"/>
          <w:sz w:val="24"/>
          <w:szCs w:val="24"/>
          <w:highlight w:val="none"/>
        </w:rPr>
        <w:t xml:space="preserve">投诉事项2  </w:t>
      </w:r>
      <w:r>
        <w:rPr>
          <w:rFonts w:hint="eastAsia" w:hAnsi="宋体" w:cs="宋体"/>
          <w:bCs/>
          <w:color w:val="auto"/>
          <w:sz w:val="24"/>
          <w:szCs w:val="24"/>
          <w:highlight w:val="none"/>
        </w:rPr>
        <w:t xml:space="preserve">   </w:t>
      </w:r>
    </w:p>
    <w:p w14:paraId="6A39A7CF">
      <w:pPr>
        <w:pStyle w:val="13"/>
        <w:spacing w:line="440" w:lineRule="exact"/>
        <w:ind w:left="25" w:leftChars="12" w:firstLine="472" w:firstLineChars="197"/>
        <w:rPr>
          <w:rFonts w:hAnsi="宋体" w:cs="宋体"/>
          <w:bCs/>
          <w:color w:val="auto"/>
          <w:sz w:val="24"/>
          <w:szCs w:val="24"/>
          <w:highlight w:val="none"/>
        </w:rPr>
      </w:pPr>
      <w:r>
        <w:rPr>
          <w:rFonts w:hint="eastAsia" w:hAnsi="宋体" w:cs="宋体"/>
          <w:bCs/>
          <w:color w:val="auto"/>
          <w:sz w:val="24"/>
          <w:szCs w:val="24"/>
          <w:highlight w:val="none"/>
        </w:rPr>
        <w:t>……</w:t>
      </w:r>
    </w:p>
    <w:p w14:paraId="340ABC5B">
      <w:pPr>
        <w:pStyle w:val="13"/>
        <w:spacing w:line="440" w:lineRule="exact"/>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57BA24E3">
      <w:pPr>
        <w:pStyle w:val="13"/>
        <w:spacing w:line="440" w:lineRule="exact"/>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0E9B07F4">
      <w:pPr>
        <w:pStyle w:val="13"/>
        <w:spacing w:line="440" w:lineRule="exact"/>
        <w:ind w:left="25" w:leftChars="12" w:firstLine="352" w:firstLineChars="147"/>
        <w:rPr>
          <w:rFonts w:hAnsi="宋体" w:cs="宋体"/>
          <w:color w:val="auto"/>
          <w:sz w:val="24"/>
          <w:szCs w:val="24"/>
          <w:highlight w:val="none"/>
        </w:rPr>
      </w:pPr>
    </w:p>
    <w:p w14:paraId="1DB449C3">
      <w:pPr>
        <w:pStyle w:val="13"/>
        <w:spacing w:line="440" w:lineRule="exact"/>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签字（签章）：                                       公章：</w:t>
      </w:r>
    </w:p>
    <w:p w14:paraId="7DF98D51">
      <w:pPr>
        <w:pStyle w:val="13"/>
        <w:spacing w:line="440" w:lineRule="exact"/>
        <w:ind w:left="25" w:leftChars="12" w:firstLine="352" w:firstLineChars="147"/>
        <w:rPr>
          <w:rFonts w:hAnsi="宋体" w:cs="宋体"/>
          <w:color w:val="auto"/>
          <w:sz w:val="24"/>
          <w:szCs w:val="24"/>
          <w:highlight w:val="none"/>
        </w:rPr>
      </w:pPr>
    </w:p>
    <w:p w14:paraId="47AC367F">
      <w:pPr>
        <w:pStyle w:val="13"/>
        <w:spacing w:line="440" w:lineRule="exact"/>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p>
    <w:p w14:paraId="7C92C817">
      <w:pPr>
        <w:pStyle w:val="13"/>
        <w:spacing w:line="440" w:lineRule="exact"/>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 xml:space="preserve">                                                                              </w:t>
      </w:r>
    </w:p>
    <w:p w14:paraId="5E5FF443">
      <w:pPr>
        <w:pStyle w:val="13"/>
        <w:snapToGrid w:val="0"/>
        <w:spacing w:line="440" w:lineRule="exact"/>
        <w:rPr>
          <w:rFonts w:hAnsi="宋体" w:cs="宋体"/>
          <w:b/>
          <w:color w:val="auto"/>
          <w:sz w:val="24"/>
          <w:szCs w:val="24"/>
          <w:highlight w:val="none"/>
        </w:rPr>
      </w:pPr>
      <w:r>
        <w:rPr>
          <w:rFonts w:hint="eastAsia" w:hAnsi="宋体" w:cs="宋体"/>
          <w:b/>
          <w:color w:val="auto"/>
          <w:sz w:val="24"/>
          <w:szCs w:val="24"/>
          <w:highlight w:val="none"/>
        </w:rPr>
        <w:t>说明：</w:t>
      </w:r>
    </w:p>
    <w:p w14:paraId="453B36ED">
      <w:pPr>
        <w:pStyle w:val="13"/>
        <w:spacing w:line="440" w:lineRule="exact"/>
        <w:ind w:left="25" w:leftChars="12" w:firstLine="354" w:firstLineChars="147"/>
        <w:rPr>
          <w:rFonts w:hAnsi="宋体" w:cs="宋体"/>
          <w:b/>
          <w:bCs/>
          <w:color w:val="auto"/>
          <w:sz w:val="24"/>
          <w:szCs w:val="24"/>
          <w:highlight w:val="none"/>
        </w:rPr>
      </w:pPr>
      <w:r>
        <w:rPr>
          <w:rFonts w:hint="eastAsia" w:hAnsi="宋体" w:cs="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sz w:val="24"/>
          <w:szCs w:val="24"/>
          <w:highlight w:val="none"/>
        </w:rPr>
        <w:t>。</w:t>
      </w:r>
    </w:p>
    <w:p w14:paraId="7048CC3C">
      <w:pPr>
        <w:pStyle w:val="13"/>
        <w:spacing w:line="440" w:lineRule="exact"/>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FE68CD4">
      <w:pPr>
        <w:pStyle w:val="13"/>
        <w:spacing w:line="440" w:lineRule="exact"/>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3.投诉书应简要列明质疑事项，质疑函、质疑答复等作为附件材料提供。</w:t>
      </w:r>
    </w:p>
    <w:p w14:paraId="1136F395">
      <w:pPr>
        <w:pStyle w:val="13"/>
        <w:spacing w:line="440" w:lineRule="exact"/>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4.投诉书的投诉事项应具体、明确，并有必要的事实依据和法律依据。</w:t>
      </w:r>
    </w:p>
    <w:p w14:paraId="55BF2FDE">
      <w:pPr>
        <w:pStyle w:val="13"/>
        <w:spacing w:line="440" w:lineRule="exact"/>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5.投诉书的投诉请求应与投诉事项相关。</w:t>
      </w:r>
    </w:p>
    <w:p w14:paraId="5EA4320D">
      <w:pPr>
        <w:pStyle w:val="13"/>
        <w:spacing w:line="440" w:lineRule="exact"/>
        <w:ind w:left="25" w:leftChars="12" w:firstLine="354" w:firstLineChars="147"/>
        <w:rPr>
          <w:rFonts w:hAnsi="宋体" w:cs="宋体"/>
          <w:b/>
          <w:color w:val="auto"/>
          <w:highlight w:val="none"/>
        </w:rPr>
      </w:pPr>
      <w:r>
        <w:rPr>
          <w:rFonts w:hint="eastAsia" w:hAnsi="宋体" w:cs="宋体"/>
          <w:b/>
          <w:color w:val="auto"/>
          <w:sz w:val="24"/>
          <w:szCs w:val="24"/>
          <w:highlight w:val="none"/>
        </w:rPr>
        <w:t>6.投诉人为法人或者其他组织的，投诉书应由法定代表人、主要负责人，或者其授权代表签字或者盖章，并加盖公章。</w:t>
      </w:r>
    </w:p>
    <w:p w14:paraId="0B598BB0">
      <w:pPr>
        <w:rPr>
          <w:rFonts w:ascii="宋体" w:hAnsi="宋体" w:cs="宋体"/>
          <w:color w:val="auto"/>
          <w:highlight w:val="none"/>
        </w:rPr>
      </w:pPr>
    </w:p>
    <w:p w14:paraId="773D2EEA">
      <w:pPr>
        <w:rPr>
          <w:color w:val="auto"/>
          <w:highlight w:val="none"/>
        </w:rPr>
      </w:pPr>
    </w:p>
    <w:p w14:paraId="54DD7FCE">
      <w:pPr>
        <w:rPr>
          <w:color w:val="auto"/>
          <w:highlight w:val="none"/>
        </w:rPr>
      </w:pPr>
    </w:p>
    <w:sectPr>
      <w:footerReference r:id="rId11" w:type="first"/>
      <w:headerReference r:id="rId8" w:type="default"/>
      <w:footerReference r:id="rId9" w:type="default"/>
      <w:footerReference r:id="rId10" w:type="even"/>
      <w:pgSz w:w="11906" w:h="16838"/>
      <w:pgMar w:top="1134" w:right="1134" w:bottom="1134" w:left="113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Wingdings 2">
    <w:altName w:val="Wingdings"/>
    <w:panose1 w:val="05020102010507070707"/>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C5579">
    <w:pPr>
      <w:pStyle w:val="15"/>
      <w:framePr w:wrap="around" w:vAnchor="text" w:hAnchor="margin" w:xAlign="center" w:y="1"/>
      <w:rPr>
        <w:rStyle w:val="24"/>
      </w:rPr>
    </w:pPr>
    <w:r>
      <w:fldChar w:fldCharType="begin"/>
    </w:r>
    <w:r>
      <w:rPr>
        <w:rStyle w:val="24"/>
      </w:rPr>
      <w:instrText xml:space="preserve">PAGE  </w:instrText>
    </w:r>
    <w:r>
      <w:fldChar w:fldCharType="end"/>
    </w:r>
  </w:p>
  <w:p w14:paraId="0582644F">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00E1D">
    <w:pPr>
      <w:pStyle w:val="15"/>
      <w:ind w:right="36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7513E">
    <w:pPr>
      <w:pStyle w:val="15"/>
      <w:tabs>
        <w:tab w:val="center" w:pos="7402"/>
        <w:tab w:val="left" w:pos="8189"/>
      </w:tabs>
      <w:jc w:val="lef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E7F887">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5E7F887">
                    <w:pPr>
                      <w:pStyle w:val="15"/>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AEB41">
    <w:pPr>
      <w:pStyle w:val="15"/>
      <w:ind w:right="360"/>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BAF690">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4BAF690">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A6142">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112C9D">
                          <w:pPr>
                            <w:pStyle w:val="15"/>
                          </w:pPr>
                          <w:r>
                            <w:fldChar w:fldCharType="begin"/>
                          </w:r>
                          <w:r>
                            <w:instrText xml:space="preserve"> PAGE  \* MERGEFORMAT </w:instrText>
                          </w:r>
                          <w:r>
                            <w:fldChar w:fldCharType="separate"/>
                          </w:r>
                          <w:r>
                            <w:t>131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5112C9D">
                    <w:pPr>
                      <w:pStyle w:val="15"/>
                    </w:pPr>
                    <w:r>
                      <w:fldChar w:fldCharType="begin"/>
                    </w:r>
                    <w:r>
                      <w:instrText xml:space="preserve"> PAGE  \* MERGEFORMAT </w:instrText>
                    </w:r>
                    <w:r>
                      <w:fldChar w:fldCharType="separate"/>
                    </w:r>
                    <w:r>
                      <w:t>131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02B54">
    <w:pPr>
      <w:pStyle w:val="15"/>
      <w:framePr w:wrap="around" w:vAnchor="text" w:hAnchor="margin" w:xAlign="center" w:y="1"/>
      <w:rPr>
        <w:rStyle w:val="24"/>
      </w:rPr>
    </w:pPr>
    <w:r>
      <w:fldChar w:fldCharType="begin"/>
    </w:r>
    <w:r>
      <w:rPr>
        <w:rStyle w:val="24"/>
      </w:rPr>
      <w:instrText xml:space="preserve">PAGE  </w:instrText>
    </w:r>
    <w:r>
      <w:fldChar w:fldCharType="end"/>
    </w:r>
  </w:p>
  <w:p w14:paraId="571FEAAC">
    <w:pPr>
      <w:pStyle w:val="1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6B0F9">
    <w:pPr>
      <w:pStyle w:val="15"/>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6E7F3">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73DA8">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01917"/>
    <w:multiLevelType w:val="singleLevel"/>
    <w:tmpl w:val="4C601917"/>
    <w:lvl w:ilvl="0" w:tentative="0">
      <w:start w:val="1"/>
      <w:numFmt w:val="decimal"/>
      <w:suff w:val="nothing"/>
      <w:lvlText w:val="（%1）"/>
      <w:lvlJc w:val="left"/>
      <w:pPr>
        <w:ind w:left="-2"/>
      </w:pPr>
    </w:lvl>
  </w:abstractNum>
  <w:abstractNum w:abstractNumId="1">
    <w:nsid w:val="5FABD14B"/>
    <w:multiLevelType w:val="singleLevel"/>
    <w:tmpl w:val="5FABD14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wMzVlYjRkNTdiOTRiNDJmY2FjMDRiYjdhYTRmYzcifQ=="/>
  </w:docVars>
  <w:rsids>
    <w:rsidRoot w:val="007F0A5A"/>
    <w:rsid w:val="00200F12"/>
    <w:rsid w:val="0041400D"/>
    <w:rsid w:val="0048430D"/>
    <w:rsid w:val="006C50DA"/>
    <w:rsid w:val="007F0A5A"/>
    <w:rsid w:val="009F62FA"/>
    <w:rsid w:val="00C07165"/>
    <w:rsid w:val="00E655BE"/>
    <w:rsid w:val="02775BC8"/>
    <w:rsid w:val="02856CD0"/>
    <w:rsid w:val="028C11CF"/>
    <w:rsid w:val="02E1151B"/>
    <w:rsid w:val="035109F6"/>
    <w:rsid w:val="036044A6"/>
    <w:rsid w:val="03DC5E5A"/>
    <w:rsid w:val="040C0C23"/>
    <w:rsid w:val="046B2F6F"/>
    <w:rsid w:val="04844854"/>
    <w:rsid w:val="05BC099E"/>
    <w:rsid w:val="05D66FFB"/>
    <w:rsid w:val="06B52926"/>
    <w:rsid w:val="076B3A99"/>
    <w:rsid w:val="078F0B7A"/>
    <w:rsid w:val="08856399"/>
    <w:rsid w:val="08AB3D97"/>
    <w:rsid w:val="094D4E6D"/>
    <w:rsid w:val="0A2B4D6E"/>
    <w:rsid w:val="0BA75722"/>
    <w:rsid w:val="0BB67557"/>
    <w:rsid w:val="0BC24561"/>
    <w:rsid w:val="0CDA3D15"/>
    <w:rsid w:val="0CF76C84"/>
    <w:rsid w:val="0E343F36"/>
    <w:rsid w:val="0F2A5FF8"/>
    <w:rsid w:val="0F437BFC"/>
    <w:rsid w:val="0FEC1A3E"/>
    <w:rsid w:val="11C36366"/>
    <w:rsid w:val="1212349F"/>
    <w:rsid w:val="121B7B02"/>
    <w:rsid w:val="129E5C9F"/>
    <w:rsid w:val="12A06CFD"/>
    <w:rsid w:val="12A10E0E"/>
    <w:rsid w:val="12E808EA"/>
    <w:rsid w:val="13517FF7"/>
    <w:rsid w:val="13FC049B"/>
    <w:rsid w:val="14476A59"/>
    <w:rsid w:val="148368D6"/>
    <w:rsid w:val="152B6F4B"/>
    <w:rsid w:val="15494821"/>
    <w:rsid w:val="1653448D"/>
    <w:rsid w:val="168153E0"/>
    <w:rsid w:val="16CF4991"/>
    <w:rsid w:val="16EE1759"/>
    <w:rsid w:val="174C1201"/>
    <w:rsid w:val="17885D0C"/>
    <w:rsid w:val="19D46B6A"/>
    <w:rsid w:val="1A091C0D"/>
    <w:rsid w:val="1A142876"/>
    <w:rsid w:val="1A545960"/>
    <w:rsid w:val="1B490142"/>
    <w:rsid w:val="1BEA044D"/>
    <w:rsid w:val="1BF11096"/>
    <w:rsid w:val="1C414ED9"/>
    <w:rsid w:val="1CF27D59"/>
    <w:rsid w:val="1E5135A1"/>
    <w:rsid w:val="1EA500C6"/>
    <w:rsid w:val="1F047C8A"/>
    <w:rsid w:val="1F3233D2"/>
    <w:rsid w:val="1FBA3593"/>
    <w:rsid w:val="20C24A42"/>
    <w:rsid w:val="219C57B1"/>
    <w:rsid w:val="21BC6E53"/>
    <w:rsid w:val="22CA1734"/>
    <w:rsid w:val="23997158"/>
    <w:rsid w:val="23B90C1A"/>
    <w:rsid w:val="24E770D1"/>
    <w:rsid w:val="26931B6D"/>
    <w:rsid w:val="26B97F35"/>
    <w:rsid w:val="27D8630F"/>
    <w:rsid w:val="27EF72FB"/>
    <w:rsid w:val="27FA3096"/>
    <w:rsid w:val="28A333D1"/>
    <w:rsid w:val="28AC5FA3"/>
    <w:rsid w:val="295A45F4"/>
    <w:rsid w:val="2A1B7E72"/>
    <w:rsid w:val="2AA50E28"/>
    <w:rsid w:val="2ABE135C"/>
    <w:rsid w:val="2B3B26AF"/>
    <w:rsid w:val="2B5067BD"/>
    <w:rsid w:val="2B632F45"/>
    <w:rsid w:val="2BB02254"/>
    <w:rsid w:val="2D1F2FAB"/>
    <w:rsid w:val="2DAB0551"/>
    <w:rsid w:val="2EE27157"/>
    <w:rsid w:val="2F2C1809"/>
    <w:rsid w:val="2FBC2844"/>
    <w:rsid w:val="3211759F"/>
    <w:rsid w:val="32B57372"/>
    <w:rsid w:val="3330341C"/>
    <w:rsid w:val="337D5D68"/>
    <w:rsid w:val="342C3ECF"/>
    <w:rsid w:val="345745CA"/>
    <w:rsid w:val="36AA6330"/>
    <w:rsid w:val="37AE5168"/>
    <w:rsid w:val="38002A5F"/>
    <w:rsid w:val="385A4E78"/>
    <w:rsid w:val="38882263"/>
    <w:rsid w:val="397C3770"/>
    <w:rsid w:val="39AD200E"/>
    <w:rsid w:val="39F8091D"/>
    <w:rsid w:val="3A502507"/>
    <w:rsid w:val="3B924C19"/>
    <w:rsid w:val="3BB43153"/>
    <w:rsid w:val="3C1D37D9"/>
    <w:rsid w:val="3C445EF4"/>
    <w:rsid w:val="3D0F77C0"/>
    <w:rsid w:val="3D7B789B"/>
    <w:rsid w:val="3D9F5C7F"/>
    <w:rsid w:val="3DC3732E"/>
    <w:rsid w:val="3FEE5B29"/>
    <w:rsid w:val="419C5398"/>
    <w:rsid w:val="43AC40F5"/>
    <w:rsid w:val="44D76224"/>
    <w:rsid w:val="45BE2A1A"/>
    <w:rsid w:val="45D97854"/>
    <w:rsid w:val="45EE1AFF"/>
    <w:rsid w:val="462A3742"/>
    <w:rsid w:val="46D16F7A"/>
    <w:rsid w:val="47072195"/>
    <w:rsid w:val="472A0594"/>
    <w:rsid w:val="477601FD"/>
    <w:rsid w:val="47860C61"/>
    <w:rsid w:val="47901DF8"/>
    <w:rsid w:val="47A345BE"/>
    <w:rsid w:val="47BB036A"/>
    <w:rsid w:val="47C77D0D"/>
    <w:rsid w:val="48B3438D"/>
    <w:rsid w:val="493C25D4"/>
    <w:rsid w:val="4A02381D"/>
    <w:rsid w:val="4A29760D"/>
    <w:rsid w:val="4A7C17DE"/>
    <w:rsid w:val="4AD14082"/>
    <w:rsid w:val="4ADD00FF"/>
    <w:rsid w:val="4BAE2A13"/>
    <w:rsid w:val="4C0A0767"/>
    <w:rsid w:val="4DA058F8"/>
    <w:rsid w:val="4EE71637"/>
    <w:rsid w:val="4EF23735"/>
    <w:rsid w:val="4FC15923"/>
    <w:rsid w:val="50344C87"/>
    <w:rsid w:val="513B38A2"/>
    <w:rsid w:val="52AD5048"/>
    <w:rsid w:val="52F73E2B"/>
    <w:rsid w:val="53202F66"/>
    <w:rsid w:val="533267F6"/>
    <w:rsid w:val="53404033"/>
    <w:rsid w:val="54CE7437"/>
    <w:rsid w:val="55731378"/>
    <w:rsid w:val="558C74F9"/>
    <w:rsid w:val="577358B3"/>
    <w:rsid w:val="581C404A"/>
    <w:rsid w:val="58271E62"/>
    <w:rsid w:val="58402897"/>
    <w:rsid w:val="58A84AF3"/>
    <w:rsid w:val="58B42443"/>
    <w:rsid w:val="59A221BB"/>
    <w:rsid w:val="5A56101C"/>
    <w:rsid w:val="5B6C7C26"/>
    <w:rsid w:val="5C3F7C10"/>
    <w:rsid w:val="5CAA7096"/>
    <w:rsid w:val="5CBD5382"/>
    <w:rsid w:val="5DA82EFC"/>
    <w:rsid w:val="5F5024DD"/>
    <w:rsid w:val="60966616"/>
    <w:rsid w:val="612726EC"/>
    <w:rsid w:val="615D7134"/>
    <w:rsid w:val="61933383"/>
    <w:rsid w:val="61B70247"/>
    <w:rsid w:val="61C176C2"/>
    <w:rsid w:val="63481F22"/>
    <w:rsid w:val="63CE55F6"/>
    <w:rsid w:val="64BC23C3"/>
    <w:rsid w:val="64EC38A5"/>
    <w:rsid w:val="65625ED6"/>
    <w:rsid w:val="65973BF4"/>
    <w:rsid w:val="66094681"/>
    <w:rsid w:val="663E2758"/>
    <w:rsid w:val="664663E8"/>
    <w:rsid w:val="667E2026"/>
    <w:rsid w:val="66805D9E"/>
    <w:rsid w:val="670D5158"/>
    <w:rsid w:val="679551B5"/>
    <w:rsid w:val="67EB086B"/>
    <w:rsid w:val="68057461"/>
    <w:rsid w:val="688E2417"/>
    <w:rsid w:val="69EB1442"/>
    <w:rsid w:val="6A5457B2"/>
    <w:rsid w:val="6A9C10AA"/>
    <w:rsid w:val="6AB73D58"/>
    <w:rsid w:val="6B102BC9"/>
    <w:rsid w:val="6B37524E"/>
    <w:rsid w:val="6B824366"/>
    <w:rsid w:val="6B864269"/>
    <w:rsid w:val="6BA665DF"/>
    <w:rsid w:val="6C523D39"/>
    <w:rsid w:val="6CF821BE"/>
    <w:rsid w:val="6D0E4E2B"/>
    <w:rsid w:val="6D6261FE"/>
    <w:rsid w:val="6D9B558B"/>
    <w:rsid w:val="6DEC3D19"/>
    <w:rsid w:val="6E900B48"/>
    <w:rsid w:val="6EDA1A06"/>
    <w:rsid w:val="6F2E3EBD"/>
    <w:rsid w:val="6FCA12D5"/>
    <w:rsid w:val="7135634D"/>
    <w:rsid w:val="71F236B9"/>
    <w:rsid w:val="71F8448B"/>
    <w:rsid w:val="7285473C"/>
    <w:rsid w:val="72D640D7"/>
    <w:rsid w:val="735428A5"/>
    <w:rsid w:val="745919DD"/>
    <w:rsid w:val="74746816"/>
    <w:rsid w:val="74A62F76"/>
    <w:rsid w:val="75361F0E"/>
    <w:rsid w:val="755D2483"/>
    <w:rsid w:val="75E35C12"/>
    <w:rsid w:val="760948BD"/>
    <w:rsid w:val="77AC6B1D"/>
    <w:rsid w:val="783B2F1F"/>
    <w:rsid w:val="787D038F"/>
    <w:rsid w:val="78B260EE"/>
    <w:rsid w:val="79486671"/>
    <w:rsid w:val="79764ACD"/>
    <w:rsid w:val="79F00FFB"/>
    <w:rsid w:val="7A717C2F"/>
    <w:rsid w:val="7B2B430B"/>
    <w:rsid w:val="7B6E436F"/>
    <w:rsid w:val="7B9516AC"/>
    <w:rsid w:val="7CE72CDE"/>
    <w:rsid w:val="7DC47E0B"/>
    <w:rsid w:val="7F1B26B0"/>
    <w:rsid w:val="7FC56178"/>
    <w:rsid w:val="7FED44E8"/>
    <w:rsid w:val="7FF02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caption"/>
    <w:basedOn w:val="1"/>
    <w:next w:val="1"/>
    <w:qFormat/>
    <w:uiPriority w:val="0"/>
    <w:pPr>
      <w:spacing w:before="152" w:after="160"/>
    </w:pPr>
    <w:rPr>
      <w:rFonts w:ascii="Arial" w:hAnsi="Arial" w:eastAsia="黑体" w:cs="Arial"/>
      <w:sz w:val="20"/>
      <w:szCs w:val="20"/>
    </w:rPr>
  </w:style>
  <w:style w:type="paragraph" w:styleId="6">
    <w:name w:val="toa heading"/>
    <w:basedOn w:val="1"/>
    <w:next w:val="1"/>
    <w:unhideWhenUsed/>
    <w:qFormat/>
    <w:uiPriority w:val="99"/>
    <w:pPr>
      <w:spacing w:before="120"/>
    </w:pPr>
    <w:rPr>
      <w:rFonts w:ascii="Arial" w:hAnsi="Arial"/>
      <w:sz w:val="24"/>
    </w:rPr>
  </w:style>
  <w:style w:type="paragraph" w:styleId="7">
    <w:name w:val="annotation text"/>
    <w:basedOn w:val="1"/>
    <w:link w:val="29"/>
    <w:unhideWhenUsed/>
    <w:qFormat/>
    <w:uiPriority w:val="0"/>
    <w:pPr>
      <w:jc w:val="left"/>
    </w:pPr>
  </w:style>
  <w:style w:type="paragraph" w:styleId="8">
    <w:name w:val="Body Text 3"/>
    <w:basedOn w:val="1"/>
    <w:qFormat/>
    <w:uiPriority w:val="0"/>
    <w:pPr>
      <w:spacing w:line="500" w:lineRule="exact"/>
    </w:pPr>
    <w:rPr>
      <w:b/>
      <w:bCs/>
      <w:kern w:val="0"/>
      <w:sz w:val="24"/>
    </w:rPr>
  </w:style>
  <w:style w:type="paragraph" w:styleId="9">
    <w:name w:val="Body Text"/>
    <w:basedOn w:val="1"/>
    <w:next w:val="10"/>
    <w:qFormat/>
    <w:uiPriority w:val="99"/>
    <w:pPr>
      <w:spacing w:line="380" w:lineRule="exact"/>
    </w:pPr>
    <w:rPr>
      <w:kern w:val="0"/>
      <w:sz w:val="24"/>
    </w:r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1">
    <w:name w:val="Body Text Indent"/>
    <w:basedOn w:val="1"/>
    <w:qFormat/>
    <w:uiPriority w:val="0"/>
    <w:pPr>
      <w:ind w:firstLine="830" w:firstLineChars="352"/>
    </w:pPr>
    <w:rPr>
      <w:rFonts w:ascii="仿宋_GB2312" w:eastAsia="仿宋_GB2312"/>
      <w:kern w:val="0"/>
      <w:sz w:val="32"/>
      <w:szCs w:val="20"/>
    </w:rPr>
  </w:style>
  <w:style w:type="paragraph" w:styleId="12">
    <w:name w:val="List 2"/>
    <w:basedOn w:val="1"/>
    <w:qFormat/>
    <w:uiPriority w:val="0"/>
    <w:pPr>
      <w:ind w:left="100" w:leftChars="200" w:hanging="200" w:hangingChars="200"/>
    </w:pPr>
    <w:rPr>
      <w:sz w:val="28"/>
    </w:rPr>
  </w:style>
  <w:style w:type="paragraph" w:styleId="13">
    <w:name w:val="Plain Text"/>
    <w:basedOn w:val="1"/>
    <w:qFormat/>
    <w:uiPriority w:val="0"/>
    <w:rPr>
      <w:rFonts w:ascii="宋体" w:hAnsi="Courier New"/>
      <w:kern w:val="0"/>
      <w:sz w:val="20"/>
      <w:szCs w:val="21"/>
    </w:rPr>
  </w:style>
  <w:style w:type="paragraph" w:styleId="14">
    <w:name w:val="Balloon Text"/>
    <w:basedOn w:val="1"/>
    <w:link w:val="28"/>
    <w:qFormat/>
    <w:uiPriority w:val="0"/>
    <w:rPr>
      <w:sz w:val="18"/>
      <w:szCs w:val="18"/>
    </w:rPr>
  </w:style>
  <w:style w:type="paragraph" w:styleId="15">
    <w:name w:val="footer"/>
    <w:basedOn w:val="1"/>
    <w:unhideWhenUsed/>
    <w:qFormat/>
    <w:uiPriority w:val="99"/>
    <w:pPr>
      <w:tabs>
        <w:tab w:val="center" w:pos="4153"/>
        <w:tab w:val="right" w:pos="8306"/>
      </w:tabs>
      <w:snapToGrid w:val="0"/>
      <w:jc w:val="left"/>
    </w:pPr>
    <w:rPr>
      <w:kern w:val="0"/>
      <w:sz w:val="18"/>
      <w:szCs w:val="18"/>
    </w:rPr>
  </w:style>
  <w:style w:type="paragraph" w:styleId="16">
    <w:name w:val="header"/>
    <w:basedOn w:val="1"/>
    <w:unhideWhenUsed/>
    <w:qFormat/>
    <w:uiPriority w:val="99"/>
    <w:pPr>
      <w:pBdr>
        <w:bottom w:val="single" w:color="auto" w:sz="6" w:space="1"/>
      </w:pBdr>
      <w:tabs>
        <w:tab w:val="center" w:pos="0"/>
        <w:tab w:val="left" w:pos="8306"/>
      </w:tabs>
      <w:snapToGrid w:val="0"/>
      <w:jc w:val="center"/>
    </w:pPr>
    <w:rPr>
      <w:sz w:val="18"/>
      <w:szCs w:val="18"/>
    </w:rPr>
  </w:style>
  <w:style w:type="paragraph" w:styleId="17">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18">
    <w:name w:val="List"/>
    <w:basedOn w:val="1"/>
    <w:qFormat/>
    <w:uiPriority w:val="0"/>
    <w:pPr>
      <w:ind w:left="200" w:hanging="200" w:hangingChars="200"/>
    </w:pPr>
    <w:rPr>
      <w:sz w:val="28"/>
    </w:rPr>
  </w:style>
  <w:style w:type="paragraph" w:styleId="19">
    <w:name w:val="toc 2"/>
    <w:basedOn w:val="1"/>
    <w:next w:val="1"/>
    <w:unhideWhenUsed/>
    <w:qFormat/>
    <w:uiPriority w:val="39"/>
    <w:pPr>
      <w:ind w:left="420" w:leftChars="200"/>
    </w:p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annotation subject"/>
    <w:basedOn w:val="7"/>
    <w:next w:val="7"/>
    <w:link w:val="30"/>
    <w:qFormat/>
    <w:uiPriority w:val="0"/>
    <w:rPr>
      <w:b/>
      <w:bCs/>
    </w:rPr>
  </w:style>
  <w:style w:type="character" w:styleId="24">
    <w:name w:val="page number"/>
    <w:qFormat/>
    <w:uiPriority w:val="0"/>
  </w:style>
  <w:style w:type="character" w:styleId="25">
    <w:name w:val="Hyperlink"/>
    <w:qFormat/>
    <w:uiPriority w:val="99"/>
    <w:rPr>
      <w:color w:val="000000"/>
      <w:u w:val="none"/>
    </w:rPr>
  </w:style>
  <w:style w:type="character" w:styleId="26">
    <w:name w:val="annotation reference"/>
    <w:unhideWhenUsed/>
    <w:qFormat/>
    <w:uiPriority w:val="0"/>
    <w:rPr>
      <w:sz w:val="21"/>
      <w:szCs w:val="21"/>
    </w:rPr>
  </w:style>
  <w:style w:type="paragraph" w:customStyle="1" w:styleId="27">
    <w:name w:val="表格文字"/>
    <w:basedOn w:val="1"/>
    <w:next w:val="9"/>
    <w:qFormat/>
    <w:uiPriority w:val="0"/>
    <w:pPr>
      <w:spacing w:before="25" w:after="25"/>
      <w:jc w:val="left"/>
    </w:pPr>
    <w:rPr>
      <w:bCs/>
      <w:spacing w:val="10"/>
      <w:kern w:val="0"/>
      <w:sz w:val="24"/>
    </w:rPr>
  </w:style>
  <w:style w:type="character" w:customStyle="1" w:styleId="28">
    <w:name w:val="批注框文本 Char"/>
    <w:basedOn w:val="23"/>
    <w:link w:val="14"/>
    <w:qFormat/>
    <w:uiPriority w:val="0"/>
    <w:rPr>
      <w:kern w:val="2"/>
      <w:sz w:val="18"/>
      <w:szCs w:val="18"/>
    </w:rPr>
  </w:style>
  <w:style w:type="character" w:customStyle="1" w:styleId="29">
    <w:name w:val="批注文字 Char"/>
    <w:basedOn w:val="23"/>
    <w:link w:val="7"/>
    <w:qFormat/>
    <w:uiPriority w:val="0"/>
    <w:rPr>
      <w:kern w:val="2"/>
      <w:sz w:val="21"/>
      <w:szCs w:val="24"/>
    </w:rPr>
  </w:style>
  <w:style w:type="character" w:customStyle="1" w:styleId="30">
    <w:name w:val="批注主题 Char"/>
    <w:basedOn w:val="29"/>
    <w:link w:val="21"/>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203</Pages>
  <Words>13169</Words>
  <Characters>16632</Characters>
  <Lines>1554</Lines>
  <Paragraphs>1299</Paragraphs>
  <TotalTime>2</TotalTime>
  <ScaleCrop>false</ScaleCrop>
  <LinksUpToDate>false</LinksUpToDate>
  <CharactersWithSpaces>16981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2024-07-31T03:15:00Z</dcterms:created>
  <dc:creator>Administrator</dc:creator>
  <cp:lastModifiedBy>微信用户</cp:lastModifiedBy>
  <dcterms:modified xsi:type="dcterms:W3CDTF">2025-11-07T08:32:27Z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4C376771F6954C59A5319EBEA0A8ACD8_13</vt:lpwstr>
  </property>
  <property fmtid="{D5CDD505-2E9C-101B-9397-08002B2CF9AE}" pid="4" name="KSOTemplateDocerSaveRecord">
    <vt:lpwstr>eyJoZGlkIjoiZjU4YjJiOWNlZjRmN2MwYWFjMjY4N2NhMTA2NWRiM2IiLCJ1c2VySWQiOiIxMjU5MTAwMDUyIn0=</vt:lpwstr>
  </property>
</Properties>
</file>