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AAB42">
      <w:pPr>
        <w:spacing w:line="360" w:lineRule="auto"/>
        <w:jc w:val="center"/>
        <w:rPr>
          <w:rFonts w:hint="eastAsia" w:ascii="宋体" w:hAnsi="宋体" w:eastAsia="宋体" w:cs="宋体"/>
          <w:color w:val="auto"/>
          <w:sz w:val="52"/>
          <w:szCs w:val="52"/>
          <w:highlight w:val="none"/>
        </w:rPr>
      </w:pPr>
      <w:bookmarkStart w:id="153" w:name="_GoBack"/>
      <w:r>
        <w:rPr>
          <w:rFonts w:hint="eastAsia" w:ascii="宋体" w:hAnsi="宋体" w:eastAsia="宋体" w:cs="宋体"/>
          <w:color w:val="auto"/>
          <w:highlight w:val="none"/>
        </w:rPr>
        <w:drawing>
          <wp:inline distT="0" distB="0" distL="114300" distR="114300">
            <wp:extent cx="1031875" cy="965835"/>
            <wp:effectExtent l="0" t="0" r="4445" b="9525"/>
            <wp:docPr id="2" name="图片 2" descr="国泰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泰标志"/>
                    <pic:cNvPicPr>
                      <a:picLocks noChangeAspect="1"/>
                    </pic:cNvPicPr>
                  </pic:nvPicPr>
                  <pic:blipFill>
                    <a:blip r:embed="rId17"/>
                    <a:stretch>
                      <a:fillRect/>
                    </a:stretch>
                  </pic:blipFill>
                  <pic:spPr>
                    <a:xfrm>
                      <a:off x="0" y="0"/>
                      <a:ext cx="1031875" cy="965835"/>
                    </a:xfrm>
                    <a:prstGeom prst="rect">
                      <a:avLst/>
                    </a:prstGeom>
                    <a:noFill/>
                    <a:ln>
                      <a:noFill/>
                    </a:ln>
                  </pic:spPr>
                </pic:pic>
              </a:graphicData>
            </a:graphic>
          </wp:inline>
        </w:drawing>
      </w:r>
    </w:p>
    <w:p w14:paraId="0FD0D117">
      <w:pPr>
        <w:bidi w:val="0"/>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rPr>
        <w:t>广西国泰招标咨询有限公司</w:t>
      </w:r>
    </w:p>
    <w:p w14:paraId="37F7A93C">
      <w:pPr>
        <w:pStyle w:val="14"/>
        <w:jc w:val="center"/>
        <w:rPr>
          <w:rFonts w:hint="eastAsia" w:ascii="宋体" w:hAnsi="宋体" w:eastAsia="宋体" w:cs="宋体"/>
          <w:color w:val="auto"/>
          <w:spacing w:val="28"/>
          <w:sz w:val="64"/>
          <w:szCs w:val="64"/>
          <w:highlight w:val="none"/>
        </w:rPr>
      </w:pPr>
      <w:r>
        <w:rPr>
          <w:rFonts w:hint="eastAsia" w:ascii="宋体" w:hAnsi="宋体" w:eastAsia="宋体" w:cs="宋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FAAo1gAAAAgBAAAPAAAAAAAAAAEAIAAAACIAAABkcnMvZG93bnJldi54bWxQSwECFAAUAAAA&#10;CACHTuJAN7EvLPABAADnAwAADgAAAAAAAAABACAAAAAlAQAAZHJzL2Uyb0RvYy54bWxQSwUGAAAA&#10;AAYABgBZAQAAhwUAAAAA&#10;">
                <v:fill on="f" focussize="0,0"/>
                <v:stroke weight="1pt" color="#000000" joinstyle="round"/>
                <v:imagedata o:title=""/>
                <o:lock v:ext="edit" aspectratio="f"/>
              </v:line>
            </w:pict>
          </mc:Fallback>
        </mc:AlternateContent>
      </w:r>
    </w:p>
    <w:p w14:paraId="749F54AB">
      <w:pPr>
        <w:snapToGrid w:val="0"/>
        <w:spacing w:before="120" w:beforeLines="50" w:line="360" w:lineRule="auto"/>
        <w:jc w:val="center"/>
        <w:rPr>
          <w:rFonts w:hint="eastAsia" w:ascii="宋体" w:hAnsi="宋体" w:eastAsia="宋体" w:cs="宋体"/>
          <w:color w:val="auto"/>
          <w:sz w:val="72"/>
          <w:szCs w:val="72"/>
          <w:highlight w:val="none"/>
        </w:rPr>
      </w:pPr>
    </w:p>
    <w:p w14:paraId="09ACC8FC">
      <w:pPr>
        <w:snapToGrid w:val="0"/>
        <w:spacing w:before="156" w:beforeLines="50" w:line="360" w:lineRule="auto"/>
        <w:jc w:val="center"/>
        <w:rPr>
          <w:rFonts w:hint="eastAsia" w:ascii="宋体" w:hAnsi="宋体" w:eastAsia="宋体" w:cs="宋体"/>
          <w:color w:val="auto"/>
          <w:sz w:val="120"/>
          <w:szCs w:val="120"/>
          <w:highlight w:val="none"/>
        </w:rPr>
      </w:pPr>
      <w:r>
        <w:rPr>
          <w:rFonts w:hint="eastAsia" w:ascii="宋体" w:hAnsi="宋体" w:eastAsia="宋体" w:cs="宋体"/>
          <w:color w:val="auto"/>
          <w:sz w:val="120"/>
          <w:szCs w:val="120"/>
          <w:highlight w:val="none"/>
        </w:rPr>
        <w:t>竞争性磋商文件</w:t>
      </w:r>
    </w:p>
    <w:p w14:paraId="6D3F31DA">
      <w:pPr>
        <w:rPr>
          <w:rFonts w:hint="eastAsia" w:ascii="宋体" w:hAnsi="宋体" w:eastAsia="宋体" w:cs="宋体"/>
          <w:b/>
          <w:bCs/>
          <w:color w:val="auto"/>
          <w:w w:val="95"/>
          <w:sz w:val="30"/>
          <w:szCs w:val="30"/>
          <w:highlight w:val="none"/>
        </w:rPr>
      </w:pPr>
    </w:p>
    <w:p w14:paraId="49977DEC">
      <w:pPr>
        <w:pStyle w:val="15"/>
        <w:rPr>
          <w:rFonts w:hint="eastAsia" w:ascii="宋体" w:hAnsi="宋体" w:eastAsia="宋体" w:cs="宋体"/>
          <w:b/>
          <w:bCs/>
          <w:color w:val="auto"/>
          <w:w w:val="95"/>
          <w:sz w:val="30"/>
          <w:szCs w:val="30"/>
          <w:highlight w:val="none"/>
        </w:rPr>
      </w:pPr>
    </w:p>
    <w:p w14:paraId="07FCA057">
      <w:pPr>
        <w:rPr>
          <w:rFonts w:hint="eastAsia" w:ascii="宋体" w:hAnsi="宋体" w:eastAsia="宋体" w:cs="宋体"/>
          <w:b/>
          <w:bCs/>
          <w:color w:val="auto"/>
          <w:w w:val="95"/>
          <w:sz w:val="30"/>
          <w:szCs w:val="30"/>
          <w:highlight w:val="none"/>
        </w:rPr>
      </w:pPr>
    </w:p>
    <w:p w14:paraId="2514D486">
      <w:pPr>
        <w:pStyle w:val="15"/>
        <w:rPr>
          <w:rFonts w:hint="eastAsia" w:ascii="宋体" w:hAnsi="宋体" w:eastAsia="宋体" w:cs="宋体"/>
          <w:color w:val="auto"/>
          <w:highlight w:val="none"/>
        </w:rPr>
      </w:pPr>
    </w:p>
    <w:p w14:paraId="35D58630">
      <w:pPr>
        <w:keepNext w:val="0"/>
        <w:keepLines w:val="0"/>
        <w:pageBreakBefore w:val="0"/>
        <w:widowControl w:val="0"/>
        <w:kinsoku/>
        <w:wordWrap/>
        <w:overflowPunct/>
        <w:topLinePunct w:val="0"/>
        <w:autoSpaceDE/>
        <w:autoSpaceDN/>
        <w:bidi w:val="0"/>
        <w:adjustRightInd/>
        <w:snapToGrid/>
        <w:spacing w:line="360" w:lineRule="auto"/>
        <w:ind w:firstLine="1285" w:firstLineChars="400"/>
        <w:jc w:val="both"/>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项目名称：</w:t>
      </w:r>
      <w:r>
        <w:rPr>
          <w:rFonts w:hint="eastAsia" w:ascii="宋体" w:hAnsi="宋体" w:cs="宋体"/>
          <w:b/>
          <w:bCs/>
          <w:color w:val="auto"/>
          <w:sz w:val="32"/>
          <w:szCs w:val="32"/>
          <w:highlight w:val="none"/>
          <w:lang w:eastAsia="zh-CN"/>
        </w:rPr>
        <w:t>天等县杨湾至龙茗公路(K75-K85.556)生命安全防护工程</w:t>
      </w:r>
    </w:p>
    <w:p w14:paraId="6DA5D037">
      <w:pPr>
        <w:keepNext w:val="0"/>
        <w:keepLines w:val="0"/>
        <w:pageBreakBefore w:val="0"/>
        <w:widowControl w:val="0"/>
        <w:kinsoku/>
        <w:wordWrap/>
        <w:overflowPunct/>
        <w:topLinePunct w:val="0"/>
        <w:autoSpaceDE/>
        <w:autoSpaceDN/>
        <w:bidi w:val="0"/>
        <w:adjustRightInd/>
        <w:snapToGrid/>
        <w:spacing w:line="360" w:lineRule="auto"/>
        <w:ind w:firstLine="1285" w:firstLineChars="400"/>
        <w:jc w:val="both"/>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项目编号：</w:t>
      </w:r>
      <w:r>
        <w:rPr>
          <w:rFonts w:hint="eastAsia" w:ascii="宋体" w:hAnsi="宋体" w:cs="宋体"/>
          <w:b/>
          <w:bCs/>
          <w:color w:val="auto"/>
          <w:sz w:val="32"/>
          <w:szCs w:val="32"/>
          <w:highlight w:val="none"/>
          <w:lang w:eastAsia="zh-CN"/>
        </w:rPr>
        <w:t xml:space="preserve"> CZZC2025-C2-250194-GTZB</w:t>
      </w:r>
    </w:p>
    <w:p w14:paraId="25CB005D">
      <w:pPr>
        <w:tabs>
          <w:tab w:val="left" w:pos="4404"/>
        </w:tabs>
        <w:snapToGrid w:val="0"/>
        <w:spacing w:before="120" w:beforeLines="50" w:line="360" w:lineRule="auto"/>
        <w:ind w:firstLine="2159" w:firstLineChars="67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ab/>
      </w:r>
    </w:p>
    <w:p w14:paraId="2D063D52">
      <w:pPr>
        <w:tabs>
          <w:tab w:val="left" w:pos="4404"/>
        </w:tabs>
        <w:snapToGrid w:val="0"/>
        <w:spacing w:before="120" w:beforeLines="50" w:line="360" w:lineRule="auto"/>
        <w:ind w:firstLine="2159" w:firstLineChars="672"/>
        <w:rPr>
          <w:rFonts w:hint="eastAsia" w:ascii="宋体" w:hAnsi="宋体" w:eastAsia="宋体" w:cs="宋体"/>
          <w:b/>
          <w:color w:val="auto"/>
          <w:sz w:val="32"/>
          <w:szCs w:val="32"/>
          <w:highlight w:val="none"/>
        </w:rPr>
      </w:pPr>
    </w:p>
    <w:p w14:paraId="49EA9D5A">
      <w:pPr>
        <w:keepNext w:val="0"/>
        <w:keepLines w:val="0"/>
        <w:pageBreakBefore w:val="0"/>
        <w:widowControl w:val="0"/>
        <w:kinsoku/>
        <w:wordWrap/>
        <w:overflowPunct/>
        <w:topLinePunct w:val="0"/>
        <w:autoSpaceDE/>
        <w:autoSpaceDN/>
        <w:bidi w:val="0"/>
        <w:adjustRightInd/>
        <w:snapToGrid/>
        <w:spacing w:line="360" w:lineRule="auto"/>
        <w:ind w:firstLine="1606" w:firstLineChars="500"/>
        <w:jc w:val="lef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采购人：</w:t>
      </w:r>
      <w:r>
        <w:rPr>
          <w:rFonts w:hint="eastAsia" w:ascii="宋体" w:hAnsi="宋体" w:eastAsia="宋体" w:cs="宋体"/>
          <w:b/>
          <w:bCs/>
          <w:color w:val="auto"/>
          <w:sz w:val="32"/>
          <w:szCs w:val="32"/>
          <w:highlight w:val="none"/>
          <w:lang w:eastAsia="zh-CN"/>
        </w:rPr>
        <w:t>天等县交通运输局</w:t>
      </w:r>
    </w:p>
    <w:p w14:paraId="536DD3C4">
      <w:pPr>
        <w:keepNext w:val="0"/>
        <w:keepLines w:val="0"/>
        <w:pageBreakBefore w:val="0"/>
        <w:widowControl w:val="0"/>
        <w:kinsoku/>
        <w:wordWrap/>
        <w:overflowPunct/>
        <w:topLinePunct w:val="0"/>
        <w:autoSpaceDE/>
        <w:autoSpaceDN/>
        <w:bidi w:val="0"/>
        <w:adjustRightInd/>
        <w:snapToGrid/>
        <w:spacing w:line="360" w:lineRule="auto"/>
        <w:ind w:firstLine="1606" w:firstLineChars="500"/>
        <w:jc w:val="lef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采购代理机构：广西国泰招标咨询有限公司</w:t>
      </w:r>
    </w:p>
    <w:p w14:paraId="1C53D1A5">
      <w:pPr>
        <w:spacing w:line="360" w:lineRule="auto"/>
        <w:jc w:val="center"/>
        <w:rPr>
          <w:rFonts w:hint="eastAsia" w:ascii="宋体" w:hAnsi="宋体" w:eastAsia="宋体" w:cs="宋体"/>
          <w:b/>
          <w:color w:val="auto"/>
          <w:sz w:val="32"/>
          <w:szCs w:val="32"/>
          <w:highlight w:val="none"/>
          <w:lang w:eastAsia="zh-CN"/>
        </w:rPr>
        <w:sectPr>
          <w:footerReference r:id="rId5" w:type="first"/>
          <w:headerReference r:id="rId3" w:type="default"/>
          <w:footerReference r:id="rId4" w:type="even"/>
          <w:pgSz w:w="11906" w:h="16838"/>
          <w:pgMar w:top="1134" w:right="850" w:bottom="1134" w:left="850" w:header="851" w:footer="567" w:gutter="0"/>
          <w:cols w:space="720" w:num="1"/>
          <w:titlePg/>
          <w:docGrid w:linePitch="312" w:charSpace="0"/>
        </w:sectPr>
      </w:pPr>
      <w:r>
        <w:rPr>
          <w:rFonts w:hint="eastAsia" w:ascii="宋体" w:hAnsi="宋体" w:cs="宋体"/>
          <w:b/>
          <w:color w:val="auto"/>
          <w:sz w:val="32"/>
          <w:szCs w:val="32"/>
          <w:highlight w:val="none"/>
          <w:lang w:eastAsia="zh-CN"/>
        </w:rPr>
        <w:t>2025年10月31日</w:t>
      </w:r>
    </w:p>
    <w:sdt>
      <w:sdtPr>
        <w:rPr>
          <w:rFonts w:hint="eastAsia" w:ascii="宋体" w:hAnsi="宋体" w:eastAsia="宋体" w:cs="宋体"/>
          <w:b/>
          <w:bCs/>
          <w:color w:val="auto"/>
          <w:kern w:val="2"/>
          <w:sz w:val="44"/>
          <w:szCs w:val="44"/>
          <w:highlight w:val="none"/>
          <w:lang w:val="en-US" w:eastAsia="zh-CN" w:bidi="ar-SA"/>
        </w:rPr>
        <w:id w:val="147479166"/>
        <w15:color w:val="DBDBDB"/>
        <w:docPartObj>
          <w:docPartGallery w:val="Table of Contents"/>
          <w:docPartUnique/>
        </w:docPartObj>
      </w:sdtPr>
      <w:sdtEndPr>
        <w:rPr>
          <w:rFonts w:hint="eastAsia" w:ascii="宋体" w:hAnsi="宋体" w:eastAsia="宋体" w:cs="宋体"/>
          <w:b/>
          <w:bCs/>
          <w:color w:val="auto"/>
          <w:kern w:val="2"/>
          <w:sz w:val="44"/>
          <w:szCs w:val="44"/>
          <w:highlight w:val="none"/>
          <w:lang w:val="en-US" w:eastAsia="zh-CN" w:bidi="ar-SA"/>
        </w:rPr>
      </w:sdtEndPr>
      <w:sdtContent>
        <w:p w14:paraId="4A39636F">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4"/>
              <w:szCs w:val="44"/>
              <w:highlight w:val="none"/>
            </w:rPr>
          </w:pPr>
          <w:bookmarkStart w:id="0" w:name="_Toc16049"/>
          <w:r>
            <w:rPr>
              <w:rFonts w:hint="eastAsia" w:ascii="宋体" w:hAnsi="宋体" w:eastAsia="宋体" w:cs="宋体"/>
              <w:b/>
              <w:bCs/>
              <w:color w:val="auto"/>
              <w:sz w:val="44"/>
              <w:szCs w:val="44"/>
              <w:highlight w:val="none"/>
            </w:rPr>
            <w:t>目录</w:t>
          </w:r>
        </w:p>
        <w:p w14:paraId="38AA5329">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_Toc14095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lang w:val="en-US" w:eastAsia="zh-CN"/>
            </w:rPr>
            <w:t>第一章</w:t>
          </w:r>
          <w:r>
            <w:rPr>
              <w:rFonts w:hint="eastAsia" w:ascii="宋体" w:hAnsi="宋体" w:eastAsia="宋体" w:cs="宋体"/>
              <w:b/>
              <w:bCs/>
              <w:color w:val="auto"/>
              <w:sz w:val="28"/>
              <w:szCs w:val="28"/>
              <w:highlight w:val="none"/>
            </w:rPr>
            <w:t xml:space="preserve">  竞争性磋商公告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_Toc14095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666E7C71">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_Toc4324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第二章  供应商须知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_Toc4324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7F8820F">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_Toc13883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第三章  采购需求</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_Toc13883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189548E">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_Toc10148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第四章  响应文件格式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_Toc10148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30</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51A8E292">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_Toc331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 xml:space="preserve">第五章  </w:t>
          </w:r>
          <w:r>
            <w:rPr>
              <w:rFonts w:hint="eastAsia" w:ascii="宋体" w:hAnsi="宋体" w:eastAsia="宋体" w:cs="宋体"/>
              <w:b/>
              <w:bCs/>
              <w:color w:val="auto"/>
              <w:sz w:val="28"/>
              <w:szCs w:val="28"/>
              <w:highlight w:val="none"/>
              <w:lang w:eastAsia="zh-CN"/>
            </w:rPr>
            <w:t>拟签订的合同文本</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_Toc331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54</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D452805">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_Toc13340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 xml:space="preserve">第六章  </w:t>
          </w:r>
          <w:r>
            <w:rPr>
              <w:rFonts w:hint="eastAsia" w:ascii="宋体" w:hAnsi="宋体" w:eastAsia="宋体" w:cs="宋体"/>
              <w:b/>
              <w:bCs/>
              <w:color w:val="auto"/>
              <w:sz w:val="28"/>
              <w:szCs w:val="28"/>
              <w:highlight w:val="none"/>
              <w:lang w:eastAsia="zh-CN"/>
            </w:rPr>
            <w:t>评分办法和标准</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_Toc13340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76</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2346C6B6">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_Toc16395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第七章  技术规范</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施工图纸及工程量清单</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_Toc16395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82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DAF2F61">
          <w:pPr>
            <w:pStyle w:val="1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_Toc17419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章  其他文书、文件格式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_Toc17419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83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24EF6FF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fldChar w:fldCharType="end"/>
          </w:r>
        </w:p>
      </w:sdtContent>
    </w:sdt>
    <w:p w14:paraId="22DF7B40">
      <w:pPr>
        <w:rPr>
          <w:rFonts w:hint="eastAsia" w:ascii="宋体" w:hAnsi="宋体" w:eastAsia="宋体" w:cs="宋体"/>
          <w:color w:val="auto"/>
          <w:highlight w:val="none"/>
        </w:rPr>
      </w:pPr>
    </w:p>
    <w:p w14:paraId="195AD9BE">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lang w:val="en-US" w:eastAsia="zh-CN"/>
        </w:rPr>
        <w:sectPr>
          <w:pgSz w:w="11906" w:h="16838"/>
          <w:pgMar w:top="1134" w:right="1134" w:bottom="1134" w:left="1417" w:header="851" w:footer="851" w:gutter="0"/>
          <w:pgNumType w:fmt="decimal"/>
          <w:cols w:space="720" w:num="1"/>
          <w:formProt w:val="1"/>
          <w:docGrid w:linePitch="312" w:charSpace="43007"/>
        </w:sectPr>
      </w:pPr>
    </w:p>
    <w:p w14:paraId="553ADC76">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bookmarkStart w:id="1" w:name="_Toc14095"/>
      <w:r>
        <w:rPr>
          <w:rFonts w:hint="eastAsia" w:ascii="宋体" w:hAnsi="宋体" w:eastAsia="宋体" w:cs="宋体"/>
          <w:color w:val="auto"/>
          <w:sz w:val="32"/>
          <w:szCs w:val="32"/>
          <w:highlight w:val="none"/>
          <w:lang w:val="en-US" w:eastAsia="zh-CN"/>
        </w:rPr>
        <w:t>第一章</w:t>
      </w:r>
      <w:r>
        <w:rPr>
          <w:rFonts w:hint="eastAsia" w:ascii="宋体" w:hAnsi="宋体" w:eastAsia="宋体" w:cs="宋体"/>
          <w:color w:val="auto"/>
          <w:sz w:val="32"/>
          <w:szCs w:val="32"/>
          <w:highlight w:val="none"/>
        </w:rPr>
        <w:t xml:space="preserve">  竞争性磋商公告</w:t>
      </w:r>
      <w:bookmarkEnd w:id="0"/>
      <w:bookmarkEnd w:id="1"/>
    </w:p>
    <w:p w14:paraId="2AAC993C">
      <w:pPr>
        <w:bidi w:val="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广西国泰招标咨询有限公司</w:t>
      </w:r>
      <w:bookmarkStart w:id="2" w:name="_Toc9761"/>
      <w:r>
        <w:rPr>
          <w:rFonts w:hint="eastAsia" w:ascii="宋体" w:hAnsi="宋体" w:eastAsia="宋体" w:cs="宋体"/>
          <w:b/>
          <w:bCs/>
          <w:color w:val="auto"/>
          <w:sz w:val="30"/>
          <w:szCs w:val="30"/>
          <w:highlight w:val="none"/>
          <w:lang w:eastAsia="zh-CN"/>
        </w:rPr>
        <w:t>关于</w:t>
      </w:r>
      <w:bookmarkStart w:id="3" w:name="_Toc24127"/>
      <w:r>
        <w:rPr>
          <w:rFonts w:hint="eastAsia" w:ascii="宋体" w:hAnsi="宋体" w:cs="宋体"/>
          <w:b/>
          <w:bCs/>
          <w:color w:val="auto"/>
          <w:sz w:val="30"/>
          <w:szCs w:val="30"/>
          <w:highlight w:val="none"/>
          <w:lang w:eastAsia="zh-CN"/>
        </w:rPr>
        <w:t>天等县杨湾至龙茗公路(K75-K85.556)生命安全防护工程</w:t>
      </w:r>
      <w:r>
        <w:rPr>
          <w:rFonts w:hint="eastAsia" w:ascii="宋体" w:hAnsi="宋体" w:eastAsia="宋体" w:cs="宋体"/>
          <w:b/>
          <w:bCs/>
          <w:color w:val="auto"/>
          <w:sz w:val="30"/>
          <w:szCs w:val="30"/>
          <w:highlight w:val="none"/>
          <w:lang w:eastAsia="zh-CN"/>
        </w:rPr>
        <w:t>（</w:t>
      </w:r>
      <w:r>
        <w:rPr>
          <w:rFonts w:hint="eastAsia" w:ascii="宋体" w:hAnsi="宋体" w:cs="宋体"/>
          <w:b/>
          <w:bCs/>
          <w:color w:val="auto"/>
          <w:sz w:val="30"/>
          <w:szCs w:val="30"/>
          <w:highlight w:val="none"/>
          <w:lang w:eastAsia="zh-CN"/>
        </w:rPr>
        <w:t xml:space="preserve"> CZZC2025-C2-250194-GTZB</w:t>
      </w:r>
      <w:r>
        <w:rPr>
          <w:rFonts w:hint="eastAsia" w:ascii="宋体" w:hAnsi="宋体" w:eastAsia="宋体" w:cs="宋体"/>
          <w:b/>
          <w:bCs/>
          <w:color w:val="auto"/>
          <w:sz w:val="30"/>
          <w:szCs w:val="30"/>
          <w:highlight w:val="none"/>
          <w:lang w:eastAsia="zh-CN"/>
        </w:rPr>
        <w:t>）</w:t>
      </w:r>
      <w:bookmarkStart w:id="4" w:name="_Toc22582_WPSOffice_Level1"/>
      <w:r>
        <w:rPr>
          <w:rFonts w:hint="eastAsia" w:ascii="宋体" w:hAnsi="宋体" w:eastAsia="宋体" w:cs="宋体"/>
          <w:b/>
          <w:bCs/>
          <w:color w:val="auto"/>
          <w:sz w:val="30"/>
          <w:szCs w:val="30"/>
          <w:highlight w:val="none"/>
          <w:lang w:eastAsia="zh-CN"/>
        </w:rPr>
        <w:t>竞争性磋商公告</w:t>
      </w:r>
      <w:bookmarkEnd w:id="2"/>
      <w:bookmarkEnd w:id="3"/>
      <w:bookmarkEnd w:id="4"/>
    </w:p>
    <w:p w14:paraId="70219AD2">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2BD5D2D7">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天等县杨湾至龙茗公路(K75-K85.556)生命安全防护工程</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的潜在供应商应</w:t>
      </w:r>
      <w:r>
        <w:rPr>
          <w:rFonts w:hint="eastAsia" w:ascii="宋体" w:hAnsi="宋体" w:eastAsia="宋体" w:cs="宋体"/>
          <w:color w:val="auto"/>
          <w:sz w:val="21"/>
          <w:szCs w:val="21"/>
          <w:highlight w:val="none"/>
          <w:lang w:val="en-US" w:eastAsia="zh-CN"/>
        </w:rPr>
        <w:t>登录</w:t>
      </w:r>
      <w:r>
        <w:rPr>
          <w:rFonts w:hint="eastAsia" w:ascii="宋体" w:hAnsi="宋体" w:eastAsia="宋体" w:cs="宋体"/>
          <w:color w:val="auto"/>
          <w:sz w:val="21"/>
          <w:szCs w:val="21"/>
          <w:highlight w:val="none"/>
          <w:u w:val="single"/>
          <w:lang w:val="en-US" w:eastAsia="zh-CN"/>
        </w:rPr>
        <w:t>广西政府采购云平台（https://www.gcy.zfcg.gxzf.gov.cn/）</w:t>
      </w:r>
      <w:r>
        <w:rPr>
          <w:rFonts w:hint="eastAsia" w:ascii="宋体" w:hAnsi="宋体" w:eastAsia="宋体" w:cs="宋体"/>
          <w:color w:val="auto"/>
          <w:sz w:val="21"/>
          <w:szCs w:val="21"/>
          <w:highlight w:val="none"/>
        </w:rPr>
        <w:t>获取采购文件，并于</w:t>
      </w:r>
      <w:r>
        <w:rPr>
          <w:rFonts w:hint="eastAsia" w:ascii="宋体" w:hAnsi="宋体" w:cs="宋体"/>
          <w:color w:val="auto"/>
          <w:sz w:val="21"/>
          <w:szCs w:val="21"/>
          <w:highlight w:val="none"/>
          <w:lang w:val="en-US" w:eastAsia="zh-CN"/>
        </w:rPr>
        <w:t>2025年11月12日09时00分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24E2BB24">
      <w:pPr>
        <w:spacing w:line="360" w:lineRule="auto"/>
        <w:rPr>
          <w:rFonts w:hint="eastAsia" w:ascii="宋体" w:hAnsi="宋体" w:eastAsia="宋体" w:cs="宋体"/>
          <w:b/>
          <w:bCs/>
          <w:color w:val="auto"/>
          <w:sz w:val="21"/>
          <w:szCs w:val="21"/>
          <w:highlight w:val="none"/>
        </w:rPr>
      </w:pPr>
      <w:bookmarkStart w:id="5" w:name="_Toc28359012"/>
      <w:bookmarkStart w:id="6" w:name="_Toc35393629"/>
      <w:bookmarkStart w:id="7" w:name="_Toc35393798"/>
      <w:bookmarkStart w:id="8" w:name="_Toc28359089"/>
      <w:r>
        <w:rPr>
          <w:rFonts w:hint="eastAsia" w:ascii="宋体" w:hAnsi="宋体" w:eastAsia="宋体" w:cs="宋体"/>
          <w:b/>
          <w:bCs/>
          <w:color w:val="auto"/>
          <w:sz w:val="21"/>
          <w:szCs w:val="21"/>
          <w:highlight w:val="none"/>
        </w:rPr>
        <w:t>一、项目基本情况</w:t>
      </w:r>
      <w:bookmarkEnd w:id="5"/>
      <w:bookmarkEnd w:id="6"/>
      <w:bookmarkEnd w:id="7"/>
      <w:bookmarkEnd w:id="8"/>
      <w:r>
        <w:rPr>
          <w:rFonts w:hint="eastAsia" w:ascii="宋体" w:hAnsi="宋体" w:eastAsia="宋体" w:cs="宋体"/>
          <w:b/>
          <w:bCs/>
          <w:color w:val="auto"/>
          <w:sz w:val="21"/>
          <w:szCs w:val="21"/>
          <w:highlight w:val="none"/>
        </w:rPr>
        <w:t>：</w:t>
      </w:r>
    </w:p>
    <w:p w14:paraId="6D9C259C">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 xml:space="preserve"> CZZC2025-C2-250194-GTZB</w:t>
      </w:r>
    </w:p>
    <w:p w14:paraId="4F2EFD4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天等县杨湾至龙茗公路(K75-K85.556)生命安全防护工程</w:t>
      </w:r>
    </w:p>
    <w:p w14:paraId="363055D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采购方式：竞争性磋商</w:t>
      </w:r>
    </w:p>
    <w:p w14:paraId="3B5A489D">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w:t>
      </w:r>
      <w:r>
        <w:rPr>
          <w:rFonts w:hint="eastAsia" w:ascii="宋体" w:hAnsi="宋体" w:eastAsia="宋体" w:cs="宋体"/>
          <w:color w:val="auto"/>
          <w:sz w:val="21"/>
          <w:szCs w:val="21"/>
          <w:highlight w:val="none"/>
          <w:lang w:eastAsia="zh-CN"/>
        </w:rPr>
        <w:t>算金额</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1495126.46元</w:t>
      </w:r>
    </w:p>
    <w:p w14:paraId="3B65B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最高限价（如有）：</w:t>
      </w:r>
      <w:r>
        <w:rPr>
          <w:rFonts w:hint="eastAsia" w:ascii="宋体" w:hAnsi="宋体" w:cs="宋体"/>
          <w:color w:val="auto"/>
          <w:sz w:val="21"/>
          <w:szCs w:val="21"/>
          <w:highlight w:val="none"/>
          <w:lang w:val="en-US" w:eastAsia="zh-CN"/>
        </w:rPr>
        <w:t>1495126.46元</w:t>
      </w:r>
    </w:p>
    <w:p w14:paraId="3F330BC4">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2"/>
        <w:gridCol w:w="2210"/>
        <w:gridCol w:w="1008"/>
        <w:gridCol w:w="5304"/>
      </w:tblGrid>
      <w:tr w14:paraId="53F88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6717D36F">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10" w:type="dxa"/>
            <w:tcBorders>
              <w:top w:val="single" w:color="auto" w:sz="4" w:space="0"/>
              <w:left w:val="single" w:color="auto" w:sz="4" w:space="0"/>
              <w:bottom w:val="single" w:color="auto" w:sz="4" w:space="0"/>
              <w:right w:val="single" w:color="auto" w:sz="4" w:space="0"/>
            </w:tcBorders>
            <w:noWrap w:val="0"/>
            <w:vAlign w:val="center"/>
          </w:tcPr>
          <w:p w14:paraId="439CD41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115556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5304" w:type="dxa"/>
            <w:tcBorders>
              <w:top w:val="single" w:color="auto" w:sz="4" w:space="0"/>
              <w:left w:val="single" w:color="auto" w:sz="4" w:space="0"/>
              <w:bottom w:val="single" w:color="auto" w:sz="4" w:space="0"/>
              <w:right w:val="single" w:color="auto" w:sz="4" w:space="0"/>
            </w:tcBorders>
            <w:noWrap w:val="0"/>
            <w:vAlign w:val="center"/>
          </w:tcPr>
          <w:p w14:paraId="71EEB20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简要技术需求或者服务要求</w:t>
            </w:r>
          </w:p>
        </w:tc>
      </w:tr>
      <w:tr w14:paraId="1EBE4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4BC9622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2210" w:type="dxa"/>
            <w:tcBorders>
              <w:top w:val="single" w:color="auto" w:sz="4" w:space="0"/>
              <w:left w:val="single" w:color="auto" w:sz="4" w:space="0"/>
              <w:bottom w:val="single" w:color="auto" w:sz="4" w:space="0"/>
              <w:right w:val="single" w:color="auto" w:sz="4" w:space="0"/>
            </w:tcBorders>
            <w:noWrap w:val="0"/>
            <w:vAlign w:val="center"/>
          </w:tcPr>
          <w:p w14:paraId="09157CDA">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天等县杨湾至龙茗公路(K75-K85.556)生命安全防护工程</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39ACE93">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5304" w:type="dxa"/>
            <w:tcBorders>
              <w:top w:val="single" w:color="auto" w:sz="4" w:space="0"/>
              <w:left w:val="single" w:color="auto" w:sz="4" w:space="0"/>
              <w:bottom w:val="single" w:color="auto" w:sz="4" w:space="0"/>
              <w:right w:val="single" w:color="auto" w:sz="4" w:space="0"/>
            </w:tcBorders>
            <w:noWrap w:val="0"/>
            <w:vAlign w:val="center"/>
          </w:tcPr>
          <w:p w14:paraId="65B4773F">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建</w:t>
            </w:r>
            <w:r>
              <w:rPr>
                <w:rFonts w:hint="eastAsia" w:ascii="宋体" w:hAnsi="宋体" w:cs="宋体"/>
                <w:color w:val="auto"/>
                <w:szCs w:val="21"/>
                <w:highlight w:val="none"/>
                <w:lang w:val="en-US" w:eastAsia="zh-CN"/>
              </w:rPr>
              <w:t>设地址：天等县</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项目内容:</w:t>
            </w:r>
            <w:r>
              <w:rPr>
                <w:rFonts w:hint="eastAsia" w:ascii="宋体" w:hAnsi="宋体" w:cs="宋体"/>
                <w:color w:val="auto"/>
                <w:szCs w:val="21"/>
                <w:highlight w:val="none"/>
                <w:lang w:eastAsia="zh-CN"/>
              </w:rPr>
              <w:t>路面提升及道路安防设施</w:t>
            </w:r>
            <w:r>
              <w:rPr>
                <w:rFonts w:hint="eastAsia" w:ascii="宋体" w:hAnsi="宋体" w:eastAsia="宋体" w:cs="宋体"/>
                <w:color w:val="auto"/>
                <w:szCs w:val="21"/>
                <w:highlight w:val="none"/>
                <w:lang w:eastAsia="zh-CN"/>
              </w:rPr>
              <w:t>，以工程量清单和图纸包含的内容为准，具体内容详见</w:t>
            </w:r>
            <w:r>
              <w:rPr>
                <w:rFonts w:hint="eastAsia" w:ascii="宋体" w:hAnsi="宋体" w:eastAsia="宋体" w:cs="宋体"/>
                <w:color w:val="auto"/>
                <w:szCs w:val="21"/>
                <w:highlight w:val="none"/>
              </w:rPr>
              <w:t>竞争性磋商文件第三章《采购需求》为准</w:t>
            </w:r>
            <w:r>
              <w:rPr>
                <w:rFonts w:hint="eastAsia" w:ascii="宋体" w:hAnsi="宋体" w:eastAsia="宋体" w:cs="宋体"/>
                <w:color w:val="auto"/>
                <w:szCs w:val="21"/>
                <w:highlight w:val="none"/>
                <w:lang w:eastAsia="zh-CN"/>
              </w:rPr>
              <w:t>。</w:t>
            </w:r>
          </w:p>
        </w:tc>
      </w:tr>
    </w:tbl>
    <w:p w14:paraId="1A49E469">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合同履行</w:t>
      </w:r>
      <w:r>
        <w:rPr>
          <w:rFonts w:hint="eastAsia" w:ascii="宋体" w:hAnsi="宋体" w:eastAsia="宋体" w:cs="宋体"/>
          <w:color w:val="auto"/>
          <w:sz w:val="21"/>
          <w:szCs w:val="21"/>
          <w:highlight w:val="none"/>
        </w:rPr>
        <w:t>期限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365日历天</w:t>
      </w:r>
    </w:p>
    <w:p w14:paraId="7334FBA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w:t>
      </w:r>
    </w:p>
    <w:p w14:paraId="1F8E74F3">
      <w:pPr>
        <w:spacing w:line="360" w:lineRule="auto"/>
        <w:rPr>
          <w:rFonts w:hint="eastAsia" w:ascii="宋体" w:hAnsi="宋体" w:eastAsia="宋体" w:cs="宋体"/>
          <w:b/>
          <w:bCs/>
          <w:color w:val="auto"/>
          <w:sz w:val="21"/>
          <w:szCs w:val="21"/>
          <w:highlight w:val="none"/>
        </w:rPr>
      </w:pPr>
      <w:bookmarkStart w:id="9" w:name="_Toc35393799"/>
      <w:bookmarkStart w:id="10" w:name="_Toc35393630"/>
      <w:bookmarkStart w:id="11" w:name="_Toc28359090"/>
      <w:bookmarkStart w:id="12" w:name="_Toc28359013"/>
      <w:r>
        <w:rPr>
          <w:rFonts w:hint="eastAsia" w:ascii="宋体" w:hAnsi="宋体" w:eastAsia="宋体" w:cs="宋体"/>
          <w:b/>
          <w:bCs/>
          <w:color w:val="auto"/>
          <w:sz w:val="21"/>
          <w:szCs w:val="21"/>
          <w:highlight w:val="none"/>
        </w:rPr>
        <w:t>二、申请人的资格要求：</w:t>
      </w:r>
      <w:bookmarkEnd w:id="9"/>
      <w:bookmarkEnd w:id="10"/>
      <w:bookmarkEnd w:id="11"/>
      <w:bookmarkEnd w:id="12"/>
    </w:p>
    <w:p w14:paraId="32B6449F">
      <w:pPr>
        <w:spacing w:line="360" w:lineRule="auto"/>
        <w:ind w:firstLine="420" w:firstLineChars="200"/>
        <w:rPr>
          <w:rFonts w:hint="eastAsia" w:ascii="宋体" w:hAnsi="宋体" w:eastAsia="宋体" w:cs="宋体"/>
          <w:color w:val="auto"/>
          <w:sz w:val="21"/>
          <w:szCs w:val="21"/>
          <w:highlight w:val="none"/>
        </w:rPr>
      </w:pPr>
      <w:bookmarkStart w:id="13" w:name="_Toc28359091"/>
      <w:bookmarkStart w:id="14" w:name="_Toc28359014"/>
      <w:r>
        <w:rPr>
          <w:rFonts w:hint="eastAsia" w:ascii="宋体" w:hAnsi="宋体" w:eastAsia="宋体" w:cs="宋体"/>
          <w:color w:val="auto"/>
          <w:sz w:val="21"/>
          <w:szCs w:val="21"/>
          <w:highlight w:val="none"/>
        </w:rPr>
        <w:t>1.满足《中华人民共和国政府采购法》第二十二条规定；</w:t>
      </w:r>
    </w:p>
    <w:p w14:paraId="3A171A1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07ED8C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专门面向中小企业采购的项目</w:t>
      </w:r>
      <w:r>
        <w:rPr>
          <w:rFonts w:hint="eastAsia" w:ascii="宋体" w:hAnsi="宋体" w:eastAsia="宋体" w:cs="宋体"/>
          <w:color w:val="auto"/>
          <w:sz w:val="21"/>
          <w:szCs w:val="21"/>
          <w:highlight w:val="none"/>
          <w:lang w:val="en-US" w:eastAsia="zh-CN"/>
        </w:rPr>
        <w:t>，预留份额100%</w:t>
      </w:r>
      <w:r>
        <w:rPr>
          <w:rFonts w:hint="eastAsia" w:ascii="宋体" w:hAnsi="宋体" w:eastAsia="宋体" w:cs="宋体"/>
          <w:color w:val="auto"/>
          <w:szCs w:val="21"/>
          <w:highlight w:val="none"/>
        </w:rPr>
        <w:t>（供应商应为中小微企业、监狱企业、残疾人福利性单位)</w:t>
      </w:r>
    </w:p>
    <w:p w14:paraId="0A03AF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p>
    <w:p w14:paraId="72F20C5D">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bookmarkStart w:id="15" w:name="_Toc35393800"/>
      <w:bookmarkStart w:id="16" w:name="_Toc35393631"/>
      <w:r>
        <w:rPr>
          <w:rFonts w:hint="eastAsia" w:ascii="宋体" w:hAnsi="宋体" w:eastAsia="宋体" w:cs="宋体"/>
          <w:color w:val="auto"/>
          <w:sz w:val="21"/>
          <w:szCs w:val="21"/>
          <w:highlight w:val="none"/>
          <w:lang w:eastAsia="zh-CN"/>
        </w:rPr>
        <w:t>具备公路工程施工总承包三级及以上资质或</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lang w:eastAsia="zh-CN"/>
        </w:rPr>
        <w:t>广西壮族自治区人民政府办公厅印发《关于支持建筑业企业增信心稳增长促转型若干措施》的通知（桂政办发〔2024〕62号）中“推动互跨专业承接业务”要求的</w:t>
      </w:r>
      <w:r>
        <w:rPr>
          <w:rFonts w:hint="eastAsia" w:ascii="宋体" w:hAnsi="宋体" w:eastAsia="宋体" w:cs="宋体"/>
          <w:color w:val="auto"/>
          <w:sz w:val="21"/>
          <w:szCs w:val="21"/>
          <w:highlight w:val="none"/>
          <w:lang w:val="en-US" w:eastAsia="zh-CN"/>
        </w:rPr>
        <w:t>施工单位</w:t>
      </w:r>
      <w:r>
        <w:rPr>
          <w:rFonts w:hint="eastAsia" w:ascii="宋体" w:hAnsi="宋体" w:eastAsia="宋体" w:cs="宋体"/>
          <w:color w:val="auto"/>
          <w:sz w:val="21"/>
          <w:szCs w:val="21"/>
          <w:highlight w:val="none"/>
          <w:lang w:eastAsia="zh-CN"/>
        </w:rPr>
        <w:t>，并在人员、设备、资金等方面具有相应的施工能力；拟派驻的项目经理须具备公路工程专业二级以上（含二级）注册建造师执业资格，具备有效的省级或以上交通运输行政主管部门颁发的安全生产考核合格证（“三类人员”B类证书），且为本单位在职员工。</w:t>
      </w:r>
    </w:p>
    <w:p w14:paraId="4391548E">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三、获取采购文件</w:t>
      </w:r>
      <w:bookmarkEnd w:id="13"/>
      <w:bookmarkEnd w:id="14"/>
      <w:bookmarkEnd w:id="15"/>
      <w:bookmarkEnd w:id="16"/>
    </w:p>
    <w:p w14:paraId="063439E1">
      <w:pPr>
        <w:spacing w:line="360" w:lineRule="auto"/>
        <w:ind w:firstLine="420" w:firstLineChars="200"/>
        <w:rPr>
          <w:rFonts w:hint="eastAsia" w:ascii="宋体" w:hAnsi="宋体" w:eastAsia="宋体" w:cs="宋体"/>
          <w:bCs w:val="0"/>
          <w:color w:val="auto"/>
          <w:spacing w:val="0"/>
          <w:sz w:val="21"/>
          <w:szCs w:val="21"/>
          <w:highlight w:val="none"/>
          <w:lang w:val="en-US" w:eastAsia="zh-CN" w:bidi="hi-IN"/>
        </w:rPr>
      </w:pPr>
      <w:r>
        <w:rPr>
          <w:rFonts w:hint="eastAsia" w:ascii="宋体" w:hAnsi="宋体" w:eastAsia="宋体" w:cs="宋体"/>
          <w:color w:val="auto"/>
          <w:sz w:val="21"/>
          <w:szCs w:val="21"/>
          <w:highlight w:val="none"/>
        </w:rPr>
        <w:t>1.时间</w:t>
      </w:r>
      <w:r>
        <w:rPr>
          <w:rFonts w:hint="eastAsia" w:ascii="宋体" w:hAnsi="宋体" w:eastAsia="宋体" w:cs="宋体"/>
          <w:bCs w:val="0"/>
          <w:color w:val="auto"/>
          <w:spacing w:val="0"/>
          <w:sz w:val="21"/>
          <w:szCs w:val="21"/>
          <w:highlight w:val="none"/>
          <w:lang w:val="en-US" w:eastAsia="zh-CN" w:bidi="hi-IN"/>
        </w:rPr>
        <w:t>：</w:t>
      </w:r>
      <w:r>
        <w:rPr>
          <w:rFonts w:hint="eastAsia" w:ascii="宋体" w:hAnsi="宋体" w:cs="宋体"/>
          <w:bCs w:val="0"/>
          <w:color w:val="auto"/>
          <w:spacing w:val="0"/>
          <w:sz w:val="21"/>
          <w:szCs w:val="21"/>
          <w:highlight w:val="none"/>
          <w:lang w:val="en-US" w:eastAsia="zh-CN" w:bidi="hi-IN"/>
        </w:rPr>
        <w:t>2025年10月31日</w:t>
      </w:r>
      <w:r>
        <w:rPr>
          <w:rFonts w:hint="eastAsia" w:ascii="宋体" w:hAnsi="宋体" w:eastAsia="宋体" w:cs="宋体"/>
          <w:bCs w:val="0"/>
          <w:color w:val="auto"/>
          <w:spacing w:val="0"/>
          <w:sz w:val="21"/>
          <w:szCs w:val="21"/>
          <w:highlight w:val="none"/>
          <w:lang w:val="en-US" w:eastAsia="zh-CN" w:bidi="hi-IN"/>
        </w:rPr>
        <w:t>至</w:t>
      </w:r>
      <w:r>
        <w:rPr>
          <w:rFonts w:hint="eastAsia" w:ascii="宋体" w:hAnsi="宋体" w:cs="宋体"/>
          <w:bCs w:val="0"/>
          <w:color w:val="auto"/>
          <w:spacing w:val="0"/>
          <w:sz w:val="21"/>
          <w:szCs w:val="21"/>
          <w:highlight w:val="none"/>
          <w:lang w:val="en-US" w:eastAsia="zh-CN" w:bidi="hi-IN"/>
        </w:rPr>
        <w:t>2025年11月7日</w:t>
      </w:r>
    </w:p>
    <w:p w14:paraId="111C53C9">
      <w:pPr>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2.地点：广西政府采购云平台（https://www.gcy.zfcg.gxzf.gov.cn/）</w:t>
      </w:r>
    </w:p>
    <w:p w14:paraId="6A6DF912">
      <w:pPr>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3.方式：</w:t>
      </w:r>
      <w:r>
        <w:rPr>
          <w:rFonts w:hint="eastAsia" w:ascii="宋体" w:hAnsi="宋体" w:eastAsia="宋体" w:cs="宋体"/>
          <w:color w:val="auto"/>
          <w:sz w:val="21"/>
          <w:szCs w:val="21"/>
          <w:highlight w:val="none"/>
          <w:lang w:eastAsia="zh-CN"/>
        </w:rPr>
        <w:t>供应商登录广西政府采购云平台（https://www.gcy.zfcg.gxzf.gov.cn/）在线申请获取采购文件（进入“项目采购”应用，在获取采购文件菜单中选择项目，申请获取采购文件）</w:t>
      </w:r>
      <w:r>
        <w:rPr>
          <w:rFonts w:hint="eastAsia" w:ascii="宋体" w:hAnsi="宋体" w:eastAsia="宋体" w:cs="宋体"/>
          <w:color w:val="auto"/>
          <w:sz w:val="21"/>
          <w:szCs w:val="21"/>
          <w:highlight w:val="none"/>
        </w:rPr>
        <w:t>，如在操作过程中遇到问题或者需要技术支持，请致电</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客服热线：</w:t>
      </w:r>
      <w:r>
        <w:rPr>
          <w:rFonts w:hint="eastAsia" w:ascii="宋体" w:hAnsi="宋体" w:eastAsia="宋体" w:cs="宋体"/>
          <w:color w:val="auto"/>
          <w:sz w:val="21"/>
          <w:szCs w:val="21"/>
          <w:highlight w:val="none"/>
          <w:lang w:eastAsia="zh-CN"/>
        </w:rPr>
        <w:t>9</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763</w:t>
      </w:r>
      <w:r>
        <w:rPr>
          <w:rFonts w:hint="eastAsia" w:ascii="宋体" w:hAnsi="宋体" w:eastAsia="宋体" w:cs="宋体"/>
          <w:color w:val="auto"/>
          <w:sz w:val="21"/>
          <w:szCs w:val="21"/>
          <w:highlight w:val="none"/>
        </w:rPr>
        <w:t>。</w:t>
      </w:r>
    </w:p>
    <w:p w14:paraId="261089FC">
      <w:pPr>
        <w:spacing w:line="360" w:lineRule="auto"/>
        <w:rPr>
          <w:rFonts w:hint="eastAsia" w:ascii="宋体" w:hAnsi="宋体" w:eastAsia="宋体" w:cs="宋体"/>
          <w:b/>
          <w:bCs/>
          <w:color w:val="auto"/>
          <w:sz w:val="21"/>
          <w:szCs w:val="21"/>
          <w:highlight w:val="none"/>
        </w:rPr>
      </w:pPr>
      <w:bookmarkStart w:id="17" w:name="_Toc35393632"/>
      <w:bookmarkStart w:id="18" w:name="_Toc28359092"/>
      <w:bookmarkStart w:id="19" w:name="_Toc28359015"/>
      <w:bookmarkStart w:id="20" w:name="_Toc35393801"/>
      <w:r>
        <w:rPr>
          <w:rFonts w:hint="eastAsia" w:ascii="宋体" w:hAnsi="宋体" w:eastAsia="宋体" w:cs="宋体"/>
          <w:b/>
          <w:bCs/>
          <w:color w:val="auto"/>
          <w:sz w:val="21"/>
          <w:szCs w:val="21"/>
          <w:highlight w:val="none"/>
        </w:rPr>
        <w:t>四、响应文件提交</w:t>
      </w:r>
      <w:bookmarkEnd w:id="17"/>
      <w:bookmarkEnd w:id="18"/>
      <w:bookmarkEnd w:id="19"/>
      <w:bookmarkEnd w:id="20"/>
      <w:r>
        <w:rPr>
          <w:rFonts w:hint="eastAsia" w:ascii="宋体" w:hAnsi="宋体" w:eastAsia="宋体" w:cs="宋体"/>
          <w:b/>
          <w:bCs/>
          <w:color w:val="auto"/>
          <w:sz w:val="21"/>
          <w:szCs w:val="21"/>
          <w:highlight w:val="none"/>
        </w:rPr>
        <w:t>：</w:t>
      </w:r>
    </w:p>
    <w:p w14:paraId="778CB0C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r>
        <w:rPr>
          <w:rFonts w:hint="eastAsia" w:ascii="宋体" w:hAnsi="宋体" w:cs="宋体"/>
          <w:color w:val="auto"/>
          <w:sz w:val="21"/>
          <w:szCs w:val="21"/>
          <w:highlight w:val="none"/>
          <w:lang w:val="en-US" w:eastAsia="zh-CN"/>
        </w:rPr>
        <w:t>2025年11月12日09时00分</w:t>
      </w:r>
      <w:r>
        <w:rPr>
          <w:rFonts w:hint="eastAsia" w:ascii="宋体" w:hAnsi="宋体" w:eastAsia="宋体" w:cs="宋体"/>
          <w:color w:val="auto"/>
          <w:sz w:val="21"/>
          <w:szCs w:val="21"/>
          <w:highlight w:val="none"/>
        </w:rPr>
        <w:t>（北京时间）</w:t>
      </w:r>
    </w:p>
    <w:p w14:paraId="4F953A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地址（网址）：广西政府采购云平台（https://www.gcy.zfcg.gxzf.gov.cn/）</w:t>
      </w:r>
      <w:r>
        <w:rPr>
          <w:rFonts w:hint="eastAsia" w:ascii="宋体" w:hAnsi="宋体" w:eastAsia="宋体" w:cs="宋体"/>
          <w:color w:val="auto"/>
          <w:sz w:val="21"/>
          <w:szCs w:val="21"/>
          <w:highlight w:val="none"/>
        </w:rPr>
        <w:t xml:space="preserve"> </w:t>
      </w:r>
    </w:p>
    <w:p w14:paraId="6683629B">
      <w:pPr>
        <w:numPr>
          <w:ilvl w:val="0"/>
          <w:numId w:val="0"/>
        </w:numPr>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bidi="ar-SA"/>
        </w:rPr>
        <w:t>五、</w:t>
      </w:r>
      <w:r>
        <w:rPr>
          <w:rFonts w:hint="eastAsia" w:ascii="宋体" w:hAnsi="宋体" w:eastAsia="宋体" w:cs="宋体"/>
          <w:b/>
          <w:bCs/>
          <w:color w:val="auto"/>
          <w:sz w:val="21"/>
          <w:szCs w:val="21"/>
          <w:highlight w:val="none"/>
        </w:rPr>
        <w:t>响应文件开启</w:t>
      </w:r>
      <w:r>
        <w:rPr>
          <w:rFonts w:hint="eastAsia" w:ascii="宋体" w:hAnsi="宋体" w:eastAsia="宋体" w:cs="宋体"/>
          <w:b/>
          <w:bCs/>
          <w:color w:val="auto"/>
          <w:sz w:val="21"/>
          <w:szCs w:val="21"/>
          <w:highlight w:val="none"/>
          <w:lang w:eastAsia="zh-CN"/>
        </w:rPr>
        <w:t>：</w:t>
      </w:r>
    </w:p>
    <w:p w14:paraId="466BC5C0">
      <w:pPr>
        <w:numPr>
          <w:ilvl w:val="0"/>
          <w:numId w:val="0"/>
        </w:num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val="en-US" w:eastAsia="zh-CN"/>
        </w:rPr>
        <w:t>2025年11月12日09时00分</w:t>
      </w:r>
      <w:r>
        <w:rPr>
          <w:rFonts w:hint="eastAsia" w:ascii="宋体" w:hAnsi="宋体" w:eastAsia="宋体" w:cs="宋体"/>
          <w:color w:val="auto"/>
          <w:sz w:val="21"/>
          <w:szCs w:val="21"/>
          <w:highlight w:val="none"/>
        </w:rPr>
        <w:t>（北京时间）</w:t>
      </w:r>
      <w:r>
        <w:rPr>
          <w:rFonts w:hint="eastAsia" w:ascii="宋体" w:hAnsi="宋体" w:eastAsia="宋体" w:cs="宋体"/>
          <w:color w:val="auto"/>
          <w:sz w:val="21"/>
          <w:szCs w:val="21"/>
          <w:highlight w:val="none"/>
          <w:lang w:eastAsia="zh-CN"/>
        </w:rPr>
        <w:t>。</w:t>
      </w:r>
    </w:p>
    <w:p w14:paraId="18AAD838">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地址：</w:t>
      </w:r>
      <w:r>
        <w:rPr>
          <w:rFonts w:hint="eastAsia" w:ascii="宋体" w:hAnsi="宋体" w:eastAsia="宋体" w:cs="宋体"/>
          <w:color w:val="auto"/>
          <w:sz w:val="21"/>
          <w:szCs w:val="21"/>
          <w:highlight w:val="none"/>
          <w:lang w:val="en-US" w:eastAsia="zh-CN"/>
        </w:rPr>
        <w:t>本项目将在广西政府采购云平台电子开标大厅解密、开启。本项目采用远程异地评标，评标主会场地址：广西崇左市环城东路西侧花山新城南门8栋101号广西国泰招标咨询有限公司崇左分公司会议室，评标副会场地址：广西南宁市民族大道141号中鼎万象东方D区六楼广西国泰招标咨询有限公司会议室</w:t>
      </w:r>
      <w:r>
        <w:rPr>
          <w:rFonts w:hint="eastAsia" w:ascii="宋体" w:hAnsi="宋体" w:eastAsia="宋体" w:cs="宋体"/>
          <w:color w:val="auto"/>
          <w:sz w:val="21"/>
          <w:szCs w:val="21"/>
          <w:highlight w:val="none"/>
        </w:rPr>
        <w:t>。</w:t>
      </w:r>
    </w:p>
    <w:p w14:paraId="50E1A8D2">
      <w:pPr>
        <w:spacing w:line="360" w:lineRule="auto"/>
        <w:rPr>
          <w:rFonts w:hint="eastAsia" w:ascii="宋体" w:hAnsi="宋体" w:eastAsia="宋体" w:cs="宋体"/>
          <w:bCs w:val="0"/>
          <w:color w:val="auto"/>
          <w:spacing w:val="0"/>
          <w:sz w:val="21"/>
          <w:szCs w:val="21"/>
          <w:highlight w:val="none"/>
          <w:lang w:val="en-US" w:eastAsia="zh-CN" w:bidi="hi-IN"/>
        </w:rPr>
      </w:pPr>
      <w:bookmarkStart w:id="21" w:name="_Toc28359094"/>
      <w:bookmarkStart w:id="22" w:name="_Toc35393803"/>
      <w:bookmarkStart w:id="23" w:name="_Toc28359017"/>
      <w:bookmarkStart w:id="24" w:name="_Toc35393634"/>
      <w:r>
        <w:rPr>
          <w:rFonts w:hint="eastAsia" w:ascii="宋体" w:hAnsi="宋体" w:eastAsia="宋体" w:cs="宋体"/>
          <w:b/>
          <w:bCs/>
          <w:color w:val="auto"/>
          <w:sz w:val="21"/>
          <w:szCs w:val="21"/>
          <w:highlight w:val="none"/>
        </w:rPr>
        <w:t>六、公告期限</w:t>
      </w:r>
      <w:bookmarkEnd w:id="21"/>
      <w:bookmarkEnd w:id="22"/>
      <w:bookmarkEnd w:id="23"/>
      <w:bookmarkEnd w:id="24"/>
      <w:r>
        <w:rPr>
          <w:rFonts w:hint="eastAsia" w:ascii="宋体" w:hAnsi="宋体" w:eastAsia="宋体" w:cs="宋体"/>
          <w:bCs w:val="0"/>
          <w:color w:val="auto"/>
          <w:spacing w:val="0"/>
          <w:sz w:val="21"/>
          <w:szCs w:val="21"/>
          <w:highlight w:val="none"/>
          <w:lang w:val="en-US" w:eastAsia="zh-CN" w:bidi="hi-IN"/>
        </w:rPr>
        <w:t>：自本公告发布之日起5个工作日。</w:t>
      </w:r>
    </w:p>
    <w:p w14:paraId="46F03D6D">
      <w:pPr>
        <w:spacing w:line="360" w:lineRule="auto"/>
        <w:rPr>
          <w:rFonts w:hint="eastAsia" w:ascii="宋体" w:hAnsi="宋体" w:eastAsia="宋体" w:cs="宋体"/>
          <w:b/>
          <w:bCs/>
          <w:color w:val="auto"/>
          <w:sz w:val="21"/>
          <w:szCs w:val="21"/>
          <w:highlight w:val="none"/>
        </w:rPr>
      </w:pPr>
      <w:bookmarkStart w:id="25" w:name="_Toc35393635"/>
      <w:bookmarkStart w:id="26" w:name="_Toc35393804"/>
      <w:r>
        <w:rPr>
          <w:rFonts w:hint="eastAsia" w:ascii="宋体" w:hAnsi="宋体" w:eastAsia="宋体" w:cs="宋体"/>
          <w:b/>
          <w:bCs/>
          <w:color w:val="auto"/>
          <w:sz w:val="21"/>
          <w:szCs w:val="21"/>
          <w:highlight w:val="none"/>
        </w:rPr>
        <w:t>七、其他补充事宜</w:t>
      </w:r>
      <w:bookmarkEnd w:id="25"/>
      <w:bookmarkEnd w:id="26"/>
      <w:r>
        <w:rPr>
          <w:rFonts w:hint="eastAsia" w:ascii="宋体" w:hAnsi="宋体" w:eastAsia="宋体" w:cs="宋体"/>
          <w:b/>
          <w:bCs/>
          <w:color w:val="auto"/>
          <w:sz w:val="21"/>
          <w:szCs w:val="21"/>
          <w:highlight w:val="none"/>
        </w:rPr>
        <w:t>：</w:t>
      </w:r>
    </w:p>
    <w:p w14:paraId="7B6BC102">
      <w:pPr>
        <w:keepNext w:val="0"/>
        <w:keepLines w:val="0"/>
        <w:pageBreakBefore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bookmarkStart w:id="27" w:name="_Toc28359095"/>
      <w:bookmarkStart w:id="28" w:name="_Toc35393805"/>
      <w:bookmarkStart w:id="29" w:name="_Toc35393636"/>
      <w:bookmarkStart w:id="30" w:name="_Toc28359018"/>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63C13521">
      <w:pPr>
        <w:keepNext w:val="0"/>
        <w:keepLines w:val="0"/>
        <w:pageBreakBefore w:val="0"/>
        <w:kinsoku/>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w:t>
      </w:r>
      <w:r>
        <w:rPr>
          <w:rFonts w:hint="eastAsia" w:ascii="宋体" w:hAnsi="宋体" w:eastAsia="宋体" w:cs="宋体"/>
          <w:color w:val="auto"/>
          <w:sz w:val="21"/>
          <w:szCs w:val="21"/>
          <w:highlight w:val="none"/>
          <w:lang w:eastAsia="zh-CN"/>
        </w:rPr>
        <w:t>采购活动</w:t>
      </w:r>
      <w:r>
        <w:rPr>
          <w:rFonts w:hint="eastAsia" w:ascii="宋体" w:hAnsi="宋体" w:eastAsia="宋体" w:cs="宋体"/>
          <w:color w:val="auto"/>
          <w:sz w:val="21"/>
          <w:szCs w:val="21"/>
          <w:highlight w:val="none"/>
        </w:rPr>
        <w:t>。</w:t>
      </w:r>
    </w:p>
    <w:p w14:paraId="0CA03C50">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落实政府采购政策：政府采购促进中小企业发展；政府采购支持采用本国产品的政策；强制采购、优先采购环境标志产品、节能产品；政府采购促进残疾人就业政策；政府采购支持监狱企业发展；扶持不发达地区和少数民族地区政策</w:t>
      </w:r>
      <w:r>
        <w:rPr>
          <w:rFonts w:hint="eastAsia" w:ascii="宋体" w:hAnsi="宋体" w:eastAsia="宋体" w:cs="宋体"/>
          <w:color w:val="auto"/>
          <w:sz w:val="21"/>
          <w:szCs w:val="21"/>
          <w:highlight w:val="none"/>
          <w:lang w:eastAsia="zh-CN"/>
        </w:rPr>
        <w:t>。</w:t>
      </w:r>
    </w:p>
    <w:p w14:paraId="18EBF0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.采购意向公开链接：</w:t>
      </w:r>
    </w:p>
    <w:p w14:paraId="3771CF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https://zfcg.gxzf.gov.cn/luban/detail?parentId=66601&amp;articleId=ann_B7v9rmBzUAfTCRG0ILF4v9D5ndTMr3NGt5TILBJnhQo=&amp;utm=web-micro-app-back-front.67e00ff5.0.0.9581f90095f311f09083f142edf688e1。</w:t>
      </w:r>
      <w:r>
        <w:rPr>
          <w:rFonts w:hint="eastAsia" w:ascii="宋体" w:hAnsi="宋体" w:eastAsia="宋体" w:cs="宋体"/>
          <w:color w:val="auto"/>
          <w:kern w:val="0"/>
          <w:szCs w:val="21"/>
          <w:highlight w:val="none"/>
        </w:rPr>
        <w:t xml:space="preserve"> </w:t>
      </w:r>
    </w:p>
    <w:p w14:paraId="2BADED0A">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本次公告同时在</w:t>
      </w:r>
      <w:r>
        <w:rPr>
          <w:rFonts w:hint="eastAsia" w:ascii="宋体" w:hAnsi="宋体" w:eastAsia="宋体" w:cs="宋体"/>
          <w:color w:val="auto"/>
          <w:sz w:val="21"/>
          <w:szCs w:val="21"/>
          <w:highlight w:val="none"/>
          <w:lang w:eastAsia="zh-CN"/>
        </w:rPr>
        <w:t>中国政府采购网（http://pub.ccgp.gov.cn/）、广西政府采购网（http://zfcg.gxzf.gov.cn）</w:t>
      </w:r>
      <w:r>
        <w:rPr>
          <w:rFonts w:hint="eastAsia" w:ascii="宋体" w:hAnsi="宋体" w:eastAsia="宋体" w:cs="宋体"/>
          <w:color w:val="auto"/>
          <w:sz w:val="21"/>
          <w:szCs w:val="21"/>
          <w:highlight w:val="none"/>
        </w:rPr>
        <w:t xml:space="preserve">上发布。  </w:t>
      </w:r>
    </w:p>
    <w:p w14:paraId="1E97724F">
      <w:pPr>
        <w:keepNext w:val="0"/>
        <w:keepLines w:val="0"/>
        <w:pageBreakBefore w:val="0"/>
        <w:kinsoku/>
        <w:wordWrap w:val="0"/>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kern w:val="0"/>
          <w:sz w:val="21"/>
          <w:szCs w:val="21"/>
          <w:highlight w:val="none"/>
        </w:rPr>
        <w:t>在线</w:t>
      </w: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rPr>
        <w:t>标响应（电子</w:t>
      </w: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rPr>
        <w:t>标）说明</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本项目通过</w:t>
      </w:r>
      <w:r>
        <w:rPr>
          <w:rFonts w:hint="eastAsia" w:ascii="宋体" w:hAnsi="宋体" w:eastAsia="宋体" w:cs="宋体"/>
          <w:color w:val="auto"/>
          <w:kern w:val="0"/>
          <w:sz w:val="21"/>
          <w:szCs w:val="21"/>
          <w:highlight w:val="none"/>
          <w:lang w:eastAsia="zh-CN"/>
        </w:rPr>
        <w:t>广西政府采购云平台（https://www.gcy.zfcg.gxzf.gov.cn/）</w:t>
      </w:r>
      <w:r>
        <w:rPr>
          <w:rFonts w:hint="eastAsia" w:ascii="宋体" w:hAnsi="宋体" w:eastAsia="宋体" w:cs="宋体"/>
          <w:color w:val="auto"/>
          <w:kern w:val="0"/>
          <w:sz w:val="21"/>
          <w:szCs w:val="21"/>
          <w:highlight w:val="none"/>
        </w:rPr>
        <w:t>实行在线</w:t>
      </w: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rPr>
        <w:t>标响应（电子</w:t>
      </w: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rPr>
        <w:t>标），供应商需要先安装</w:t>
      </w:r>
      <w:r>
        <w:rPr>
          <w:rFonts w:hint="eastAsia" w:ascii="宋体" w:hAnsi="宋体" w:eastAsia="宋体" w:cs="宋体"/>
          <w:color w:val="auto"/>
          <w:kern w:val="0"/>
          <w:sz w:val="21"/>
          <w:szCs w:val="21"/>
          <w:highlight w:val="none"/>
          <w:lang w:eastAsia="zh-CN"/>
        </w:rPr>
        <w:t>广西政府采购云平台（https://www.gcy.zfcg.gxzf.gov.cn/）</w:t>
      </w:r>
      <w:r>
        <w:rPr>
          <w:rFonts w:hint="eastAsia" w:ascii="宋体" w:hAnsi="宋体" w:eastAsia="宋体" w:cs="宋体"/>
          <w:color w:val="auto"/>
          <w:kern w:val="0"/>
          <w:sz w:val="21"/>
          <w:szCs w:val="21"/>
          <w:highlight w:val="none"/>
        </w:rPr>
        <w:t>电子交易客户端”，并按照本</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文件和</w:t>
      </w:r>
      <w:r>
        <w:rPr>
          <w:rFonts w:hint="eastAsia" w:ascii="宋体" w:hAnsi="宋体" w:eastAsia="宋体" w:cs="宋体"/>
          <w:color w:val="auto"/>
          <w:kern w:val="0"/>
          <w:sz w:val="21"/>
          <w:szCs w:val="21"/>
          <w:highlight w:val="none"/>
          <w:lang w:eastAsia="zh-CN"/>
        </w:rPr>
        <w:t>广西政府采购云平台（https://www.gcy.zfcg.gxzf.gov.cn/）</w:t>
      </w:r>
      <w:r>
        <w:rPr>
          <w:rFonts w:hint="eastAsia" w:ascii="宋体" w:hAnsi="宋体" w:eastAsia="宋体" w:cs="宋体"/>
          <w:color w:val="auto"/>
          <w:kern w:val="0"/>
          <w:sz w:val="21"/>
          <w:szCs w:val="21"/>
          <w:highlight w:val="none"/>
        </w:rPr>
        <w:t>的要求，通过</w:t>
      </w:r>
      <w:r>
        <w:rPr>
          <w:rFonts w:hint="eastAsia" w:ascii="宋体" w:hAnsi="宋体" w:eastAsia="宋体" w:cs="宋体"/>
          <w:color w:val="auto"/>
          <w:kern w:val="0"/>
          <w:sz w:val="21"/>
          <w:szCs w:val="21"/>
          <w:highlight w:val="none"/>
          <w:lang w:eastAsia="zh-CN"/>
        </w:rPr>
        <w:t>广西政府采购云平台（https://www.gcy.zfcg.gxzf.gov.cn/）</w:t>
      </w:r>
      <w:r>
        <w:rPr>
          <w:rFonts w:hint="eastAsia" w:ascii="宋体" w:hAnsi="宋体" w:eastAsia="宋体" w:cs="宋体"/>
          <w:color w:val="auto"/>
          <w:kern w:val="0"/>
          <w:sz w:val="21"/>
          <w:szCs w:val="21"/>
          <w:highlight w:val="none"/>
        </w:rPr>
        <w:t>电子交易客户端”编制并加密</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。供应商未按规定编制并加密的</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w:t>
      </w:r>
      <w:r>
        <w:rPr>
          <w:rFonts w:hint="eastAsia" w:ascii="宋体" w:hAnsi="宋体" w:eastAsia="宋体" w:cs="宋体"/>
          <w:color w:val="auto"/>
          <w:kern w:val="0"/>
          <w:sz w:val="21"/>
          <w:szCs w:val="21"/>
          <w:highlight w:val="none"/>
          <w:lang w:eastAsia="zh-CN"/>
        </w:rPr>
        <w:t>广西政府采购云平台（https://www.gcy.zfcg.gxzf.gov.cn/）</w:t>
      </w:r>
      <w:r>
        <w:rPr>
          <w:rFonts w:hint="eastAsia" w:ascii="宋体" w:hAnsi="宋体" w:eastAsia="宋体" w:cs="宋体"/>
          <w:color w:val="auto"/>
          <w:kern w:val="0"/>
          <w:sz w:val="21"/>
          <w:szCs w:val="21"/>
          <w:highlight w:val="none"/>
        </w:rPr>
        <w:t>将予以拒收。</w:t>
      </w:r>
    </w:p>
    <w:p w14:paraId="4E4CB8FE">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.为加大政府采购支持中小企业力度，帮助政府采购成交供应商解决融资难、融资贵的问题，进一步做好线上“政采贷”融资业务工作，如供应商有需要的，详见</w:t>
      </w:r>
      <w:r>
        <w:rPr>
          <w:rFonts w:hint="eastAsia" w:ascii="宋体" w:hAnsi="宋体" w:eastAsia="宋体" w:cs="宋体"/>
          <w:color w:val="auto"/>
          <w:kern w:val="0"/>
          <w:sz w:val="21"/>
          <w:szCs w:val="21"/>
          <w:highlight w:val="none"/>
          <w:lang w:eastAsia="zh-CN"/>
        </w:rPr>
        <w:t>磋商须知正文后</w:t>
      </w: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：《崇左市线上“政采贷”政策告知函》、附件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《崇左市线上“政采贷”业务流程图》、附件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《崇左市金融机构线上“政采贷”业务办理联络表》。</w:t>
      </w:r>
    </w:p>
    <w:p w14:paraId="1C64BB24">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本项目</w:t>
      </w:r>
      <w:r>
        <w:rPr>
          <w:rFonts w:hint="eastAsia" w:ascii="宋体" w:hAnsi="宋体" w:eastAsia="宋体" w:cs="宋体"/>
          <w:color w:val="auto"/>
          <w:kern w:val="0"/>
          <w:sz w:val="21"/>
          <w:szCs w:val="21"/>
          <w:highlight w:val="none"/>
          <w:lang w:val="en-US" w:eastAsia="zh-CN"/>
        </w:rPr>
        <w:t>不需要缴纳</w:t>
      </w:r>
      <w:r>
        <w:rPr>
          <w:rFonts w:hint="eastAsia" w:ascii="宋体" w:hAnsi="宋体" w:eastAsia="宋体" w:cs="宋体"/>
          <w:color w:val="auto"/>
          <w:kern w:val="0"/>
          <w:sz w:val="21"/>
          <w:szCs w:val="21"/>
          <w:highlight w:val="none"/>
        </w:rPr>
        <w:t>磋商保证金</w:t>
      </w:r>
      <w:r>
        <w:rPr>
          <w:rFonts w:hint="eastAsia" w:ascii="宋体" w:hAnsi="宋体" w:eastAsia="宋体" w:cs="宋体"/>
          <w:color w:val="auto"/>
          <w:kern w:val="0"/>
          <w:sz w:val="21"/>
          <w:szCs w:val="21"/>
          <w:highlight w:val="none"/>
          <w:lang w:eastAsia="zh-CN"/>
        </w:rPr>
        <w:t>。</w:t>
      </w:r>
    </w:p>
    <w:p w14:paraId="3305F34F">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9.本项目</w:t>
      </w:r>
      <w:r>
        <w:rPr>
          <w:rFonts w:hint="eastAsia" w:ascii="宋体" w:hAnsi="宋体" w:eastAsia="宋体" w:cs="宋体"/>
          <w:color w:val="auto"/>
          <w:kern w:val="0"/>
          <w:sz w:val="21"/>
          <w:szCs w:val="21"/>
          <w:highlight w:val="none"/>
          <w:lang w:eastAsia="zh-CN"/>
        </w:rPr>
        <w:t>按照</w:t>
      </w:r>
      <w:r>
        <w:rPr>
          <w:rFonts w:hint="eastAsia" w:ascii="宋体" w:hAnsi="宋体" w:eastAsia="宋体" w:cs="宋体"/>
          <w:color w:val="auto"/>
          <w:kern w:val="0"/>
          <w:sz w:val="21"/>
          <w:szCs w:val="21"/>
          <w:highlight w:val="none"/>
          <w:lang w:val="en-US" w:eastAsia="zh-CN"/>
        </w:rPr>
        <w:t>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20C6ED03">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10.若对项目采购电子交易系统操作有疑问，可登录广西政府采购云平台（https://www.gcy.zfcg.gxzf.gov.cn/），点击右侧咨询小采，获取采小蜜智能服务管家帮助，或拨打广西政府采购云服务热线95763获取热线服务帮助。 </w:t>
      </w:r>
    </w:p>
    <w:p w14:paraId="75D4C2FD">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11.政府采购监督管理部门：天等县财政局政府采购监督管理股  电话：0771-3530890</w:t>
      </w:r>
      <w:r>
        <w:rPr>
          <w:rFonts w:hint="eastAsia" w:ascii="宋体" w:hAnsi="宋体" w:cs="宋体"/>
          <w:color w:val="auto"/>
          <w:kern w:val="0"/>
          <w:sz w:val="21"/>
          <w:szCs w:val="21"/>
          <w:highlight w:val="none"/>
          <w:lang w:val="en-US" w:eastAsia="zh-CN"/>
        </w:rPr>
        <w:t>。</w:t>
      </w:r>
    </w:p>
    <w:p w14:paraId="6DE77A2C">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八</w:t>
      </w:r>
      <w:r>
        <w:rPr>
          <w:rFonts w:hint="eastAsia" w:ascii="宋体" w:hAnsi="宋体" w:eastAsia="宋体" w:cs="宋体"/>
          <w:b/>
          <w:bCs/>
          <w:color w:val="auto"/>
          <w:sz w:val="21"/>
          <w:szCs w:val="21"/>
          <w:highlight w:val="none"/>
        </w:rPr>
        <w:t>、凡对本次采购提出询问，请按以下方式联系。</w:t>
      </w:r>
      <w:bookmarkEnd w:id="27"/>
      <w:bookmarkEnd w:id="28"/>
      <w:bookmarkEnd w:id="29"/>
      <w:bookmarkEnd w:id="30"/>
    </w:p>
    <w:p w14:paraId="1329934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bookmarkStart w:id="31" w:name="_Toc28812_WPSOffice_Level1"/>
      <w:bookmarkStart w:id="32" w:name="_Toc2920_WPSOffice_Level1"/>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采购人信息</w:t>
      </w:r>
    </w:p>
    <w:p w14:paraId="1352F46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eastAsia="zh-CN"/>
        </w:rPr>
        <w:t>称：</w:t>
      </w:r>
      <w:bookmarkEnd w:id="31"/>
      <w:bookmarkEnd w:id="32"/>
      <w:r>
        <w:rPr>
          <w:rFonts w:hint="eastAsia" w:ascii="宋体" w:hAnsi="宋体" w:eastAsia="宋体" w:cs="宋体"/>
          <w:color w:val="auto"/>
          <w:sz w:val="21"/>
          <w:szCs w:val="21"/>
          <w:highlight w:val="none"/>
          <w:lang w:eastAsia="zh-CN"/>
        </w:rPr>
        <w:t>天等县交通运输局</w:t>
      </w:r>
    </w:p>
    <w:p w14:paraId="5CE3136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地址：天等县天等镇隆罕路6号6栋4楼</w:t>
      </w:r>
    </w:p>
    <w:p w14:paraId="09C1CB4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言铭</w:t>
      </w:r>
    </w:p>
    <w:p w14:paraId="5A5BC27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项目联系方式: 0771-3521179</w:t>
      </w:r>
      <w:r>
        <w:rPr>
          <w:rFonts w:hint="eastAsia" w:ascii="宋体" w:hAnsi="宋体" w:eastAsia="宋体" w:cs="宋体"/>
          <w:color w:val="auto"/>
          <w:sz w:val="21"/>
          <w:szCs w:val="21"/>
          <w:highlight w:val="none"/>
          <w:lang w:val="en-US" w:eastAsia="zh-CN"/>
        </w:rPr>
        <w:t xml:space="preserve"> </w:t>
      </w:r>
    </w:p>
    <w:p w14:paraId="132C4A6E">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采购代理机构信息</w:t>
      </w:r>
    </w:p>
    <w:p w14:paraId="3F831F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广西国泰招标咨询有限公司</w:t>
      </w:r>
    </w:p>
    <w:p w14:paraId="513995D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地址：广西南宁市民族大道141号中鼎大万象东方D区６楼D607</w:t>
      </w:r>
    </w:p>
    <w:p w14:paraId="62DEC58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卢秋月、曾液丽</w:t>
      </w:r>
    </w:p>
    <w:p w14:paraId="0F8D1E3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项目联系方式:</w:t>
      </w:r>
      <w:r>
        <w:rPr>
          <w:rFonts w:hint="eastAsia" w:ascii="宋体" w:hAnsi="宋体" w:eastAsia="宋体" w:cs="宋体"/>
          <w:color w:val="auto"/>
          <w:sz w:val="21"/>
          <w:szCs w:val="21"/>
          <w:highlight w:val="none"/>
          <w:lang w:val="en-US" w:eastAsia="zh-CN"/>
        </w:rPr>
        <w:t>0771-2023537、0771-2023587</w:t>
      </w:r>
      <w:r>
        <w:rPr>
          <w:rFonts w:hint="eastAsia" w:ascii="宋体" w:hAnsi="宋体" w:eastAsia="宋体" w:cs="宋体"/>
          <w:color w:val="auto"/>
          <w:sz w:val="21"/>
          <w:szCs w:val="21"/>
          <w:highlight w:val="none"/>
          <w:lang w:eastAsia="zh-CN"/>
        </w:rPr>
        <w:t xml:space="preserve"> </w:t>
      </w:r>
    </w:p>
    <w:p w14:paraId="4BE6B3A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卢秋月、曾液丽  电话：0771-2023537、0771-2023587</w:t>
      </w:r>
    </w:p>
    <w:p w14:paraId="6CC259A4">
      <w:pPr>
        <w:pStyle w:val="10"/>
        <w:rPr>
          <w:rFonts w:hint="eastAsia" w:ascii="宋体" w:hAnsi="宋体" w:eastAsia="宋体" w:cs="宋体"/>
          <w:color w:val="auto"/>
          <w:highlight w:val="none"/>
          <w:lang w:val="en-US" w:eastAsia="zh-CN"/>
        </w:rPr>
      </w:pPr>
    </w:p>
    <w:p w14:paraId="0DDD7EA8">
      <w:pPr>
        <w:spacing w:line="360" w:lineRule="auto"/>
        <w:jc w:val="right"/>
        <w:rPr>
          <w:rFonts w:hint="eastAsia" w:ascii="宋体" w:hAnsi="宋体" w:eastAsia="宋体" w:cs="宋体"/>
          <w:bCs w:val="0"/>
          <w:color w:val="auto"/>
          <w:spacing w:val="0"/>
          <w:sz w:val="21"/>
          <w:szCs w:val="21"/>
          <w:highlight w:val="none"/>
          <w:lang w:val="en-US" w:eastAsia="zh-CN" w:bidi="hi-IN"/>
        </w:rPr>
      </w:pPr>
      <w:r>
        <w:rPr>
          <w:rFonts w:hint="eastAsia" w:ascii="宋体" w:hAnsi="宋体" w:eastAsia="宋体" w:cs="宋体"/>
          <w:bCs w:val="0"/>
          <w:color w:val="auto"/>
          <w:spacing w:val="0"/>
          <w:sz w:val="21"/>
          <w:szCs w:val="21"/>
          <w:highlight w:val="none"/>
          <w:lang w:val="en-US" w:eastAsia="zh-CN" w:bidi="hi-IN"/>
        </w:rPr>
        <w:t>　　　　　　　                采购人：天等县交通运输局</w:t>
      </w:r>
    </w:p>
    <w:p w14:paraId="43E45043">
      <w:pPr>
        <w:spacing w:line="360" w:lineRule="auto"/>
        <w:ind w:firstLine="3150" w:firstLineChars="1500"/>
        <w:jc w:val="right"/>
        <w:rPr>
          <w:rFonts w:hint="eastAsia" w:ascii="宋体" w:hAnsi="宋体" w:eastAsia="宋体" w:cs="宋体"/>
          <w:bCs w:val="0"/>
          <w:color w:val="auto"/>
          <w:spacing w:val="0"/>
          <w:sz w:val="21"/>
          <w:szCs w:val="21"/>
          <w:highlight w:val="none"/>
          <w:lang w:val="en-US" w:eastAsia="zh-CN" w:bidi="hi-IN"/>
        </w:rPr>
      </w:pPr>
      <w:r>
        <w:rPr>
          <w:rFonts w:hint="eastAsia" w:ascii="宋体" w:hAnsi="宋体" w:eastAsia="宋体" w:cs="宋体"/>
          <w:bCs w:val="0"/>
          <w:color w:val="auto"/>
          <w:spacing w:val="0"/>
          <w:sz w:val="21"/>
          <w:szCs w:val="21"/>
          <w:highlight w:val="none"/>
          <w:lang w:val="en-US" w:eastAsia="zh-CN" w:bidi="hi-IN"/>
        </w:rPr>
        <w:t>采购代理机构：广西国泰招标咨询有限公司</w:t>
      </w:r>
    </w:p>
    <w:p w14:paraId="49200ABF">
      <w:pPr>
        <w:spacing w:line="360" w:lineRule="auto"/>
        <w:jc w:val="right"/>
        <w:rPr>
          <w:rFonts w:hint="eastAsia" w:ascii="宋体" w:hAnsi="宋体" w:eastAsia="宋体" w:cs="宋体"/>
          <w:bCs w:val="0"/>
          <w:color w:val="auto"/>
          <w:spacing w:val="0"/>
          <w:sz w:val="21"/>
          <w:szCs w:val="21"/>
          <w:highlight w:val="none"/>
          <w:lang w:val="en-US" w:eastAsia="zh-CN" w:bidi="hi-IN"/>
        </w:rPr>
      </w:pPr>
      <w:r>
        <w:rPr>
          <w:rFonts w:hint="eastAsia" w:ascii="宋体" w:hAnsi="宋体" w:eastAsia="宋体" w:cs="宋体"/>
          <w:bCs w:val="0"/>
          <w:color w:val="auto"/>
          <w:spacing w:val="0"/>
          <w:sz w:val="21"/>
          <w:szCs w:val="21"/>
          <w:highlight w:val="none"/>
          <w:lang w:val="en-US" w:eastAsia="zh-CN" w:bidi="hi-IN"/>
        </w:rPr>
        <w:t xml:space="preserve">                                          </w:t>
      </w:r>
      <w:r>
        <w:rPr>
          <w:rFonts w:hint="eastAsia" w:ascii="宋体" w:hAnsi="宋体" w:cs="宋体"/>
          <w:bCs w:val="0"/>
          <w:color w:val="auto"/>
          <w:spacing w:val="0"/>
          <w:sz w:val="21"/>
          <w:szCs w:val="21"/>
          <w:highlight w:val="none"/>
          <w:lang w:val="en-US" w:eastAsia="zh-CN" w:bidi="hi-IN"/>
        </w:rPr>
        <w:t>2025年10月31日</w:t>
      </w:r>
    </w:p>
    <w:p w14:paraId="5018327C">
      <w:pPr>
        <w:rPr>
          <w:rFonts w:hint="eastAsia" w:ascii="宋体" w:hAnsi="宋体" w:eastAsia="宋体" w:cs="宋体"/>
          <w:b/>
          <w:bCs/>
          <w:color w:val="auto"/>
          <w:sz w:val="21"/>
          <w:szCs w:val="32"/>
          <w:highlight w:val="none"/>
        </w:rPr>
      </w:pPr>
      <w:r>
        <w:rPr>
          <w:rFonts w:hint="eastAsia" w:ascii="宋体" w:hAnsi="宋体" w:eastAsia="宋体" w:cs="宋体"/>
          <w:b/>
          <w:bCs/>
          <w:color w:val="auto"/>
          <w:sz w:val="21"/>
          <w:szCs w:val="32"/>
          <w:highlight w:val="none"/>
        </w:rPr>
        <w:br w:type="page"/>
      </w:r>
    </w:p>
    <w:p w14:paraId="698D0963">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bookmarkStart w:id="33" w:name="_Toc13967"/>
      <w:bookmarkStart w:id="34" w:name="_Toc4324"/>
      <w:r>
        <w:rPr>
          <w:rFonts w:hint="eastAsia" w:ascii="宋体" w:hAnsi="宋体" w:eastAsia="宋体" w:cs="宋体"/>
          <w:color w:val="auto"/>
          <w:sz w:val="32"/>
          <w:szCs w:val="32"/>
          <w:highlight w:val="none"/>
        </w:rPr>
        <w:t>第二章  供应商须知</w:t>
      </w:r>
      <w:bookmarkEnd w:id="33"/>
      <w:bookmarkEnd w:id="34"/>
    </w:p>
    <w:p w14:paraId="39678088">
      <w:pPr>
        <w:pStyle w:val="25"/>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p w14:paraId="245C1E27">
      <w:pPr>
        <w:pStyle w:val="25"/>
        <w:rPr>
          <w:rFonts w:hint="eastAsia" w:ascii="宋体" w:hAnsi="宋体" w:eastAsia="宋体" w:cs="宋体"/>
          <w:color w:val="auto"/>
          <w:highlight w:val="none"/>
        </w:rPr>
      </w:pPr>
    </w:p>
    <w:tbl>
      <w:tblPr>
        <w:tblStyle w:val="21"/>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833"/>
        <w:gridCol w:w="6309"/>
        <w:gridCol w:w="11"/>
      </w:tblGrid>
      <w:tr w14:paraId="725F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4" w:type="dxa"/>
            <w:vAlign w:val="center"/>
          </w:tcPr>
          <w:p w14:paraId="0F7AC10E">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序</w:t>
            </w:r>
            <w:r>
              <w:rPr>
                <w:rFonts w:hint="eastAsia" w:ascii="宋体" w:hAnsi="宋体" w:eastAsia="宋体" w:cs="宋体"/>
                <w:b/>
                <w:color w:val="auto"/>
                <w:kern w:val="0"/>
                <w:sz w:val="21"/>
                <w:szCs w:val="21"/>
                <w:highlight w:val="none"/>
              </w:rPr>
              <w:t>号</w:t>
            </w:r>
          </w:p>
        </w:tc>
        <w:tc>
          <w:tcPr>
            <w:tcW w:w="1833" w:type="dxa"/>
            <w:vAlign w:val="center"/>
          </w:tcPr>
          <w:p w14:paraId="7A339AFD">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内容</w:t>
            </w:r>
          </w:p>
        </w:tc>
        <w:tc>
          <w:tcPr>
            <w:tcW w:w="6320" w:type="dxa"/>
            <w:gridSpan w:val="2"/>
            <w:vAlign w:val="center"/>
          </w:tcPr>
          <w:p w14:paraId="03D479F6">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说明与要求</w:t>
            </w:r>
          </w:p>
        </w:tc>
      </w:tr>
      <w:tr w14:paraId="0AA1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3" w:hRule="exact"/>
          <w:jc w:val="center"/>
        </w:trPr>
        <w:tc>
          <w:tcPr>
            <w:tcW w:w="644" w:type="dxa"/>
            <w:vAlign w:val="center"/>
          </w:tcPr>
          <w:p w14:paraId="0728F58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w:t>
            </w:r>
          </w:p>
        </w:tc>
        <w:tc>
          <w:tcPr>
            <w:tcW w:w="1833" w:type="dxa"/>
            <w:vAlign w:val="center"/>
          </w:tcPr>
          <w:p w14:paraId="01709D6C">
            <w:pPr>
              <w:keepNext w:val="0"/>
              <w:keepLines w:val="0"/>
              <w:pageBreakBefore w:val="0"/>
              <w:kinsoku/>
              <w:wordWrap/>
              <w:overflowPunct/>
              <w:topLinePunct w:val="0"/>
              <w:autoSpaceDE w:val="0"/>
              <w:autoSpaceDN w:val="0"/>
              <w:bidi w:val="0"/>
              <w:spacing w:line="360" w:lineRule="auto"/>
              <w:ind w:left="1054" w:hanging="1054" w:hangingChars="50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项目</w:t>
            </w:r>
            <w:r>
              <w:rPr>
                <w:rFonts w:hint="eastAsia" w:ascii="宋体" w:hAnsi="宋体" w:eastAsia="宋体" w:cs="宋体"/>
                <w:b/>
                <w:bCs/>
                <w:color w:val="auto"/>
                <w:kern w:val="0"/>
                <w:sz w:val="21"/>
                <w:szCs w:val="21"/>
                <w:highlight w:val="none"/>
              </w:rPr>
              <w:t>名称及</w:t>
            </w:r>
          </w:p>
          <w:p w14:paraId="5C94B303">
            <w:pPr>
              <w:keepNext w:val="0"/>
              <w:keepLines w:val="0"/>
              <w:pageBreakBefore w:val="0"/>
              <w:kinsoku/>
              <w:wordWrap/>
              <w:overflowPunct/>
              <w:topLinePunct w:val="0"/>
              <w:autoSpaceDE w:val="0"/>
              <w:autoSpaceDN w:val="0"/>
              <w:bidi w:val="0"/>
              <w:spacing w:line="360" w:lineRule="auto"/>
              <w:ind w:left="1054" w:hanging="1054" w:hangingChars="50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项目</w:t>
            </w:r>
            <w:r>
              <w:rPr>
                <w:rFonts w:hint="eastAsia" w:ascii="宋体" w:hAnsi="宋体" w:eastAsia="宋体" w:cs="宋体"/>
                <w:b/>
                <w:bCs/>
                <w:color w:val="auto"/>
                <w:kern w:val="0"/>
                <w:sz w:val="21"/>
                <w:szCs w:val="21"/>
                <w:highlight w:val="none"/>
              </w:rPr>
              <w:t>编号</w:t>
            </w:r>
          </w:p>
        </w:tc>
        <w:tc>
          <w:tcPr>
            <w:tcW w:w="6320" w:type="dxa"/>
            <w:gridSpan w:val="2"/>
            <w:vAlign w:val="center"/>
          </w:tcPr>
          <w:p w14:paraId="7B58C553">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w:t>
            </w:r>
            <w:r>
              <w:rPr>
                <w:rFonts w:hint="eastAsia" w:ascii="宋体" w:hAnsi="宋体" w:cs="宋体"/>
                <w:color w:val="auto"/>
                <w:sz w:val="21"/>
                <w:szCs w:val="21"/>
                <w:highlight w:val="none"/>
                <w:lang w:val="en-US" w:eastAsia="zh-CN"/>
              </w:rPr>
              <w:t>天等县杨湾至龙茗公路(K75-K85.556)生命安全防护工程</w:t>
            </w:r>
          </w:p>
          <w:p w14:paraId="6479B096">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项目编号：</w:t>
            </w:r>
            <w:r>
              <w:rPr>
                <w:rFonts w:hint="eastAsia" w:ascii="宋体" w:hAnsi="宋体" w:cs="宋体"/>
                <w:color w:val="auto"/>
                <w:sz w:val="21"/>
                <w:szCs w:val="21"/>
                <w:highlight w:val="none"/>
                <w:lang w:val="en-US" w:eastAsia="zh-CN"/>
              </w:rPr>
              <w:t xml:space="preserve"> CZZC2025-C2-250194-GTZB</w:t>
            </w:r>
          </w:p>
          <w:p w14:paraId="4BDBE870">
            <w:pPr>
              <w:bidi w:val="0"/>
              <w:rPr>
                <w:rFonts w:hint="eastAsia" w:ascii="宋体" w:hAnsi="宋体" w:eastAsia="宋体" w:cs="宋体"/>
                <w:color w:val="auto"/>
                <w:highlight w:val="none"/>
                <w:lang w:val="en-US" w:eastAsia="zh-CN"/>
              </w:rPr>
            </w:pPr>
          </w:p>
        </w:tc>
      </w:tr>
      <w:tr w14:paraId="3B28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jc w:val="center"/>
        </w:trPr>
        <w:tc>
          <w:tcPr>
            <w:tcW w:w="644" w:type="dxa"/>
            <w:vAlign w:val="center"/>
          </w:tcPr>
          <w:p w14:paraId="27F0CD8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w:t>
            </w:r>
          </w:p>
        </w:tc>
        <w:tc>
          <w:tcPr>
            <w:tcW w:w="1833" w:type="dxa"/>
            <w:vAlign w:val="center"/>
          </w:tcPr>
          <w:p w14:paraId="29B648CE">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建设地点</w:t>
            </w:r>
          </w:p>
        </w:tc>
        <w:tc>
          <w:tcPr>
            <w:tcW w:w="6320" w:type="dxa"/>
            <w:gridSpan w:val="2"/>
            <w:vAlign w:val="center"/>
          </w:tcPr>
          <w:p w14:paraId="05FB9B8E">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崇左市天等县</w:t>
            </w:r>
          </w:p>
        </w:tc>
      </w:tr>
      <w:tr w14:paraId="5833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exact"/>
          <w:jc w:val="center"/>
        </w:trPr>
        <w:tc>
          <w:tcPr>
            <w:tcW w:w="644" w:type="dxa"/>
            <w:vAlign w:val="center"/>
          </w:tcPr>
          <w:p w14:paraId="2BDA79FB">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w:t>
            </w:r>
          </w:p>
        </w:tc>
        <w:tc>
          <w:tcPr>
            <w:tcW w:w="1833" w:type="dxa"/>
            <w:vAlign w:val="center"/>
          </w:tcPr>
          <w:p w14:paraId="3C2E7AA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color w:val="auto"/>
                <w:kern w:val="0"/>
                <w:sz w:val="21"/>
                <w:szCs w:val="21"/>
                <w:highlight w:val="none"/>
              </w:rPr>
              <w:t>招标控制价</w:t>
            </w:r>
          </w:p>
        </w:tc>
        <w:tc>
          <w:tcPr>
            <w:tcW w:w="6320" w:type="dxa"/>
            <w:gridSpan w:val="2"/>
            <w:vAlign w:val="center"/>
          </w:tcPr>
          <w:p w14:paraId="28E0781B">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val="en-US" w:eastAsia="zh-CN"/>
              </w:rPr>
              <w:t>民币</w:t>
            </w:r>
            <w:r>
              <w:rPr>
                <w:rFonts w:hint="eastAsia" w:ascii="宋体" w:hAnsi="宋体" w:cs="宋体"/>
                <w:color w:val="auto"/>
                <w:sz w:val="21"/>
                <w:szCs w:val="21"/>
                <w:highlight w:val="none"/>
                <w:lang w:val="en-US" w:eastAsia="zh-CN"/>
              </w:rPr>
              <w:t>1495126.46元</w:t>
            </w:r>
          </w:p>
        </w:tc>
      </w:tr>
      <w:tr w14:paraId="546C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exact"/>
          <w:jc w:val="center"/>
        </w:trPr>
        <w:tc>
          <w:tcPr>
            <w:tcW w:w="644" w:type="dxa"/>
            <w:vAlign w:val="center"/>
          </w:tcPr>
          <w:p w14:paraId="5E26ED29">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w:t>
            </w:r>
          </w:p>
        </w:tc>
        <w:tc>
          <w:tcPr>
            <w:tcW w:w="1833" w:type="dxa"/>
            <w:vAlign w:val="center"/>
          </w:tcPr>
          <w:p w14:paraId="12A1E375">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承包方式</w:t>
            </w:r>
          </w:p>
        </w:tc>
        <w:tc>
          <w:tcPr>
            <w:tcW w:w="6320" w:type="dxa"/>
            <w:gridSpan w:val="2"/>
            <w:vAlign w:val="center"/>
          </w:tcPr>
          <w:p w14:paraId="6C065A99">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包工包料</w:t>
            </w:r>
          </w:p>
        </w:tc>
      </w:tr>
      <w:tr w14:paraId="592D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exact"/>
          <w:jc w:val="center"/>
        </w:trPr>
        <w:tc>
          <w:tcPr>
            <w:tcW w:w="644" w:type="dxa"/>
            <w:vAlign w:val="center"/>
          </w:tcPr>
          <w:p w14:paraId="253F697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w:t>
            </w:r>
          </w:p>
        </w:tc>
        <w:tc>
          <w:tcPr>
            <w:tcW w:w="1833" w:type="dxa"/>
            <w:vAlign w:val="center"/>
          </w:tcPr>
          <w:p w14:paraId="25571EC6">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质量标准</w:t>
            </w:r>
          </w:p>
        </w:tc>
        <w:tc>
          <w:tcPr>
            <w:tcW w:w="6320" w:type="dxa"/>
            <w:gridSpan w:val="2"/>
            <w:vAlign w:val="center"/>
          </w:tcPr>
          <w:p w14:paraId="7860DDE3">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rPr>
              <w:t>工程质量符合国家现行《新版建筑工程施工质量验收规范汇编》合格标准</w:t>
            </w:r>
            <w:r>
              <w:rPr>
                <w:rFonts w:hint="eastAsia" w:ascii="宋体" w:hAnsi="宋体" w:eastAsia="宋体" w:cs="宋体"/>
                <w:color w:val="auto"/>
                <w:highlight w:val="none"/>
                <w:lang w:eastAsia="zh-CN"/>
              </w:rPr>
              <w:t>。</w:t>
            </w:r>
          </w:p>
        </w:tc>
      </w:tr>
      <w:tr w14:paraId="55C8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3" w:hRule="exact"/>
          <w:jc w:val="center"/>
        </w:trPr>
        <w:tc>
          <w:tcPr>
            <w:tcW w:w="644" w:type="dxa"/>
            <w:vAlign w:val="center"/>
          </w:tcPr>
          <w:p w14:paraId="6D69F84E">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6</w:t>
            </w:r>
          </w:p>
        </w:tc>
        <w:tc>
          <w:tcPr>
            <w:tcW w:w="1833" w:type="dxa"/>
            <w:vAlign w:val="center"/>
          </w:tcPr>
          <w:p w14:paraId="2D09BDF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采购范围</w:t>
            </w:r>
          </w:p>
        </w:tc>
        <w:tc>
          <w:tcPr>
            <w:tcW w:w="6320" w:type="dxa"/>
            <w:gridSpan w:val="2"/>
            <w:vAlign w:val="center"/>
          </w:tcPr>
          <w:p w14:paraId="3140885E">
            <w:pPr>
              <w:widowControl/>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范围内容包括：</w:t>
            </w:r>
            <w:r>
              <w:rPr>
                <w:rFonts w:hint="eastAsia" w:ascii="宋体" w:hAnsi="宋体" w:cs="宋体"/>
                <w:color w:val="auto"/>
                <w:sz w:val="21"/>
                <w:szCs w:val="21"/>
                <w:highlight w:val="none"/>
                <w:lang w:eastAsia="zh-CN"/>
              </w:rPr>
              <w:t>路面提升及道路安防设施</w:t>
            </w:r>
            <w:r>
              <w:rPr>
                <w:rFonts w:hint="eastAsia" w:ascii="宋体" w:hAnsi="宋体" w:eastAsia="宋体" w:cs="宋体"/>
                <w:color w:val="auto"/>
                <w:sz w:val="21"/>
                <w:szCs w:val="21"/>
                <w:highlight w:val="none"/>
                <w:lang w:eastAsia="zh-CN"/>
              </w:rPr>
              <w:t>。</w:t>
            </w:r>
          </w:p>
        </w:tc>
      </w:tr>
      <w:tr w14:paraId="4565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jc w:val="center"/>
        </w:trPr>
        <w:tc>
          <w:tcPr>
            <w:tcW w:w="644" w:type="dxa"/>
            <w:vAlign w:val="center"/>
          </w:tcPr>
          <w:p w14:paraId="748514D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7</w:t>
            </w:r>
          </w:p>
        </w:tc>
        <w:tc>
          <w:tcPr>
            <w:tcW w:w="1833" w:type="dxa"/>
            <w:vAlign w:val="center"/>
          </w:tcPr>
          <w:p w14:paraId="42E894B5">
            <w:pPr>
              <w:keepNext w:val="0"/>
              <w:keepLines w:val="0"/>
              <w:pageBreakBefore w:val="0"/>
              <w:kinsoku/>
              <w:wordWrap/>
              <w:overflowPunct/>
              <w:topLinePunct w:val="0"/>
              <w:bidi w:val="0"/>
              <w:spacing w:line="360" w:lineRule="auto"/>
              <w:ind w:firstLine="413" w:firstLineChars="196"/>
              <w:rPr>
                <w:rFonts w:hint="eastAsia" w:ascii="宋体" w:hAnsi="宋体" w:eastAsia="宋体" w:cs="宋体"/>
                <w:color w:val="auto"/>
                <w:sz w:val="21"/>
                <w:szCs w:val="21"/>
                <w:highlight w:val="none"/>
                <w:lang w:eastAsia="zh-CN"/>
              </w:rPr>
            </w:pPr>
            <w:r>
              <w:rPr>
                <w:rFonts w:hint="eastAsia" w:ascii="宋体" w:hAnsi="宋体" w:eastAsia="宋体" w:cs="宋体"/>
                <w:b/>
                <w:bCs/>
                <w:color w:val="auto"/>
                <w:kern w:val="0"/>
                <w:sz w:val="21"/>
                <w:szCs w:val="21"/>
                <w:highlight w:val="none"/>
                <w:lang w:eastAsia="zh-CN"/>
              </w:rPr>
              <w:t>工期要求</w:t>
            </w:r>
          </w:p>
        </w:tc>
        <w:tc>
          <w:tcPr>
            <w:tcW w:w="6320" w:type="dxa"/>
            <w:gridSpan w:val="2"/>
            <w:vAlign w:val="center"/>
          </w:tcPr>
          <w:p w14:paraId="5B81FD0A">
            <w:pPr>
              <w:keepNext w:val="0"/>
              <w:keepLines w:val="0"/>
              <w:pageBreakBefore w:val="0"/>
              <w:kinsoku/>
              <w:wordWrap/>
              <w:overflowPunct/>
              <w:topLinePunct w:val="0"/>
              <w:bidi w:val="0"/>
              <w:spacing w:line="360" w:lineRule="auto"/>
              <w:ind w:firstLine="411" w:firstLineChars="1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365日历天</w:t>
            </w:r>
          </w:p>
        </w:tc>
      </w:tr>
      <w:tr w14:paraId="77B3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0" w:hRule="exact"/>
          <w:jc w:val="center"/>
        </w:trPr>
        <w:tc>
          <w:tcPr>
            <w:tcW w:w="644" w:type="dxa"/>
            <w:vAlign w:val="center"/>
          </w:tcPr>
          <w:p w14:paraId="2BDE8EF0">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8</w:t>
            </w:r>
          </w:p>
        </w:tc>
        <w:tc>
          <w:tcPr>
            <w:tcW w:w="1833" w:type="dxa"/>
            <w:vAlign w:val="center"/>
          </w:tcPr>
          <w:p w14:paraId="25920D4E">
            <w:pPr>
              <w:keepNext w:val="0"/>
              <w:keepLines w:val="0"/>
              <w:pageBreakBefore w:val="0"/>
              <w:kinsoku/>
              <w:wordWrap/>
              <w:overflowPunct/>
              <w:topLinePunct w:val="0"/>
              <w:bidi w:val="0"/>
              <w:spacing w:line="360" w:lineRule="auto"/>
              <w:ind w:firstLine="413" w:firstLineChars="196"/>
              <w:rPr>
                <w:rFonts w:hint="eastAsia" w:ascii="宋体" w:hAnsi="宋体" w:eastAsia="宋体" w:cs="宋体"/>
                <w:bCs/>
                <w:color w:val="auto"/>
                <w:sz w:val="21"/>
                <w:szCs w:val="21"/>
                <w:highlight w:val="none"/>
                <w:lang w:eastAsia="zh-CN"/>
              </w:rPr>
            </w:pPr>
            <w:r>
              <w:rPr>
                <w:rFonts w:hint="eastAsia" w:ascii="宋体" w:hAnsi="宋体" w:eastAsia="宋体" w:cs="宋体"/>
                <w:b/>
                <w:bCs w:val="0"/>
                <w:color w:val="auto"/>
                <w:sz w:val="21"/>
                <w:szCs w:val="21"/>
                <w:highlight w:val="none"/>
                <w:lang w:eastAsia="zh-CN"/>
              </w:rPr>
              <w:t>资金来源</w:t>
            </w:r>
          </w:p>
        </w:tc>
        <w:tc>
          <w:tcPr>
            <w:tcW w:w="6320" w:type="dxa"/>
            <w:gridSpan w:val="2"/>
            <w:vAlign w:val="center"/>
          </w:tcPr>
          <w:p w14:paraId="1D6F5AD8">
            <w:pPr>
              <w:keepNext w:val="0"/>
              <w:keepLines w:val="0"/>
              <w:pageBreakBefore w:val="0"/>
              <w:kinsoku/>
              <w:wordWrap/>
              <w:overflowPunct/>
              <w:topLinePunct w:val="0"/>
              <w:bidi w:val="0"/>
              <w:spacing w:line="360" w:lineRule="auto"/>
              <w:ind w:firstLine="411" w:firstLineChars="1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 </w:t>
            </w:r>
            <w:r>
              <w:rPr>
                <w:rFonts w:hint="eastAsia" w:ascii="宋体" w:hAnsi="宋体" w:cs="宋体"/>
                <w:color w:val="auto"/>
                <w:sz w:val="21"/>
                <w:szCs w:val="21"/>
                <w:highlight w:val="none"/>
                <w:lang w:eastAsia="zh-CN"/>
              </w:rPr>
              <w:t>《广西壮族自治区财政厅关于提前下达2025年政府还贷二级公路取消收费后补助资金的通知》桂财工交〔2024〕92号)</w:t>
            </w:r>
          </w:p>
        </w:tc>
      </w:tr>
      <w:tr w14:paraId="30DD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44" w:type="dxa"/>
            <w:vAlign w:val="center"/>
          </w:tcPr>
          <w:p w14:paraId="361E31C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9</w:t>
            </w:r>
          </w:p>
        </w:tc>
        <w:tc>
          <w:tcPr>
            <w:tcW w:w="1833" w:type="dxa"/>
            <w:vAlign w:val="center"/>
          </w:tcPr>
          <w:p w14:paraId="7AA328CC">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rPr>
              <w:t>资质</w:t>
            </w:r>
          </w:p>
          <w:p w14:paraId="41C3D685">
            <w:pPr>
              <w:keepNext w:val="0"/>
              <w:keepLines w:val="0"/>
              <w:pageBreakBefore w:val="0"/>
              <w:widowControl/>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等级要求</w:t>
            </w:r>
          </w:p>
        </w:tc>
        <w:tc>
          <w:tcPr>
            <w:tcW w:w="6320" w:type="dxa"/>
            <w:gridSpan w:val="2"/>
            <w:vAlign w:val="center"/>
          </w:tcPr>
          <w:p w14:paraId="641B1A1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2B4729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1780F0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专门面向中小企业采购的项目</w:t>
            </w:r>
            <w:r>
              <w:rPr>
                <w:rFonts w:hint="eastAsia" w:ascii="宋体" w:hAnsi="宋体" w:eastAsia="宋体" w:cs="宋体"/>
                <w:color w:val="auto"/>
                <w:sz w:val="21"/>
                <w:szCs w:val="21"/>
                <w:highlight w:val="none"/>
                <w:lang w:val="en-US" w:eastAsia="zh-CN"/>
              </w:rPr>
              <w:t>，预留份额100%</w:t>
            </w:r>
            <w:r>
              <w:rPr>
                <w:rFonts w:hint="eastAsia" w:ascii="宋体" w:hAnsi="宋体" w:eastAsia="宋体" w:cs="宋体"/>
                <w:color w:val="auto"/>
                <w:szCs w:val="21"/>
                <w:highlight w:val="none"/>
              </w:rPr>
              <w:t>（供应商应为中小微企业、监狱企业、残疾人福利性单位</w:t>
            </w:r>
            <w:r>
              <w:rPr>
                <w:rFonts w:hint="eastAsia" w:ascii="宋体" w:hAnsi="宋体" w:eastAsia="宋体" w:cs="宋体"/>
                <w:color w:val="auto"/>
                <w:szCs w:val="21"/>
                <w:highlight w:val="none"/>
              </w:rPr>
              <w:t>)</w:t>
            </w:r>
          </w:p>
          <w:p w14:paraId="77B26A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p>
          <w:p w14:paraId="39FB3C0D">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r>
              <w:rPr>
                <w:rFonts w:hint="eastAsia" w:ascii="宋体" w:hAnsi="宋体" w:eastAsia="宋体" w:cs="宋体"/>
                <w:color w:val="auto"/>
                <w:sz w:val="21"/>
                <w:szCs w:val="21"/>
                <w:highlight w:val="none"/>
                <w:lang w:eastAsia="zh-CN"/>
              </w:rPr>
              <w:t>具备公路工程施工总承包三级及以上资质或</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lang w:eastAsia="zh-CN"/>
              </w:rPr>
              <w:t>广西壮族自治区人民政府办公厅印发《关于支持建筑业企业增信心稳增长促转型若干措施》的通知（桂政办发〔2024〕62号）中“推动互跨专业承接业务”要求的</w:t>
            </w:r>
            <w:r>
              <w:rPr>
                <w:rFonts w:hint="eastAsia" w:ascii="宋体" w:hAnsi="宋体" w:eastAsia="宋体" w:cs="宋体"/>
                <w:color w:val="auto"/>
                <w:sz w:val="21"/>
                <w:szCs w:val="21"/>
                <w:highlight w:val="none"/>
                <w:lang w:val="en-US" w:eastAsia="zh-CN"/>
              </w:rPr>
              <w:t>施工单位</w:t>
            </w:r>
            <w:r>
              <w:rPr>
                <w:rFonts w:hint="eastAsia" w:ascii="宋体" w:hAnsi="宋体" w:eastAsia="宋体" w:cs="宋体"/>
                <w:color w:val="auto"/>
                <w:sz w:val="21"/>
                <w:szCs w:val="21"/>
                <w:highlight w:val="none"/>
                <w:lang w:eastAsia="zh-CN"/>
              </w:rPr>
              <w:t>，并在人员、设备、资金等方面具有相应的施工能力；拟派驻的项目经理须具备公路工程专业二级以上（含二级）注册建造师执业资格，具备有效的安全生产考核合格证书（B类），且为本单位在职员工。</w:t>
            </w:r>
          </w:p>
        </w:tc>
      </w:tr>
      <w:tr w14:paraId="78B9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44" w:type="dxa"/>
            <w:vAlign w:val="center"/>
          </w:tcPr>
          <w:p w14:paraId="16EA8855">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10</w:t>
            </w:r>
          </w:p>
        </w:tc>
        <w:tc>
          <w:tcPr>
            <w:tcW w:w="1833" w:type="dxa"/>
            <w:vAlign w:val="center"/>
          </w:tcPr>
          <w:p w14:paraId="28143B31">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资格审查方式</w:t>
            </w:r>
          </w:p>
        </w:tc>
        <w:tc>
          <w:tcPr>
            <w:tcW w:w="6320" w:type="dxa"/>
            <w:gridSpan w:val="2"/>
            <w:vAlign w:val="center"/>
          </w:tcPr>
          <w:p w14:paraId="0EA93C28">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资格后审</w:t>
            </w:r>
          </w:p>
        </w:tc>
      </w:tr>
      <w:tr w14:paraId="3CF0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644" w:type="dxa"/>
            <w:vAlign w:val="center"/>
          </w:tcPr>
          <w:p w14:paraId="4F44284D">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11</w:t>
            </w:r>
          </w:p>
        </w:tc>
        <w:tc>
          <w:tcPr>
            <w:tcW w:w="1833" w:type="dxa"/>
            <w:vAlign w:val="center"/>
          </w:tcPr>
          <w:p w14:paraId="44F67BE6">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工程报价方式</w:t>
            </w:r>
          </w:p>
        </w:tc>
        <w:tc>
          <w:tcPr>
            <w:tcW w:w="6320" w:type="dxa"/>
            <w:gridSpan w:val="2"/>
            <w:vAlign w:val="center"/>
          </w:tcPr>
          <w:p w14:paraId="72E751FD">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工程量清单报价</w:t>
            </w:r>
          </w:p>
        </w:tc>
      </w:tr>
      <w:tr w14:paraId="5009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44" w:type="dxa"/>
            <w:vAlign w:val="center"/>
          </w:tcPr>
          <w:p w14:paraId="0157C379">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12</w:t>
            </w:r>
          </w:p>
        </w:tc>
        <w:tc>
          <w:tcPr>
            <w:tcW w:w="1833" w:type="dxa"/>
            <w:vAlign w:val="center"/>
          </w:tcPr>
          <w:p w14:paraId="7AD08FC4">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磋商</w:t>
            </w:r>
            <w:r>
              <w:rPr>
                <w:rFonts w:hint="eastAsia" w:ascii="宋体" w:hAnsi="宋体" w:eastAsia="宋体" w:cs="宋体"/>
                <w:b/>
                <w:bCs/>
                <w:color w:val="auto"/>
                <w:kern w:val="0"/>
                <w:sz w:val="21"/>
                <w:szCs w:val="21"/>
                <w:highlight w:val="none"/>
              </w:rPr>
              <w:t>有效期</w:t>
            </w:r>
          </w:p>
        </w:tc>
        <w:tc>
          <w:tcPr>
            <w:tcW w:w="6320" w:type="dxa"/>
            <w:gridSpan w:val="2"/>
            <w:vAlign w:val="center"/>
          </w:tcPr>
          <w:p w14:paraId="30365E6C">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90日（自提交响应文件截止之日算起）</w:t>
            </w:r>
          </w:p>
        </w:tc>
      </w:tr>
      <w:tr w14:paraId="692E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5" w:hRule="atLeast"/>
          <w:jc w:val="center"/>
        </w:trPr>
        <w:tc>
          <w:tcPr>
            <w:tcW w:w="644" w:type="dxa"/>
            <w:vAlign w:val="center"/>
          </w:tcPr>
          <w:p w14:paraId="269D2CB6">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13</w:t>
            </w:r>
          </w:p>
        </w:tc>
        <w:tc>
          <w:tcPr>
            <w:tcW w:w="1833" w:type="dxa"/>
            <w:vAlign w:val="center"/>
          </w:tcPr>
          <w:p w14:paraId="36C1F574">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磋商保证金</w:t>
            </w:r>
          </w:p>
        </w:tc>
        <w:tc>
          <w:tcPr>
            <w:tcW w:w="6309" w:type="dxa"/>
          </w:tcPr>
          <w:p w14:paraId="5D252E0D">
            <w:pPr>
              <w:wordWrap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本项目</w:t>
            </w:r>
            <w:r>
              <w:rPr>
                <w:rFonts w:hint="eastAsia" w:ascii="宋体" w:hAnsi="宋体" w:eastAsia="宋体" w:cs="宋体"/>
                <w:color w:val="auto"/>
                <w:kern w:val="0"/>
                <w:sz w:val="21"/>
                <w:szCs w:val="21"/>
                <w:highlight w:val="none"/>
                <w:lang w:val="en-US" w:eastAsia="zh-CN"/>
              </w:rPr>
              <w:t>不需要缴纳</w:t>
            </w:r>
            <w:r>
              <w:rPr>
                <w:rFonts w:hint="eastAsia" w:ascii="宋体" w:hAnsi="宋体" w:eastAsia="宋体" w:cs="宋体"/>
                <w:color w:val="auto"/>
                <w:kern w:val="0"/>
                <w:sz w:val="21"/>
                <w:szCs w:val="21"/>
                <w:highlight w:val="none"/>
              </w:rPr>
              <w:t>收取磋商保证金。</w:t>
            </w:r>
          </w:p>
        </w:tc>
      </w:tr>
      <w:tr w14:paraId="32F6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67" w:hRule="atLeast"/>
          <w:jc w:val="center"/>
        </w:trPr>
        <w:tc>
          <w:tcPr>
            <w:tcW w:w="644" w:type="dxa"/>
            <w:vAlign w:val="center"/>
          </w:tcPr>
          <w:p w14:paraId="277F4E21">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14</w:t>
            </w:r>
          </w:p>
        </w:tc>
        <w:tc>
          <w:tcPr>
            <w:tcW w:w="1833" w:type="dxa"/>
            <w:vAlign w:val="center"/>
          </w:tcPr>
          <w:p w14:paraId="2AF39260">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踏勘现场</w:t>
            </w:r>
          </w:p>
        </w:tc>
        <w:tc>
          <w:tcPr>
            <w:tcW w:w="6309" w:type="dxa"/>
            <w:vAlign w:val="center"/>
          </w:tcPr>
          <w:p w14:paraId="135F3399">
            <w:pPr>
              <w:pStyle w:val="25"/>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不组织踏勘现场。</w:t>
            </w:r>
          </w:p>
          <w:p w14:paraId="0F5ECA30">
            <w:pPr>
              <w:pStyle w:val="25"/>
              <w:numPr>
                <w:ilvl w:val="0"/>
                <w:numId w:val="0"/>
              </w:num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竞标人可自行对工程现场和周围环境勘察，费用自理、风险自担。</w:t>
            </w:r>
          </w:p>
        </w:tc>
      </w:tr>
      <w:tr w14:paraId="5CBB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92" w:hRule="atLeast"/>
          <w:jc w:val="center"/>
        </w:trPr>
        <w:tc>
          <w:tcPr>
            <w:tcW w:w="644" w:type="dxa"/>
            <w:vAlign w:val="center"/>
          </w:tcPr>
          <w:p w14:paraId="7CE819C8">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15</w:t>
            </w:r>
          </w:p>
        </w:tc>
        <w:tc>
          <w:tcPr>
            <w:tcW w:w="1833" w:type="dxa"/>
            <w:shd w:val="clear" w:color="auto" w:fill="auto"/>
            <w:vAlign w:val="center"/>
          </w:tcPr>
          <w:p w14:paraId="0626B9B7">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响应文件提交</w:t>
            </w:r>
          </w:p>
          <w:p w14:paraId="5B58784B">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u w:val="single"/>
                <w:lang w:val="en-US" w:eastAsia="zh-CN" w:bidi="ar-SA"/>
              </w:rPr>
            </w:pPr>
            <w:r>
              <w:rPr>
                <w:rFonts w:hint="eastAsia" w:ascii="宋体" w:hAnsi="宋体" w:eastAsia="宋体" w:cs="宋体"/>
                <w:b/>
                <w:bCs/>
                <w:color w:val="auto"/>
                <w:kern w:val="0"/>
                <w:sz w:val="21"/>
                <w:szCs w:val="21"/>
                <w:highlight w:val="none"/>
              </w:rPr>
              <w:t>地点及截止时间</w:t>
            </w:r>
          </w:p>
        </w:tc>
        <w:tc>
          <w:tcPr>
            <w:tcW w:w="6309" w:type="dxa"/>
            <w:shd w:val="clear" w:color="auto" w:fill="auto"/>
            <w:vAlign w:val="center"/>
          </w:tcPr>
          <w:p w14:paraId="356BBBBF">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地点：广西政府采购云平台（https://www.gcy.zfcg.gxzf.gov.cn/）</w:t>
            </w:r>
          </w:p>
          <w:p w14:paraId="343A109A">
            <w:pPr>
              <w:pStyle w:val="25"/>
              <w:spacing w:line="360" w:lineRule="auto"/>
              <w:ind w:firstLine="420" w:firstLineChars="200"/>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rPr>
              <w:t>时间：</w:t>
            </w:r>
            <w:r>
              <w:rPr>
                <w:rFonts w:hint="eastAsia" w:ascii="宋体" w:hAnsi="宋体" w:cs="宋体"/>
                <w:color w:val="auto"/>
                <w:sz w:val="21"/>
                <w:szCs w:val="21"/>
                <w:highlight w:val="none"/>
                <w:lang w:val="en-US" w:eastAsia="zh-CN"/>
              </w:rPr>
              <w:t>2025年11月12日09时00分</w:t>
            </w:r>
          </w:p>
        </w:tc>
      </w:tr>
      <w:tr w14:paraId="5164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072" w:hRule="atLeast"/>
          <w:jc w:val="center"/>
        </w:trPr>
        <w:tc>
          <w:tcPr>
            <w:tcW w:w="644" w:type="dxa"/>
            <w:vAlign w:val="center"/>
          </w:tcPr>
          <w:p w14:paraId="06ED22D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16</w:t>
            </w:r>
          </w:p>
        </w:tc>
        <w:tc>
          <w:tcPr>
            <w:tcW w:w="1833" w:type="dxa"/>
            <w:shd w:val="clear" w:color="auto" w:fill="auto"/>
            <w:vAlign w:val="center"/>
          </w:tcPr>
          <w:p w14:paraId="748963E4">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开标地点</w:t>
            </w:r>
          </w:p>
          <w:p w14:paraId="52DD47DD">
            <w:pPr>
              <w:keepNext w:val="0"/>
              <w:keepLines w:val="0"/>
              <w:pageBreakBefore w:val="0"/>
              <w:widowControl/>
              <w:kinsoku/>
              <w:wordWrap/>
              <w:overflowPunct/>
              <w:topLinePunct w:val="0"/>
              <w:bidi w:val="0"/>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及时间</w:t>
            </w:r>
          </w:p>
        </w:tc>
        <w:tc>
          <w:tcPr>
            <w:tcW w:w="6309" w:type="dxa"/>
            <w:shd w:val="clear" w:color="auto" w:fill="auto"/>
            <w:vAlign w:val="center"/>
          </w:tcPr>
          <w:p w14:paraId="3F825F82">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地点：在广西崇左市环城东路西侧花山新城南门8栋101号广西国泰招标咨询有限公司崇左分公司会议室登录广西政府采购云平台（https://www.gcy.zfcg.gxzf.gov.cn/）实行在线解密开启</w:t>
            </w:r>
          </w:p>
          <w:p w14:paraId="59A65BB0">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时间：</w:t>
            </w:r>
            <w:r>
              <w:rPr>
                <w:rFonts w:hint="eastAsia" w:ascii="宋体" w:hAnsi="宋体" w:cs="宋体"/>
                <w:color w:val="auto"/>
                <w:sz w:val="21"/>
                <w:szCs w:val="21"/>
                <w:highlight w:val="none"/>
                <w:lang w:val="en-US" w:eastAsia="zh-CN"/>
              </w:rPr>
              <w:t>2025年11月12日09时00分</w:t>
            </w:r>
          </w:p>
          <w:p w14:paraId="66341474">
            <w:pPr>
              <w:pStyle w:val="25"/>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电子响应文件解密时间：首次响应文件提交截止时间后30分钟内，供应商必须在此时间段内登录广西政府采购云平台（https://www.gcy.zfcg.gxzf.gov.cn/），用“项目采购-开标评标”功能完成电子响应文件的解密。若竞标人在规定时间内未按时解密的，视为响应文件撤回。</w:t>
            </w:r>
          </w:p>
        </w:tc>
      </w:tr>
      <w:tr w14:paraId="7B41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82" w:hRule="atLeast"/>
          <w:jc w:val="center"/>
        </w:trPr>
        <w:tc>
          <w:tcPr>
            <w:tcW w:w="644" w:type="dxa"/>
            <w:vAlign w:val="center"/>
          </w:tcPr>
          <w:p w14:paraId="4A4AA08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17</w:t>
            </w:r>
          </w:p>
        </w:tc>
        <w:tc>
          <w:tcPr>
            <w:tcW w:w="1833" w:type="dxa"/>
            <w:shd w:val="clear" w:color="auto" w:fill="auto"/>
            <w:vAlign w:val="center"/>
          </w:tcPr>
          <w:p w14:paraId="01666CB2">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评标方法</w:t>
            </w:r>
          </w:p>
        </w:tc>
        <w:tc>
          <w:tcPr>
            <w:tcW w:w="6309" w:type="dxa"/>
            <w:shd w:val="clear" w:color="auto" w:fill="auto"/>
            <w:vAlign w:val="center"/>
          </w:tcPr>
          <w:p w14:paraId="742AC2BF">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综合评分法</w:t>
            </w:r>
          </w:p>
        </w:tc>
      </w:tr>
      <w:tr w14:paraId="55F1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53" w:hRule="atLeast"/>
          <w:jc w:val="center"/>
        </w:trPr>
        <w:tc>
          <w:tcPr>
            <w:tcW w:w="644" w:type="dxa"/>
            <w:vAlign w:val="center"/>
          </w:tcPr>
          <w:p w14:paraId="64A37CB2">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18</w:t>
            </w:r>
          </w:p>
        </w:tc>
        <w:tc>
          <w:tcPr>
            <w:tcW w:w="1833" w:type="dxa"/>
            <w:shd w:val="clear" w:color="auto" w:fill="auto"/>
            <w:vAlign w:val="center"/>
          </w:tcPr>
          <w:p w14:paraId="7FE19D40">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农民工工资</w:t>
            </w:r>
          </w:p>
          <w:p w14:paraId="3D065F8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rPr>
              <w:t>保障金</w:t>
            </w:r>
          </w:p>
        </w:tc>
        <w:tc>
          <w:tcPr>
            <w:tcW w:w="6309" w:type="dxa"/>
            <w:shd w:val="clear" w:color="auto" w:fill="auto"/>
            <w:vAlign w:val="center"/>
          </w:tcPr>
          <w:p w14:paraId="7B87CE4C">
            <w:pPr>
              <w:pStyle w:val="25"/>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金额：合同价的1%。施工总承包单位应当以施工合同明确的工程项目为单位，在自治区行政区域内依法设立或设有分支机构的银行类金融机构存储工资保证金或申请开立银行保函。按成交价的1%足额交纳农民工工资保障金，本项目执行桂人社规【2021】16号关于印发广西壮族自治区工程建设领域农民工工资保证金规定实施办法的通知，缴纳农民工工资保证金，在劳动保证部门指定的账户足额存入农民工工资保证金或按照合同约定存入施工单位在银行开设的三方监管账户。</w:t>
            </w:r>
          </w:p>
        </w:tc>
      </w:tr>
      <w:tr w14:paraId="41CA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1175D80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rPr>
              <w:t>19</w:t>
            </w:r>
          </w:p>
        </w:tc>
        <w:tc>
          <w:tcPr>
            <w:tcW w:w="1833" w:type="dxa"/>
            <w:shd w:val="clear" w:color="auto" w:fill="auto"/>
            <w:vAlign w:val="center"/>
          </w:tcPr>
          <w:p w14:paraId="16A6500D">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eastAsia="zh-CN"/>
              </w:rPr>
              <w:t>计税方式</w:t>
            </w:r>
          </w:p>
        </w:tc>
        <w:tc>
          <w:tcPr>
            <w:tcW w:w="6309" w:type="dxa"/>
            <w:shd w:val="clear" w:color="auto" w:fill="auto"/>
            <w:vAlign w:val="center"/>
          </w:tcPr>
          <w:p w14:paraId="4554C3C7">
            <w:pPr>
              <w:wordWrap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一般计税法</w:t>
            </w:r>
          </w:p>
        </w:tc>
      </w:tr>
      <w:tr w14:paraId="7D4A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78C67CDD">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20</w:t>
            </w:r>
          </w:p>
        </w:tc>
        <w:tc>
          <w:tcPr>
            <w:tcW w:w="1833" w:type="dxa"/>
            <w:shd w:val="clear" w:color="auto" w:fill="auto"/>
            <w:vAlign w:val="center"/>
          </w:tcPr>
          <w:p w14:paraId="63949930">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eastAsia="zh-CN"/>
              </w:rPr>
              <w:t>履约保证金</w:t>
            </w:r>
          </w:p>
        </w:tc>
        <w:tc>
          <w:tcPr>
            <w:tcW w:w="6309" w:type="dxa"/>
            <w:shd w:val="clear" w:color="auto" w:fill="auto"/>
            <w:vAlign w:val="center"/>
          </w:tcPr>
          <w:p w14:paraId="49C050AD">
            <w:pPr>
              <w:wordWrap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无</w:t>
            </w:r>
          </w:p>
        </w:tc>
      </w:tr>
      <w:tr w14:paraId="35BD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88" w:hRule="atLeast"/>
          <w:jc w:val="center"/>
        </w:trPr>
        <w:tc>
          <w:tcPr>
            <w:tcW w:w="644" w:type="dxa"/>
            <w:vAlign w:val="center"/>
          </w:tcPr>
          <w:p w14:paraId="1CC98732">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21</w:t>
            </w:r>
          </w:p>
        </w:tc>
        <w:tc>
          <w:tcPr>
            <w:tcW w:w="1833" w:type="dxa"/>
            <w:shd w:val="clear" w:color="auto" w:fill="auto"/>
            <w:vAlign w:val="center"/>
          </w:tcPr>
          <w:p w14:paraId="16189689">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rPr>
              <w:t>采购代理服务费</w:t>
            </w:r>
          </w:p>
        </w:tc>
        <w:tc>
          <w:tcPr>
            <w:tcW w:w="6309" w:type="dxa"/>
            <w:shd w:val="clear" w:color="auto" w:fill="auto"/>
            <w:vAlign w:val="center"/>
          </w:tcPr>
          <w:p w14:paraId="7636C1D6">
            <w:pPr>
              <w:wordWrap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.采购代理服务费收取标准</w:t>
            </w:r>
          </w:p>
          <w:p w14:paraId="12C21BCC">
            <w:pPr>
              <w:wordWrap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以成交金额为计费额，参照原国家发展计划委员会计价格[2002]1980号《招标代理服务费管理暂行办法》、原发改办价格[2003]857号、原发改价格[2011]534号按标准进行计取</w:t>
            </w:r>
            <w:r>
              <w:rPr>
                <w:rFonts w:hint="eastAsia" w:ascii="宋体" w:hAnsi="宋体" w:eastAsia="宋体" w:cs="宋体"/>
                <w:color w:val="auto"/>
                <w:sz w:val="21"/>
                <w:highlight w:val="none"/>
              </w:rPr>
              <w:t>向</w:t>
            </w:r>
            <w:r>
              <w:rPr>
                <w:rFonts w:hint="eastAsia" w:ascii="宋体" w:hAnsi="宋体" w:eastAsia="宋体" w:cs="宋体"/>
                <w:color w:val="auto"/>
                <w:sz w:val="21"/>
                <w:highlight w:val="none"/>
                <w:lang w:val="en-US" w:eastAsia="zh-CN"/>
              </w:rPr>
              <w:t>成交人</w:t>
            </w:r>
            <w:r>
              <w:rPr>
                <w:rFonts w:hint="eastAsia" w:ascii="宋体" w:hAnsi="宋体" w:eastAsia="宋体" w:cs="宋体"/>
                <w:color w:val="auto"/>
                <w:sz w:val="21"/>
                <w:highlight w:val="none"/>
              </w:rPr>
              <w:t>收取</w:t>
            </w:r>
            <w:r>
              <w:rPr>
                <w:rFonts w:hint="eastAsia" w:ascii="宋体" w:hAnsi="宋体" w:eastAsia="宋体" w:cs="宋体"/>
                <w:color w:val="auto"/>
                <w:kern w:val="0"/>
                <w:sz w:val="21"/>
                <w:szCs w:val="21"/>
                <w:highlight w:val="none"/>
                <w:lang w:val="en-US" w:eastAsia="zh-CN"/>
              </w:rPr>
              <w:t>。</w:t>
            </w:r>
          </w:p>
          <w:p w14:paraId="4CC832EE">
            <w:pPr>
              <w:wordWrap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2.账户名称：广西国泰招标咨询有限公司南宁第七分公司</w:t>
            </w:r>
          </w:p>
          <w:p w14:paraId="427A23C4">
            <w:pPr>
              <w:wordWrap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开户银行：广西北部湾银行股份有限公司南宁市云景支行</w:t>
            </w:r>
          </w:p>
          <w:p w14:paraId="7327ED60">
            <w:pPr>
              <w:wordWrap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银行账号：805213831000002</w:t>
            </w:r>
          </w:p>
        </w:tc>
      </w:tr>
      <w:tr w14:paraId="19F7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489C2D87">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22</w:t>
            </w:r>
          </w:p>
        </w:tc>
        <w:tc>
          <w:tcPr>
            <w:tcW w:w="1833" w:type="dxa"/>
            <w:shd w:val="clear" w:color="auto" w:fill="auto"/>
            <w:vAlign w:val="center"/>
          </w:tcPr>
          <w:p w14:paraId="063A2FFF">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eastAsia="zh-CN"/>
              </w:rPr>
              <w:t>其他</w:t>
            </w:r>
          </w:p>
        </w:tc>
        <w:tc>
          <w:tcPr>
            <w:tcW w:w="6309" w:type="dxa"/>
            <w:shd w:val="clear" w:color="auto" w:fill="auto"/>
            <w:vAlign w:val="center"/>
          </w:tcPr>
          <w:p w14:paraId="161D35E7">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注：本项目实行电子化投标采购文件中描述供应商的“公章”是指供应商通过指定电子化政府采购平台办理数字证书（CA认证证书）获得的以法定主体行为名称制作的电子印章。文件中要求供应商对其电子响应文件的相关内容加盖公章的，均指采用CA证书签章。）</w:t>
            </w:r>
          </w:p>
          <w:p w14:paraId="6AE46542">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5F1F721">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注：本项目实行电子化投标，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060DDFD6">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4.自然人竞标的，磋商文件规定盖公章处由自然人摁手指指印。</w:t>
            </w:r>
          </w:p>
          <w:p w14:paraId="6FD4BA3D">
            <w:pPr>
              <w:pStyle w:val="2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5.本磋商文件所称的“以上”“以下”“以内”“届满”，包括本数；所称的“不满”“超过”“以外”，不包括本数。</w:t>
            </w:r>
          </w:p>
          <w:p w14:paraId="729E92AD">
            <w:pPr>
              <w:pStyle w:val="25"/>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6.电子响应文件中根据“政府采购项目电子交易管理操作指南-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 </w:t>
            </w:r>
          </w:p>
        </w:tc>
      </w:tr>
      <w:tr w14:paraId="41FF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72" w:hRule="atLeast"/>
          <w:jc w:val="center"/>
        </w:trPr>
        <w:tc>
          <w:tcPr>
            <w:tcW w:w="644" w:type="dxa"/>
            <w:vAlign w:val="center"/>
          </w:tcPr>
          <w:p w14:paraId="2D67D9E2">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23</w:t>
            </w:r>
          </w:p>
        </w:tc>
        <w:tc>
          <w:tcPr>
            <w:tcW w:w="1833" w:type="dxa"/>
            <w:shd w:val="clear" w:color="auto" w:fill="auto"/>
            <w:vAlign w:val="center"/>
          </w:tcPr>
          <w:p w14:paraId="5061DA47">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eastAsia="zh-CN"/>
              </w:rPr>
              <w:t>电子投标准备工作</w:t>
            </w:r>
          </w:p>
        </w:tc>
        <w:tc>
          <w:tcPr>
            <w:tcW w:w="6309" w:type="dxa"/>
            <w:shd w:val="clear" w:color="auto" w:fill="auto"/>
            <w:vAlign w:val="center"/>
          </w:tcPr>
          <w:p w14:paraId="7F77A486">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参与电子竞标的准备工作：</w:t>
            </w:r>
          </w:p>
          <w:p w14:paraId="122C6D95">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（1）响应文件提交方式：本项目为崇左市全流程电子化项目，通过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实行在线电子响应，供应商应先安装</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电子交易客户端”（请自行前往</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进行下载），并按照本项目采购文件和</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的要求编制、加密后在投标截止时间前通过网络上传至</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，供应商在</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提交电子版响应文件时，请填写参加远程采购活动经办人联系方式，电子响应文件具体操作流程详见《政府采购项目电子交易管理操作指南-供应商》</w:t>
            </w:r>
          </w:p>
          <w:p w14:paraId="103AD178">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潜在供应商应当在投标截止时间前，完成电子交易平台上的CA数字证书办理及响应文件的提交。完成CA数字证书办理预计7日左右，供应商只需办理其中一家CA数字证书及签章。</w:t>
            </w:r>
          </w:p>
          <w:p w14:paraId="14597C46">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78F25AFE">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将予以拒收。</w:t>
            </w:r>
          </w:p>
          <w:p w14:paraId="60601C35">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CA证书在线解密：首次响应文件开启时，须要供应商携带制作响应文件时用来加密的有效数字证书（CA认证）登录</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电子开标大厅现场按规定时间对加密的响应文件进行解密，否则后果自负。</w:t>
            </w:r>
          </w:p>
          <w:p w14:paraId="5AF73A8F">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供应商需要在具备有摄像头及语音功能且互联网网络状况良好的电脑登录</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远程开标大厅参与本次磋商，否则后果自负。</w:t>
            </w:r>
          </w:p>
          <w:p w14:paraId="2F175408">
            <w:pPr>
              <w:pStyle w:val="25"/>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若对项目采购电子交易系统操作有疑问，可登陆</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，点击右侧咨询小采，获取采小蜜智能服务管家帮助，或拨打</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服务热线</w:t>
            </w:r>
            <w:r>
              <w:rPr>
                <w:rFonts w:hint="eastAsia" w:ascii="宋体" w:hAnsi="宋体" w:cs="宋体"/>
                <w:color w:val="auto"/>
                <w:sz w:val="21"/>
                <w:szCs w:val="21"/>
                <w:highlight w:val="none"/>
                <w:lang w:eastAsia="zh-CN"/>
              </w:rPr>
              <w:t>95763</w:t>
            </w:r>
            <w:r>
              <w:rPr>
                <w:rFonts w:hint="eastAsia" w:ascii="宋体" w:hAnsi="宋体" w:eastAsia="宋体" w:cs="宋体"/>
                <w:color w:val="auto"/>
                <w:sz w:val="21"/>
                <w:szCs w:val="21"/>
                <w:highlight w:val="none"/>
              </w:rPr>
              <w:t>获取热线服务帮助。</w:t>
            </w:r>
          </w:p>
        </w:tc>
      </w:tr>
      <w:tr w14:paraId="5B32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1DE11A8D">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24</w:t>
            </w:r>
          </w:p>
        </w:tc>
        <w:tc>
          <w:tcPr>
            <w:tcW w:w="1833" w:type="dxa"/>
            <w:shd w:val="clear" w:color="auto" w:fill="auto"/>
            <w:vAlign w:val="center"/>
          </w:tcPr>
          <w:p w14:paraId="22C8F31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bCs/>
                <w:color w:val="auto"/>
                <w:sz w:val="21"/>
                <w:szCs w:val="21"/>
                <w:highlight w:val="none"/>
              </w:rPr>
              <w:t>电子响应文件的制作、加密</w:t>
            </w:r>
          </w:p>
        </w:tc>
        <w:tc>
          <w:tcPr>
            <w:tcW w:w="6309" w:type="dxa"/>
            <w:shd w:val="clear" w:color="auto" w:fill="auto"/>
            <w:vAlign w:val="center"/>
          </w:tcPr>
          <w:p w14:paraId="3DB9495A">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供应商制作电子响应文件前，应登陆</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进行“申请获取采购文件”操作，否则，有可能导致无法在线编制响应文件并参与竞标，其不利后果由供应商自行承担。</w:t>
            </w:r>
          </w:p>
          <w:p w14:paraId="71BE2FC0">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供应商下载或获取竞争性磋商文件后，登录</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电子投标客户端”，按照本磋商文件规定的响应文件格式、顺序以及</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的要求，通过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电子投标客户端”编制电子响应文件。</w:t>
            </w:r>
          </w:p>
          <w:p w14:paraId="6911ADC6">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供应商应按</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5B58D3CF">
            <w:pPr>
              <w:pStyle w:val="2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电子响应文件不得涂改，若有修改错漏处，须由法定代表人（负责人、自然人）或授权委托代理人通过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电子投标客户端”采用</w:t>
            </w:r>
            <w:r>
              <w:rPr>
                <w:rFonts w:hint="eastAsia" w:ascii="宋体" w:hAnsi="宋体" w:eastAsia="宋体" w:cs="宋体"/>
                <w:color w:val="auto"/>
                <w:sz w:val="21"/>
                <w:szCs w:val="21"/>
                <w:highlight w:val="none"/>
                <w:lang w:eastAsia="zh-CN"/>
              </w:rPr>
              <w:t>广西政府采购云平台（https://www.gcy.zfcg.gxzf.gov.cn/）个人CA证书签字章</w:t>
            </w:r>
            <w:r>
              <w:rPr>
                <w:rFonts w:hint="eastAsia" w:ascii="宋体" w:hAnsi="宋体" w:eastAsia="宋体" w:cs="宋体"/>
                <w:color w:val="auto"/>
                <w:sz w:val="21"/>
                <w:szCs w:val="21"/>
                <w:highlight w:val="none"/>
              </w:rPr>
              <w:t>，没有办理</w:t>
            </w:r>
            <w:r>
              <w:rPr>
                <w:rFonts w:hint="eastAsia" w:ascii="宋体" w:hAnsi="宋体" w:eastAsia="宋体" w:cs="宋体"/>
                <w:color w:val="auto"/>
                <w:sz w:val="21"/>
                <w:szCs w:val="21"/>
                <w:highlight w:val="none"/>
                <w:lang w:eastAsia="zh-CN"/>
              </w:rPr>
              <w:t>广西政府采购云平台（https://www.gcy.zfcg.gxzf.gov.cn/）个人CA证书签字章</w:t>
            </w:r>
            <w:r>
              <w:rPr>
                <w:rFonts w:hint="eastAsia" w:ascii="宋体" w:hAnsi="宋体" w:eastAsia="宋体" w:cs="宋体"/>
                <w:color w:val="auto"/>
                <w:sz w:val="21"/>
                <w:szCs w:val="21"/>
                <w:highlight w:val="none"/>
              </w:rPr>
              <w:t>的，在响应文件中响应位置手写签字后扫描或者拍照</w:t>
            </w:r>
            <w:r>
              <w:rPr>
                <w:rFonts w:hint="eastAsia" w:ascii="宋体" w:hAnsi="宋体" w:eastAsia="宋体" w:cs="宋体"/>
                <w:color w:val="auto"/>
                <w:sz w:val="21"/>
                <w:szCs w:val="21"/>
                <w:highlight w:val="none"/>
                <w:lang w:eastAsia="zh-CN"/>
              </w:rPr>
              <w:t>转换成</w:t>
            </w:r>
            <w:r>
              <w:rPr>
                <w:rFonts w:hint="eastAsia" w:ascii="宋体" w:hAnsi="宋体" w:eastAsia="宋体" w:cs="宋体"/>
                <w:color w:val="auto"/>
                <w:sz w:val="21"/>
                <w:szCs w:val="21"/>
                <w:highlight w:val="none"/>
              </w:rPr>
              <w:t>PDF格式上传。因响应文件字迹潦草、表达不清、内容不完整、编排混乱导致响应文件被误读、漏读，或者在按竞争性磋商文件规定的部位查找不到相关内容的，其不利后果由供应商自行承担。</w:t>
            </w:r>
          </w:p>
          <w:p w14:paraId="09F534F1">
            <w:pPr>
              <w:wordWrap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供应商编制、生成电子响应文件后应当加密响应文件。供应商未按规定编制并加密的响应文件，</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将予以拒收。</w:t>
            </w:r>
          </w:p>
        </w:tc>
      </w:tr>
      <w:tr w14:paraId="6052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25F0E9A8">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25</w:t>
            </w:r>
          </w:p>
        </w:tc>
        <w:tc>
          <w:tcPr>
            <w:tcW w:w="1833" w:type="dxa"/>
            <w:shd w:val="clear" w:color="auto" w:fill="auto"/>
            <w:vAlign w:val="center"/>
          </w:tcPr>
          <w:p w14:paraId="2F1E9D2B">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预留份额</w:t>
            </w:r>
          </w:p>
        </w:tc>
        <w:tc>
          <w:tcPr>
            <w:tcW w:w="6309" w:type="dxa"/>
            <w:shd w:val="clear" w:color="auto" w:fill="auto"/>
            <w:vAlign w:val="center"/>
          </w:tcPr>
          <w:p w14:paraId="69808FE2">
            <w:pPr>
              <w:wordWrap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本项目专门面向</w:t>
            </w:r>
            <w:r>
              <w:rPr>
                <w:rFonts w:hint="eastAsia" w:ascii="宋体" w:hAnsi="宋体" w:eastAsia="宋体" w:cs="宋体"/>
                <w:color w:val="auto"/>
                <w:sz w:val="21"/>
                <w:szCs w:val="21"/>
                <w:highlight w:val="none"/>
                <w:lang w:eastAsia="zh-CN"/>
              </w:rPr>
              <w:t>中小企业采购，预留份额</w:t>
            </w:r>
            <w:r>
              <w:rPr>
                <w:rFonts w:hint="eastAsia" w:ascii="宋体" w:hAnsi="宋体" w:eastAsia="宋体" w:cs="宋体"/>
                <w:color w:val="auto"/>
                <w:sz w:val="21"/>
                <w:szCs w:val="21"/>
                <w:highlight w:val="none"/>
                <w:lang w:val="en-US" w:eastAsia="zh-CN"/>
              </w:rPr>
              <w:t>100%。</w:t>
            </w:r>
          </w:p>
        </w:tc>
      </w:tr>
    </w:tbl>
    <w:p w14:paraId="420F9F23">
      <w:pPr>
        <w:bidi w:val="0"/>
        <w:rPr>
          <w:rFonts w:hint="eastAsia" w:ascii="宋体" w:hAnsi="宋体" w:eastAsia="宋体" w:cs="宋体"/>
          <w:color w:val="auto"/>
          <w:highlight w:val="none"/>
        </w:rPr>
      </w:pPr>
    </w:p>
    <w:p w14:paraId="39FDDEE4">
      <w:pPr>
        <w:pStyle w:val="25"/>
        <w:rPr>
          <w:rFonts w:hint="eastAsia" w:ascii="宋体" w:hAnsi="宋体" w:eastAsia="宋体" w:cs="宋体"/>
          <w:color w:val="auto"/>
          <w:highlight w:val="none"/>
        </w:rPr>
      </w:pPr>
    </w:p>
    <w:p w14:paraId="382AB1BC">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74D58B9">
      <w:pPr>
        <w:pStyle w:val="25"/>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 应 商 须 知</w:t>
      </w:r>
    </w:p>
    <w:p w14:paraId="065C1BE2">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一、总则</w:t>
      </w:r>
    </w:p>
    <w:p w14:paraId="584247E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适用范围</w:t>
      </w:r>
    </w:p>
    <w:p w14:paraId="7A3E4A5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本文件仅适用于本文件中所叙述的工程类采购项目。</w:t>
      </w:r>
    </w:p>
    <w:p w14:paraId="54E3ECE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定义</w:t>
      </w:r>
    </w:p>
    <w:p w14:paraId="1D1D713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w:t>
      </w:r>
      <w:r>
        <w:rPr>
          <w:rFonts w:hint="eastAsia" w:ascii="宋体" w:hAnsi="宋体" w:eastAsia="宋体" w:cs="宋体"/>
          <w:color w:val="auto"/>
          <w:szCs w:val="21"/>
          <w:highlight w:val="none"/>
          <w:lang w:val="zh-CN"/>
        </w:rPr>
        <w:t>天等县交通运输局</w:t>
      </w:r>
    </w:p>
    <w:p w14:paraId="17BD747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2.2“采购代理机构”是指：</w:t>
      </w:r>
      <w:r>
        <w:rPr>
          <w:rFonts w:hint="eastAsia" w:ascii="宋体" w:hAnsi="宋体" w:eastAsia="宋体" w:cs="宋体"/>
          <w:color w:val="auto"/>
          <w:szCs w:val="21"/>
          <w:highlight w:val="none"/>
          <w:lang w:eastAsia="zh-CN"/>
        </w:rPr>
        <w:t>广西国泰招标咨询有限公司</w:t>
      </w:r>
    </w:p>
    <w:p w14:paraId="072C0CE0">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2.3“响应供应商”是指响应本文件要求，参加磋商的法人或者其它组织。如果该供应商在本次磋商中成交，即成为“成交供应商”。</w:t>
      </w:r>
    </w:p>
    <w:p w14:paraId="1B24437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14:paraId="713EC86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2.5“服务”是指除货物和工程以外的其它采购对象。</w:t>
      </w:r>
    </w:p>
    <w:p w14:paraId="2C9D25D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2.6“竞争性磋商响应文件”是指：响应供应商根据本文件要求，编制包含报价、技术和服务等所有内容的文件。</w:t>
      </w:r>
    </w:p>
    <w:p w14:paraId="6B87B86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2.7计税方式：详见竞标须知前附表</w:t>
      </w:r>
    </w:p>
    <w:p w14:paraId="2759F71D">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响应供应商的基本条件：</w:t>
      </w:r>
    </w:p>
    <w:p w14:paraId="1ED3E5C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3.1供应商的资格条件详见“竞争性磋商公告”。</w:t>
      </w:r>
    </w:p>
    <w:p w14:paraId="1A849BD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磋商费用</w:t>
      </w:r>
    </w:p>
    <w:p w14:paraId="0EF4E04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4.1响应供应商应自行承担所有与编写和提交竞争性磋商响应文件有关的费用，不论磋商结果如何，采购人和</w:t>
      </w:r>
      <w:r>
        <w:rPr>
          <w:rFonts w:hint="eastAsia" w:ascii="宋体" w:hAnsi="宋体" w:eastAsia="宋体" w:cs="宋体"/>
          <w:color w:val="auto"/>
          <w:szCs w:val="21"/>
          <w:highlight w:val="none"/>
          <w:lang w:eastAsia="zh-CN"/>
        </w:rPr>
        <w:t>广西国泰招标咨询有限公司</w:t>
      </w:r>
      <w:r>
        <w:rPr>
          <w:rFonts w:hint="eastAsia" w:ascii="宋体" w:hAnsi="宋体" w:eastAsia="宋体" w:cs="宋体"/>
          <w:color w:val="auto"/>
          <w:szCs w:val="21"/>
          <w:highlight w:val="none"/>
        </w:rPr>
        <w:t>在任何情况下无义务和责任承担此类费用。</w:t>
      </w:r>
    </w:p>
    <w:p w14:paraId="37A6FF6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 </w:t>
      </w:r>
      <w:r>
        <w:rPr>
          <w:rFonts w:hint="eastAsia" w:ascii="宋体" w:hAnsi="宋体" w:cs="宋体"/>
          <w:color w:val="auto"/>
          <w:szCs w:val="21"/>
          <w:highlight w:val="none"/>
          <w:lang w:eastAsia="zh-CN"/>
        </w:rPr>
        <w:t>磋商响应无效</w:t>
      </w:r>
      <w:r>
        <w:rPr>
          <w:rFonts w:hint="eastAsia" w:ascii="宋体" w:hAnsi="宋体" w:eastAsia="宋体" w:cs="宋体"/>
          <w:color w:val="auto"/>
          <w:szCs w:val="21"/>
          <w:highlight w:val="none"/>
        </w:rPr>
        <w:t>的情形</w:t>
      </w:r>
    </w:p>
    <w:p w14:paraId="1EBB4F6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5.1有下列情形之一的视为响应供应商相互串通竞标，响应文件将被视为无效：</w:t>
      </w:r>
    </w:p>
    <w:p w14:paraId="2477158E">
      <w:pPr>
        <w:pStyle w:val="30"/>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（1）不同响应供应商的响应文件由同一单位或者个人编制；或不同响应供应商报名的IP地址一致的；</w:t>
      </w:r>
    </w:p>
    <w:p w14:paraId="73DB1F1F">
      <w:pPr>
        <w:pStyle w:val="30"/>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（2）不同响应供应商委托同一单位或者个人办理磋商事宜；</w:t>
      </w:r>
    </w:p>
    <w:p w14:paraId="3140562A">
      <w:pPr>
        <w:pStyle w:val="30"/>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（3）不同的响应供应商的响应文件载明的项目管理员为同一个人；</w:t>
      </w:r>
    </w:p>
    <w:p w14:paraId="62481D3B">
      <w:pPr>
        <w:pStyle w:val="30"/>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（4）不同响应供应商的响应文件异常一致或磋商报价呈规律性差异；</w:t>
      </w:r>
    </w:p>
    <w:p w14:paraId="191A3C99">
      <w:pPr>
        <w:pStyle w:val="30"/>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（5）不同响应供应商的响应文件相互混装。</w:t>
      </w:r>
    </w:p>
    <w:p w14:paraId="5803430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5.2特别说明</w:t>
      </w:r>
    </w:p>
    <w:p w14:paraId="714B3FE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（1）关联响应供应商不得参加同一合同项下采购活动，否则响应文件将被视为无效。单位负责人为同一人或者存在直接控股、管理关系的不同的响应供应商，不得参加同一合同项下的采购活动；</w:t>
      </w:r>
    </w:p>
    <w:p w14:paraId="78113E15">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（2）响应供应商磋商所使用的资格、信誉、荣誉、业绩与企业认证必须为本法人所拥有。响应供应商投入所使用的采购项目实施人员必须为本法人员工（或必须为本法人或控股公司正式员工）。</w:t>
      </w:r>
    </w:p>
    <w:p w14:paraId="1D434BB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（3）响应供应商应仔细阅读磋商文件的所有内容，按照磋商文件的要求提交响应文件，并对所提供的全部资料的真实性承担法律责任。</w:t>
      </w:r>
    </w:p>
    <w:p w14:paraId="41B9CD5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（4）响应供应商在采购活动中提供任何虚假材料，其</w:t>
      </w:r>
      <w:r>
        <w:rPr>
          <w:rFonts w:hint="eastAsia" w:ascii="宋体" w:hAnsi="宋体" w:cs="宋体"/>
          <w:color w:val="auto"/>
          <w:szCs w:val="21"/>
          <w:highlight w:val="none"/>
          <w:lang w:eastAsia="zh-CN"/>
        </w:rPr>
        <w:t>磋商响应无效</w:t>
      </w:r>
      <w:r>
        <w:rPr>
          <w:rFonts w:hint="eastAsia" w:ascii="宋体" w:hAnsi="宋体" w:eastAsia="宋体" w:cs="宋体"/>
          <w:color w:val="auto"/>
          <w:szCs w:val="21"/>
          <w:highlight w:val="none"/>
        </w:rPr>
        <w:t>，并报监管部门查处；成交后发现的，响应供应商须依照《中华人民共和国消费者权益保护法》第49条之规定双倍赔偿采购人，且民事赔偿并不免除违法响应供应商的行政与刑事责任。</w:t>
      </w:r>
    </w:p>
    <w:p w14:paraId="3223511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（5）本项目不允许转包、分包。如成交响应供应商出现转包或分包情形，采购单位有权取消其成交资格。</w:t>
      </w:r>
    </w:p>
    <w:p w14:paraId="62FFDF3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6、</w:t>
      </w:r>
      <w:r>
        <w:rPr>
          <w:rFonts w:hint="eastAsia" w:ascii="宋体" w:hAnsi="宋体" w:eastAsia="宋体" w:cs="宋体"/>
          <w:b/>
          <w:bCs/>
          <w:color w:val="auto"/>
          <w:sz w:val="24"/>
          <w:highlight w:val="none"/>
        </w:rPr>
        <w:t>磋商文件的澄清和修改</w:t>
      </w:r>
    </w:p>
    <w:p w14:paraId="2C24926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1C08D67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60F91F9D">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6.3澄清或者修改的内容为磋商文件的组成部分。当澄清或者修改通知就同一内容的表述不一致时，以最后发出的书面文件为准。</w:t>
      </w:r>
    </w:p>
    <w:p w14:paraId="6D90C57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 磋商文件的澄清或者修改都应该通过本项目采购代理机构以法定形式发布，采购人非通过本机构，不得擅自澄清、答复、修改或补充磋商文件。</w:t>
      </w:r>
    </w:p>
    <w:p w14:paraId="6B81C45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6.5 采购代理机构可以视采购具体情况，延长响应文件提交截止时间和磋商时间，并在本项目竞争性磋商公告发布的同一媒体上发布变更公告。</w:t>
      </w:r>
    </w:p>
    <w:p w14:paraId="71A403CB">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二、竞争性磋商响应文件的编制</w:t>
      </w:r>
    </w:p>
    <w:p w14:paraId="39DA48E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 竞争性磋商响应文件编制基本要求</w:t>
      </w:r>
    </w:p>
    <w:p w14:paraId="271683B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响应供应商提交的竞争性磋商响应文件以及响应供应商与</w:t>
      </w:r>
      <w:r>
        <w:rPr>
          <w:rFonts w:hint="eastAsia" w:ascii="宋体" w:hAnsi="宋体" w:eastAsia="宋体" w:cs="宋体"/>
          <w:color w:val="auto"/>
          <w:szCs w:val="21"/>
          <w:highlight w:val="none"/>
          <w:lang w:eastAsia="zh-CN"/>
        </w:rPr>
        <w:t>采购代理机构或</w:t>
      </w:r>
      <w:r>
        <w:rPr>
          <w:rFonts w:hint="eastAsia" w:ascii="宋体" w:hAnsi="宋体" w:eastAsia="宋体" w:cs="宋体"/>
          <w:color w:val="auto"/>
          <w:szCs w:val="21"/>
          <w:highlight w:val="none"/>
        </w:rPr>
        <w:t>采购人就有关磋商的所有来往函电均应使用中文。响应供应商提交的支持文件和印刷的文献可以使用别的语言，但其相应内容必须附有中文翻译文本，在解释竞争性磋商响应文件时以翻译文本为主。</w:t>
      </w:r>
    </w:p>
    <w:p w14:paraId="391B9D75">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7.2响应供应商应认真阅读、并充分理解本文件的全部内容（包括所有的补充、修改内容），承诺并履行本文件中各项条款规定及要求。</w:t>
      </w:r>
    </w:p>
    <w:p w14:paraId="5C101EC0">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竞争性磋商响应文件必须按本文件全部内容，包括所有的补充通知及附件进行编制。</w:t>
      </w:r>
    </w:p>
    <w:p w14:paraId="49F5B54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 如因响应供应商只填写和提供了本文件要求的部分内容和附件，而给评审造成困难，其可能导致的结果和责任由响应供应商自行承担。</w:t>
      </w:r>
    </w:p>
    <w:p w14:paraId="5E7746A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7.6供应商编写的且在响应文件递交截止时间前递交的</w:t>
      </w:r>
      <w:r>
        <w:rPr>
          <w:rFonts w:hint="eastAsia" w:ascii="宋体" w:hAnsi="宋体" w:eastAsia="宋体" w:cs="宋体"/>
          <w:color w:val="auto"/>
          <w:szCs w:val="21"/>
          <w:highlight w:val="none"/>
          <w:lang w:eastAsia="zh-CN"/>
        </w:rPr>
        <w:t>响应文件由资格文件、报价文件和商务技术文件组成</w:t>
      </w:r>
      <w:r>
        <w:rPr>
          <w:rFonts w:hint="eastAsia" w:ascii="宋体" w:hAnsi="宋体" w:eastAsia="宋体" w:cs="宋体"/>
          <w:color w:val="auto"/>
          <w:szCs w:val="21"/>
          <w:highlight w:val="none"/>
        </w:rPr>
        <w:t>，必须包括下列内容：</w:t>
      </w:r>
    </w:p>
    <w:p w14:paraId="6582449F">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7.6.1响应文件的</w:t>
      </w:r>
      <w:r>
        <w:rPr>
          <w:rFonts w:hint="eastAsia" w:ascii="宋体" w:hAnsi="宋体" w:eastAsia="宋体" w:cs="宋体"/>
          <w:b/>
          <w:bCs/>
          <w:color w:val="auto"/>
          <w:szCs w:val="21"/>
          <w:highlight w:val="none"/>
          <w:lang w:eastAsia="zh-CN"/>
        </w:rPr>
        <w:t>资格文件</w:t>
      </w:r>
      <w:r>
        <w:rPr>
          <w:rFonts w:hint="eastAsia" w:ascii="宋体" w:hAnsi="宋体" w:eastAsia="宋体" w:cs="宋体"/>
          <w:b/>
          <w:bCs/>
          <w:color w:val="auto"/>
          <w:szCs w:val="21"/>
          <w:highlight w:val="none"/>
        </w:rPr>
        <w:t>主要包括下列内容：</w:t>
      </w:r>
    </w:p>
    <w:p w14:paraId="4BA34E3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（1）崇左市政府采购供应商信用承诺函</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格式</w:t>
      </w:r>
      <w:r>
        <w:rPr>
          <w:rFonts w:hint="eastAsia" w:ascii="宋体" w:hAnsi="宋体" w:eastAsia="宋体" w:cs="宋体"/>
          <w:b/>
          <w:bCs/>
          <w:color w:val="auto"/>
          <w:sz w:val="21"/>
          <w:szCs w:val="21"/>
          <w:highlight w:val="none"/>
          <w:lang w:eastAsia="zh-CN"/>
        </w:rPr>
        <w:t>后附，</w:t>
      </w:r>
      <w:r>
        <w:rPr>
          <w:rFonts w:hint="eastAsia" w:ascii="宋体" w:hAnsi="宋体" w:eastAsia="宋体" w:cs="宋体"/>
          <w:b/>
          <w:bCs/>
          <w:color w:val="auto"/>
          <w:sz w:val="21"/>
          <w:szCs w:val="21"/>
          <w:highlight w:val="none"/>
        </w:rPr>
        <w:t>必须提供，否则响应文件按无效响应处理）</w:t>
      </w:r>
    </w:p>
    <w:p w14:paraId="3DBAC99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有效的资质证书副本复印件或根据广西壮族自治区人民政府办公厅印发《关于支持建筑业企业增信心稳增长促转</w:t>
      </w:r>
      <w:r>
        <w:rPr>
          <w:rFonts w:hint="eastAsia" w:ascii="宋体" w:hAnsi="宋体" w:eastAsia="宋体" w:cs="宋体"/>
          <w:color w:val="auto"/>
          <w:sz w:val="21"/>
          <w:szCs w:val="21"/>
          <w:highlight w:val="none"/>
          <w:lang w:eastAsia="zh-CN"/>
        </w:rPr>
        <w:t>型若干措施》的通知（桂政办发〔2024〕62号）中“推动互跨专业承接业务”要求的证明材料复印件及有效的安全生产许可证副本复印件</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（必须提供，否则响应文件按无效响应处理）</w:t>
      </w:r>
    </w:p>
    <w:p w14:paraId="27F24A9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）拟派项目经理的身份证复印件、注册建造师证和安全生产考核合格证（“三类人员”B类证书）</w:t>
      </w:r>
      <w:r>
        <w:rPr>
          <w:rFonts w:hint="eastAsia" w:ascii="宋体" w:hAnsi="宋体" w:eastAsia="宋体" w:cs="宋体"/>
          <w:color w:val="auto"/>
          <w:szCs w:val="21"/>
          <w:highlight w:val="none"/>
        </w:rPr>
        <w:t>；</w:t>
      </w:r>
      <w:r>
        <w:rPr>
          <w:rFonts w:hint="eastAsia" w:ascii="宋体" w:hAnsi="宋体" w:eastAsia="宋体" w:cs="宋体"/>
          <w:b/>
          <w:bCs/>
          <w:color w:val="auto"/>
          <w:sz w:val="21"/>
          <w:szCs w:val="21"/>
          <w:highlight w:val="none"/>
        </w:rPr>
        <w:t>（必须提供，否则响应文件按无效响应处理）</w:t>
      </w:r>
    </w:p>
    <w:p w14:paraId="6FAFFCC6">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供应商直接控股、管理关系信息表</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（必须提供，否则响应文件按无效响应处理）</w:t>
      </w:r>
    </w:p>
    <w:p w14:paraId="111EB94D">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）中小企业声明函</w:t>
      </w:r>
      <w:r>
        <w:rPr>
          <w:rFonts w:hint="eastAsia" w:ascii="宋体" w:hAnsi="宋体" w:eastAsia="宋体" w:cs="宋体"/>
          <w:color w:val="auto"/>
          <w:sz w:val="21"/>
          <w:szCs w:val="21"/>
          <w:highlight w:val="none"/>
          <w:lang w:eastAsia="zh-CN"/>
        </w:rPr>
        <w:t>或《政府采购促进中小企业发展管理办法 财库〔2020〕46号》要求提供的证明文件</w:t>
      </w:r>
      <w:r>
        <w:rPr>
          <w:rFonts w:hint="eastAsia" w:ascii="宋体" w:hAnsi="宋体" w:eastAsia="宋体" w:cs="宋体"/>
          <w:color w:val="auto"/>
          <w:szCs w:val="21"/>
          <w:highlight w:val="none"/>
        </w:rPr>
        <w:t>；</w:t>
      </w:r>
      <w:r>
        <w:rPr>
          <w:rFonts w:hint="eastAsia" w:ascii="宋体" w:hAnsi="宋体" w:eastAsia="宋体" w:cs="宋体"/>
          <w:b/>
          <w:bCs/>
          <w:color w:val="auto"/>
          <w:sz w:val="21"/>
          <w:szCs w:val="21"/>
          <w:highlight w:val="none"/>
        </w:rPr>
        <w:t>（必须提供，否则响应文件按无效响应处理）</w:t>
      </w:r>
    </w:p>
    <w:p w14:paraId="1785873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val="en-US" w:eastAsia="zh-CN"/>
        </w:rPr>
        <w:t>供</w:t>
      </w:r>
      <w:r>
        <w:rPr>
          <w:rFonts w:hint="eastAsia" w:ascii="宋体" w:hAnsi="宋体" w:eastAsia="宋体" w:cs="宋体"/>
          <w:color w:val="auto"/>
          <w:sz w:val="21"/>
          <w:szCs w:val="21"/>
          <w:highlight w:val="none"/>
          <w:lang w:eastAsia="zh-CN"/>
        </w:rPr>
        <w:t>应商认为有必要提供的声明及其他证明材料</w:t>
      </w:r>
      <w:r>
        <w:rPr>
          <w:rFonts w:hint="eastAsia" w:ascii="宋体" w:hAnsi="宋体" w:eastAsia="宋体" w:cs="宋体"/>
          <w:b/>
          <w:bCs/>
          <w:color w:val="auto"/>
          <w:sz w:val="21"/>
          <w:szCs w:val="21"/>
          <w:highlight w:val="none"/>
          <w:lang w:eastAsia="zh-CN"/>
        </w:rPr>
        <w:t>（如有，请提供）</w:t>
      </w:r>
      <w:r>
        <w:rPr>
          <w:rFonts w:hint="eastAsia" w:ascii="宋体" w:hAnsi="宋体" w:eastAsia="宋体" w:cs="宋体"/>
          <w:color w:val="auto"/>
          <w:sz w:val="21"/>
          <w:szCs w:val="21"/>
          <w:highlight w:val="none"/>
        </w:rPr>
        <w:t>。</w:t>
      </w:r>
    </w:p>
    <w:p w14:paraId="7B61402B">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7.6.2响应文件的</w:t>
      </w:r>
      <w:r>
        <w:rPr>
          <w:rFonts w:hint="eastAsia" w:ascii="宋体" w:hAnsi="宋体" w:eastAsia="宋体" w:cs="宋体"/>
          <w:b/>
          <w:bCs/>
          <w:color w:val="auto"/>
          <w:sz w:val="21"/>
          <w:szCs w:val="21"/>
          <w:highlight w:val="none"/>
          <w:lang w:eastAsia="zh-CN"/>
        </w:rPr>
        <w:t>报价文件</w:t>
      </w:r>
      <w:r>
        <w:rPr>
          <w:rFonts w:hint="eastAsia" w:ascii="宋体" w:hAnsi="宋体" w:eastAsia="宋体" w:cs="宋体"/>
          <w:b/>
          <w:bCs/>
          <w:color w:val="auto"/>
          <w:sz w:val="21"/>
          <w:szCs w:val="21"/>
          <w:highlight w:val="none"/>
        </w:rPr>
        <w:t>主要包括下列内容：</w:t>
      </w:r>
    </w:p>
    <w:p w14:paraId="37F32E9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）磋商函；</w:t>
      </w:r>
      <w:r>
        <w:rPr>
          <w:rFonts w:hint="eastAsia" w:ascii="宋体" w:hAnsi="宋体" w:eastAsia="宋体" w:cs="宋体"/>
          <w:b/>
          <w:bCs/>
          <w:color w:val="auto"/>
          <w:sz w:val="21"/>
          <w:szCs w:val="21"/>
          <w:highlight w:val="none"/>
        </w:rPr>
        <w:t>（必须提供</w:t>
      </w:r>
      <w:r>
        <w:rPr>
          <w:rFonts w:hint="eastAsia" w:ascii="宋体" w:hAnsi="宋体" w:eastAsia="宋体" w:cs="宋体"/>
          <w:b/>
          <w:bCs/>
          <w:color w:val="auto"/>
          <w:sz w:val="21"/>
          <w:szCs w:val="21"/>
          <w:highlight w:val="none"/>
          <w:lang w:eastAsia="zh-CN"/>
        </w:rPr>
        <w:t>，否则响应文件按无效响应处理</w:t>
      </w:r>
      <w:r>
        <w:rPr>
          <w:rFonts w:hint="eastAsia" w:ascii="宋体" w:hAnsi="宋体" w:eastAsia="宋体" w:cs="宋体"/>
          <w:b/>
          <w:bCs/>
          <w:color w:val="auto"/>
          <w:sz w:val="21"/>
          <w:szCs w:val="21"/>
          <w:highlight w:val="none"/>
        </w:rPr>
        <w:t>）</w:t>
      </w:r>
    </w:p>
    <w:p w14:paraId="6109B670">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）磋商函附录；</w:t>
      </w:r>
      <w:r>
        <w:rPr>
          <w:rFonts w:hint="eastAsia" w:ascii="宋体" w:hAnsi="宋体" w:eastAsia="宋体" w:cs="宋体"/>
          <w:b/>
          <w:bCs/>
          <w:color w:val="auto"/>
          <w:sz w:val="21"/>
          <w:szCs w:val="21"/>
          <w:highlight w:val="none"/>
        </w:rPr>
        <w:t>（必须提供</w:t>
      </w:r>
      <w:r>
        <w:rPr>
          <w:rFonts w:hint="eastAsia" w:ascii="宋体" w:hAnsi="宋体" w:eastAsia="宋体" w:cs="宋体"/>
          <w:b/>
          <w:bCs/>
          <w:color w:val="auto"/>
          <w:sz w:val="21"/>
          <w:szCs w:val="21"/>
          <w:highlight w:val="none"/>
          <w:lang w:eastAsia="zh-CN"/>
        </w:rPr>
        <w:t>，否则响应文件按无效响应处理</w:t>
      </w:r>
      <w:r>
        <w:rPr>
          <w:rFonts w:hint="eastAsia" w:ascii="宋体" w:hAnsi="宋体" w:eastAsia="宋体" w:cs="宋体"/>
          <w:b/>
          <w:bCs/>
          <w:color w:val="auto"/>
          <w:sz w:val="21"/>
          <w:szCs w:val="21"/>
          <w:highlight w:val="none"/>
        </w:rPr>
        <w:t>）</w:t>
      </w:r>
    </w:p>
    <w:p w14:paraId="36BC4BB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）磋商报价表；</w:t>
      </w:r>
      <w:r>
        <w:rPr>
          <w:rFonts w:hint="eastAsia" w:ascii="宋体" w:hAnsi="宋体" w:eastAsia="宋体" w:cs="宋体"/>
          <w:b/>
          <w:bCs/>
          <w:color w:val="auto"/>
          <w:sz w:val="21"/>
          <w:szCs w:val="21"/>
          <w:highlight w:val="none"/>
        </w:rPr>
        <w:t>（必须提供</w:t>
      </w:r>
      <w:r>
        <w:rPr>
          <w:rFonts w:hint="eastAsia" w:ascii="宋体" w:hAnsi="宋体" w:eastAsia="宋体" w:cs="宋体"/>
          <w:b/>
          <w:bCs/>
          <w:color w:val="auto"/>
          <w:sz w:val="21"/>
          <w:szCs w:val="21"/>
          <w:highlight w:val="none"/>
          <w:lang w:eastAsia="zh-CN"/>
        </w:rPr>
        <w:t>，否则响应文件按无效响应处理</w:t>
      </w:r>
      <w:r>
        <w:rPr>
          <w:rFonts w:hint="eastAsia" w:ascii="宋体" w:hAnsi="宋体" w:eastAsia="宋体" w:cs="宋体"/>
          <w:b/>
          <w:bCs/>
          <w:color w:val="auto"/>
          <w:sz w:val="21"/>
          <w:szCs w:val="21"/>
          <w:highlight w:val="none"/>
        </w:rPr>
        <w:t>）</w:t>
      </w:r>
    </w:p>
    <w:p w14:paraId="330CBAC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已标价工程量清单</w:t>
      </w:r>
      <w:r>
        <w:rPr>
          <w:rFonts w:hint="eastAsia" w:ascii="宋体" w:hAnsi="宋体" w:eastAsia="宋体" w:cs="宋体"/>
          <w:color w:val="auto"/>
          <w:sz w:val="21"/>
          <w:szCs w:val="21"/>
          <w:highlight w:val="none"/>
        </w:rPr>
        <w:t>（格式</w:t>
      </w:r>
      <w:r>
        <w:rPr>
          <w:rFonts w:hint="eastAsia" w:ascii="宋体" w:hAnsi="宋体" w:cs="宋体"/>
          <w:color w:val="auto"/>
          <w:sz w:val="21"/>
          <w:szCs w:val="21"/>
          <w:highlight w:val="none"/>
          <w:lang w:val="en-US" w:eastAsia="zh-CN"/>
        </w:rPr>
        <w:t>自拟</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w:t>
      </w:r>
      <w:r>
        <w:rPr>
          <w:rFonts w:hint="eastAsia" w:ascii="宋体" w:hAnsi="宋体" w:eastAsia="宋体" w:cs="宋体"/>
          <w:b/>
          <w:bCs/>
          <w:color w:val="auto"/>
          <w:sz w:val="21"/>
          <w:szCs w:val="21"/>
          <w:highlight w:val="none"/>
          <w:lang w:eastAsia="zh-CN"/>
        </w:rPr>
        <w:t>，否则响应文件按无效响应处理</w:t>
      </w:r>
      <w:r>
        <w:rPr>
          <w:rFonts w:hint="eastAsia" w:ascii="宋体" w:hAnsi="宋体" w:eastAsia="宋体" w:cs="宋体"/>
          <w:b/>
          <w:bCs/>
          <w:color w:val="auto"/>
          <w:szCs w:val="21"/>
          <w:highlight w:val="none"/>
        </w:rPr>
        <w:t>）</w:t>
      </w:r>
    </w:p>
    <w:p w14:paraId="71872C7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供应商认为有必要提供的声明及其他证明材料</w:t>
      </w:r>
      <w:r>
        <w:rPr>
          <w:rFonts w:hint="eastAsia" w:ascii="宋体" w:hAnsi="宋体" w:eastAsia="宋体" w:cs="宋体"/>
          <w:color w:val="auto"/>
          <w:szCs w:val="21"/>
          <w:highlight w:val="none"/>
        </w:rPr>
        <w:t>（如有，</w:t>
      </w:r>
      <w:r>
        <w:rPr>
          <w:rFonts w:hint="eastAsia" w:ascii="宋体" w:hAnsi="宋体" w:eastAsia="宋体" w:cs="宋体"/>
          <w:color w:val="auto"/>
          <w:szCs w:val="21"/>
          <w:highlight w:val="none"/>
          <w:lang w:eastAsia="zh-CN"/>
        </w:rPr>
        <w:t>请提供</w:t>
      </w:r>
      <w:r>
        <w:rPr>
          <w:rFonts w:hint="eastAsia" w:ascii="宋体" w:hAnsi="宋体" w:eastAsia="宋体" w:cs="宋体"/>
          <w:color w:val="auto"/>
          <w:szCs w:val="21"/>
          <w:highlight w:val="none"/>
        </w:rPr>
        <w:t>）</w:t>
      </w:r>
    </w:p>
    <w:p w14:paraId="2F303C77">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7.6.3响应文件</w:t>
      </w:r>
      <w:r>
        <w:rPr>
          <w:rFonts w:hint="eastAsia" w:ascii="宋体" w:hAnsi="宋体" w:eastAsia="宋体" w:cs="宋体"/>
          <w:b/>
          <w:bCs/>
          <w:color w:val="auto"/>
          <w:szCs w:val="21"/>
          <w:highlight w:val="none"/>
          <w:lang w:eastAsia="zh-CN"/>
        </w:rPr>
        <w:t>的</w:t>
      </w:r>
      <w:r>
        <w:rPr>
          <w:rFonts w:hint="eastAsia" w:ascii="宋体" w:hAnsi="宋体" w:eastAsia="宋体" w:cs="宋体"/>
          <w:b/>
          <w:bCs/>
          <w:color w:val="auto"/>
          <w:sz w:val="21"/>
          <w:szCs w:val="21"/>
          <w:highlight w:val="none"/>
          <w:lang w:eastAsia="zh-CN"/>
        </w:rPr>
        <w:t>商务</w:t>
      </w:r>
      <w:r>
        <w:rPr>
          <w:rFonts w:hint="eastAsia" w:ascii="宋体" w:hAnsi="宋体" w:eastAsia="宋体" w:cs="宋体"/>
          <w:b/>
          <w:bCs/>
          <w:color w:val="auto"/>
          <w:szCs w:val="21"/>
          <w:highlight w:val="none"/>
          <w:lang w:eastAsia="zh-CN"/>
        </w:rPr>
        <w:t>技术文件主要包括下列内容：</w:t>
      </w:r>
    </w:p>
    <w:p w14:paraId="6266A8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（1）法定代表人身份证明书，须附上法定代表人身份证复印件；</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b/>
          <w:bCs/>
          <w:color w:val="auto"/>
          <w:sz w:val="21"/>
          <w:szCs w:val="21"/>
          <w:highlight w:val="none"/>
        </w:rPr>
        <w:t>，否则响应文件按无效响应处理</w:t>
      </w:r>
      <w:r>
        <w:rPr>
          <w:rFonts w:hint="eastAsia" w:ascii="宋体" w:hAnsi="宋体" w:eastAsia="宋体" w:cs="宋体"/>
          <w:b/>
          <w:bCs/>
          <w:color w:val="auto"/>
          <w:sz w:val="21"/>
          <w:szCs w:val="21"/>
          <w:highlight w:val="none"/>
          <w:lang w:val="en-US" w:eastAsia="zh-CN"/>
        </w:rPr>
        <w:t>）</w:t>
      </w:r>
    </w:p>
    <w:p w14:paraId="66EC3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（2）法定代表人授权委托书，须附上委托代理人的身份证复印件；</w:t>
      </w:r>
      <w:r>
        <w:rPr>
          <w:rFonts w:hint="eastAsia" w:ascii="宋体" w:hAnsi="宋体" w:eastAsia="宋体" w:cs="宋体"/>
          <w:b/>
          <w:bCs/>
          <w:color w:val="auto"/>
          <w:sz w:val="21"/>
          <w:szCs w:val="21"/>
          <w:highlight w:val="none"/>
          <w:lang w:val="en-US" w:eastAsia="zh-CN"/>
        </w:rPr>
        <w:t>（委托代理时必须提供</w:t>
      </w:r>
      <w:r>
        <w:rPr>
          <w:rFonts w:hint="eastAsia" w:ascii="宋体" w:hAnsi="宋体" w:eastAsia="宋体" w:cs="宋体"/>
          <w:b/>
          <w:bCs/>
          <w:color w:val="auto"/>
          <w:sz w:val="21"/>
          <w:szCs w:val="21"/>
          <w:highlight w:val="none"/>
        </w:rPr>
        <w:t>，否则响应文件按无效响应处理</w:t>
      </w:r>
      <w:r>
        <w:rPr>
          <w:rFonts w:hint="eastAsia" w:ascii="宋体" w:hAnsi="宋体" w:eastAsia="宋体" w:cs="宋体"/>
          <w:b/>
          <w:bCs/>
          <w:color w:val="auto"/>
          <w:sz w:val="21"/>
          <w:szCs w:val="21"/>
          <w:highlight w:val="none"/>
          <w:lang w:val="en-US" w:eastAsia="zh-CN"/>
        </w:rPr>
        <w:t>）</w:t>
      </w:r>
    </w:p>
    <w:p w14:paraId="47F54B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（3）无虚假应标、串通竞标行为的承诺函</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b/>
          <w:bCs/>
          <w:color w:val="auto"/>
          <w:sz w:val="21"/>
          <w:szCs w:val="21"/>
          <w:highlight w:val="none"/>
        </w:rPr>
        <w:t>，否则响应文件按无效响应处理</w:t>
      </w:r>
      <w:r>
        <w:rPr>
          <w:rFonts w:hint="eastAsia" w:ascii="宋体" w:hAnsi="宋体" w:eastAsia="宋体" w:cs="宋体"/>
          <w:b/>
          <w:bCs/>
          <w:color w:val="auto"/>
          <w:sz w:val="21"/>
          <w:szCs w:val="21"/>
          <w:highlight w:val="none"/>
          <w:lang w:val="en-US" w:eastAsia="zh-CN"/>
        </w:rPr>
        <w:t>）</w:t>
      </w:r>
    </w:p>
    <w:p w14:paraId="1C365D4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（4）施工组织设计（格式自拟）</w:t>
      </w:r>
    </w:p>
    <w:p w14:paraId="40B0DB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（5）项目管理机</w:t>
      </w:r>
      <w:r>
        <w:rPr>
          <w:rFonts w:hint="eastAsia" w:ascii="宋体" w:hAnsi="宋体" w:eastAsia="宋体" w:cs="宋体"/>
          <w:color w:val="auto"/>
          <w:kern w:val="2"/>
          <w:sz w:val="21"/>
          <w:szCs w:val="21"/>
          <w:highlight w:val="none"/>
          <w:lang w:val="en-US" w:eastAsia="zh-CN" w:bidi="ar-SA"/>
        </w:rPr>
        <w:t>构：</w:t>
      </w:r>
      <w:r>
        <w:rPr>
          <w:rFonts w:hint="eastAsia" w:ascii="宋体" w:hAnsi="宋体" w:eastAsia="宋体" w:cs="宋体"/>
          <w:b/>
          <w:bCs/>
          <w:color w:val="auto"/>
          <w:kern w:val="2"/>
          <w:sz w:val="21"/>
          <w:szCs w:val="21"/>
          <w:highlight w:val="none"/>
          <w:lang w:val="en-US" w:eastAsia="zh-CN" w:bidi="ar-SA"/>
        </w:rPr>
        <w:t>(格式后附</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sz w:val="21"/>
          <w:szCs w:val="21"/>
          <w:highlight w:val="none"/>
        </w:rPr>
        <w:t>必须提供，否则响应文件按无效响应处理</w:t>
      </w:r>
      <w:r>
        <w:rPr>
          <w:rFonts w:hint="eastAsia" w:ascii="宋体" w:hAnsi="宋体" w:eastAsia="宋体" w:cs="宋体"/>
          <w:b/>
          <w:bCs/>
          <w:color w:val="auto"/>
          <w:kern w:val="2"/>
          <w:sz w:val="21"/>
          <w:szCs w:val="21"/>
          <w:highlight w:val="none"/>
          <w:lang w:val="en-US" w:eastAsia="zh-CN" w:bidi="ar-SA"/>
        </w:rPr>
        <w:t>）</w:t>
      </w:r>
    </w:p>
    <w:p w14:paraId="7B217609">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1）项目管理机构配备情况表；</w:t>
      </w:r>
    </w:p>
    <w:p w14:paraId="1FD6CC36">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2）项目经理（注册建造师）简历表；</w:t>
      </w:r>
    </w:p>
    <w:p w14:paraId="55AFC46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3）项目技术负责人简历表；</w:t>
      </w:r>
    </w:p>
    <w:p w14:paraId="7871295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4）专职安全员简历表。</w:t>
      </w:r>
    </w:p>
    <w:p w14:paraId="54376D3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（6）供应商认为有必要提供的声明及其他证明材料（如有，请提供）</w:t>
      </w:r>
    </w:p>
    <w:p w14:paraId="0FF873C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color w:val="auto"/>
          <w:szCs w:val="21"/>
          <w:highlight w:val="none"/>
          <w:lang w:val="en-US" w:eastAsia="zh-CN"/>
        </w:rPr>
        <w:t>注：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广西政府采购云平台（https://www.gcy.zfcg.gxzf.gov.cn/）个人CA证书签字章的可在响应文件中涉及到签字的位置手写签字后扫描或者拍照做成PDF的格式上传，无个人CA证书签章或手写签字的，响应文件按无效处理</w:t>
      </w:r>
      <w:r>
        <w:rPr>
          <w:rFonts w:hint="eastAsia" w:ascii="宋体" w:hAnsi="宋体" w:eastAsia="宋体" w:cs="宋体"/>
          <w:b w:val="0"/>
          <w:color w:val="auto"/>
          <w:spacing w:val="0"/>
          <w:kern w:val="2"/>
          <w:sz w:val="21"/>
          <w:szCs w:val="21"/>
          <w:highlight w:val="none"/>
          <w:lang w:val="en-US" w:eastAsia="zh-CN" w:bidi="ar-SA"/>
        </w:rPr>
        <w:t>。</w:t>
      </w:r>
    </w:p>
    <w:p w14:paraId="3A9ADB29">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8.计量单位</w:t>
      </w:r>
    </w:p>
    <w:p w14:paraId="4E9354F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8.1除技术要求中另有规定外，本文件所要求使用的计量单位均应采用国家法定计量单位。</w:t>
      </w:r>
    </w:p>
    <w:p w14:paraId="66A83049">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三、采购预算与磋商报价要求</w:t>
      </w:r>
    </w:p>
    <w:p w14:paraId="6DEE9D5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9.1本项目采购预算金额为：</w:t>
      </w:r>
      <w:r>
        <w:rPr>
          <w:rFonts w:hint="eastAsia" w:ascii="宋体" w:hAnsi="宋体" w:eastAsia="宋体" w:cs="宋体"/>
          <w:color w:val="auto"/>
          <w:szCs w:val="21"/>
          <w:highlight w:val="none"/>
          <w:lang w:val="en-US" w:eastAsia="zh-CN"/>
        </w:rPr>
        <w:t>与竞争性磋商公告一致，</w:t>
      </w:r>
      <w:r>
        <w:rPr>
          <w:rFonts w:hint="eastAsia" w:ascii="宋体" w:hAnsi="宋体" w:eastAsia="宋体" w:cs="宋体"/>
          <w:color w:val="auto"/>
          <w:szCs w:val="21"/>
          <w:highlight w:val="none"/>
        </w:rPr>
        <w:t>报价超出采购预算总金额</w:t>
      </w:r>
      <w:r>
        <w:rPr>
          <w:rFonts w:hint="eastAsia" w:ascii="宋体" w:hAnsi="宋体" w:cs="宋体"/>
          <w:color w:val="auto"/>
          <w:szCs w:val="21"/>
          <w:highlight w:val="none"/>
          <w:lang w:val="en-US" w:eastAsia="zh-CN"/>
        </w:rPr>
        <w:t>或分项采购预算金额</w:t>
      </w:r>
      <w:r>
        <w:rPr>
          <w:rFonts w:hint="eastAsia" w:ascii="宋体" w:hAnsi="宋体" w:eastAsia="宋体" w:cs="宋体"/>
          <w:color w:val="auto"/>
          <w:szCs w:val="21"/>
          <w:highlight w:val="none"/>
        </w:rPr>
        <w:t>的将被视为无效竞标。</w:t>
      </w:r>
    </w:p>
    <w:p w14:paraId="266D0B9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9.2本工程采用</w:t>
      </w:r>
      <w:r>
        <w:rPr>
          <w:rFonts w:hint="eastAsia" w:ascii="宋体" w:hAnsi="宋体" w:eastAsia="宋体" w:cs="宋体"/>
          <w:b/>
          <w:color w:val="auto"/>
          <w:szCs w:val="21"/>
          <w:highlight w:val="none"/>
          <w:u w:val="single"/>
        </w:rPr>
        <w:t>工程量清单</w:t>
      </w:r>
      <w:r>
        <w:rPr>
          <w:rFonts w:hint="eastAsia" w:ascii="宋体" w:hAnsi="宋体" w:eastAsia="宋体" w:cs="宋体"/>
          <w:bCs/>
          <w:color w:val="auto"/>
          <w:szCs w:val="21"/>
          <w:highlight w:val="none"/>
        </w:rPr>
        <w:t>方式</w:t>
      </w:r>
      <w:r>
        <w:rPr>
          <w:rFonts w:hint="eastAsia" w:ascii="宋体" w:hAnsi="宋体" w:eastAsia="宋体" w:cs="宋体"/>
          <w:color w:val="auto"/>
          <w:szCs w:val="21"/>
          <w:highlight w:val="none"/>
        </w:rPr>
        <w:t>报价</w:t>
      </w:r>
      <w:r>
        <w:rPr>
          <w:rFonts w:hint="eastAsia" w:ascii="宋体" w:hAnsi="宋体" w:eastAsia="宋体" w:cs="宋体"/>
          <w:color w:val="auto"/>
          <w:highlight w:val="none"/>
        </w:rPr>
        <w:t>。</w:t>
      </w:r>
    </w:p>
    <w:p w14:paraId="46C6B140">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9.2.1</w:t>
      </w:r>
      <w:r>
        <w:rPr>
          <w:rFonts w:hint="eastAsia" w:ascii="宋体" w:hAnsi="宋体" w:eastAsia="宋体" w:cs="宋体"/>
          <w:color w:val="auto"/>
          <w:szCs w:val="21"/>
          <w:highlight w:val="none"/>
        </w:rPr>
        <w:t>合同价款采用</w:t>
      </w:r>
      <w:r>
        <w:rPr>
          <w:rFonts w:hint="eastAsia" w:ascii="宋体" w:hAnsi="宋体" w:eastAsia="宋体" w:cs="宋体"/>
          <w:b/>
          <w:bCs/>
          <w:color w:val="auto"/>
          <w:szCs w:val="21"/>
          <w:highlight w:val="none"/>
          <w:u w:val="single"/>
        </w:rPr>
        <w:t>单价合同</w:t>
      </w:r>
      <w:r>
        <w:rPr>
          <w:rFonts w:hint="eastAsia" w:ascii="宋体" w:hAnsi="宋体" w:eastAsia="宋体" w:cs="宋体"/>
          <w:b/>
          <w:color w:val="auto"/>
          <w:highlight w:val="none"/>
          <w:u w:val="single"/>
        </w:rPr>
        <w:t xml:space="preserve"> </w:t>
      </w:r>
      <w:r>
        <w:rPr>
          <w:rFonts w:hint="eastAsia" w:ascii="宋体" w:hAnsi="宋体" w:eastAsia="宋体" w:cs="宋体"/>
          <w:color w:val="auto"/>
          <w:szCs w:val="21"/>
          <w:highlight w:val="none"/>
        </w:rPr>
        <w:t>的方式确定，工程量按实际结算，</w:t>
      </w:r>
      <w:r>
        <w:rPr>
          <w:rFonts w:hint="eastAsia" w:ascii="宋体" w:hAnsi="宋体" w:eastAsia="宋体" w:cs="宋体"/>
          <w:bCs/>
          <w:color w:val="auto"/>
          <w:szCs w:val="21"/>
          <w:highlight w:val="none"/>
        </w:rPr>
        <w:t>磋商报价</w:t>
      </w:r>
      <w:r>
        <w:rPr>
          <w:rFonts w:hint="eastAsia" w:ascii="宋体" w:hAnsi="宋体" w:eastAsia="宋体" w:cs="宋体"/>
          <w:color w:val="auto"/>
          <w:szCs w:val="21"/>
          <w:highlight w:val="none"/>
        </w:rPr>
        <w:t>为</w:t>
      </w: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在</w:t>
      </w:r>
      <w:r>
        <w:rPr>
          <w:rFonts w:hint="eastAsia" w:ascii="宋体" w:hAnsi="宋体" w:eastAsia="宋体" w:cs="宋体"/>
          <w:bCs/>
          <w:color w:val="auto"/>
          <w:szCs w:val="21"/>
          <w:highlight w:val="none"/>
        </w:rPr>
        <w:t>响应文件</w:t>
      </w:r>
      <w:r>
        <w:rPr>
          <w:rFonts w:hint="eastAsia" w:ascii="宋体" w:hAnsi="宋体" w:eastAsia="宋体" w:cs="宋体"/>
          <w:color w:val="auto"/>
          <w:szCs w:val="21"/>
          <w:highlight w:val="none"/>
        </w:rPr>
        <w:t>中提出的各项支付金额的总和。</w:t>
      </w:r>
    </w:p>
    <w:p w14:paraId="47B92E0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9.2.2</w:t>
      </w:r>
      <w:r>
        <w:rPr>
          <w:rFonts w:hint="eastAsia" w:ascii="宋体" w:hAnsi="宋体" w:eastAsia="宋体" w:cs="宋体"/>
          <w:color w:val="auto"/>
          <w:szCs w:val="21"/>
          <w:highlight w:val="none"/>
        </w:rPr>
        <w:t>供应商所填报的各项基价中的各种材料单价在合同实施期间不因市场价格变化因素而变动，除工程变更、项目特征不符、工程量清单缺项、工程量偏差、约定的材料设备价格风险和政策性调整以外，供应商在报综合单价时应考虑各种风险因素和自己的承受能力。</w:t>
      </w:r>
    </w:p>
    <w:p w14:paraId="1907509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9.2.3因设计变更引起工程项目、工程量变化的，变更合同价款按下列方法进行：</w:t>
      </w:r>
    </w:p>
    <w:p w14:paraId="5053BFF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（1）工程量清单中有相同项目的按供应商谈判时的成交价格进行结算；</w:t>
      </w:r>
    </w:p>
    <w:p w14:paraId="0A0459F5">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（2）有类似项目的参考类似成交价格结算；</w:t>
      </w:r>
    </w:p>
    <w:p w14:paraId="2104522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（3）没有适用于变更工程的单价，则有定额的套定额计算，执行本响应文件计算依据并乘以下浮系数（成交报价/工程采购预算价）结算，其中材料价格有信息价的按施工期间的《</w:t>
      </w:r>
      <w:r>
        <w:rPr>
          <w:rFonts w:hint="eastAsia" w:ascii="宋体" w:hAnsi="宋体" w:eastAsia="宋体" w:cs="宋体"/>
          <w:color w:val="auto"/>
          <w:szCs w:val="21"/>
          <w:highlight w:val="none"/>
          <w:lang w:eastAsia="zh-CN"/>
        </w:rPr>
        <w:t>崇左市建设工程造价信息</w:t>
      </w:r>
      <w:r>
        <w:rPr>
          <w:rFonts w:hint="eastAsia" w:ascii="宋体" w:hAnsi="宋体" w:eastAsia="宋体" w:cs="宋体"/>
          <w:color w:val="auto"/>
          <w:szCs w:val="21"/>
          <w:highlight w:val="none"/>
        </w:rPr>
        <w:t>》相应价格信息进行计算，无信息价的由发包人及承包人根据市场价格协商议定；新增项目无定额可套的，根据市场价格协商确定综合价格；新增项目单价必须经发包人审定。</w:t>
      </w:r>
    </w:p>
    <w:p w14:paraId="5E0A28B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9.2.4</w:t>
      </w:r>
      <w:r>
        <w:rPr>
          <w:rFonts w:hint="eastAsia" w:ascii="宋体" w:hAnsi="宋体" w:eastAsia="宋体" w:cs="宋体"/>
          <w:color w:val="auto"/>
          <w:szCs w:val="21"/>
          <w:highlight w:val="none"/>
        </w:rPr>
        <w:t>供应商应认真填写工程量清单中所列的所有各细目的单价和合价，填写工程量清单时应注意：</w:t>
      </w:r>
    </w:p>
    <w:p w14:paraId="07C3030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（1）有工程数量的应报单价和合价。</w:t>
      </w:r>
    </w:p>
    <w:p w14:paraId="6DA35C8B">
      <w:pPr>
        <w:pStyle w:val="25"/>
        <w:keepNext w:val="0"/>
        <w:keepLines w:val="0"/>
        <w:pageBreakBefore w:val="0"/>
        <w:widowControl w:val="0"/>
        <w:tabs>
          <w:tab w:val="left" w:pos="0"/>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（2）供应商应按采购人提供的工程量清单中列出的工程项目和工程量填报单价和合价。每一项目只允许有一个报价。任何有选择的报价将不予接受。</w:t>
      </w:r>
      <w:r>
        <w:rPr>
          <w:rFonts w:hint="eastAsia" w:ascii="宋体" w:hAnsi="宋体" w:eastAsia="宋体" w:cs="宋体"/>
          <w:b/>
          <w:color w:val="auto"/>
          <w:szCs w:val="21"/>
          <w:highlight w:val="none"/>
        </w:rPr>
        <w:t>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r>
        <w:rPr>
          <w:rFonts w:hint="eastAsia" w:ascii="宋体" w:hAnsi="宋体" w:eastAsia="宋体" w:cs="宋体"/>
          <w:color w:val="auto"/>
          <w:szCs w:val="21"/>
          <w:highlight w:val="none"/>
        </w:rPr>
        <w:t>。</w:t>
      </w:r>
    </w:p>
    <w:p w14:paraId="1B7BEC0D">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highlight w:val="none"/>
        </w:rPr>
        <w:t>9.2.5</w:t>
      </w:r>
      <w:r>
        <w:rPr>
          <w:rFonts w:hint="eastAsia" w:ascii="宋体" w:hAnsi="宋体" w:eastAsia="宋体" w:cs="宋体"/>
          <w:b/>
          <w:color w:val="auto"/>
          <w:szCs w:val="21"/>
          <w:highlight w:val="none"/>
        </w:rPr>
        <w:t>采购人所提供的工程量清单（预算书）仅为报价参考，供应商应以采购人提供工程量清单作为谈判报价的依据。凡工程量清单已指明的工程费用，供应商应计入相关项目的单价中。</w:t>
      </w:r>
    </w:p>
    <w:p w14:paraId="41F85F7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9.2.6</w:t>
      </w:r>
      <w:r>
        <w:rPr>
          <w:rFonts w:hint="eastAsia" w:ascii="宋体" w:hAnsi="宋体" w:eastAsia="宋体" w:cs="宋体"/>
          <w:color w:val="auto"/>
          <w:szCs w:val="21"/>
          <w:highlight w:val="none"/>
        </w:rPr>
        <w:t>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谈判报价中自行考虑。</w:t>
      </w:r>
    </w:p>
    <w:p w14:paraId="08117EC9">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9.2.7</w:t>
      </w:r>
      <w:r>
        <w:rPr>
          <w:rFonts w:hint="eastAsia" w:ascii="宋体" w:hAnsi="宋体" w:eastAsia="宋体" w:cs="宋体"/>
          <w:color w:val="auto"/>
          <w:szCs w:val="21"/>
          <w:highlight w:val="none"/>
        </w:rPr>
        <w:t>施工用的水、电供应由承包人通过现场勘察后自行确定。施工用水、电由承包人负责施工场地内的管、线路的铺、架设，并承担施工期间用电、用水的使用、维护和安全责任等。</w:t>
      </w:r>
    </w:p>
    <w:p w14:paraId="626EA925">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9.2.8</w:t>
      </w:r>
      <w:r>
        <w:rPr>
          <w:rFonts w:hint="eastAsia" w:ascii="宋体" w:hAnsi="宋体" w:eastAsia="宋体" w:cs="宋体"/>
          <w:color w:val="auto"/>
          <w:szCs w:val="21"/>
          <w:highlight w:val="none"/>
        </w:rPr>
        <w:t>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发包人同意后方可用于本工程。</w:t>
      </w:r>
    </w:p>
    <w:p w14:paraId="7A94CCF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9.2.9</w:t>
      </w:r>
      <w:r>
        <w:rPr>
          <w:rFonts w:hint="eastAsia" w:ascii="宋体" w:hAnsi="宋体" w:eastAsia="宋体" w:cs="宋体"/>
          <w:color w:val="auto"/>
          <w:szCs w:val="21"/>
          <w:highlight w:val="none"/>
        </w:rPr>
        <w:t>供应商在报价中所报的单价和合价，以及谈判报价汇总表中的价格均包括完成该工程项目的成本、利润、增值税、开办费、技术措施费、设备吊装.运输.装卸费、大型机械进出场费、风险费、政策性文件规定费用等所有费用。</w:t>
      </w:r>
    </w:p>
    <w:p w14:paraId="6ACD734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9.2.10</w:t>
      </w:r>
      <w:r>
        <w:rPr>
          <w:rFonts w:hint="eastAsia" w:ascii="宋体" w:hAnsi="宋体" w:eastAsia="宋体" w:cs="宋体"/>
          <w:color w:val="auto"/>
          <w:szCs w:val="21"/>
          <w:highlight w:val="none"/>
        </w:rPr>
        <w:t>供应商可先到工地踏勘以充分了解工地位置、情况、道路、储存空间、装卸限制及任何其他足以影响承包价的情况，任何因忽视或误解工地情况而导致的索赔或工期延长申请将不被批准。</w:t>
      </w:r>
    </w:p>
    <w:p w14:paraId="5A1EFA2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9.2.11</w:t>
      </w:r>
      <w:r>
        <w:rPr>
          <w:rFonts w:hint="eastAsia" w:ascii="宋体" w:hAnsi="宋体" w:eastAsia="宋体" w:cs="宋体"/>
          <w:color w:val="auto"/>
          <w:szCs w:val="21"/>
          <w:highlight w:val="none"/>
        </w:rPr>
        <w:t>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14:paraId="543C05C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t>9.2.12</w:t>
      </w:r>
      <w:r>
        <w:rPr>
          <w:rFonts w:hint="eastAsia" w:ascii="宋体" w:hAnsi="宋体" w:eastAsia="宋体" w:cs="宋体"/>
          <w:b/>
          <w:color w:val="auto"/>
          <w:szCs w:val="21"/>
          <w:highlight w:val="none"/>
        </w:rPr>
        <w:t>本项目采用多次报价方式，未书面退出磋商的供应商必须在规定时间内登录</w:t>
      </w:r>
      <w:r>
        <w:rPr>
          <w:rFonts w:hint="eastAsia" w:ascii="宋体" w:hAnsi="宋体" w:eastAsia="宋体" w:cs="宋体"/>
          <w:b/>
          <w:color w:val="auto"/>
          <w:szCs w:val="21"/>
          <w:highlight w:val="none"/>
          <w:lang w:eastAsia="zh-CN"/>
        </w:rPr>
        <w:t>广西政府采购云平台（https://www.gcy.zfcg.gxzf.gov.cn/）</w:t>
      </w:r>
      <w:r>
        <w:rPr>
          <w:rFonts w:hint="eastAsia" w:ascii="宋体" w:hAnsi="宋体" w:eastAsia="宋体" w:cs="宋体"/>
          <w:b/>
          <w:color w:val="auto"/>
          <w:szCs w:val="21"/>
          <w:highlight w:val="none"/>
        </w:rPr>
        <w:t>在线提交最后报价，其最后报价不得超出采购预算；磋商过程中磋商文件未作实质性变动的，最后报价不得超过首次报价。供应商的最终报价如有变动，则必须以工程量清单报价表（已标价工程量清单）的格式编制提交，供应商须提前做好相关准备并按时上传最终</w:t>
      </w:r>
      <w:r>
        <w:rPr>
          <w:rFonts w:hint="eastAsia" w:ascii="宋体" w:hAnsi="宋体" w:eastAsia="宋体" w:cs="宋体"/>
          <w:b/>
          <w:color w:val="auto"/>
          <w:szCs w:val="21"/>
          <w:highlight w:val="none"/>
          <w:lang w:eastAsia="zh-CN"/>
        </w:rPr>
        <w:t>商务</w:t>
      </w:r>
      <w:r>
        <w:rPr>
          <w:rFonts w:hint="eastAsia" w:ascii="宋体" w:hAnsi="宋体" w:eastAsia="宋体" w:cs="宋体"/>
          <w:b/>
          <w:color w:val="auto"/>
          <w:szCs w:val="21"/>
          <w:highlight w:val="none"/>
        </w:rPr>
        <w:t>报价文件，否则</w:t>
      </w:r>
      <w:r>
        <w:rPr>
          <w:rFonts w:hint="eastAsia" w:ascii="宋体" w:hAnsi="宋体" w:cs="宋体"/>
          <w:b/>
          <w:color w:val="auto"/>
          <w:szCs w:val="21"/>
          <w:highlight w:val="none"/>
          <w:lang w:eastAsia="zh-CN"/>
        </w:rPr>
        <w:t>磋商响应无效</w:t>
      </w:r>
      <w:r>
        <w:rPr>
          <w:rFonts w:hint="eastAsia" w:ascii="宋体" w:hAnsi="宋体" w:eastAsia="宋体" w:cs="宋体"/>
          <w:b/>
          <w:color w:val="auto"/>
          <w:szCs w:val="21"/>
          <w:highlight w:val="none"/>
        </w:rPr>
        <w:t>。</w:t>
      </w:r>
    </w:p>
    <w:p w14:paraId="7854B5C7">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9.2.13供应商的竞标报价须按</w:t>
      </w:r>
      <w:r>
        <w:rPr>
          <w:rFonts w:hint="eastAsia" w:ascii="宋体" w:hAnsi="宋体" w:cs="宋体"/>
          <w:b/>
          <w:color w:val="auto"/>
          <w:szCs w:val="21"/>
          <w:highlight w:val="none"/>
          <w:lang w:val="en-US" w:eastAsia="zh-CN"/>
        </w:rPr>
        <w:t>竞争性磋商文件</w:t>
      </w:r>
      <w:r>
        <w:rPr>
          <w:rFonts w:hint="eastAsia" w:ascii="宋体" w:hAnsi="宋体" w:eastAsia="宋体" w:cs="宋体"/>
          <w:b/>
          <w:color w:val="auto"/>
          <w:szCs w:val="21"/>
          <w:highlight w:val="none"/>
          <w:lang w:val="en-US" w:eastAsia="zh-CN"/>
        </w:rPr>
        <w:t>及澄清答疑中所确认的工程量清单及清单顺序进行报价，否则，将视为实质上不响应</w:t>
      </w:r>
      <w:r>
        <w:rPr>
          <w:rFonts w:hint="eastAsia" w:ascii="宋体" w:hAnsi="宋体" w:cs="宋体"/>
          <w:b/>
          <w:color w:val="auto"/>
          <w:szCs w:val="21"/>
          <w:highlight w:val="none"/>
          <w:lang w:val="en-US" w:eastAsia="zh-CN"/>
        </w:rPr>
        <w:t>竞争性磋商文件</w:t>
      </w:r>
      <w:r>
        <w:rPr>
          <w:rFonts w:hint="eastAsia" w:ascii="宋体" w:hAnsi="宋体" w:eastAsia="宋体" w:cs="宋体"/>
          <w:b/>
          <w:color w:val="auto"/>
          <w:szCs w:val="21"/>
          <w:highlight w:val="none"/>
          <w:lang w:val="en-US" w:eastAsia="zh-CN"/>
        </w:rPr>
        <w:t>的要求。</w:t>
      </w:r>
    </w:p>
    <w:p w14:paraId="6D80574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9.3</w:t>
      </w:r>
      <w:r>
        <w:rPr>
          <w:rFonts w:hint="eastAsia" w:ascii="宋体" w:hAnsi="宋体" w:eastAsia="宋体" w:cs="宋体"/>
          <w:color w:val="auto"/>
          <w:szCs w:val="21"/>
          <w:highlight w:val="none"/>
        </w:rPr>
        <w:t>计算依据：</w:t>
      </w:r>
    </w:p>
    <w:p w14:paraId="4A070CD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t>9.3.1本</w:t>
      </w:r>
      <w:r>
        <w:rPr>
          <w:rFonts w:hint="eastAsia" w:ascii="宋体" w:hAnsi="宋体" w:eastAsia="宋体" w:cs="宋体"/>
          <w:color w:val="auto"/>
          <w:szCs w:val="21"/>
          <w:highlight w:val="none"/>
        </w:rPr>
        <w:t>工程的计算依据：</w:t>
      </w:r>
      <w:r>
        <w:rPr>
          <w:rFonts w:hint="eastAsia" w:ascii="宋体" w:hAnsi="宋体" w:eastAsia="宋体" w:cs="宋体"/>
          <w:b/>
          <w:color w:val="auto"/>
          <w:szCs w:val="21"/>
          <w:highlight w:val="none"/>
        </w:rPr>
        <w:t>详见工程量清单</w:t>
      </w:r>
    </w:p>
    <w:p w14:paraId="557F4E4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磋商有效期：</w:t>
      </w:r>
    </w:p>
    <w:p w14:paraId="3AD1188E">
      <w:pPr>
        <w:pStyle w:val="14"/>
        <w:keepNext w:val="0"/>
        <w:keepLines w:val="0"/>
        <w:pageBreakBefore w:val="0"/>
        <w:widowControl w:val="0"/>
        <w:kinsoku/>
        <w:wordWrap/>
        <w:overflowPunct/>
        <w:topLinePunct w:val="0"/>
        <w:autoSpaceDE/>
        <w:autoSpaceDN/>
        <w:bidi w:val="0"/>
        <w:adjustRightInd/>
        <w:spacing w:line="360" w:lineRule="auto"/>
        <w:ind w:right="9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9.4.1磋商截止日期后</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天。</w:t>
      </w:r>
    </w:p>
    <w:p w14:paraId="5510FEA0">
      <w:pPr>
        <w:pStyle w:val="14"/>
        <w:keepNext w:val="0"/>
        <w:keepLines w:val="0"/>
        <w:pageBreakBefore w:val="0"/>
        <w:widowControl w:val="0"/>
        <w:kinsoku/>
        <w:wordWrap/>
        <w:overflowPunct/>
        <w:topLinePunct w:val="0"/>
        <w:autoSpaceDE/>
        <w:autoSpaceDN/>
        <w:bidi w:val="0"/>
        <w:adjustRightInd/>
        <w:spacing w:line="360" w:lineRule="auto"/>
        <w:ind w:right="9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9.4.2 在特殊情况下，在原定磋商有效期满之前，采购人可以书面形式向供应商提出延长磋商有效期的要求。供应商须以书面形式予以答复，供应商可以拒绝这种要求。同意延长磋商有效期的供应商不允许修改其响应文件，在延长期内本须知第</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.4条的规定仍然适用。</w:t>
      </w:r>
    </w:p>
    <w:p w14:paraId="7B60ADB2">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四、电子响应文件的制作、加密要求、</w:t>
      </w:r>
      <w:r>
        <w:rPr>
          <w:rFonts w:hint="eastAsia" w:ascii="宋体" w:hAnsi="宋体" w:eastAsia="宋体" w:cs="宋体"/>
          <w:b/>
          <w:color w:val="auto"/>
          <w:kern w:val="0"/>
          <w:szCs w:val="21"/>
          <w:highlight w:val="none"/>
        </w:rPr>
        <w:t>供应商公章及签字</w:t>
      </w:r>
    </w:p>
    <w:p w14:paraId="321590F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r>
        <w:rPr>
          <w:rFonts w:hint="eastAsia" w:ascii="宋体" w:hAnsi="宋体" w:eastAsia="宋体" w:cs="宋体"/>
          <w:b/>
          <w:color w:val="auto"/>
          <w:szCs w:val="21"/>
          <w:highlight w:val="none"/>
        </w:rPr>
        <w:t>电子响应文件的制作、加密要求</w:t>
      </w:r>
    </w:p>
    <w:p w14:paraId="39CFA97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10.1.1供应商制作电子响应文件前，应登陆</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进行“申请获取采购文件”操作，否则，有可能导致无法在线编制响应文件并参与竞标，其不利后果由供应商自行承担。</w:t>
      </w:r>
    </w:p>
    <w:p w14:paraId="657A580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10.1.2供应商下载或获取竞争性磋商文件后，登录</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电子投标客户端”，按照本磋商文件规定的响应文件格式、顺序以及</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的要求，通过</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电子投标客户端”编制电子响应文件。</w:t>
      </w:r>
    </w:p>
    <w:p w14:paraId="0918CC9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10.1.3供应商应按</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57A24328">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10.1.4电子响应文件不得涂改，若有修改错漏处，须由法定代表人（负责人、自然人）或授权委托代理人通过</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电子投标客户端”采用</w:t>
      </w:r>
      <w:r>
        <w:rPr>
          <w:rFonts w:hint="eastAsia" w:ascii="宋体" w:hAnsi="宋体" w:eastAsia="宋体" w:cs="宋体"/>
          <w:color w:val="auto"/>
          <w:szCs w:val="21"/>
          <w:highlight w:val="none"/>
          <w:lang w:eastAsia="zh-CN"/>
        </w:rPr>
        <w:t>广西政府采购云平台（https://www.gcy.zfcg.gxzf.gov.cn/）个人CA证书签字章</w:t>
      </w:r>
      <w:r>
        <w:rPr>
          <w:rFonts w:hint="eastAsia" w:ascii="宋体" w:hAnsi="宋体" w:eastAsia="宋体" w:cs="宋体"/>
          <w:color w:val="auto"/>
          <w:szCs w:val="21"/>
          <w:highlight w:val="none"/>
        </w:rPr>
        <w:t>，没有办理</w:t>
      </w:r>
      <w:r>
        <w:rPr>
          <w:rFonts w:hint="eastAsia" w:ascii="宋体" w:hAnsi="宋体" w:eastAsia="宋体" w:cs="宋体"/>
          <w:color w:val="auto"/>
          <w:szCs w:val="21"/>
          <w:highlight w:val="none"/>
          <w:lang w:eastAsia="zh-CN"/>
        </w:rPr>
        <w:t>广西政府采购云平台（https://www.gcy.zfcg.gxzf.gov.cn/）个人CA证书签字章</w:t>
      </w:r>
      <w:r>
        <w:rPr>
          <w:rFonts w:hint="eastAsia" w:ascii="宋体" w:hAnsi="宋体" w:eastAsia="宋体" w:cs="宋体"/>
          <w:color w:val="auto"/>
          <w:szCs w:val="21"/>
          <w:highlight w:val="none"/>
        </w:rPr>
        <w:t>的，在响应文件中响应位置手写签字后扫描或者拍照</w:t>
      </w:r>
      <w:r>
        <w:rPr>
          <w:rFonts w:hint="eastAsia" w:ascii="宋体" w:hAnsi="宋体" w:eastAsia="宋体" w:cs="宋体"/>
          <w:color w:val="auto"/>
          <w:szCs w:val="21"/>
          <w:highlight w:val="none"/>
          <w:lang w:eastAsia="zh-CN"/>
        </w:rPr>
        <w:t>转换</w:t>
      </w:r>
      <w:r>
        <w:rPr>
          <w:rFonts w:hint="eastAsia" w:ascii="宋体" w:hAnsi="宋体" w:eastAsia="宋体" w:cs="宋体"/>
          <w:color w:val="auto"/>
          <w:szCs w:val="21"/>
          <w:highlight w:val="none"/>
        </w:rPr>
        <w:t>成 PDF 的格式上传。因响应文件字迹潦草、表达不清、内容不完整、编排混乱导致响应文件被误读、漏读，或者在按竞争性磋商文件规定的部位查找不到相关内容的，其不利后果由供应商自行承担。</w:t>
      </w:r>
    </w:p>
    <w:p w14:paraId="2FA9802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10.1.5供应商编制、生成电子响应文件后应当加密响应文件。供应商未按规定编制并加密的响应文件，</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将予以拒收。</w:t>
      </w:r>
    </w:p>
    <w:p w14:paraId="7D302EDE">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10.2供应商公章及签字</w:t>
      </w:r>
    </w:p>
    <w:p w14:paraId="7690302D">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10.2.1本竞争性磋商文件中描述供应商的“公章”是指供应商通过指定电子化政府采购平台办理数字证书（CA认证证书）获得的以法定主体行为名称制作的电子印章。</w:t>
      </w:r>
    </w:p>
    <w:p w14:paraId="789B0DE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10.2.2本竞争性磋商文件中要求供应商对其电子响应文件的相关内容加盖公章的，均指采用CA证书签章。</w:t>
      </w:r>
    </w:p>
    <w:p w14:paraId="26F4E2D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32D8D9B1">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 首次响应文件的提交、撤回、修改、响应文件的解密</w:t>
      </w:r>
    </w:p>
    <w:p w14:paraId="65F386E0">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11.1首次响应文件的提交、撤回、修改</w:t>
      </w:r>
    </w:p>
    <w:p w14:paraId="10072BFB">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11.1.1响应文件的提交截止时间：详见竞争性磋商公告</w:t>
      </w:r>
    </w:p>
    <w:p w14:paraId="3E82D196">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11.1.2地点：通过</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在线提交。</w:t>
      </w:r>
    </w:p>
    <w:p w14:paraId="130EBEB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11.1.3供应商应当在响应文件提交截止时间前，将生成的电子响应文件上传提交至</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的，视为未提交响应文件。</w:t>
      </w:r>
    </w:p>
    <w:p w14:paraId="29F2D49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11.1.4除竞争性磋商文件另有规定外，供应商所提交的响应文件不予退还。</w:t>
      </w:r>
    </w:p>
    <w:p w14:paraId="2D1F979E">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11.2响应文件的解密</w:t>
      </w:r>
    </w:p>
    <w:p w14:paraId="78957763">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将在“竞争性磋商公告”规定的时间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开标大厅签到并在发起解密指令之时起30分钟内完成对电子响应文件在线解密。发起解密指令之时起5分钟内供应商还未进行解密的，代理机构要通知供应商，供应商没预留联系方式或预留联系方式无效，非代理机构原因导致代理机构无法联系到供应商进行解密的。(解密异常情况处理：详见本章</w:t>
      </w:r>
      <w:r>
        <w:rPr>
          <w:rFonts w:hint="eastAsia" w:ascii="宋体" w:hAnsi="宋体" w:eastAsia="宋体" w:cs="宋体"/>
          <w:color w:val="auto"/>
          <w:szCs w:val="21"/>
          <w:highlight w:val="none"/>
          <w:lang w:val="en-US" w:eastAsia="zh-CN"/>
        </w:rPr>
        <w:t>18.2</w:t>
      </w:r>
      <w:r>
        <w:rPr>
          <w:rFonts w:hint="eastAsia" w:ascii="宋体" w:hAnsi="宋体" w:eastAsia="宋体" w:cs="宋体"/>
          <w:color w:val="auto"/>
          <w:szCs w:val="21"/>
          <w:highlight w:val="none"/>
        </w:rPr>
        <w:t>电子交易活动的中止。)</w:t>
      </w:r>
    </w:p>
    <w:p w14:paraId="28771129">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如供应商成功解密响应文件，但未在</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电子开标大厅参加磋商的，视同认可磋商过程和结果，由此产生的后果由供应商自行负责。参与磋商的供应商不足3家的，不得磋商。</w:t>
      </w:r>
    </w:p>
    <w:p w14:paraId="172595BF">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 迟交的竞争性磋商响应文件</w:t>
      </w:r>
    </w:p>
    <w:p w14:paraId="29D43E7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采购代理及够</w:t>
      </w:r>
      <w:r>
        <w:rPr>
          <w:rFonts w:hint="eastAsia" w:ascii="宋体" w:hAnsi="宋体" w:eastAsia="宋体" w:cs="宋体"/>
          <w:color w:val="auto"/>
          <w:szCs w:val="21"/>
          <w:highlight w:val="none"/>
        </w:rPr>
        <w:t>将拒绝或原封退回在其规定的递交竞争性磋商响应文件截止时间之后收到的任何竞争性磋商响应文件。</w:t>
      </w:r>
    </w:p>
    <w:p w14:paraId="2C5DF901">
      <w:pPr>
        <w:pStyle w:val="25"/>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五、竞争性磋商（简称磋商）与评审</w:t>
      </w:r>
    </w:p>
    <w:p w14:paraId="417EDDD2">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13磋商小组组成及磋商时间、地点、人员</w:t>
      </w:r>
    </w:p>
    <w:p w14:paraId="0F1A45EF">
      <w:pPr>
        <w:spacing w:line="380" w:lineRule="exact"/>
        <w:ind w:firstLine="43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13.1 磋商小组组成：</w:t>
      </w:r>
    </w:p>
    <w:p w14:paraId="2DC5BE20">
      <w:pPr>
        <w:tabs>
          <w:tab w:val="left" w:pos="1140"/>
        </w:tabs>
        <w:spacing w:line="38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磋商及评审组织工作由采购代理机构负责，具体磋商、评审工作由依法组建的磋商小组负责，</w:t>
      </w:r>
      <w:r>
        <w:rPr>
          <w:rFonts w:hint="eastAsia" w:ascii="宋体" w:hAnsi="宋体" w:eastAsia="宋体" w:cs="宋体"/>
          <w:bCs/>
          <w:color w:val="auto"/>
          <w:sz w:val="21"/>
          <w:szCs w:val="21"/>
          <w:highlight w:val="none"/>
        </w:rPr>
        <w:t>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0F4D32B">
      <w:pPr>
        <w:tabs>
          <w:tab w:val="left" w:pos="1305"/>
        </w:tabs>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13.2 磋商时间、地点、人员：</w:t>
      </w:r>
    </w:p>
    <w:p w14:paraId="59DD36CE">
      <w:pPr>
        <w:spacing w:line="380" w:lineRule="exact"/>
        <w:ind w:left="315" w:leftChars="15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13.2.1 磋商时间：首次响应文件提交截止时间后。</w:t>
      </w:r>
    </w:p>
    <w:p w14:paraId="71FF5E65">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 磋商地点：</w:t>
      </w:r>
      <w:r>
        <w:rPr>
          <w:rFonts w:hint="eastAsia" w:ascii="宋体" w:hAnsi="宋体" w:eastAsia="宋体" w:cs="宋体"/>
          <w:bCs/>
          <w:color w:val="auto"/>
          <w:sz w:val="21"/>
          <w:szCs w:val="21"/>
          <w:highlight w:val="none"/>
        </w:rPr>
        <w:t>供应商代表在响应文件提交当天实时登陆</w:t>
      </w:r>
      <w:r>
        <w:rPr>
          <w:rFonts w:hint="eastAsia" w:ascii="宋体" w:hAnsi="宋体" w:eastAsia="宋体" w:cs="宋体"/>
          <w:color w:val="auto"/>
          <w:sz w:val="21"/>
          <w:szCs w:val="21"/>
          <w:highlight w:val="none"/>
        </w:rPr>
        <w:t>登录</w:t>
      </w:r>
      <w:r>
        <w:rPr>
          <w:rFonts w:hint="eastAsia" w:ascii="宋体" w:hAnsi="宋体" w:eastAsia="宋体" w:cs="宋体"/>
          <w:bCs/>
          <w:color w:val="auto"/>
          <w:sz w:val="21"/>
          <w:szCs w:val="21"/>
          <w:highlight w:val="none"/>
          <w:lang w:eastAsia="zh-CN"/>
        </w:rPr>
        <w:t>广西政府采购云平台（https://www.gcy.zfcg.gxzf.gov.cn/）</w:t>
      </w:r>
      <w:r>
        <w:rPr>
          <w:rFonts w:hint="eastAsia" w:ascii="宋体" w:hAnsi="宋体" w:eastAsia="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20B1F4F4">
      <w:pPr>
        <w:tabs>
          <w:tab w:val="left" w:pos="1140"/>
        </w:tabs>
        <w:spacing w:line="380" w:lineRule="exact"/>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13.2.3 磋商参加人员：供应商法定代表人(负责人、自然人)或相应的委托代理人参加磋商。请供</w:t>
      </w:r>
    </w:p>
    <w:p w14:paraId="10261C83">
      <w:pPr>
        <w:tabs>
          <w:tab w:val="left" w:pos="1140"/>
        </w:tabs>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应商</w:t>
      </w:r>
      <w:r>
        <w:rPr>
          <w:rFonts w:hint="eastAsia" w:ascii="宋体" w:hAnsi="宋体" w:eastAsia="宋体" w:cs="宋体"/>
          <w:bCs/>
          <w:color w:val="auto"/>
          <w:sz w:val="21"/>
          <w:szCs w:val="21"/>
          <w:highlight w:val="none"/>
        </w:rPr>
        <w:t>实时登陆</w:t>
      </w:r>
      <w:r>
        <w:rPr>
          <w:rFonts w:hint="eastAsia" w:ascii="宋体" w:hAnsi="宋体" w:eastAsia="宋体" w:cs="宋体"/>
          <w:color w:val="auto"/>
          <w:sz w:val="21"/>
          <w:szCs w:val="21"/>
          <w:highlight w:val="none"/>
        </w:rPr>
        <w:t>登录</w:t>
      </w:r>
      <w:r>
        <w:rPr>
          <w:rFonts w:hint="eastAsia" w:ascii="宋体" w:hAnsi="宋体" w:eastAsia="宋体" w:cs="宋体"/>
          <w:bCs/>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等候在线磋商。</w:t>
      </w:r>
    </w:p>
    <w:p w14:paraId="21506250">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13.2.4 首次响应文件提交截止时间后，登录</w:t>
      </w:r>
      <w:r>
        <w:rPr>
          <w:rFonts w:hint="eastAsia" w:ascii="宋体" w:hAnsi="宋体" w:eastAsia="宋体" w:cs="宋体"/>
          <w:bCs/>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在线解密开启。</w:t>
      </w:r>
    </w:p>
    <w:p w14:paraId="3DB92663">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14.评审原则和评审办法</w:t>
      </w:r>
    </w:p>
    <w:p w14:paraId="5B1F25EB">
      <w:pPr>
        <w:tabs>
          <w:tab w:val="left" w:pos="1140"/>
        </w:tabs>
        <w:spacing w:line="38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磋商小组必须坚持公平、公正、科学和择优的原则。</w:t>
      </w:r>
    </w:p>
    <w:p w14:paraId="22A32415">
      <w:pPr>
        <w:spacing w:line="3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14.2综合评分法，具体详见第六章</w:t>
      </w:r>
      <w:r>
        <w:rPr>
          <w:rFonts w:hint="eastAsia" w:ascii="宋体" w:hAnsi="宋体" w:eastAsia="宋体" w:cs="宋体"/>
          <w:color w:val="auto"/>
          <w:sz w:val="21"/>
          <w:szCs w:val="21"/>
          <w:highlight w:val="none"/>
          <w:lang w:eastAsia="zh-CN"/>
        </w:rPr>
        <w:t>评分办法和标准</w:t>
      </w:r>
      <w:r>
        <w:rPr>
          <w:rFonts w:hint="eastAsia" w:ascii="宋体" w:hAnsi="宋体" w:eastAsia="宋体" w:cs="宋体"/>
          <w:color w:val="auto"/>
          <w:sz w:val="21"/>
          <w:szCs w:val="21"/>
          <w:highlight w:val="none"/>
        </w:rPr>
        <w:t>。</w:t>
      </w:r>
    </w:p>
    <w:p w14:paraId="69F356BC">
      <w:pPr>
        <w:pStyle w:val="14"/>
        <w:spacing w:line="38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磋商小组应按磋商文件进行评审，不得擅自更改评审办法。</w:t>
      </w:r>
    </w:p>
    <w:p w14:paraId="673B49CB">
      <w:pPr>
        <w:pStyle w:val="14"/>
        <w:spacing w:line="38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在评审过程中，磋商小组任何人不得对某个供应商发表任何倾向性意见，不得向其他磋商小组成员明示或者暗示自己的评审意见。</w:t>
      </w:r>
    </w:p>
    <w:p w14:paraId="33915758">
      <w:pPr>
        <w:tabs>
          <w:tab w:val="left" w:pos="1140"/>
        </w:tabs>
        <w:spacing w:line="380" w:lineRule="exact"/>
        <w:ind w:firstLine="359" w:firstLine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14.5磋商小组成员对需要共同认定的事项存在争议的，按照少数服从多数的原则作出结论。持不同意见的磋商小组成员应当在评审报告上签署不同意见并说明理由，否则视为同意。</w:t>
      </w:r>
    </w:p>
    <w:p w14:paraId="6DC81C31">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15.评审程序及磋商要求</w:t>
      </w:r>
    </w:p>
    <w:p w14:paraId="11E2FB10">
      <w:pPr>
        <w:pStyle w:val="14"/>
        <w:spacing w:line="3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15.1磋商小组成员的通讯工具或相关电子设备交由</w:t>
      </w:r>
      <w:r>
        <w:rPr>
          <w:rFonts w:hint="eastAsia" w:ascii="宋体" w:hAnsi="宋体" w:eastAsia="宋体" w:cs="宋体"/>
          <w:color w:val="auto"/>
          <w:sz w:val="21"/>
          <w:szCs w:val="21"/>
          <w:highlight w:val="none"/>
          <w:lang w:val="en-US" w:eastAsia="zh-CN"/>
        </w:rPr>
        <w:t>代理机构</w:t>
      </w:r>
      <w:r>
        <w:rPr>
          <w:rFonts w:hint="eastAsia" w:ascii="宋体" w:hAnsi="宋体" w:eastAsia="宋体" w:cs="宋体"/>
          <w:color w:val="auto"/>
          <w:sz w:val="21"/>
          <w:szCs w:val="21"/>
          <w:highlight w:val="none"/>
        </w:rPr>
        <w:t>统一保管后到达评标室，采购代理机构核实磋商小组成员身份，告知回避要求，宣布评审工作纪律和程序，推选磋商小组组长。</w:t>
      </w:r>
    </w:p>
    <w:p w14:paraId="50861A31">
      <w:pPr>
        <w:spacing w:line="3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磋商小组应当审查供应商的响应文件并作出评价；要求供应商解释或者澄清其响应文件；编写评审报告；告知采购人、采购代理机构在评审过程中发现的供应商的违法违规行为。</w:t>
      </w:r>
    </w:p>
    <w:p w14:paraId="347F94CE">
      <w:pPr>
        <w:spacing w:line="3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3BD0D066">
      <w:pPr>
        <w:spacing w:line="380" w:lineRule="exact"/>
        <w:ind w:firstLine="315" w:firstLineChars="1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43221A3D">
      <w:pPr>
        <w:spacing w:line="380" w:lineRule="exact"/>
        <w:ind w:firstLine="315" w:firstLineChars="1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15.4.1查询渠道：《国家企业信用信息公示系统》（网址：www.gsxt.gov.cn/index.html）</w:t>
      </w:r>
    </w:p>
    <w:p w14:paraId="2E208D8D">
      <w:pPr>
        <w:spacing w:line="38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15.4.2审查流程：</w:t>
      </w:r>
    </w:p>
    <w:p w14:paraId="44A708C4">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（1）进入《国家企业信用信息公示系统》（网址：www.gsxt.gov.cn/index.html），输入企业名称，进入企业信息主页面；</w:t>
      </w:r>
    </w:p>
    <w:p w14:paraId="5EC58899">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（2）查看主页“股东及出资信息”栏，或年报中的“股东及出资信息”栏信息；</w:t>
      </w:r>
    </w:p>
    <w:p w14:paraId="2B5F1C4E">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（3）将各供应商的股东及出资信息进行比对，得出审查结论；</w:t>
      </w:r>
    </w:p>
    <w:p w14:paraId="3BEC1108">
      <w:pPr>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（4）将相关资料作为评审资料打印存档。</w:t>
      </w:r>
    </w:p>
    <w:p w14:paraId="77313899">
      <w:pPr>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60816D56">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eastAsia="宋体" w:cs="宋体"/>
          <w:bCs/>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采用在线书面形式，并加盖公章（CA证书签章），或者由法定代表人（负责人）或其授权委托代理人个人CA证书签章（没有办理</w:t>
      </w:r>
      <w:r>
        <w:rPr>
          <w:rFonts w:hint="eastAsia" w:ascii="宋体" w:hAnsi="宋体" w:eastAsia="宋体" w:cs="宋体"/>
          <w:color w:val="auto"/>
          <w:sz w:val="21"/>
          <w:szCs w:val="21"/>
          <w:highlight w:val="none"/>
          <w:lang w:eastAsia="zh-CN"/>
        </w:rPr>
        <w:t>广西政府采购云平台（https://www.gcy.zfcg.gxzf.gov.cn/）个人CA证书签字章</w:t>
      </w:r>
      <w:r>
        <w:rPr>
          <w:rFonts w:hint="eastAsia" w:ascii="宋体" w:hAnsi="宋体" w:eastAsia="宋体" w:cs="宋体"/>
          <w:color w:val="auto"/>
          <w:sz w:val="21"/>
          <w:szCs w:val="21"/>
          <w:highlight w:val="none"/>
        </w:rPr>
        <w:t>的可在响应文件中涉及到签字的位置手写签字后扫描或者拍照做成 PDF 的格式上传），供应商为自然人的，应当由本人个人CA证书签章（没有办理</w:t>
      </w:r>
      <w:r>
        <w:rPr>
          <w:rFonts w:hint="eastAsia" w:ascii="宋体" w:hAnsi="宋体" w:eastAsia="宋体" w:cs="宋体"/>
          <w:color w:val="auto"/>
          <w:sz w:val="21"/>
          <w:szCs w:val="21"/>
          <w:highlight w:val="none"/>
          <w:lang w:eastAsia="zh-CN"/>
        </w:rPr>
        <w:t>广西政府采购云平台（https://www.gcy.zfcg.gxzf.gov.cn/）个人CA证书签字章</w:t>
      </w:r>
      <w:r>
        <w:rPr>
          <w:rFonts w:hint="eastAsia" w:ascii="宋体" w:hAnsi="宋体" w:eastAsia="宋体" w:cs="宋体"/>
          <w:color w:val="auto"/>
          <w:sz w:val="21"/>
          <w:szCs w:val="21"/>
          <w:highlight w:val="none"/>
        </w:rPr>
        <w:t>的可在响应文件中涉及到签字的位置手写签字后扫描或者拍照做成PDF的格式上传）并附身份证明。</w:t>
      </w:r>
    </w:p>
    <w:p w14:paraId="7F420ADB">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61E81F06">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磋商小组所有成员应当按已确定的磋商顺序集中与单一供应商分别进行磋商，并给予所有实质性响应竞争性磋商文件要求的供应商平等的磋商机会。</w:t>
      </w:r>
    </w:p>
    <w:p w14:paraId="3AF08A6A">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磋商中，磋商小组不得透露与磋商有关的其他供应商的技术资料、价格和其他信息。</w:t>
      </w:r>
    </w:p>
    <w:p w14:paraId="18A2DC7C">
      <w:pPr>
        <w:widowControl/>
        <w:tabs>
          <w:tab w:val="left" w:pos="540"/>
        </w:tabs>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采购代理机构（磋商小组）对磋商过程和重要磋商内容进行记录，磋商双方在记录上签字确认（或CA证书签章）。</w:t>
      </w:r>
    </w:p>
    <w:p w14:paraId="6521FAF5">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15.6在磋商过程中，磋商小组可以根据磋商文件和磋商情况实质性变动项目需求中的技术、服务要求以及合同草案条款，但不得变动磋商文件中的其他内容。实质性变动的内容，须经采购人代表确认。</w:t>
      </w:r>
    </w:p>
    <w:p w14:paraId="1C27C322">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对磋商文件作出的实质性变动是磋商文件的有效组成部分，磋商小组应当及时通过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以书面形式同时通知所有参加磋商的供应商。</w:t>
      </w:r>
    </w:p>
    <w:p w14:paraId="4F09CBA4">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供应商必须按照磋商文件的变动情况和磋商小组的要求重新提交响应文件，并由其法定代表人(负责人、自然人)或相应的授权委托代表个人CA证书签章（没有办理</w:t>
      </w:r>
      <w:r>
        <w:rPr>
          <w:rFonts w:hint="eastAsia" w:ascii="宋体" w:hAnsi="宋体" w:eastAsia="宋体" w:cs="宋体"/>
          <w:color w:val="auto"/>
          <w:sz w:val="21"/>
          <w:szCs w:val="21"/>
          <w:highlight w:val="none"/>
          <w:lang w:eastAsia="zh-CN"/>
        </w:rPr>
        <w:t>广西政府采购云平台（https://www.gcy.zfcg.gxzf.gov.cn/）个人CA证书签字章</w:t>
      </w:r>
      <w:r>
        <w:rPr>
          <w:rFonts w:hint="eastAsia" w:ascii="宋体" w:hAnsi="宋体" w:eastAsia="宋体" w:cs="宋体"/>
          <w:color w:val="auto"/>
          <w:sz w:val="21"/>
          <w:szCs w:val="21"/>
          <w:highlight w:val="none"/>
        </w:rPr>
        <w:t>的可在响应文件中涉及到签字的位置手写签字后扫描或者拍照做成PDF的格式上传）或者加盖供应商公章（CA证书签章）。逾时不交的，视同放弃磋商。</w:t>
      </w:r>
    </w:p>
    <w:p w14:paraId="35EBFE98">
      <w:pPr>
        <w:widowControl/>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15.7最后报价</w:t>
      </w:r>
    </w:p>
    <w:p w14:paraId="0C92ECC5">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15.7.1磋商文件能够详细列明采购标的的技术、服务要求的，磋商结束后，磋商小组应当要求所有继续参加磋商的供应商在规定时间内通过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在线提交最后报价。</w:t>
      </w:r>
    </w:p>
    <w:p w14:paraId="2F2E8B59">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0DB42F60">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15.7.3最后报价是供应商响应文件的有效组成部分。</w:t>
      </w:r>
    </w:p>
    <w:p w14:paraId="68263739">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15.8已提交响应文件的供应商，在提交最后报价之前，可以根据磋商情况书面退出磋商。</w:t>
      </w:r>
    </w:p>
    <w:p w14:paraId="5BD32AB3">
      <w:pPr>
        <w:widowControl/>
        <w:tabs>
          <w:tab w:val="left" w:pos="540"/>
        </w:tabs>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未书面退出磋商的供应商必须在规定时间内通过</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在线提交最后报价；磋商过程中磋商文件未作实质性变动的，最后报价不得大于首次报价。</w:t>
      </w:r>
    </w:p>
    <w:p w14:paraId="55508A81">
      <w:pPr>
        <w:widowControl/>
        <w:tabs>
          <w:tab w:val="left" w:pos="540"/>
        </w:tabs>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15.9综合比较与评价：</w:t>
      </w:r>
    </w:p>
    <w:p w14:paraId="39478F0C">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15.9.1 磋商小组按竞争性磋商文件中规定的评审办法，对资格性审查和符合性审查合格的响应文件进行商务和技术评估，综合比较与评价。</w:t>
      </w:r>
    </w:p>
    <w:p w14:paraId="48C5D69E">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15.9.2磋商小组成员应当独立对每个供应商的响应文件进行评价，最终汇总每个供应商的得分。各供应商的得分为所有磋商小组的有效评分的算术平均数。</w:t>
      </w:r>
    </w:p>
    <w:p w14:paraId="59143356">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15.9.3采购代理机构对评审数据进行校对、核对，对畸高、畸低的重大差异评分提示磋商小组复核或书面说明理由。</w:t>
      </w:r>
    </w:p>
    <w:p w14:paraId="3EA46E18">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15.10 在评审过程中出现法律法规和磋商文件均没有明确规定的情形时，由磋商小组现场协商解决，协商不一致的，由全体磋商小组投票表决，以得票率二分之一以上专家的意见为准。</w:t>
      </w:r>
    </w:p>
    <w:p w14:paraId="28F57838">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15.11采购代理机构发现磋商小组有明显的违规倾向或歧视现象，或不按评审办法进行，或其他不正常行为的，应当及时制止。如制止无效，应及时向政府采购监督管理机构报告。</w:t>
      </w:r>
    </w:p>
    <w:p w14:paraId="3D5B1BB6">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16.推荐及确定成交候选供应商原则</w:t>
      </w:r>
    </w:p>
    <w:p w14:paraId="08DC8984">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履约能力分由高到低顺序排列并推荐成交候选供应商。</w:t>
      </w:r>
    </w:p>
    <w:p w14:paraId="4FB05861">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（2）本项目确定一名成交供应商。采购单位应当确定磋商小组推荐排名第一的成交候选供应商为成交供应商。</w:t>
      </w:r>
    </w:p>
    <w:p w14:paraId="3FC74362">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25771D22">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（4）排名第二的成交候选供应商因前款规定的同样原因不能签订合同的，采购单位可以确定排名第三的成交候选人为成交供应商。以此类推。</w:t>
      </w:r>
    </w:p>
    <w:p w14:paraId="77C8F3B7">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17.属于下列情况之一者，响应文件无效：</w:t>
      </w:r>
    </w:p>
    <w:p w14:paraId="279D2084">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（1）未按磋商文件规定完整提交响应文件或未按规定要求签字、签章的，或未提供授权委托书（委托代理的）；</w:t>
      </w:r>
    </w:p>
    <w:p w14:paraId="6AD7A5AA">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（2）超越了行政审批的经营范围的；</w:t>
      </w:r>
    </w:p>
    <w:p w14:paraId="14FC2861">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（3）不具备磋商文件规定的资格要求的；</w:t>
      </w:r>
    </w:p>
    <w:p w14:paraId="28B57642">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（4）响应文件未按磋商文件的内容和要求编制，或提供虚假材料的；</w:t>
      </w:r>
    </w:p>
    <w:p w14:paraId="28A12BED">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（5）响应文件有效期、</w:t>
      </w:r>
      <w:r>
        <w:rPr>
          <w:rFonts w:hint="eastAsia" w:ascii="宋体" w:hAnsi="宋体" w:cs="宋体"/>
          <w:color w:val="auto"/>
          <w:sz w:val="21"/>
          <w:szCs w:val="21"/>
          <w:highlight w:val="none"/>
          <w:lang w:val="en-US" w:eastAsia="zh-CN"/>
        </w:rPr>
        <w:t>工期</w:t>
      </w:r>
      <w:r>
        <w:rPr>
          <w:rFonts w:hint="eastAsia" w:ascii="宋体" w:hAnsi="宋体" w:eastAsia="宋体" w:cs="宋体"/>
          <w:color w:val="auto"/>
          <w:sz w:val="21"/>
          <w:szCs w:val="21"/>
          <w:highlight w:val="none"/>
        </w:rPr>
        <w:t>、服务承诺不能满足磋商文件要求的；</w:t>
      </w:r>
    </w:p>
    <w:p w14:paraId="339CD1B0">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（6）供应商未就“项目需求”中的所有服务内容作完整唯一报价的；</w:t>
      </w:r>
    </w:p>
    <w:p w14:paraId="788ECB90">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（7）未在磋商小组规定的时间内重新提交响应文件的；</w:t>
      </w:r>
    </w:p>
    <w:p w14:paraId="5B7E1F35">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（8）未满足磋商文件实质性要求的；或者响应文件有采购人不能接受的附加条件的；</w:t>
      </w:r>
    </w:p>
    <w:p w14:paraId="5D441DE3">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（9）不符合法律、法规和磋商文件规定的其他实质性要求和条件的。</w:t>
      </w:r>
    </w:p>
    <w:p w14:paraId="31E2E287">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18.出现下列情形之一的，采购人或者采购代理机构应当终止竞争性磋商采购活动，发布项目终止公告并说明原因，重新开展采购活动：</w:t>
      </w:r>
    </w:p>
    <w:p w14:paraId="5592AB88">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14:paraId="6207DA42">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1B85769D">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（3）除本须知第15.7.2条及法律法规规定的情形外，在采购过程中符合要求的供应商或者报价未超过采购预算的供应商不足3家的。</w:t>
      </w:r>
    </w:p>
    <w:p w14:paraId="73E86C90">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26DBB534">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18.2电子交易活动的中止。采购过程中出现以下情形，导致电子交易平台无法正常运行，或者无法保证电子交易的公平、公正和安全时，采购机构可中止电子交易活动：</w:t>
      </w:r>
    </w:p>
    <w:p w14:paraId="04293374">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(1)电子交易平台发生故障而无法登录访问的；</w:t>
      </w:r>
    </w:p>
    <w:p w14:paraId="5F86E882">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(2)电子交易平台应用或数据库出现错误，不能进行正常操作的；</w:t>
      </w:r>
    </w:p>
    <w:p w14:paraId="4FDD0EE0">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(3)电子交易平台发现严重安全漏洞，有潜在泄密危险的；</w:t>
      </w:r>
    </w:p>
    <w:p w14:paraId="533EED83">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(4)病毒发作导致不能进行正常操作的；</w:t>
      </w:r>
    </w:p>
    <w:p w14:paraId="655E1141">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(5)其他无法保证电子交易的公平、公正和安全的情况。</w:t>
      </w:r>
    </w:p>
    <w:p w14:paraId="7E578C3F">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F4FF6CF">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19</w:t>
      </w:r>
      <w:r>
        <w:rPr>
          <w:rFonts w:hint="eastAsia" w:ascii="宋体" w:hAnsi="宋体" w:eastAsia="宋体" w:cs="宋体"/>
          <w:b/>
          <w:color w:val="auto"/>
          <w:sz w:val="21"/>
          <w:szCs w:val="21"/>
          <w:highlight w:val="none"/>
        </w:rPr>
        <w:t>.磋商过程的监控</w:t>
      </w:r>
    </w:p>
    <w:p w14:paraId="10482191">
      <w:pPr>
        <w:pStyle w:val="14"/>
        <w:spacing w:line="38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本项目磋商过程实行全程录音、录像监控，供应商在磋商过程中所进行的试图影响磋商结果的不公正活动，可能导致其响应被拒绝。</w:t>
      </w:r>
    </w:p>
    <w:p w14:paraId="265B4D9A">
      <w:pPr>
        <w:tabs>
          <w:tab w:val="left" w:pos="1140"/>
        </w:tabs>
        <w:spacing w:line="380" w:lineRule="exact"/>
        <w:ind w:left="420" w:leftChars="172" w:hanging="59" w:hangingChars="28"/>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20. 信用查询 </w:t>
      </w:r>
    </w:p>
    <w:p w14:paraId="55CA25E2">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根据《关于做好政府采购有关信用主体标识码登记及在政府采购活动中查询使用信用记录有关问题的通知》（桂财采〔2016〕37），由采购代理机构对第一成交候选人进行信用查询：</w:t>
      </w:r>
    </w:p>
    <w:p w14:paraId="5B3E3A03">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⑴查询渠道：“信用中国”网站(www.creditchina.gov.cn)、中国政府采购网(www.ccgp.gov.cn)等；</w:t>
      </w:r>
    </w:p>
    <w:p w14:paraId="4F487450">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⑵查询截止时间：成交通知书发出前；</w:t>
      </w:r>
    </w:p>
    <w:p w14:paraId="22581B7C">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⑶信用信息查询记录和证据留存方式：在查询网站中直接打印查询记录，打印材料作为采购活动资料保存；</w:t>
      </w:r>
    </w:p>
    <w:p w14:paraId="348B5E3C">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454DDA3E">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.成交公告及成交通知书</w:t>
      </w:r>
    </w:p>
    <w:p w14:paraId="218BDB7D">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采购代理机构于评审结束后两个工作日内将评审报告送交采购人，采购人应当自收到评审报告</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个工作日内在评审报告推荐的成交候选供应商中按顺序确定成交供应商，采购代理机构在成交供应商确定之日起两个工作日内发出成交通知书，并在指定媒体上公告成交信息。</w:t>
      </w:r>
    </w:p>
    <w:p w14:paraId="23AA5C6B">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21.2中小企业在政府采购活动过程中，请根据自己的真实情况出具《中小企业声明函》。采购人或采购代理机构在公告成交结果时，同时公告其《中小企业声明函》，接受社会监督。</w:t>
      </w:r>
    </w:p>
    <w:p w14:paraId="6499B6DB">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21.3在发布成交公告的同时，采购代理机构向成交供应商发出成交通知书。</w:t>
      </w:r>
    </w:p>
    <w:p w14:paraId="5AA82B5C">
      <w:pPr>
        <w:tabs>
          <w:tab w:val="left" w:pos="1140"/>
        </w:tabs>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21.4采购代理机构无义务向未成交的供应商解释未成交原因和退还响应文件。</w:t>
      </w:r>
    </w:p>
    <w:p w14:paraId="21C8DD03">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八、履约保证金</w:t>
      </w:r>
    </w:p>
    <w:p w14:paraId="401EE832">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详见“响应供应商须知前附表”。</w:t>
      </w:r>
    </w:p>
    <w:p w14:paraId="506EC599">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九、询问、质疑和投诉</w:t>
      </w:r>
    </w:p>
    <w:p w14:paraId="28C7B163">
      <w:pPr>
        <w:tabs>
          <w:tab w:val="left" w:pos="1140"/>
        </w:tabs>
        <w:spacing w:line="380" w:lineRule="exact"/>
        <w:ind w:left="420" w:leftChars="172" w:hanging="59" w:hangingChars="28"/>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24</w:t>
      </w:r>
      <w:r>
        <w:rPr>
          <w:rFonts w:hint="eastAsia" w:ascii="宋体" w:hAnsi="宋体" w:eastAsia="宋体" w:cs="宋体"/>
          <w:b/>
          <w:color w:val="auto"/>
          <w:sz w:val="21"/>
          <w:szCs w:val="21"/>
          <w:highlight w:val="none"/>
        </w:rPr>
        <w:t>. 询问、质疑和投诉</w:t>
      </w:r>
    </w:p>
    <w:p w14:paraId="6BF0E17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.1供应商对政府采购活动事项有疑问的，可以向采购人、采购代理机构提出询问，采购人或者采购代理机构应当在3个工作日内对供应商依法提出的询问作出答复。</w:t>
      </w:r>
    </w:p>
    <w:p w14:paraId="3244704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08399A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4F40AB5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2AA82F0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06EA24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D4DF6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3AD878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14EF05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463E5C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2AEBE6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0D46C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4468BB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3A47CF7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CE95B6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.5采购人、采购代理机构认为供应商质疑不成立，或者成立但未对成交结果构成影响的，继续开展采购活动；认为供应商质疑成立且影响或者可能影响成交结果的，按照下列情况处理：</w:t>
      </w:r>
    </w:p>
    <w:p w14:paraId="6005D8D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31359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ADAE2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w:t>
      </w:r>
      <w:r>
        <w:rPr>
          <w:rFonts w:hint="eastAsia" w:ascii="宋体" w:hAnsi="宋体" w:eastAsia="宋体" w:cs="宋体"/>
          <w:color w:val="auto"/>
          <w:highlight w:val="none"/>
          <w:lang w:eastAsia="zh-CN"/>
        </w:rPr>
        <w:t>天等县</w:t>
      </w:r>
      <w:r>
        <w:rPr>
          <w:rFonts w:hint="eastAsia" w:ascii="宋体" w:hAnsi="宋体" w:eastAsia="宋体" w:cs="宋体"/>
          <w:color w:val="auto"/>
          <w:highlight w:val="none"/>
        </w:rPr>
        <w:t>财政部门。</w:t>
      </w:r>
    </w:p>
    <w:p w14:paraId="59A988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w:t>
      </w:r>
      <w:r>
        <w:rPr>
          <w:rFonts w:hint="eastAsia" w:ascii="宋体" w:hAnsi="宋体" w:eastAsia="宋体" w:cs="宋体"/>
          <w:color w:val="auto"/>
          <w:highlight w:val="none"/>
          <w:lang w:eastAsia="zh-CN"/>
        </w:rPr>
        <w:t>详见竞争性磋商公告</w:t>
      </w:r>
      <w:r>
        <w:rPr>
          <w:rFonts w:hint="eastAsia" w:ascii="宋体" w:hAnsi="宋体" w:eastAsia="宋体" w:cs="宋体"/>
          <w:color w:val="auto"/>
          <w:highlight w:val="none"/>
        </w:rPr>
        <w:t>”</w:t>
      </w:r>
    </w:p>
    <w:p w14:paraId="0C569CE9">
      <w:pPr>
        <w:pStyle w:val="2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十、签订合同</w:t>
      </w:r>
    </w:p>
    <w:p w14:paraId="548A619F">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成交供应商必须在成交通知书发出之日起15日历日内持成交通知书等材料与采购人签订施工合同（如因不可抗力原因延迟签订合同的，自不可抗力事由消除之日起5个工作日内完成合同签订事宜。），否则采购人将取消其成交资格</w:t>
      </w:r>
      <w:r>
        <w:rPr>
          <w:rFonts w:hint="eastAsia" w:ascii="宋体" w:hAnsi="宋体" w:eastAsia="宋体" w:cs="宋体"/>
          <w:color w:val="auto"/>
          <w:szCs w:val="21"/>
          <w:highlight w:val="none"/>
        </w:rPr>
        <w:t>。</w:t>
      </w:r>
    </w:p>
    <w:p w14:paraId="30F4D004">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.2发出成交通知书后，成交供应商有提供虚假材料或虚假承诺或未按相关规定与采购人签订合同等事宜的的，成交无效；给采购人造成的损失的，成交供应商还应当予以赔偿。</w:t>
      </w:r>
    </w:p>
    <w:p w14:paraId="3AB6055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.3发出成交通知书后，采购人无正当理由拒签合同的并给成交供应商造成损失的，应当赔偿损失。</w:t>
      </w:r>
    </w:p>
    <w:p w14:paraId="6FFB2E6A">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.4成交供应商因不可抗力或者自身原因不能履行采购合同的，采购人可以与排位在成交供应商之后第一位的成交候选供应商签订采购合同（或重新招标），以此类推。</w:t>
      </w:r>
    </w:p>
    <w:p w14:paraId="752332D7">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5采购合同是采购项目验收的依据，成交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0091AC7E">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.6采购人或成交供应商在合同履行过程中存在违反采购合同行为的，权益受损当事人应当将有关违约的情况以及拟采取的措施，及时书面报告</w:t>
      </w:r>
      <w:r>
        <w:rPr>
          <w:rFonts w:hint="eastAsia" w:ascii="宋体" w:hAnsi="宋体" w:eastAsia="宋体" w:cs="宋体"/>
          <w:color w:val="auto"/>
          <w:szCs w:val="21"/>
          <w:highlight w:val="none"/>
          <w:lang w:eastAsia="zh-CN"/>
        </w:rPr>
        <w:t>监督部门</w:t>
      </w:r>
      <w:r>
        <w:rPr>
          <w:rFonts w:hint="eastAsia" w:ascii="宋体" w:hAnsi="宋体" w:eastAsia="宋体" w:cs="宋体"/>
          <w:color w:val="auto"/>
          <w:szCs w:val="21"/>
          <w:highlight w:val="none"/>
        </w:rPr>
        <w:t xml:space="preserve">。 </w:t>
      </w:r>
    </w:p>
    <w:p w14:paraId="4E56DC56">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.7成交供应商拒绝签订采购合同的，并给采购人造成其损失的，还应当赔偿损失，并作为不良行为记录在案。同时，已缴纳的成交服务费不予退还。</w:t>
      </w:r>
    </w:p>
    <w:p w14:paraId="71F7D06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3BB058A">
      <w:pPr>
        <w:pStyle w:val="25"/>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484787C1">
      <w:pPr>
        <w:pStyle w:val="25"/>
        <w:keepNext w:val="0"/>
        <w:keepLines w:val="0"/>
        <w:pageBreakBefore w:val="0"/>
        <w:widowControl w:val="0"/>
        <w:kinsoku/>
        <w:wordWrap/>
        <w:overflowPunct/>
        <w:topLinePunct w:val="0"/>
        <w:autoSpaceDE/>
        <w:autoSpaceDN/>
        <w:bidi w:val="0"/>
        <w:adjustRightInd/>
        <w:spacing w:line="360" w:lineRule="auto"/>
        <w:ind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崇左市线上“政采贷”政策告知函</w:t>
      </w:r>
    </w:p>
    <w:p w14:paraId="6C42D4CE">
      <w:pPr>
        <w:pStyle w:val="25"/>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3F2DC901">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欢迎贵公司参与崇左市政府采购活动!</w:t>
      </w:r>
    </w:p>
    <w:p w14:paraId="6A71DEFC">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相关金融产品和银行业金融机构联系方式，可在中征应收账款融资服务平台查询(网址:https://www.crcrfsp.com/，客服电话:400-009-0001)。</w:t>
      </w:r>
    </w:p>
    <w:p w14:paraId="1C0FB4B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109AF32">
      <w:pPr>
        <w:pStyle w:val="25"/>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2</w:t>
      </w:r>
    </w:p>
    <w:p w14:paraId="1EBDDEB3">
      <w:pPr>
        <w:pStyle w:val="25"/>
        <w:keepNext w:val="0"/>
        <w:keepLines w:val="0"/>
        <w:pageBreakBefore w:val="0"/>
        <w:widowControl w:val="0"/>
        <w:kinsoku/>
        <w:wordWrap/>
        <w:overflowPunct/>
        <w:topLinePunct w:val="0"/>
        <w:autoSpaceDE/>
        <w:autoSpaceDN/>
        <w:bidi w:val="0"/>
        <w:adjustRightInd/>
        <w:spacing w:line="360" w:lineRule="auto"/>
        <w:ind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崇左市线上“政采贷”业务流程图</w:t>
      </w:r>
    </w:p>
    <w:p w14:paraId="44A44B16">
      <w:pPr>
        <w:bidi w:val="0"/>
        <w:rPr>
          <w:rFonts w:hint="eastAsia" w:ascii="宋体" w:hAnsi="宋体" w:eastAsia="宋体" w:cs="宋体"/>
          <w:color w:val="auto"/>
          <w:highlight w:val="none"/>
        </w:rPr>
      </w:pPr>
      <w:r>
        <w:rPr>
          <w:rFonts w:hint="eastAsia" w:ascii="宋体" w:hAnsi="宋体" w:eastAsia="宋体" w:cs="宋体"/>
          <w:color w:val="auto"/>
          <w:highlight w:val="none"/>
        </w:rPr>
        <w:drawing>
          <wp:inline distT="0" distB="0" distL="114300" distR="114300">
            <wp:extent cx="4926965" cy="7002780"/>
            <wp:effectExtent l="0" t="0" r="10795" b="7620"/>
            <wp:docPr id="5"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流程图1011"/>
                    <pic:cNvPicPr>
                      <a:picLocks noChangeAspect="1"/>
                    </pic:cNvPicPr>
                  </pic:nvPicPr>
                  <pic:blipFill>
                    <a:blip r:embed="rId18" cstate="print"/>
                    <a:stretch>
                      <a:fillRect/>
                    </a:stretch>
                  </pic:blipFill>
                  <pic:spPr>
                    <a:xfrm>
                      <a:off x="0" y="0"/>
                      <a:ext cx="4926965" cy="7002780"/>
                    </a:xfrm>
                    <a:prstGeom prst="rect">
                      <a:avLst/>
                    </a:prstGeom>
                    <a:noFill/>
                    <a:ln>
                      <a:noFill/>
                    </a:ln>
                  </pic:spPr>
                </pic:pic>
              </a:graphicData>
            </a:graphic>
          </wp:inline>
        </w:drawing>
      </w:r>
    </w:p>
    <w:p w14:paraId="545FCE8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F3ED351">
      <w:pPr>
        <w:pStyle w:val="25"/>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3</w:t>
      </w:r>
    </w:p>
    <w:p w14:paraId="2942488C">
      <w:pPr>
        <w:pStyle w:val="25"/>
        <w:keepNext w:val="0"/>
        <w:keepLines w:val="0"/>
        <w:pageBreakBefore w:val="0"/>
        <w:widowControl w:val="0"/>
        <w:kinsoku/>
        <w:wordWrap/>
        <w:overflowPunct/>
        <w:topLinePunct w:val="0"/>
        <w:autoSpaceDE/>
        <w:autoSpaceDN/>
        <w:bidi w:val="0"/>
        <w:adjustRightInd/>
        <w:spacing w:line="360" w:lineRule="auto"/>
        <w:ind w:firstLine="643" w:firstLineChars="20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崇左市金融机构线上“政采贷”业务办理联络表</w:t>
      </w:r>
    </w:p>
    <w:tbl>
      <w:tblPr>
        <w:tblStyle w:val="21"/>
        <w:tblW w:w="4996" w:type="pct"/>
        <w:tblInd w:w="0" w:type="dxa"/>
        <w:tblLayout w:type="autofit"/>
        <w:tblCellMar>
          <w:top w:w="0" w:type="dxa"/>
          <w:left w:w="108" w:type="dxa"/>
          <w:bottom w:w="0" w:type="dxa"/>
          <w:right w:w="108" w:type="dxa"/>
        </w:tblCellMar>
      </w:tblPr>
      <w:tblGrid>
        <w:gridCol w:w="3072"/>
        <w:gridCol w:w="4567"/>
        <w:gridCol w:w="1924"/>
      </w:tblGrid>
      <w:tr w14:paraId="7FC92BBB">
        <w:tblPrEx>
          <w:tblCellMar>
            <w:top w:w="0" w:type="dxa"/>
            <w:left w:w="108" w:type="dxa"/>
            <w:bottom w:w="0" w:type="dxa"/>
            <w:right w:w="108" w:type="dxa"/>
          </w:tblCellMar>
        </w:tblPrEx>
        <w:trPr>
          <w:trHeight w:val="9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BF93DB4">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金融机构名称</w:t>
            </w:r>
          </w:p>
        </w:tc>
        <w:tc>
          <w:tcPr>
            <w:tcW w:w="2388" w:type="pct"/>
            <w:tcBorders>
              <w:top w:val="single" w:color="000000" w:sz="4" w:space="0"/>
              <w:left w:val="single" w:color="000000" w:sz="4" w:space="0"/>
              <w:bottom w:val="single" w:color="000000" w:sz="4" w:space="0"/>
              <w:right w:val="single" w:color="000000" w:sz="4" w:space="0"/>
            </w:tcBorders>
            <w:vAlign w:val="center"/>
          </w:tcPr>
          <w:p w14:paraId="08311FE9">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地址</w:t>
            </w:r>
          </w:p>
        </w:tc>
        <w:tc>
          <w:tcPr>
            <w:tcW w:w="1004" w:type="pct"/>
            <w:tcBorders>
              <w:top w:val="single" w:color="000000" w:sz="4" w:space="0"/>
              <w:left w:val="single" w:color="000000" w:sz="4" w:space="0"/>
              <w:bottom w:val="single" w:color="000000" w:sz="4" w:space="0"/>
              <w:right w:val="single" w:color="000000" w:sz="4" w:space="0"/>
            </w:tcBorders>
            <w:vAlign w:val="center"/>
          </w:tcPr>
          <w:p w14:paraId="5E723CD3">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业务咨询电话</w:t>
            </w:r>
          </w:p>
        </w:tc>
      </w:tr>
      <w:tr w14:paraId="7E6C835C">
        <w:tblPrEx>
          <w:tblCellMar>
            <w:top w:w="0" w:type="dxa"/>
            <w:left w:w="108" w:type="dxa"/>
            <w:bottom w:w="0" w:type="dxa"/>
            <w:right w:w="108" w:type="dxa"/>
          </w:tblCellMar>
        </w:tblPrEx>
        <w:trPr>
          <w:trHeight w:val="365"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176F6F9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崇左市本级及江州区</w:t>
            </w:r>
          </w:p>
        </w:tc>
      </w:tr>
      <w:tr w14:paraId="78CF7BDF">
        <w:tblPrEx>
          <w:tblCellMar>
            <w:top w:w="0" w:type="dxa"/>
            <w:left w:w="108" w:type="dxa"/>
            <w:bottom w:w="0" w:type="dxa"/>
            <w:right w:w="108" w:type="dxa"/>
          </w:tblCellMar>
        </w:tblPrEx>
        <w:trPr>
          <w:trHeight w:val="35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9544BD2">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工商银行崇左分行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137262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崇左市骆越大道6号（东盟国际城）裙楼2号楼</w:t>
            </w:r>
          </w:p>
        </w:tc>
        <w:tc>
          <w:tcPr>
            <w:tcW w:w="1004" w:type="pct"/>
            <w:tcBorders>
              <w:top w:val="single" w:color="000000" w:sz="4" w:space="0"/>
              <w:left w:val="single" w:color="000000" w:sz="4" w:space="0"/>
              <w:bottom w:val="single" w:color="000000" w:sz="4" w:space="0"/>
              <w:right w:val="single" w:color="000000" w:sz="4" w:space="0"/>
            </w:tcBorders>
            <w:vAlign w:val="center"/>
          </w:tcPr>
          <w:p w14:paraId="1F30550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0771-7820436 0771-7820439</w:t>
            </w:r>
          </w:p>
        </w:tc>
      </w:tr>
      <w:tr w14:paraId="4743D725">
        <w:tblPrEx>
          <w:tblCellMar>
            <w:top w:w="0" w:type="dxa"/>
            <w:left w:w="108" w:type="dxa"/>
            <w:bottom w:w="0" w:type="dxa"/>
            <w:right w:w="108" w:type="dxa"/>
          </w:tblCellMar>
        </w:tblPrEx>
        <w:trPr>
          <w:trHeight w:val="9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9E61EB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农业银行崇左分行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51642E8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江州区友谊大道26号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70147B2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0771-7917212</w:t>
            </w:r>
          </w:p>
        </w:tc>
      </w:tr>
      <w:tr w14:paraId="4F4DD933">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AE6771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农业银行江州支行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7CFE99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江州区江南路48号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25EB2E6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0771-7917054</w:t>
            </w:r>
          </w:p>
        </w:tc>
      </w:tr>
      <w:tr w14:paraId="5F962365">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4C1638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建行崇左分行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1D34AB8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崇左市江州区江南路73号建行大厦</w:t>
            </w:r>
          </w:p>
        </w:tc>
        <w:tc>
          <w:tcPr>
            <w:tcW w:w="1004" w:type="pct"/>
            <w:tcBorders>
              <w:top w:val="single" w:color="000000" w:sz="4" w:space="0"/>
              <w:left w:val="single" w:color="000000" w:sz="4" w:space="0"/>
              <w:bottom w:val="single" w:color="000000" w:sz="4" w:space="0"/>
              <w:right w:val="single" w:color="000000" w:sz="4" w:space="0"/>
            </w:tcBorders>
            <w:vAlign w:val="center"/>
          </w:tcPr>
          <w:p w14:paraId="6D08BDC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0771-7831103</w:t>
            </w:r>
          </w:p>
        </w:tc>
      </w:tr>
      <w:tr w14:paraId="337B28E5">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8EF164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中国银行崇左分行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2BB7A13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崇左市江州区龙胤大厦五楼</w:t>
            </w:r>
          </w:p>
        </w:tc>
        <w:tc>
          <w:tcPr>
            <w:tcW w:w="1004" w:type="pct"/>
            <w:tcBorders>
              <w:top w:val="single" w:color="000000" w:sz="4" w:space="0"/>
              <w:left w:val="single" w:color="000000" w:sz="4" w:space="0"/>
              <w:bottom w:val="single" w:color="000000" w:sz="4" w:space="0"/>
              <w:right w:val="single" w:color="000000" w:sz="4" w:space="0"/>
            </w:tcBorders>
            <w:vAlign w:val="center"/>
          </w:tcPr>
          <w:p w14:paraId="4EF3687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0771-7928650 0771-7920613</w:t>
            </w:r>
          </w:p>
        </w:tc>
      </w:tr>
      <w:tr w14:paraId="66B1C7A4">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4AA6ED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崇左农商行授信审批部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3CE33EC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崇左市城西路109号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719C0D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0771-7925660</w:t>
            </w:r>
          </w:p>
        </w:tc>
      </w:tr>
      <w:tr w14:paraId="1028E6E9">
        <w:tblPrEx>
          <w:tblCellMar>
            <w:top w:w="0" w:type="dxa"/>
            <w:left w:w="108" w:type="dxa"/>
            <w:bottom w:w="0" w:type="dxa"/>
            <w:right w:w="108" w:type="dxa"/>
          </w:tblCellMar>
        </w:tblPrEx>
        <w:trPr>
          <w:trHeight w:val="9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DEC2C8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中国邮政储蓄银行崇左市分行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8DBFC5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崇左市江州区骆越大道2号中国邮政储蓄银行崇左市分行</w:t>
            </w:r>
          </w:p>
        </w:tc>
        <w:tc>
          <w:tcPr>
            <w:tcW w:w="1004" w:type="pct"/>
            <w:tcBorders>
              <w:top w:val="single" w:color="000000" w:sz="4" w:space="0"/>
              <w:left w:val="single" w:color="000000" w:sz="4" w:space="0"/>
              <w:bottom w:val="single" w:color="000000" w:sz="4" w:space="0"/>
              <w:right w:val="single" w:color="000000" w:sz="4" w:space="0"/>
            </w:tcBorders>
            <w:vAlign w:val="center"/>
          </w:tcPr>
          <w:p w14:paraId="670C8CA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0771-7968699</w:t>
            </w:r>
          </w:p>
        </w:tc>
      </w:tr>
      <w:tr w14:paraId="124CE96C">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290FAF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桂林银行崇左分行营业部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460C562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广西壮族自治区崇左市江州区友谊大道中段龙胤·财富广场101商铺（龙胤大厦六楼营业部）</w:t>
            </w:r>
          </w:p>
        </w:tc>
        <w:tc>
          <w:tcPr>
            <w:tcW w:w="1004" w:type="pct"/>
            <w:tcBorders>
              <w:top w:val="single" w:color="000000" w:sz="4" w:space="0"/>
              <w:left w:val="single" w:color="000000" w:sz="4" w:space="0"/>
              <w:bottom w:val="single" w:color="000000" w:sz="4" w:space="0"/>
              <w:right w:val="single" w:color="000000" w:sz="4" w:space="0"/>
            </w:tcBorders>
            <w:vAlign w:val="center"/>
          </w:tcPr>
          <w:p w14:paraId="466D7EC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0771-7916636</w:t>
            </w:r>
          </w:p>
        </w:tc>
      </w:tr>
      <w:tr w14:paraId="60D61892">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919F30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桂林银行江州支行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A071F0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崇左市江州区建设路41号桂林银行</w:t>
            </w:r>
          </w:p>
        </w:tc>
        <w:tc>
          <w:tcPr>
            <w:tcW w:w="1004" w:type="pct"/>
            <w:tcBorders>
              <w:top w:val="single" w:color="000000" w:sz="4" w:space="0"/>
              <w:left w:val="single" w:color="000000" w:sz="4" w:space="0"/>
              <w:bottom w:val="single" w:color="000000" w:sz="4" w:space="0"/>
              <w:right w:val="single" w:color="000000" w:sz="4" w:space="0"/>
            </w:tcBorders>
            <w:vAlign w:val="center"/>
          </w:tcPr>
          <w:p w14:paraId="575703F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0771-7988895</w:t>
            </w:r>
          </w:p>
        </w:tc>
      </w:tr>
      <w:tr w14:paraId="70679AD9">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5D75302">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FA1202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崇左市友谊大道中段西侧龙胤财富广场三期财富中心122号商铺</w:t>
            </w:r>
          </w:p>
        </w:tc>
        <w:tc>
          <w:tcPr>
            <w:tcW w:w="1004" w:type="pct"/>
            <w:tcBorders>
              <w:top w:val="single" w:color="000000" w:sz="4" w:space="0"/>
              <w:left w:val="single" w:color="000000" w:sz="4" w:space="0"/>
              <w:bottom w:val="single" w:color="000000" w:sz="4" w:space="0"/>
              <w:right w:val="single" w:color="000000" w:sz="4" w:space="0"/>
            </w:tcBorders>
            <w:vAlign w:val="center"/>
          </w:tcPr>
          <w:p w14:paraId="4252FB5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0771-7960855</w:t>
            </w:r>
          </w:p>
        </w:tc>
      </w:tr>
      <w:tr w14:paraId="7851E8EF">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0BD721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广西北部湾银行崇左市中泰产业园支行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62730D1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广西壮族自治区崇左市江州区中泰产业园企业总部基地企业服务中心一楼</w:t>
            </w:r>
          </w:p>
        </w:tc>
        <w:tc>
          <w:tcPr>
            <w:tcW w:w="1004" w:type="pct"/>
            <w:tcBorders>
              <w:top w:val="single" w:color="000000" w:sz="4" w:space="0"/>
              <w:left w:val="single" w:color="000000" w:sz="4" w:space="0"/>
              <w:bottom w:val="single" w:color="000000" w:sz="4" w:space="0"/>
              <w:right w:val="single" w:color="000000" w:sz="4" w:space="0"/>
            </w:tcBorders>
            <w:vAlign w:val="center"/>
          </w:tcPr>
          <w:p w14:paraId="1BCC5A5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0771-7821126</w:t>
            </w:r>
          </w:p>
        </w:tc>
      </w:tr>
      <w:tr w14:paraId="0BDFF6A5">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00C6F5C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广西北部湾银行崇左市丽江支行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712A0AC">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崇左市江州区丽江路丽江明珠滨江花苑三期106-109号商铺</w:t>
            </w:r>
          </w:p>
        </w:tc>
        <w:tc>
          <w:tcPr>
            <w:tcW w:w="1004" w:type="pct"/>
            <w:tcBorders>
              <w:top w:val="single" w:color="000000" w:sz="4" w:space="0"/>
              <w:left w:val="single" w:color="000000" w:sz="4" w:space="0"/>
              <w:bottom w:val="single" w:color="000000" w:sz="4" w:space="0"/>
              <w:right w:val="single" w:color="000000" w:sz="4" w:space="0"/>
            </w:tcBorders>
            <w:vAlign w:val="center"/>
          </w:tcPr>
          <w:p w14:paraId="0BF27B0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0771-7831866</w:t>
            </w:r>
          </w:p>
        </w:tc>
      </w:tr>
      <w:tr w14:paraId="1F9C60E7">
        <w:tblPrEx>
          <w:tblCellMar>
            <w:top w:w="0" w:type="dxa"/>
            <w:left w:w="108" w:type="dxa"/>
            <w:bottom w:w="0" w:type="dxa"/>
            <w:right w:w="108" w:type="dxa"/>
          </w:tblCellMar>
        </w:tblPrEx>
        <w:trPr>
          <w:trHeight w:val="350"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1CF89D2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扶绥县</w:t>
            </w:r>
          </w:p>
        </w:tc>
      </w:tr>
      <w:tr w14:paraId="1CA53644">
        <w:tblPrEx>
          <w:tblCellMar>
            <w:top w:w="0" w:type="dxa"/>
            <w:left w:w="108" w:type="dxa"/>
            <w:bottom w:w="0" w:type="dxa"/>
            <w:right w:w="108" w:type="dxa"/>
          </w:tblCellMar>
        </w:tblPrEx>
        <w:trPr>
          <w:trHeight w:val="38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0601815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工商银行扶绥县支行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57D118A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扶绥县新宁镇同正大道94号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3D92E23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0771-7535612</w:t>
            </w:r>
          </w:p>
        </w:tc>
      </w:tr>
      <w:tr w14:paraId="24EDEBC9">
        <w:tblPrEx>
          <w:tblCellMar>
            <w:top w:w="0" w:type="dxa"/>
            <w:left w:w="108" w:type="dxa"/>
            <w:bottom w:w="0" w:type="dxa"/>
            <w:right w:w="108" w:type="dxa"/>
          </w:tblCellMar>
        </w:tblPrEx>
        <w:trPr>
          <w:trHeight w:val="44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25B3E6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农业银行扶绥县支行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BA5E08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扶绥县新宁镇新华路126号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746E530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0771-7917330</w:t>
            </w:r>
          </w:p>
        </w:tc>
      </w:tr>
      <w:tr w14:paraId="322A94C3">
        <w:tblPrEx>
          <w:tblCellMar>
            <w:top w:w="0" w:type="dxa"/>
            <w:left w:w="108" w:type="dxa"/>
            <w:bottom w:w="0" w:type="dxa"/>
            <w:right w:w="108" w:type="dxa"/>
          </w:tblCellMar>
        </w:tblPrEx>
        <w:trPr>
          <w:trHeight w:val="749"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8350B1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建行扶绥支行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6393F43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扶绥县南密路6号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6320A45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0771-7516511 0771-7531157</w:t>
            </w:r>
          </w:p>
        </w:tc>
      </w:tr>
      <w:tr w14:paraId="7C6879C8">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49ABEB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建行扶绥空港支行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612C73E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扶绥县双拥路3号东信华府18号楼一层</w:t>
            </w:r>
          </w:p>
        </w:tc>
        <w:tc>
          <w:tcPr>
            <w:tcW w:w="1004" w:type="pct"/>
            <w:tcBorders>
              <w:top w:val="single" w:color="000000" w:sz="4" w:space="0"/>
              <w:left w:val="single" w:color="000000" w:sz="4" w:space="0"/>
              <w:bottom w:val="single" w:color="000000" w:sz="4" w:space="0"/>
              <w:right w:val="single" w:color="000000" w:sz="4" w:space="0"/>
            </w:tcBorders>
            <w:vAlign w:val="center"/>
          </w:tcPr>
          <w:p w14:paraId="1060704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0771-7525822</w:t>
            </w:r>
          </w:p>
        </w:tc>
      </w:tr>
      <w:tr w14:paraId="02ACD7CF">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497D77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中国银行扶绥支行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2543C8F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扶绥县-扶绥大道16号山水城市广场一层商铺</w:t>
            </w:r>
          </w:p>
        </w:tc>
        <w:tc>
          <w:tcPr>
            <w:tcW w:w="1004" w:type="pct"/>
            <w:tcBorders>
              <w:top w:val="single" w:color="000000" w:sz="4" w:space="0"/>
              <w:left w:val="single" w:color="000000" w:sz="4" w:space="0"/>
              <w:bottom w:val="single" w:color="000000" w:sz="4" w:space="0"/>
              <w:right w:val="single" w:color="000000" w:sz="4" w:space="0"/>
            </w:tcBorders>
            <w:vAlign w:val="center"/>
          </w:tcPr>
          <w:p w14:paraId="7CE8650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0771-5025887</w:t>
            </w:r>
          </w:p>
        </w:tc>
      </w:tr>
      <w:tr w14:paraId="5E8606E9">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158A9B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扶绥农商行三农零售与乡村振兴金融部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0C654556">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扶绥县新宁镇永宁路2-1号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25591D7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0771-7533041</w:t>
            </w:r>
          </w:p>
        </w:tc>
      </w:tr>
      <w:tr w14:paraId="6B2D8AD7">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F9FF30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中国邮政储蓄银行扶绥县支行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52FF58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扶绥县松江路138号中国邮政储蓄银行扶绥县支行</w:t>
            </w:r>
          </w:p>
        </w:tc>
        <w:tc>
          <w:tcPr>
            <w:tcW w:w="1004" w:type="pct"/>
            <w:tcBorders>
              <w:top w:val="single" w:color="000000" w:sz="4" w:space="0"/>
              <w:left w:val="single" w:color="000000" w:sz="4" w:space="0"/>
              <w:bottom w:val="single" w:color="000000" w:sz="4" w:space="0"/>
              <w:right w:val="single" w:color="000000" w:sz="4" w:space="0"/>
            </w:tcBorders>
            <w:vAlign w:val="center"/>
          </w:tcPr>
          <w:p w14:paraId="07DB0767">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0771-7536178 0771-7536177</w:t>
            </w:r>
          </w:p>
        </w:tc>
      </w:tr>
      <w:tr w14:paraId="72FD6E7A">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24C58E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桂林银行崇左扶绥支行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4621BA3">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广西崇左市扶绥县新宁镇松江路20号（桂林银行崇左扶绥支行）</w:t>
            </w:r>
          </w:p>
        </w:tc>
        <w:tc>
          <w:tcPr>
            <w:tcW w:w="1004" w:type="pct"/>
            <w:tcBorders>
              <w:top w:val="single" w:color="000000" w:sz="4" w:space="0"/>
              <w:left w:val="single" w:color="000000" w:sz="4" w:space="0"/>
              <w:bottom w:val="single" w:color="000000" w:sz="4" w:space="0"/>
              <w:right w:val="single" w:color="000000" w:sz="4" w:space="0"/>
            </w:tcBorders>
            <w:vAlign w:val="center"/>
          </w:tcPr>
          <w:p w14:paraId="6944171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0771-7661101</w:t>
            </w:r>
          </w:p>
        </w:tc>
      </w:tr>
      <w:tr w14:paraId="15D699E5">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AD3287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广西北部湾银行扶绥县支行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4198A2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崇左市扶绥县新宁镇同正大道333号碧园·未来城商业综合体13号楼一楼1050、1051号商铺</w:t>
            </w:r>
          </w:p>
        </w:tc>
        <w:tc>
          <w:tcPr>
            <w:tcW w:w="1004" w:type="pct"/>
            <w:tcBorders>
              <w:top w:val="single" w:color="000000" w:sz="4" w:space="0"/>
              <w:left w:val="single" w:color="000000" w:sz="4" w:space="0"/>
              <w:bottom w:val="single" w:color="000000" w:sz="4" w:space="0"/>
              <w:right w:val="single" w:color="000000" w:sz="4" w:space="0"/>
            </w:tcBorders>
            <w:vAlign w:val="center"/>
          </w:tcPr>
          <w:p w14:paraId="615AA74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0771-7500768</w:t>
            </w:r>
          </w:p>
        </w:tc>
      </w:tr>
      <w:tr w14:paraId="1018242B">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04819B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扶绥深通村镇银行业发部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7D6904F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扶绥县大景城1号楼正门旁</w:t>
            </w:r>
          </w:p>
        </w:tc>
        <w:tc>
          <w:tcPr>
            <w:tcW w:w="1004" w:type="pct"/>
            <w:tcBorders>
              <w:top w:val="single" w:color="000000" w:sz="4" w:space="0"/>
              <w:left w:val="single" w:color="000000" w:sz="4" w:space="0"/>
              <w:bottom w:val="single" w:color="000000" w:sz="4" w:space="0"/>
              <w:right w:val="single" w:color="000000" w:sz="4" w:space="0"/>
            </w:tcBorders>
            <w:vAlign w:val="center"/>
          </w:tcPr>
          <w:p w14:paraId="0A96A86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0771-7525678</w:t>
            </w:r>
          </w:p>
        </w:tc>
      </w:tr>
      <w:tr w14:paraId="2AAB0687">
        <w:tblPrEx>
          <w:tblCellMar>
            <w:top w:w="0" w:type="dxa"/>
            <w:left w:w="108" w:type="dxa"/>
            <w:bottom w:w="0" w:type="dxa"/>
            <w:right w:w="108" w:type="dxa"/>
          </w:tblCellMar>
        </w:tblPrEx>
        <w:trPr>
          <w:trHeight w:val="47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03DCC6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宁明县</w:t>
            </w:r>
          </w:p>
        </w:tc>
        <w:tc>
          <w:tcPr>
            <w:tcW w:w="2388" w:type="pct"/>
            <w:tcBorders>
              <w:top w:val="single" w:color="000000" w:sz="4" w:space="0"/>
              <w:left w:val="single" w:color="000000" w:sz="4" w:space="0"/>
              <w:bottom w:val="single" w:color="000000" w:sz="4" w:space="0"/>
              <w:right w:val="single" w:color="000000" w:sz="4" w:space="0"/>
            </w:tcBorders>
            <w:vAlign w:val="center"/>
          </w:tcPr>
          <w:p w14:paraId="102C3876">
            <w:pPr>
              <w:widowControl/>
              <w:jc w:val="left"/>
              <w:textAlignment w:val="center"/>
              <w:rPr>
                <w:rFonts w:hint="eastAsia" w:ascii="宋体" w:hAnsi="宋体" w:eastAsia="宋体" w:cs="宋体"/>
                <w:color w:val="auto"/>
                <w:szCs w:val="21"/>
                <w:highlight w:val="none"/>
              </w:rPr>
            </w:pPr>
          </w:p>
        </w:tc>
        <w:tc>
          <w:tcPr>
            <w:tcW w:w="1004" w:type="pct"/>
            <w:tcBorders>
              <w:top w:val="single" w:color="000000" w:sz="4" w:space="0"/>
              <w:left w:val="single" w:color="000000" w:sz="4" w:space="0"/>
              <w:bottom w:val="single" w:color="000000" w:sz="4" w:space="0"/>
              <w:right w:val="single" w:color="000000" w:sz="4" w:space="0"/>
            </w:tcBorders>
            <w:vAlign w:val="center"/>
          </w:tcPr>
          <w:p w14:paraId="67292CC1">
            <w:pPr>
              <w:widowControl/>
              <w:jc w:val="center"/>
              <w:textAlignment w:val="center"/>
              <w:rPr>
                <w:rFonts w:hint="eastAsia" w:ascii="宋体" w:hAnsi="宋体" w:eastAsia="宋体" w:cs="宋体"/>
                <w:color w:val="auto"/>
                <w:szCs w:val="21"/>
                <w:highlight w:val="none"/>
              </w:rPr>
            </w:pPr>
          </w:p>
        </w:tc>
      </w:tr>
      <w:tr w14:paraId="6ACE843C">
        <w:tblPrEx>
          <w:tblCellMar>
            <w:top w:w="0" w:type="dxa"/>
            <w:left w:w="108" w:type="dxa"/>
            <w:bottom w:w="0" w:type="dxa"/>
            <w:right w:w="108" w:type="dxa"/>
          </w:tblCellMar>
        </w:tblPrEx>
        <w:trPr>
          <w:trHeight w:val="36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C8EE6C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工商银行宁明县支行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FF1A71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宁明县城中镇兴远街70号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28698B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0771-8620729</w:t>
            </w:r>
          </w:p>
        </w:tc>
      </w:tr>
      <w:tr w14:paraId="74A74ABB">
        <w:tblPrEx>
          <w:tblCellMar>
            <w:top w:w="0" w:type="dxa"/>
            <w:left w:w="108" w:type="dxa"/>
            <w:bottom w:w="0" w:type="dxa"/>
            <w:right w:w="108" w:type="dxa"/>
          </w:tblCellMar>
        </w:tblPrEx>
        <w:trPr>
          <w:trHeight w:val="32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7B9FF5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农业银行宁明县支行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7DE3316">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宁明县城中镇明阳街11号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096F4C7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0771-7917093</w:t>
            </w:r>
          </w:p>
        </w:tc>
      </w:tr>
      <w:tr w14:paraId="0393C138">
        <w:tblPrEx>
          <w:tblCellMar>
            <w:top w:w="0" w:type="dxa"/>
            <w:left w:w="108" w:type="dxa"/>
            <w:bottom w:w="0" w:type="dxa"/>
            <w:right w:w="108" w:type="dxa"/>
          </w:tblCellMar>
        </w:tblPrEx>
        <w:trPr>
          <w:trHeight w:val="32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5C853B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建行宁明支行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AD68D50">
            <w:pPr>
              <w:widowControl/>
              <w:spacing w:after="90" w:line="23" w:lineRule="atLeas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宁明县城中镇兴宁大道77号明江财富广场一层1-13号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65DB361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0771-8629006</w:t>
            </w:r>
          </w:p>
        </w:tc>
      </w:tr>
      <w:tr w14:paraId="1196E56A">
        <w:tblPrEx>
          <w:tblCellMar>
            <w:top w:w="0" w:type="dxa"/>
            <w:left w:w="108" w:type="dxa"/>
            <w:bottom w:w="0" w:type="dxa"/>
            <w:right w:w="108" w:type="dxa"/>
          </w:tblCellMar>
        </w:tblPrEx>
        <w:trPr>
          <w:trHeight w:val="32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914583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宁明农商行三农零售与乡村振兴金融部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59B33E6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宁明县城中镇明阳街3号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3C4D21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0771-8628166</w:t>
            </w:r>
          </w:p>
        </w:tc>
      </w:tr>
      <w:tr w14:paraId="55637936">
        <w:tblPrEx>
          <w:tblCellMar>
            <w:top w:w="0" w:type="dxa"/>
            <w:left w:w="108" w:type="dxa"/>
            <w:bottom w:w="0" w:type="dxa"/>
            <w:right w:w="108" w:type="dxa"/>
          </w:tblCellMar>
        </w:tblPrEx>
        <w:trPr>
          <w:trHeight w:val="439"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561624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桂林银行崇左宁明支行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378AE96">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宁明县城中镇兴宁大道中70号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3DA5E5A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0771-8630787</w:t>
            </w:r>
          </w:p>
        </w:tc>
      </w:tr>
      <w:tr w14:paraId="69AF77B2">
        <w:tblPrEx>
          <w:tblCellMar>
            <w:top w:w="0" w:type="dxa"/>
            <w:left w:w="108" w:type="dxa"/>
            <w:bottom w:w="0" w:type="dxa"/>
            <w:right w:w="108" w:type="dxa"/>
          </w:tblCellMar>
        </w:tblPrEx>
        <w:trPr>
          <w:trHeight w:val="32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E9F1C3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广西北部湾银行宁明支行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65FD85F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崇左市宁明县城中镇兴宁大道中79号（明都大酒店）A幢楼1楼铺面</w:t>
            </w:r>
          </w:p>
        </w:tc>
        <w:tc>
          <w:tcPr>
            <w:tcW w:w="1004" w:type="pct"/>
            <w:tcBorders>
              <w:top w:val="single" w:color="000000" w:sz="4" w:space="0"/>
              <w:left w:val="single" w:color="000000" w:sz="4" w:space="0"/>
              <w:bottom w:val="single" w:color="000000" w:sz="4" w:space="0"/>
              <w:right w:val="single" w:color="000000" w:sz="4" w:space="0"/>
            </w:tcBorders>
            <w:vAlign w:val="center"/>
          </w:tcPr>
          <w:p w14:paraId="4D5F53D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0771-8622237</w:t>
            </w:r>
          </w:p>
        </w:tc>
      </w:tr>
      <w:tr w14:paraId="77932C64">
        <w:tblPrEx>
          <w:tblCellMar>
            <w:top w:w="0" w:type="dxa"/>
            <w:left w:w="108" w:type="dxa"/>
            <w:bottom w:w="0" w:type="dxa"/>
            <w:right w:w="108" w:type="dxa"/>
          </w:tblCellMar>
        </w:tblPrEx>
        <w:trPr>
          <w:trHeight w:val="377"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1BBD053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大新县</w:t>
            </w:r>
          </w:p>
        </w:tc>
      </w:tr>
      <w:tr w14:paraId="60D132B5">
        <w:tblPrEx>
          <w:tblCellMar>
            <w:top w:w="0" w:type="dxa"/>
            <w:left w:w="108" w:type="dxa"/>
            <w:bottom w:w="0" w:type="dxa"/>
            <w:right w:w="108" w:type="dxa"/>
          </w:tblCellMar>
        </w:tblPrEx>
        <w:trPr>
          <w:trHeight w:val="391"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7D85A22">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工商银行大新县支行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1B968F1F">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大新县桃城镇民生街98号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5FF88179">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0771-3628078</w:t>
            </w:r>
          </w:p>
        </w:tc>
      </w:tr>
      <w:tr w14:paraId="35AEC138">
        <w:tblPrEx>
          <w:tblCellMar>
            <w:top w:w="0" w:type="dxa"/>
            <w:left w:w="108" w:type="dxa"/>
            <w:bottom w:w="0" w:type="dxa"/>
            <w:right w:w="108" w:type="dxa"/>
          </w:tblCellMar>
        </w:tblPrEx>
        <w:trPr>
          <w:trHeight w:val="458"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2A5792A">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农业银行大新县支行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68F1E487">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大新县桃城镇伦理路223号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8A92BE9">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w:t>
            </w:r>
            <w:r>
              <w:rPr>
                <w:rFonts w:hint="eastAsia" w:ascii="宋体" w:hAnsi="宋体" w:eastAsia="宋体" w:cs="宋体"/>
                <w:color w:val="auto"/>
                <w:szCs w:val="21"/>
                <w:highlight w:val="none"/>
              </w:rPr>
              <w:t>7917015</w:t>
            </w:r>
          </w:p>
        </w:tc>
      </w:tr>
      <w:tr w14:paraId="04B53048">
        <w:tblPrEx>
          <w:tblCellMar>
            <w:top w:w="0" w:type="dxa"/>
            <w:left w:w="108" w:type="dxa"/>
            <w:bottom w:w="0" w:type="dxa"/>
            <w:right w:w="108" w:type="dxa"/>
          </w:tblCellMar>
        </w:tblPrEx>
        <w:trPr>
          <w:trHeight w:val="4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709776D">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建行大新支行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4B002197">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大新县民生街7号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54E9F9E">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0771-3689766</w:t>
            </w:r>
          </w:p>
        </w:tc>
      </w:tr>
      <w:tr w14:paraId="48448B39">
        <w:tblPrEx>
          <w:tblCellMar>
            <w:top w:w="0" w:type="dxa"/>
            <w:left w:w="108" w:type="dxa"/>
            <w:bottom w:w="0" w:type="dxa"/>
            <w:right w:w="108" w:type="dxa"/>
          </w:tblCellMar>
        </w:tblPrEx>
        <w:trPr>
          <w:trHeight w:val="4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DF1EA73">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大新农商行三农零售与乡村振兴金融部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59D0E75C">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大新县城养利路131号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2CF950B">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0771-3623887</w:t>
            </w:r>
          </w:p>
        </w:tc>
      </w:tr>
      <w:tr w14:paraId="3EA797A0">
        <w:tblPrEx>
          <w:tblCellMar>
            <w:top w:w="0" w:type="dxa"/>
            <w:left w:w="108" w:type="dxa"/>
            <w:bottom w:w="0" w:type="dxa"/>
            <w:right w:w="108" w:type="dxa"/>
          </w:tblCellMar>
        </w:tblPrEx>
        <w:trPr>
          <w:trHeight w:val="6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87E0836">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桂林银行崇左大新支行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4C1518B">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崇左市大新县桃城镇民生街7号东盟商业广场1楼桂林银行</w:t>
            </w:r>
          </w:p>
        </w:tc>
        <w:tc>
          <w:tcPr>
            <w:tcW w:w="1004" w:type="pct"/>
            <w:tcBorders>
              <w:top w:val="single" w:color="000000" w:sz="4" w:space="0"/>
              <w:left w:val="single" w:color="000000" w:sz="4" w:space="0"/>
              <w:bottom w:val="single" w:color="000000" w:sz="4" w:space="0"/>
              <w:right w:val="single" w:color="000000" w:sz="4" w:space="0"/>
            </w:tcBorders>
            <w:vAlign w:val="center"/>
          </w:tcPr>
          <w:p w14:paraId="4AFFF468">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0771-3621996</w:t>
            </w:r>
          </w:p>
        </w:tc>
      </w:tr>
      <w:tr w14:paraId="447D5337">
        <w:tblPrEx>
          <w:tblCellMar>
            <w:top w:w="0" w:type="dxa"/>
            <w:left w:w="108" w:type="dxa"/>
            <w:bottom w:w="0" w:type="dxa"/>
            <w:right w:w="108" w:type="dxa"/>
          </w:tblCellMar>
        </w:tblPrEx>
        <w:trPr>
          <w:trHeight w:val="4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56E5B05">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广西北部湾银行大新支行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6BD0B6D">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崇左市大新县桃城镇伦理路230号1楼铺面</w:t>
            </w:r>
          </w:p>
        </w:tc>
        <w:tc>
          <w:tcPr>
            <w:tcW w:w="1004" w:type="pct"/>
            <w:tcBorders>
              <w:top w:val="single" w:color="000000" w:sz="4" w:space="0"/>
              <w:left w:val="single" w:color="000000" w:sz="4" w:space="0"/>
              <w:bottom w:val="single" w:color="000000" w:sz="4" w:space="0"/>
              <w:right w:val="single" w:color="000000" w:sz="4" w:space="0"/>
            </w:tcBorders>
            <w:vAlign w:val="center"/>
          </w:tcPr>
          <w:p w14:paraId="565A421B">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0771-3628366</w:t>
            </w:r>
          </w:p>
        </w:tc>
      </w:tr>
      <w:tr w14:paraId="52775210">
        <w:tblPrEx>
          <w:tblCellMar>
            <w:top w:w="0" w:type="dxa"/>
            <w:left w:w="108" w:type="dxa"/>
            <w:bottom w:w="0" w:type="dxa"/>
            <w:right w:w="108" w:type="dxa"/>
          </w:tblCellMar>
        </w:tblPrEx>
        <w:trPr>
          <w:trHeight w:val="4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DB21A46">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崇左大新长江村镇银行营业部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250AF933">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大新县桃城镇德天大道74-1号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7E4EAD58">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0771-3698002</w:t>
            </w:r>
          </w:p>
        </w:tc>
      </w:tr>
      <w:tr w14:paraId="07813D5D">
        <w:tblPrEx>
          <w:tblCellMar>
            <w:top w:w="0" w:type="dxa"/>
            <w:left w:w="108" w:type="dxa"/>
            <w:bottom w:w="0" w:type="dxa"/>
            <w:right w:w="108" w:type="dxa"/>
          </w:tblCellMar>
        </w:tblPrEx>
        <w:trPr>
          <w:trHeight w:val="42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E7A0E57">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崇左大新长江村镇银行百汇支行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5052A6DD">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大新县桃城镇伦那路8号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68FE532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0771-3626199</w:t>
            </w:r>
          </w:p>
        </w:tc>
      </w:tr>
      <w:tr w14:paraId="7D0B7387">
        <w:tblPrEx>
          <w:tblCellMar>
            <w:top w:w="0" w:type="dxa"/>
            <w:left w:w="108" w:type="dxa"/>
            <w:bottom w:w="0" w:type="dxa"/>
            <w:right w:w="108" w:type="dxa"/>
          </w:tblCellMar>
        </w:tblPrEx>
        <w:trPr>
          <w:trHeight w:val="35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425F13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龙州县</w:t>
            </w:r>
          </w:p>
        </w:tc>
        <w:tc>
          <w:tcPr>
            <w:tcW w:w="2388" w:type="pct"/>
            <w:tcBorders>
              <w:top w:val="single" w:color="000000" w:sz="4" w:space="0"/>
              <w:left w:val="single" w:color="000000" w:sz="4" w:space="0"/>
              <w:bottom w:val="single" w:color="000000" w:sz="4" w:space="0"/>
              <w:right w:val="single" w:color="000000" w:sz="4" w:space="0"/>
            </w:tcBorders>
            <w:vAlign w:val="center"/>
          </w:tcPr>
          <w:p w14:paraId="2EAA67A8">
            <w:pPr>
              <w:widowControl/>
              <w:jc w:val="left"/>
              <w:textAlignment w:val="center"/>
              <w:rPr>
                <w:rFonts w:hint="eastAsia" w:ascii="宋体" w:hAnsi="宋体" w:eastAsia="宋体" w:cs="宋体"/>
                <w:color w:val="auto"/>
                <w:szCs w:val="21"/>
                <w:highlight w:val="none"/>
              </w:rPr>
            </w:pPr>
          </w:p>
        </w:tc>
        <w:tc>
          <w:tcPr>
            <w:tcW w:w="1004" w:type="pct"/>
            <w:tcBorders>
              <w:top w:val="single" w:color="000000" w:sz="4" w:space="0"/>
              <w:left w:val="single" w:color="000000" w:sz="4" w:space="0"/>
              <w:bottom w:val="single" w:color="000000" w:sz="4" w:space="0"/>
              <w:right w:val="single" w:color="000000" w:sz="4" w:space="0"/>
            </w:tcBorders>
            <w:vAlign w:val="center"/>
          </w:tcPr>
          <w:p w14:paraId="2563F372">
            <w:pPr>
              <w:widowControl/>
              <w:jc w:val="center"/>
              <w:textAlignment w:val="center"/>
              <w:rPr>
                <w:rFonts w:hint="eastAsia" w:ascii="宋体" w:hAnsi="宋体" w:eastAsia="宋体" w:cs="宋体"/>
                <w:color w:val="auto"/>
                <w:szCs w:val="21"/>
                <w:highlight w:val="none"/>
              </w:rPr>
            </w:pPr>
          </w:p>
        </w:tc>
      </w:tr>
      <w:tr w14:paraId="45D0FA7B">
        <w:tblPrEx>
          <w:tblCellMar>
            <w:top w:w="0" w:type="dxa"/>
            <w:left w:w="108" w:type="dxa"/>
            <w:bottom w:w="0" w:type="dxa"/>
            <w:right w:w="108" w:type="dxa"/>
          </w:tblCellMar>
        </w:tblPrEx>
        <w:trPr>
          <w:trHeight w:val="428"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0672F72">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工商银行龙州县支行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395C6C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龙州县龙江街60号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EF74FC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0771-8868619</w:t>
            </w:r>
          </w:p>
        </w:tc>
      </w:tr>
      <w:tr w14:paraId="33ABE30C">
        <w:tblPrEx>
          <w:tblCellMar>
            <w:top w:w="0" w:type="dxa"/>
            <w:left w:w="108" w:type="dxa"/>
            <w:bottom w:w="0" w:type="dxa"/>
            <w:right w:w="108" w:type="dxa"/>
          </w:tblCellMar>
        </w:tblPrEx>
        <w:trPr>
          <w:trHeight w:val="544"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0DAD01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农业银行龙州县支行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D99BD9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龙州县龙州镇康平街26号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036935F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0771-8812504</w:t>
            </w:r>
          </w:p>
        </w:tc>
      </w:tr>
      <w:tr w14:paraId="68F90A02">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C9E678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建行龙州支行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2C8C49B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龙州县龙夏路2号龙州商业广场D栋1号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BD64D5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0771-8820525</w:t>
            </w:r>
          </w:p>
        </w:tc>
      </w:tr>
      <w:tr w14:paraId="6842CC60">
        <w:tblPrEx>
          <w:tblCellMar>
            <w:top w:w="0" w:type="dxa"/>
            <w:left w:w="108" w:type="dxa"/>
            <w:bottom w:w="0" w:type="dxa"/>
            <w:right w:w="108" w:type="dxa"/>
          </w:tblCellMar>
        </w:tblPrEx>
        <w:trPr>
          <w:trHeight w:val="41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827146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龙州农商行公司机构金融部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169BC0A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龙州县龙州镇独山路172号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E7692A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0771-8813013</w:t>
            </w:r>
          </w:p>
        </w:tc>
      </w:tr>
      <w:tr w14:paraId="6A859FE3">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2474E3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桂林银行崇左龙州支行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214F30C">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龙州县龙州镇同顾大道1号同顾·中央公园20栋10号—13号房</w:t>
            </w:r>
          </w:p>
        </w:tc>
        <w:tc>
          <w:tcPr>
            <w:tcW w:w="1004" w:type="pct"/>
            <w:tcBorders>
              <w:top w:val="single" w:color="000000" w:sz="4" w:space="0"/>
              <w:left w:val="single" w:color="000000" w:sz="4" w:space="0"/>
              <w:bottom w:val="single" w:color="000000" w:sz="4" w:space="0"/>
              <w:right w:val="single" w:color="000000" w:sz="4" w:space="0"/>
            </w:tcBorders>
            <w:vAlign w:val="center"/>
          </w:tcPr>
          <w:p w14:paraId="1E0F5F1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0771-8871021</w:t>
            </w:r>
          </w:p>
        </w:tc>
      </w:tr>
      <w:tr w14:paraId="5A218267">
        <w:tblPrEx>
          <w:tblCellMar>
            <w:top w:w="0" w:type="dxa"/>
            <w:left w:w="108" w:type="dxa"/>
            <w:bottom w:w="0" w:type="dxa"/>
            <w:right w:w="108" w:type="dxa"/>
          </w:tblCellMar>
        </w:tblPrEx>
        <w:trPr>
          <w:trHeight w:val="33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6EB9FE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广西北部湾银行龙州支行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609740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崇左市龙州县龙州镇龙夏路1号、3号、5号（南湖商务酒店）一楼铺面</w:t>
            </w:r>
          </w:p>
        </w:tc>
        <w:tc>
          <w:tcPr>
            <w:tcW w:w="1004" w:type="pct"/>
            <w:tcBorders>
              <w:top w:val="single" w:color="000000" w:sz="4" w:space="0"/>
              <w:left w:val="single" w:color="000000" w:sz="4" w:space="0"/>
              <w:bottom w:val="single" w:color="000000" w:sz="4" w:space="0"/>
              <w:right w:val="single" w:color="000000" w:sz="4" w:space="0"/>
            </w:tcBorders>
            <w:vAlign w:val="center"/>
          </w:tcPr>
          <w:p w14:paraId="4549115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0771-8811533</w:t>
            </w:r>
          </w:p>
        </w:tc>
      </w:tr>
      <w:tr w14:paraId="18293AF3">
        <w:tblPrEx>
          <w:tblCellMar>
            <w:top w:w="0" w:type="dxa"/>
            <w:left w:w="108" w:type="dxa"/>
            <w:bottom w:w="0" w:type="dxa"/>
            <w:right w:w="108" w:type="dxa"/>
          </w:tblCellMar>
        </w:tblPrEx>
        <w:trPr>
          <w:trHeight w:val="48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5522A86A">
            <w:pPr>
              <w:widowControl/>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天等县</w:t>
            </w:r>
          </w:p>
        </w:tc>
        <w:tc>
          <w:tcPr>
            <w:tcW w:w="2388" w:type="pct"/>
            <w:tcBorders>
              <w:top w:val="single" w:color="000000" w:sz="4" w:space="0"/>
              <w:left w:val="single" w:color="000000" w:sz="4" w:space="0"/>
              <w:bottom w:val="single" w:color="000000" w:sz="4" w:space="0"/>
              <w:right w:val="single" w:color="000000" w:sz="4" w:space="0"/>
            </w:tcBorders>
            <w:vAlign w:val="center"/>
          </w:tcPr>
          <w:p w14:paraId="262889CA">
            <w:pPr>
              <w:widowControl/>
              <w:jc w:val="left"/>
              <w:textAlignment w:val="center"/>
              <w:rPr>
                <w:rFonts w:hint="eastAsia" w:ascii="宋体" w:hAnsi="宋体" w:eastAsia="宋体" w:cs="宋体"/>
                <w:color w:val="auto"/>
                <w:szCs w:val="21"/>
                <w:highlight w:val="none"/>
              </w:rPr>
            </w:pPr>
          </w:p>
        </w:tc>
        <w:tc>
          <w:tcPr>
            <w:tcW w:w="1004" w:type="pct"/>
            <w:tcBorders>
              <w:top w:val="single" w:color="000000" w:sz="4" w:space="0"/>
              <w:left w:val="single" w:color="000000" w:sz="4" w:space="0"/>
              <w:bottom w:val="single" w:color="000000" w:sz="4" w:space="0"/>
              <w:right w:val="single" w:color="000000" w:sz="4" w:space="0"/>
            </w:tcBorders>
            <w:vAlign w:val="center"/>
          </w:tcPr>
          <w:p w14:paraId="3AC43A5B">
            <w:pPr>
              <w:widowControl/>
              <w:jc w:val="center"/>
              <w:textAlignment w:val="center"/>
              <w:rPr>
                <w:rFonts w:hint="eastAsia" w:ascii="宋体" w:hAnsi="宋体" w:eastAsia="宋体" w:cs="宋体"/>
                <w:color w:val="auto"/>
                <w:szCs w:val="21"/>
                <w:highlight w:val="none"/>
              </w:rPr>
            </w:pPr>
          </w:p>
        </w:tc>
      </w:tr>
      <w:tr w14:paraId="6C20134E">
        <w:tblPrEx>
          <w:tblCellMar>
            <w:top w:w="0" w:type="dxa"/>
            <w:left w:w="108" w:type="dxa"/>
            <w:bottom w:w="0" w:type="dxa"/>
            <w:right w:w="108" w:type="dxa"/>
          </w:tblCellMar>
        </w:tblPrEx>
        <w:trPr>
          <w:trHeight w:val="27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DC0992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工商银行天等县支行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BCF86C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天等县天等镇朝阳东路054号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0D26E99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0771-3532211</w:t>
            </w:r>
          </w:p>
        </w:tc>
      </w:tr>
      <w:tr w14:paraId="5F8D843F">
        <w:tblPrEx>
          <w:tblCellMar>
            <w:top w:w="0" w:type="dxa"/>
            <w:left w:w="108" w:type="dxa"/>
            <w:bottom w:w="0" w:type="dxa"/>
            <w:right w:w="108" w:type="dxa"/>
          </w:tblCellMar>
        </w:tblPrEx>
        <w:trPr>
          <w:trHeight w:val="39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0C08B9D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农业银行天等县支行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073EA5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天等县天等镇天宝北路007号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5A8EC51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0771-7917046</w:t>
            </w:r>
          </w:p>
        </w:tc>
      </w:tr>
      <w:tr w14:paraId="4B90290C">
        <w:tblPrEx>
          <w:tblCellMar>
            <w:top w:w="0" w:type="dxa"/>
            <w:left w:w="108" w:type="dxa"/>
            <w:bottom w:w="0" w:type="dxa"/>
            <w:right w:w="108" w:type="dxa"/>
          </w:tblCellMar>
        </w:tblPrEx>
        <w:trPr>
          <w:trHeight w:val="39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43A0B6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天等农商行公司机构金融部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1737EFF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天等县天等镇仕民路48号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CF1529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0771-3521361</w:t>
            </w:r>
          </w:p>
        </w:tc>
      </w:tr>
      <w:tr w14:paraId="751FB964">
        <w:tblPrEx>
          <w:tblCellMar>
            <w:top w:w="0" w:type="dxa"/>
            <w:left w:w="108" w:type="dxa"/>
            <w:bottom w:w="0" w:type="dxa"/>
            <w:right w:w="108" w:type="dxa"/>
          </w:tblCellMar>
        </w:tblPrEx>
        <w:trPr>
          <w:trHeight w:val="39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0D462B6">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桂林银行崇左天等支行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281887C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广西崇左市天等县天等镇天宝北路天府中央城5号楼115号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760A05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0771-3522157</w:t>
            </w:r>
          </w:p>
        </w:tc>
      </w:tr>
      <w:tr w14:paraId="753F2D0C">
        <w:tblPrEx>
          <w:tblCellMar>
            <w:top w:w="0" w:type="dxa"/>
            <w:left w:w="108" w:type="dxa"/>
            <w:bottom w:w="0" w:type="dxa"/>
            <w:right w:w="108" w:type="dxa"/>
          </w:tblCellMar>
        </w:tblPrEx>
        <w:trPr>
          <w:trHeight w:val="39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8C7145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广西北部湾银行天等支行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2320B33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崇左市天等县天宝南路002号天富商业广场28栋一层商铺6-17号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176123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0771-3528688</w:t>
            </w:r>
          </w:p>
        </w:tc>
      </w:tr>
      <w:tr w14:paraId="1C878FC1">
        <w:tblPrEx>
          <w:tblCellMar>
            <w:top w:w="0" w:type="dxa"/>
            <w:left w:w="108" w:type="dxa"/>
            <w:bottom w:w="0" w:type="dxa"/>
            <w:right w:w="108" w:type="dxa"/>
          </w:tblCellMar>
        </w:tblPrEx>
        <w:trPr>
          <w:trHeight w:val="335"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5B7D6F3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凭祥市</w:t>
            </w:r>
          </w:p>
        </w:tc>
      </w:tr>
      <w:tr w14:paraId="3D1B78C5">
        <w:tblPrEx>
          <w:tblCellMar>
            <w:top w:w="0" w:type="dxa"/>
            <w:left w:w="108" w:type="dxa"/>
            <w:bottom w:w="0" w:type="dxa"/>
            <w:right w:w="108" w:type="dxa"/>
          </w:tblCellMar>
        </w:tblPrEx>
        <w:trPr>
          <w:trHeight w:val="440"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3F1CB0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工商银行凭祥分行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C7CCE3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凭祥市新华路5号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3AA8BD5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0771-8529259</w:t>
            </w:r>
          </w:p>
        </w:tc>
      </w:tr>
      <w:tr w14:paraId="17523D56">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120FA084">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农业银行凭祥支行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3BDF7AA7">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凭祥市北大路216号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4EA5986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0771-7917258</w:t>
            </w:r>
          </w:p>
        </w:tc>
      </w:tr>
      <w:tr w14:paraId="4E3EAEEB">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6D204562">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557E714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凭祥市屏山路138号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046B0D7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0771-8525068 0771-8536852</w:t>
            </w:r>
          </w:p>
        </w:tc>
      </w:tr>
      <w:tr w14:paraId="0156B3A0">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7C7268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建行凭祥中区支行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56FE5E7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凭祥市金象大道香格里拉3幢3-01至3-03号商铺</w:t>
            </w:r>
          </w:p>
        </w:tc>
        <w:tc>
          <w:tcPr>
            <w:tcW w:w="1004" w:type="pct"/>
            <w:tcBorders>
              <w:top w:val="single" w:color="000000" w:sz="4" w:space="0"/>
              <w:left w:val="single" w:color="000000" w:sz="4" w:space="0"/>
              <w:bottom w:val="single" w:color="000000" w:sz="4" w:space="0"/>
              <w:right w:val="single" w:color="000000" w:sz="4" w:space="0"/>
            </w:tcBorders>
            <w:vAlign w:val="center"/>
          </w:tcPr>
          <w:p w14:paraId="5AA3FE5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0771-8551161</w:t>
            </w:r>
          </w:p>
        </w:tc>
      </w:tr>
      <w:tr w14:paraId="69DC19F2">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71EDEC1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建行凭祥浦寨支行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C6917B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凭祥市浦寨商业城万泰一楼8-9号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656AD61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0771-8561665</w:t>
            </w:r>
          </w:p>
        </w:tc>
      </w:tr>
      <w:tr w14:paraId="0756CD27">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382F9C7C">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中国银行凭祥支行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7F1F173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凭祥市-北环路112号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19BBA9F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0771-8520356</w:t>
            </w:r>
          </w:p>
        </w:tc>
      </w:tr>
      <w:tr w14:paraId="6D237014">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F9AA6C0">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凭祥农商行业务拓展部</w:t>
            </w:r>
          </w:p>
        </w:tc>
        <w:tc>
          <w:tcPr>
            <w:tcW w:w="2388" w:type="pct"/>
            <w:tcBorders>
              <w:top w:val="single" w:color="000000" w:sz="4" w:space="0"/>
              <w:left w:val="single" w:color="000000" w:sz="4" w:space="0"/>
              <w:bottom w:val="single" w:color="000000" w:sz="4" w:space="0"/>
              <w:right w:val="single" w:color="000000" w:sz="4" w:space="0"/>
            </w:tcBorders>
            <w:vAlign w:val="center"/>
          </w:tcPr>
          <w:p w14:paraId="39F51E4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凭祥市友谊关大道13号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670FD5D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0771-8535667</w:t>
            </w:r>
          </w:p>
        </w:tc>
      </w:tr>
      <w:tr w14:paraId="488A7852">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2ABF956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桂林银行广西自贸试验区崇左片区凭祥支行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1E814E5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凭祥市北大路一支40号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0423E7B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0771-8520550</w:t>
            </w:r>
          </w:p>
        </w:tc>
      </w:tr>
      <w:tr w14:paraId="45AEF0B6">
        <w:tblPrEx>
          <w:tblCellMar>
            <w:top w:w="0" w:type="dxa"/>
            <w:left w:w="108" w:type="dxa"/>
            <w:bottom w:w="0" w:type="dxa"/>
            <w:right w:w="108" w:type="dxa"/>
          </w:tblCellMar>
        </w:tblPrEx>
        <w:trPr>
          <w:trHeight w:val="215" w:hRule="atLeast"/>
        </w:trPr>
        <w:tc>
          <w:tcPr>
            <w:tcW w:w="1606" w:type="pct"/>
            <w:tcBorders>
              <w:top w:val="single" w:color="000000" w:sz="4" w:space="0"/>
              <w:left w:val="single" w:color="000000" w:sz="4" w:space="0"/>
              <w:bottom w:val="single" w:color="000000" w:sz="4" w:space="0"/>
              <w:right w:val="single" w:color="000000" w:sz="4" w:space="0"/>
            </w:tcBorders>
            <w:vAlign w:val="center"/>
          </w:tcPr>
          <w:p w14:paraId="4F9ABCB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广西北部湾银行广西自贸试验区崇左片区凭祥支行</w:t>
            </w:r>
          </w:p>
        </w:tc>
        <w:tc>
          <w:tcPr>
            <w:tcW w:w="2388" w:type="pct"/>
            <w:tcBorders>
              <w:top w:val="single" w:color="000000" w:sz="4" w:space="0"/>
              <w:left w:val="single" w:color="000000" w:sz="4" w:space="0"/>
              <w:bottom w:val="single" w:color="000000" w:sz="4" w:space="0"/>
              <w:right w:val="single" w:color="000000" w:sz="4" w:space="0"/>
            </w:tcBorders>
            <w:vAlign w:val="center"/>
          </w:tcPr>
          <w:p w14:paraId="07AA904A">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凭祥市北大路一支60-1号</w:t>
            </w:r>
          </w:p>
        </w:tc>
        <w:tc>
          <w:tcPr>
            <w:tcW w:w="1004" w:type="pct"/>
            <w:tcBorders>
              <w:top w:val="single" w:color="000000" w:sz="4" w:space="0"/>
              <w:left w:val="single" w:color="000000" w:sz="4" w:space="0"/>
              <w:bottom w:val="single" w:color="000000" w:sz="4" w:space="0"/>
              <w:right w:val="single" w:color="000000" w:sz="4" w:space="0"/>
            </w:tcBorders>
            <w:vAlign w:val="center"/>
          </w:tcPr>
          <w:p w14:paraId="7A05B62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0771-8556667</w:t>
            </w:r>
          </w:p>
        </w:tc>
      </w:tr>
    </w:tbl>
    <w:p w14:paraId="6CBB656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2CACE1B">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bookmarkStart w:id="35" w:name="_Toc13883"/>
      <w:r>
        <w:rPr>
          <w:rFonts w:hint="eastAsia" w:ascii="宋体" w:hAnsi="宋体" w:eastAsia="宋体" w:cs="宋体"/>
          <w:color w:val="auto"/>
          <w:sz w:val="32"/>
          <w:szCs w:val="32"/>
          <w:highlight w:val="none"/>
        </w:rPr>
        <w:t>第三章  采购需求</w:t>
      </w:r>
      <w:bookmarkEnd w:id="35"/>
    </w:p>
    <w:tbl>
      <w:tblPr>
        <w:tblStyle w:val="21"/>
        <w:tblW w:w="97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605"/>
        <w:gridCol w:w="744"/>
        <w:gridCol w:w="804"/>
        <w:gridCol w:w="5906"/>
      </w:tblGrid>
      <w:tr w14:paraId="298FB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noWrap w:val="0"/>
            <w:vAlign w:val="center"/>
          </w:tcPr>
          <w:p w14:paraId="182ABF2D">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05" w:type="dxa"/>
            <w:noWrap w:val="0"/>
            <w:vAlign w:val="center"/>
          </w:tcPr>
          <w:p w14:paraId="72B8FB2E">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744" w:type="dxa"/>
            <w:noWrap w:val="0"/>
            <w:vAlign w:val="center"/>
          </w:tcPr>
          <w:p w14:paraId="21B2D8EF">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804" w:type="dxa"/>
            <w:noWrap w:val="0"/>
            <w:vAlign w:val="center"/>
          </w:tcPr>
          <w:p w14:paraId="2404197E">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所属</w:t>
            </w:r>
          </w:p>
          <w:p w14:paraId="3D89BDBB">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行业</w:t>
            </w:r>
          </w:p>
        </w:tc>
        <w:tc>
          <w:tcPr>
            <w:tcW w:w="5906" w:type="dxa"/>
            <w:noWrap w:val="0"/>
            <w:vAlign w:val="center"/>
          </w:tcPr>
          <w:p w14:paraId="140DB1E6">
            <w:pPr>
              <w:tabs>
                <w:tab w:val="left" w:pos="180"/>
                <w:tab w:val="left" w:pos="1620"/>
              </w:tabs>
              <w:spacing w:line="320" w:lineRule="exact"/>
              <w:jc w:val="center"/>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Cs w:val="21"/>
                <w:highlight w:val="none"/>
              </w:rPr>
              <w:t>技术要求</w:t>
            </w:r>
          </w:p>
        </w:tc>
      </w:tr>
      <w:tr w14:paraId="7E1A2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655" w:type="dxa"/>
            <w:noWrap w:val="0"/>
            <w:vAlign w:val="center"/>
          </w:tcPr>
          <w:p w14:paraId="4ACD78EB">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05" w:type="dxa"/>
            <w:noWrap w:val="0"/>
            <w:vAlign w:val="center"/>
          </w:tcPr>
          <w:p w14:paraId="2651224B">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天等县杨湾至龙茗公路(K75-K85.556)生命安全防护工程</w:t>
            </w:r>
          </w:p>
        </w:tc>
        <w:tc>
          <w:tcPr>
            <w:tcW w:w="744" w:type="dxa"/>
            <w:noWrap w:val="0"/>
            <w:vAlign w:val="center"/>
          </w:tcPr>
          <w:p w14:paraId="06C7BF3D">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1项</w:t>
            </w:r>
          </w:p>
        </w:tc>
        <w:tc>
          <w:tcPr>
            <w:tcW w:w="804" w:type="dxa"/>
            <w:noWrap w:val="0"/>
            <w:vAlign w:val="center"/>
          </w:tcPr>
          <w:p w14:paraId="7C179FDD">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c>
          <w:tcPr>
            <w:tcW w:w="5906" w:type="dxa"/>
            <w:noWrap w:val="0"/>
            <w:vAlign w:val="center"/>
          </w:tcPr>
          <w:p w14:paraId="61B6BB39">
            <w:pPr>
              <w:widowControl/>
              <w:spacing w:line="276"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一、项目概况</w:t>
            </w:r>
          </w:p>
          <w:p w14:paraId="37BA0243">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项目内容</w:t>
            </w:r>
            <w:r>
              <w:rPr>
                <w:rFonts w:hint="eastAsia" w:ascii="宋体" w:hAnsi="宋体" w:eastAsia="宋体" w:cs="宋体"/>
                <w:color w:val="auto"/>
                <w:highlight w:val="none"/>
              </w:rPr>
              <w:t>：</w:t>
            </w:r>
            <w:r>
              <w:rPr>
                <w:rFonts w:hint="eastAsia" w:ascii="宋体" w:hAnsi="宋体" w:cs="宋体"/>
                <w:color w:val="auto"/>
                <w:highlight w:val="none"/>
                <w:lang w:eastAsia="zh-CN"/>
              </w:rPr>
              <w:t>路面提升及道路安防设施</w:t>
            </w:r>
            <w:r>
              <w:rPr>
                <w:rFonts w:hint="eastAsia" w:ascii="宋体" w:hAnsi="宋体" w:eastAsia="宋体" w:cs="宋体"/>
                <w:color w:val="auto"/>
                <w:highlight w:val="none"/>
              </w:rPr>
              <w:t>。</w:t>
            </w:r>
          </w:p>
          <w:p w14:paraId="5345894E">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工程地点：</w:t>
            </w:r>
            <w:r>
              <w:rPr>
                <w:rFonts w:hint="eastAsia" w:ascii="宋体" w:hAnsi="宋体" w:eastAsia="宋体" w:cs="宋体"/>
                <w:color w:val="auto"/>
                <w:highlight w:val="none"/>
                <w:lang w:eastAsia="zh-CN"/>
              </w:rPr>
              <w:t>天等县。</w:t>
            </w:r>
          </w:p>
          <w:p w14:paraId="2C646C47">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、合同履行期限（工期要求）：</w:t>
            </w:r>
            <w:r>
              <w:rPr>
                <w:rFonts w:hint="eastAsia" w:ascii="宋体" w:hAnsi="宋体" w:eastAsia="宋体" w:cs="宋体"/>
                <w:color w:val="auto"/>
                <w:highlight w:val="none"/>
                <w:lang w:val="en-US" w:eastAsia="zh-CN"/>
              </w:rPr>
              <w:t>365</w:t>
            </w:r>
            <w:r>
              <w:rPr>
                <w:rFonts w:hint="eastAsia" w:ascii="宋体" w:hAnsi="宋体" w:eastAsia="宋体" w:cs="宋体"/>
                <w:color w:val="auto"/>
                <w:highlight w:val="none"/>
                <w:lang w:eastAsia="zh-CN"/>
              </w:rPr>
              <w:t>日历</w:t>
            </w:r>
            <w:r>
              <w:rPr>
                <w:rFonts w:hint="eastAsia" w:ascii="宋体" w:hAnsi="宋体" w:eastAsia="宋体" w:cs="宋体"/>
                <w:color w:val="auto"/>
                <w:highlight w:val="none"/>
                <w:lang w:eastAsia="zh-CN"/>
              </w:rPr>
              <w:t>天</w:t>
            </w:r>
            <w:r>
              <w:rPr>
                <w:rFonts w:hint="eastAsia" w:ascii="宋体" w:hAnsi="宋体" w:eastAsia="宋体" w:cs="宋体"/>
                <w:color w:val="auto"/>
                <w:highlight w:val="none"/>
              </w:rPr>
              <w:t>。</w:t>
            </w:r>
          </w:p>
          <w:p w14:paraId="3FFC6710">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、质量标准：工程质量符合国家现行《新版建筑工程施工质量验收规范汇编》合格标准。</w:t>
            </w:r>
          </w:p>
          <w:p w14:paraId="75B95E55">
            <w:pPr>
              <w:widowControl/>
              <w:spacing w:line="276" w:lineRule="auto"/>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二</w:t>
            </w:r>
            <w:r>
              <w:rPr>
                <w:rFonts w:hint="eastAsia" w:ascii="宋体" w:hAnsi="宋体" w:eastAsia="宋体" w:cs="宋体"/>
                <w:b/>
                <w:bCs/>
                <w:color w:val="auto"/>
                <w:highlight w:val="none"/>
              </w:rPr>
              <w:t>、施工范围</w:t>
            </w:r>
          </w:p>
          <w:p w14:paraId="541260A7">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具体内容详见</w:t>
            </w:r>
            <w:r>
              <w:rPr>
                <w:rFonts w:hint="eastAsia" w:ascii="宋体" w:hAnsi="宋体" w:eastAsia="宋体" w:cs="宋体"/>
                <w:color w:val="auto"/>
                <w:highlight w:val="none"/>
                <w:lang w:eastAsia="zh-CN"/>
              </w:rPr>
              <w:t>工程量清单和图纸包含的内容</w:t>
            </w:r>
            <w:r>
              <w:rPr>
                <w:rFonts w:hint="eastAsia" w:ascii="宋体" w:hAnsi="宋体" w:eastAsia="宋体" w:cs="宋体"/>
                <w:color w:val="auto"/>
                <w:highlight w:val="none"/>
              </w:rPr>
              <w:t>。</w:t>
            </w:r>
          </w:p>
          <w:p w14:paraId="37C272B8">
            <w:pPr>
              <w:keepNext w:val="0"/>
              <w:keepLines w:val="0"/>
              <w:pageBreakBefore w:val="0"/>
              <w:widowControl w:val="0"/>
              <w:kinsoku/>
              <w:wordWrap/>
              <w:overflowPunct/>
              <w:topLinePunct w:val="0"/>
              <w:autoSpaceDE/>
              <w:autoSpaceDN/>
              <w:bidi w:val="0"/>
              <w:adjustRightInd/>
              <w:snapToGrid/>
              <w:spacing w:line="420" w:lineRule="exact"/>
              <w:jc w:val="left"/>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highlight w:val="none"/>
              </w:rPr>
              <w:t>三</w:t>
            </w:r>
            <w:r>
              <w:rPr>
                <w:rFonts w:hint="eastAsia" w:ascii="宋体" w:hAnsi="宋体" w:eastAsia="宋体" w:cs="宋体"/>
                <w:b/>
                <w:bCs/>
                <w:color w:val="auto"/>
                <w:sz w:val="21"/>
                <w:szCs w:val="21"/>
                <w:highlight w:val="none"/>
                <w:lang w:val="en-US" w:eastAsia="zh-CN"/>
              </w:rPr>
              <w:t>、服务要求：</w:t>
            </w:r>
          </w:p>
          <w:p w14:paraId="5CC6FB1E">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1、成交人应提供有固定为本项目服务的专业施工团队及机械设施。</w:t>
            </w:r>
          </w:p>
          <w:p w14:paraId="68599BDB">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2、成交人须确保自身人员、第三方人员、设备、周边建筑物等所有与项目相关的安全，为施工人员配备安全帽等安全器械，项目实施过程中出现的安全事故一律由成交人负责，承担一切法律责任和赔偿责任。</w:t>
            </w:r>
          </w:p>
          <w:p w14:paraId="7039DF1F">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成交人应建立完善作业班组，制定岗位职责以及各岗位规范、操作规程、管理制度（包括节假日值班制度、防汛防台期间的值班制度和应急工作制度）。进场前，岗位规范、操作规程、管理制度须报采购人审批备案。采购人与成交人派驻服务人员不发生任何劳动和雇佣关系，派驻服务人员由成交人自行管理。成交人应重视劳动关系，建立完善的管理措施及风险预案，避免项目实施过程中发生劳资纠纷，成交人须承担由此产生的一切经济及法律责任。</w:t>
            </w:r>
          </w:p>
          <w:p w14:paraId="0BDEC2F2">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4、成交人施工如损坏相关管线、邻近建筑物、构筑物，所发生的费用由成交人承担。如因成交人的施工损害行为，导致采购人承担连带责任的，成交人按采购人的责任数额赔偿给采购人。</w:t>
            </w:r>
          </w:p>
          <w:p w14:paraId="31A15FD4">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项目委派后，成交人自行决定是否踏勘现场，自行承担费用及风险。采购人不组织踏勘现场。成交人应对自己踏勘现场获得的资料的解释、推论和应用负责，采购人不对成交人据此作出的判断和决策承担任何责任。</w:t>
            </w:r>
          </w:p>
          <w:p w14:paraId="771B95AE">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、安全施工的要求</w:t>
            </w:r>
            <w:r>
              <w:rPr>
                <w:rFonts w:hint="eastAsia" w:ascii="宋体" w:hAnsi="宋体" w:eastAsia="宋体" w:cs="宋体"/>
                <w:b/>
                <w:bCs/>
                <w:color w:val="auto"/>
                <w:sz w:val="21"/>
                <w:szCs w:val="21"/>
                <w:highlight w:val="none"/>
                <w:lang w:eastAsia="zh-CN"/>
              </w:rPr>
              <w:t>：</w:t>
            </w:r>
          </w:p>
          <w:p w14:paraId="14E7555E">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执行《广西壮族自治区建筑工程安全文明施工费使用管理细则》的有关规定，供应商应确保施工工程各项安全防护、文明施工措施落实到位。</w:t>
            </w:r>
          </w:p>
          <w:p w14:paraId="6BBDE095">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、文明施工的要求</w:t>
            </w:r>
            <w:r>
              <w:rPr>
                <w:rFonts w:hint="eastAsia" w:ascii="宋体" w:hAnsi="宋体" w:eastAsia="宋体" w:cs="宋体"/>
                <w:b/>
                <w:bCs/>
                <w:color w:val="auto"/>
                <w:sz w:val="21"/>
                <w:szCs w:val="21"/>
                <w:highlight w:val="none"/>
                <w:lang w:eastAsia="zh-CN"/>
              </w:rPr>
              <w:t>：</w:t>
            </w:r>
          </w:p>
          <w:p w14:paraId="34E73CDC">
            <w:pPr>
              <w:widowControl/>
              <w:tabs>
                <w:tab w:val="left" w:pos="540"/>
              </w:tabs>
              <w:spacing w:line="400" w:lineRule="exact"/>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按照国家有关安全生产、环境保护、消防等方面的法律、行政法规、标准等规定。</w:t>
            </w:r>
          </w:p>
          <w:p w14:paraId="2A27E076">
            <w:pPr>
              <w:widowControl/>
              <w:spacing w:line="276" w:lineRule="auto"/>
              <w:rPr>
                <w:rFonts w:hint="eastAsia" w:ascii="宋体" w:hAnsi="宋体" w:eastAsia="宋体" w:cs="宋体"/>
                <w:b/>
                <w:bCs/>
                <w:color w:val="auto"/>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highlight w:val="none"/>
              </w:rPr>
              <w:t>、</w:t>
            </w:r>
            <w:bookmarkStart w:id="36" w:name="_Toc10937"/>
            <w:r>
              <w:rPr>
                <w:rFonts w:hint="eastAsia" w:ascii="宋体" w:hAnsi="宋体" w:eastAsia="宋体" w:cs="宋体"/>
                <w:b/>
                <w:bCs/>
                <w:color w:val="auto"/>
                <w:highlight w:val="none"/>
              </w:rPr>
              <w:t>工程建设标准</w:t>
            </w:r>
            <w:bookmarkEnd w:id="36"/>
          </w:p>
          <w:p w14:paraId="541E00D0">
            <w:pPr>
              <w:widowControl/>
              <w:tabs>
                <w:tab w:val="left" w:pos="540"/>
              </w:tabs>
              <w:spacing w:line="4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本工程执行国家现行的有关的工程建设标准、技术规范及强制性标准条文、以及施工图纸载明的其他有关规范标准</w:t>
            </w:r>
            <w:r>
              <w:rPr>
                <w:rFonts w:hint="eastAsia" w:ascii="宋体" w:hAnsi="宋体" w:eastAsia="宋体" w:cs="宋体"/>
                <w:color w:val="auto"/>
                <w:highlight w:val="none"/>
                <w:lang w:eastAsia="zh-CN"/>
              </w:rPr>
              <w:t>。</w:t>
            </w:r>
          </w:p>
        </w:tc>
      </w:tr>
      <w:tr w14:paraId="4FAB4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noWrap w:val="0"/>
            <w:vAlign w:val="center"/>
          </w:tcPr>
          <w:p w14:paraId="31BB6200">
            <w:pPr>
              <w:widowControl/>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70A7A838">
            <w:pPr>
              <w:widowControl/>
              <w:spacing w:line="276"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商</w:t>
            </w:r>
          </w:p>
          <w:p w14:paraId="379BA52B">
            <w:pPr>
              <w:widowControl/>
              <w:spacing w:line="276"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务</w:t>
            </w:r>
          </w:p>
          <w:p w14:paraId="7991A3EF">
            <w:pPr>
              <w:tabs>
                <w:tab w:val="left" w:pos="180"/>
                <w:tab w:val="left" w:pos="1620"/>
              </w:tabs>
              <w:spacing w:line="360" w:lineRule="auto"/>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eastAsia="zh-CN"/>
              </w:rPr>
              <w:t>条</w:t>
            </w:r>
          </w:p>
          <w:p w14:paraId="663AC270">
            <w:pPr>
              <w:tabs>
                <w:tab w:val="left" w:pos="180"/>
                <w:tab w:val="left" w:pos="1620"/>
              </w:tabs>
              <w:spacing w:line="360" w:lineRule="auto"/>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eastAsia="zh-CN"/>
              </w:rPr>
              <w:t>款</w:t>
            </w:r>
          </w:p>
        </w:tc>
        <w:tc>
          <w:tcPr>
            <w:tcW w:w="9059" w:type="dxa"/>
            <w:gridSpan w:val="4"/>
            <w:noWrap w:val="0"/>
            <w:vAlign w:val="center"/>
          </w:tcPr>
          <w:p w14:paraId="07ECD73F">
            <w:pPr>
              <w:widowControl/>
              <w:tabs>
                <w:tab w:val="left" w:pos="540"/>
              </w:tabs>
              <w:spacing w:line="400" w:lineRule="exact"/>
              <w:ind w:firstLine="422" w:firstLineChars="200"/>
              <w:jc w:val="left"/>
              <w:rPr>
                <w:rFonts w:hint="eastAsia" w:ascii="宋体" w:hAnsi="宋体" w:eastAsia="宋体" w:cs="宋体"/>
                <w:color w:val="auto"/>
                <w:highlight w:val="none"/>
              </w:rPr>
            </w:pPr>
            <w:r>
              <w:rPr>
                <w:rFonts w:hint="eastAsia" w:ascii="宋体" w:hAnsi="宋体" w:eastAsia="宋体" w:cs="宋体"/>
                <w:b/>
                <w:bCs/>
                <w:color w:val="auto"/>
                <w:highlight w:val="none"/>
              </w:rPr>
              <w:t>一、价格合同：</w:t>
            </w:r>
            <w:r>
              <w:rPr>
                <w:rFonts w:hint="eastAsia" w:ascii="宋体" w:hAnsi="宋体" w:eastAsia="宋体" w:cs="宋体"/>
                <w:color w:val="auto"/>
                <w:highlight w:val="none"/>
              </w:rPr>
              <w:t>本项目为交钥匙工程、报价包含所发生的所有费用，固定总价承包，包工包料。</w:t>
            </w:r>
          </w:p>
          <w:p w14:paraId="4BA67371">
            <w:pPr>
              <w:widowControl/>
              <w:tabs>
                <w:tab w:val="left" w:pos="540"/>
              </w:tabs>
              <w:spacing w:line="400" w:lineRule="exact"/>
              <w:ind w:firstLine="422" w:firstLineChars="200"/>
              <w:jc w:val="left"/>
              <w:rPr>
                <w:rFonts w:hint="eastAsia" w:ascii="宋体" w:hAnsi="宋体" w:eastAsia="宋体" w:cs="宋体"/>
                <w:color w:val="auto"/>
                <w:highlight w:val="none"/>
              </w:rPr>
            </w:pPr>
            <w:r>
              <w:rPr>
                <w:rFonts w:hint="eastAsia" w:ascii="宋体" w:hAnsi="宋体" w:eastAsia="宋体" w:cs="宋体"/>
                <w:b/>
                <w:bCs/>
                <w:color w:val="auto"/>
                <w:highlight w:val="none"/>
              </w:rPr>
              <w:t>二、缺陷责任期：</w:t>
            </w:r>
            <w:r>
              <w:rPr>
                <w:rFonts w:hint="eastAsia" w:ascii="宋体" w:hAnsi="宋体" w:eastAsia="宋体" w:cs="宋体"/>
                <w:b w:val="0"/>
                <w:bCs w:val="0"/>
                <w:color w:val="auto"/>
                <w:highlight w:val="none"/>
              </w:rPr>
              <w:t>自实际交工</w:t>
            </w:r>
            <w:r>
              <w:rPr>
                <w:rFonts w:hint="eastAsia" w:ascii="宋体" w:hAnsi="宋体" w:eastAsia="宋体" w:cs="宋体"/>
                <w:b w:val="0"/>
                <w:bCs w:val="0"/>
                <w:color w:val="auto"/>
                <w:highlight w:val="none"/>
                <w:lang w:val="en-US" w:eastAsia="zh-CN"/>
              </w:rPr>
              <w:t>验收合格</w:t>
            </w:r>
            <w:r>
              <w:rPr>
                <w:rFonts w:hint="eastAsia" w:ascii="宋体" w:hAnsi="宋体" w:eastAsia="宋体" w:cs="宋体"/>
                <w:b w:val="0"/>
                <w:bCs w:val="0"/>
                <w:color w:val="auto"/>
                <w:highlight w:val="none"/>
              </w:rPr>
              <w:t>日期起计算</w:t>
            </w:r>
            <w:r>
              <w:rPr>
                <w:rFonts w:hint="eastAsia" w:ascii="宋体" w:hAnsi="宋体" w:eastAsia="宋体" w:cs="宋体"/>
                <w:b w:val="0"/>
                <w:bCs w:val="0"/>
                <w:color w:val="auto"/>
                <w:highlight w:val="none"/>
                <w:lang w:val="en-US"/>
              </w:rPr>
              <w:t>365日历天</w:t>
            </w:r>
            <w:r>
              <w:rPr>
                <w:rFonts w:hint="eastAsia" w:ascii="宋体" w:hAnsi="宋体" w:eastAsia="宋体" w:cs="宋体"/>
                <w:color w:val="auto"/>
                <w:highlight w:val="none"/>
              </w:rPr>
              <w:t>。</w:t>
            </w:r>
          </w:p>
          <w:p w14:paraId="772BA409">
            <w:pPr>
              <w:widowControl/>
              <w:tabs>
                <w:tab w:val="left" w:pos="540"/>
              </w:tabs>
              <w:spacing w:line="400" w:lineRule="exact"/>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highlight w:val="none"/>
              </w:rPr>
              <w:t>三、验收标准、规范：</w:t>
            </w:r>
            <w:r>
              <w:rPr>
                <w:rFonts w:hint="eastAsia" w:ascii="宋体" w:hAnsi="宋体" w:eastAsia="宋体" w:cs="宋体"/>
                <w:color w:val="auto"/>
                <w:sz w:val="21"/>
                <w:szCs w:val="21"/>
                <w:highlight w:val="none"/>
              </w:rPr>
              <w:t>达到国家有关施工质量验收规范的合格标准。</w:t>
            </w:r>
          </w:p>
          <w:p w14:paraId="2F64DFCE">
            <w:pPr>
              <w:keepNext w:val="0"/>
              <w:keepLines w:val="0"/>
              <w:pageBreakBefore w:val="0"/>
              <w:widowControl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四、项目相关说明：工程中使用的材料，要求全部选购质量符合国家规定的产品，严禁提供和使用不合格的材料或假冒伪劣产品。</w:t>
            </w:r>
          </w:p>
          <w:p w14:paraId="0BADEAF7">
            <w:pPr>
              <w:widowControl/>
              <w:tabs>
                <w:tab w:val="left" w:pos="540"/>
              </w:tabs>
              <w:spacing w:line="400" w:lineRule="exact"/>
              <w:ind w:firstLine="422" w:firstLineChars="200"/>
              <w:jc w:val="left"/>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四</w:t>
            </w:r>
            <w:r>
              <w:rPr>
                <w:rFonts w:hint="eastAsia" w:ascii="宋体" w:hAnsi="宋体" w:eastAsia="宋体" w:cs="宋体"/>
                <w:b/>
                <w:bCs/>
                <w:color w:val="auto"/>
                <w:highlight w:val="none"/>
              </w:rPr>
              <w:t>、竞标报价</w:t>
            </w:r>
          </w:p>
          <w:p w14:paraId="18927692">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1、本项目采用工程量清单报价方式。供应商已标价工程量清单的项目编码、项目名称及项目特征描述、计量单位、工程量须与招标工程量清单一致的，否则</w:t>
            </w:r>
            <w:r>
              <w:rPr>
                <w:rFonts w:hint="eastAsia" w:ascii="宋体" w:hAnsi="宋体" w:eastAsia="宋体" w:cs="宋体"/>
                <w:color w:val="auto"/>
                <w:highlight w:val="none"/>
                <w:lang w:val="en-US" w:eastAsia="zh-CN"/>
              </w:rPr>
              <w:t>磋商响应</w:t>
            </w:r>
            <w:r>
              <w:rPr>
                <w:rFonts w:hint="eastAsia" w:ascii="宋体" w:hAnsi="宋体" w:eastAsia="宋体" w:cs="宋体"/>
                <w:color w:val="auto"/>
                <w:highlight w:val="none"/>
              </w:rPr>
              <w:t>无效；</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报价不得高于最高限价。</w:t>
            </w:r>
          </w:p>
          <w:p w14:paraId="6D36A735">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2、报价必须包含以下部分，包括：</w:t>
            </w:r>
          </w:p>
          <w:p w14:paraId="649528A9">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履行合同的最终价格，为实施和完成合同工程所需的劳务、材料、机械、质检（自检）、安装、缺陷修复、管理、保险、税费、利润等费用，以及合同明示或暗示的所有责任、义务和一般风险。</w:t>
            </w:r>
          </w:p>
          <w:p w14:paraId="65504F05">
            <w:pPr>
              <w:widowControl/>
              <w:tabs>
                <w:tab w:val="left" w:pos="540"/>
              </w:tabs>
              <w:spacing w:line="400" w:lineRule="exact"/>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五、工程款支付金额和时间：</w:t>
            </w:r>
          </w:p>
          <w:p w14:paraId="03EB6488">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工程预付款：自双方签订合同后，发包人在承包人开具</w:t>
            </w:r>
            <w:r>
              <w:rPr>
                <w:rFonts w:hint="eastAsia" w:ascii="宋体" w:hAnsi="宋体" w:eastAsia="宋体" w:cs="宋体"/>
                <w:color w:val="auto"/>
                <w:highlight w:val="none"/>
                <w:lang w:eastAsia="zh-CN"/>
              </w:rPr>
              <w:t>等额</w:t>
            </w:r>
            <w:r>
              <w:rPr>
                <w:rFonts w:hint="eastAsia" w:ascii="宋体" w:hAnsi="宋体" w:eastAsia="宋体" w:cs="宋体"/>
                <w:color w:val="auto"/>
                <w:highlight w:val="none"/>
              </w:rPr>
              <w:t>发票后支付合同价款的30%作为预付款，开工预付款的扣回：开工预付款在进度付款证书的累计金额未达到签约合同价的30%之前不予扣回，在达到签约合同价30%之后，开始按工程进度以固定比例（即在完成30%后每超1%，扣回开工预付款总额的2%）分期从进度付款证书中扣回，全部金额在进度付款证书的累计金额达到签约合同价的80%时扣完，如无期中计量的，则在结算时予以一次性扣回全部开工预付款。</w:t>
            </w:r>
          </w:p>
          <w:p w14:paraId="4A27DACA">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2、工程进度付款和付款时间</w:t>
            </w:r>
            <w:r>
              <w:rPr>
                <w:rFonts w:hint="eastAsia" w:ascii="宋体" w:hAnsi="宋体" w:eastAsia="宋体" w:cs="宋体"/>
                <w:color w:val="auto"/>
                <w:highlight w:val="none"/>
              </w:rPr>
              <w:t>：</w:t>
            </w:r>
          </w:p>
          <w:p w14:paraId="25A9DB59">
            <w:pPr>
              <w:widowControl/>
              <w:tabs>
                <w:tab w:val="left" w:pos="540"/>
              </w:tabs>
              <w:spacing w:line="400" w:lineRule="exact"/>
              <w:ind w:firstLine="420" w:firstLineChars="200"/>
              <w:jc w:val="left"/>
              <w:rPr>
                <w:rFonts w:hint="eastAsia" w:ascii="宋体" w:hAnsi="宋体" w:eastAsia="宋体" w:cs="宋体"/>
                <w:b/>
                <w:bCs/>
                <w:color w:val="auto"/>
                <w:highlight w:val="none"/>
                <w:lang w:eastAsia="zh-CN"/>
              </w:rPr>
            </w:pPr>
            <w:r>
              <w:rPr>
                <w:rFonts w:hint="eastAsia" w:ascii="宋体" w:hAnsi="宋体" w:eastAsia="宋体" w:cs="宋体"/>
                <w:color w:val="auto"/>
                <w:highlight w:val="none"/>
                <w:lang w:val="en-US" w:eastAsia="zh-CN"/>
              </w:rPr>
              <w:t>在项目竣工结算前，合同内工程进度款按经审核认定的已完成工程量的80%计量支付；合同外工程进度款按经审核认定的已完成工程量的70%计量支付；工程完工验收合格，并经相关机构结算审定后支付工程价款结算总额的97%，按审计部门审定的结算造价金额预留3%作为工程质保金后一次性结清工程款（扣除预付款项和进度款项）</w:t>
            </w:r>
            <w:r>
              <w:rPr>
                <w:rFonts w:hint="eastAsia" w:ascii="宋体" w:hAnsi="宋体" w:eastAsia="宋体" w:cs="宋体"/>
                <w:color w:val="auto"/>
                <w:highlight w:val="none"/>
                <w:lang w:eastAsia="zh-CN"/>
              </w:rPr>
              <w:t>。</w:t>
            </w:r>
          </w:p>
          <w:p w14:paraId="2E982A4E">
            <w:pPr>
              <w:widowControl/>
              <w:tabs>
                <w:tab w:val="left" w:pos="540"/>
              </w:tabs>
              <w:spacing w:line="400" w:lineRule="exact"/>
              <w:ind w:firstLine="422" w:firstLineChars="200"/>
              <w:jc w:val="left"/>
              <w:rPr>
                <w:rFonts w:hint="eastAsia" w:ascii="宋体" w:hAnsi="宋体" w:eastAsia="宋体" w:cs="宋体"/>
                <w:b/>
                <w:bCs/>
                <w:color w:val="auto"/>
                <w:highlight w:val="none"/>
              </w:rPr>
            </w:pPr>
            <w:r>
              <w:rPr>
                <w:rFonts w:hint="eastAsia" w:ascii="宋体" w:hAnsi="宋体" w:cs="宋体"/>
                <w:b/>
                <w:bCs/>
                <w:color w:val="auto"/>
                <w:highlight w:val="none"/>
                <w:lang w:val="en-US" w:eastAsia="zh-CN"/>
              </w:rPr>
              <w:t>六</w:t>
            </w:r>
            <w:r>
              <w:rPr>
                <w:rFonts w:hint="eastAsia" w:ascii="宋体" w:hAnsi="宋体" w:eastAsia="宋体" w:cs="宋体"/>
                <w:b/>
                <w:bCs/>
                <w:color w:val="auto"/>
                <w:highlight w:val="none"/>
              </w:rPr>
              <w:t>、实施要求</w:t>
            </w:r>
          </w:p>
          <w:p w14:paraId="1C420BD9">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1、处理问题响应时间：接到采购人处理问题通知后1小时内到达采购人指定现场并按采购人的要求在48小时内处理完毕。否则，成交供应商除承担采购人为处理问题支出的费用外，按照合同</w:t>
            </w:r>
            <w:r>
              <w:rPr>
                <w:rFonts w:hint="eastAsia" w:ascii="宋体" w:hAnsi="宋体" w:eastAsia="宋体" w:cs="宋体"/>
                <w:color w:val="auto"/>
                <w:highlight w:val="none"/>
                <w:lang w:val="en-US" w:eastAsia="zh-CN"/>
              </w:rPr>
              <w:t>约定</w:t>
            </w:r>
            <w:r>
              <w:rPr>
                <w:rFonts w:hint="eastAsia" w:ascii="宋体" w:hAnsi="宋体" w:eastAsia="宋体" w:cs="宋体"/>
                <w:color w:val="auto"/>
                <w:highlight w:val="none"/>
              </w:rPr>
              <w:t>违约的处理。</w:t>
            </w:r>
          </w:p>
          <w:p w14:paraId="1FA7D423">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2、人员、机械等设备必须按时到位。</w:t>
            </w:r>
          </w:p>
          <w:p w14:paraId="3CD4041E">
            <w:pPr>
              <w:widowControl/>
              <w:adjustRightInd w:val="0"/>
              <w:spacing w:line="400" w:lineRule="exact"/>
              <w:ind w:firstLine="422" w:firstLineChars="200"/>
              <w:jc w:val="left"/>
              <w:textAlignment w:val="center"/>
              <w:rPr>
                <w:rFonts w:hint="eastAsia" w:ascii="宋体" w:hAnsi="宋体" w:eastAsia="宋体" w:cs="宋体"/>
                <w:b/>
                <w:bCs/>
                <w:color w:val="auto"/>
                <w:highlight w:val="none"/>
                <w:lang w:eastAsia="zh-CN"/>
              </w:rPr>
            </w:pPr>
            <w:r>
              <w:rPr>
                <w:rFonts w:hint="eastAsia" w:ascii="宋体" w:hAnsi="宋体" w:cs="宋体"/>
                <w:b/>
                <w:bCs/>
                <w:color w:val="auto"/>
                <w:highlight w:val="none"/>
                <w:lang w:val="en-US" w:eastAsia="zh-CN"/>
              </w:rPr>
              <w:t>七</w:t>
            </w:r>
            <w:r>
              <w:rPr>
                <w:rFonts w:hint="eastAsia" w:ascii="宋体" w:hAnsi="宋体" w:eastAsia="宋体" w:cs="宋体"/>
                <w:b/>
                <w:bCs/>
                <w:color w:val="auto"/>
                <w:highlight w:val="none"/>
              </w:rPr>
              <w:t>、验收条件及标准</w:t>
            </w:r>
            <w:r>
              <w:rPr>
                <w:rFonts w:hint="eastAsia" w:ascii="宋体" w:hAnsi="宋体" w:eastAsia="宋体" w:cs="宋体"/>
                <w:b/>
                <w:bCs/>
                <w:color w:val="auto"/>
                <w:highlight w:val="none"/>
                <w:lang w:eastAsia="zh-CN"/>
              </w:rPr>
              <w:t>：</w:t>
            </w:r>
          </w:p>
          <w:p w14:paraId="2404B17B">
            <w:pPr>
              <w:widowControl/>
              <w:tabs>
                <w:tab w:val="left" w:pos="540"/>
              </w:tabs>
              <w:spacing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1、验收的资料：由采购人组织验收，成交人提供符合相关规定的验收资料及并配合验收及结算审计工作。</w:t>
            </w:r>
          </w:p>
          <w:p w14:paraId="42F66CAB">
            <w:pPr>
              <w:widowControl/>
              <w:tabs>
                <w:tab w:val="left" w:pos="540"/>
              </w:tabs>
              <w:spacing w:line="400" w:lineRule="exact"/>
              <w:ind w:firstLine="420" w:firstLineChars="200"/>
              <w:jc w:val="left"/>
              <w:rPr>
                <w:rFonts w:hint="eastAsia" w:ascii="宋体" w:hAnsi="宋体" w:eastAsia="宋体" w:cs="宋体"/>
                <w:b/>
                <w:bCs/>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、验收标准：按国家行业和地方现行标准、规范和规程等执行。</w:t>
            </w:r>
          </w:p>
        </w:tc>
      </w:tr>
    </w:tbl>
    <w:p w14:paraId="299A4A8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E2D6CAE">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bookmarkStart w:id="37" w:name="_Toc5975"/>
      <w:bookmarkStart w:id="38" w:name="_Toc10148"/>
      <w:r>
        <w:rPr>
          <w:rFonts w:hint="eastAsia" w:ascii="宋体" w:hAnsi="宋体" w:eastAsia="宋体" w:cs="宋体"/>
          <w:color w:val="auto"/>
          <w:sz w:val="32"/>
          <w:szCs w:val="32"/>
          <w:highlight w:val="none"/>
        </w:rPr>
        <w:t>第四章  响应文件格式</w:t>
      </w:r>
      <w:bookmarkEnd w:id="37"/>
      <w:bookmarkEnd w:id="38"/>
    </w:p>
    <w:p w14:paraId="633A0A42">
      <w:pPr>
        <w:bidi w:val="0"/>
        <w:jc w:val="center"/>
        <w:rPr>
          <w:rFonts w:hint="eastAsia" w:ascii="宋体" w:hAnsi="宋体" w:eastAsia="宋体" w:cs="宋体"/>
          <w:b/>
          <w:bCs/>
          <w:color w:val="auto"/>
          <w:sz w:val="44"/>
          <w:szCs w:val="44"/>
          <w:highlight w:val="none"/>
          <w:lang w:eastAsia="zh-CN"/>
        </w:rPr>
      </w:pPr>
      <w:bookmarkStart w:id="39" w:name="_Toc31252"/>
    </w:p>
    <w:bookmarkEnd w:id="39"/>
    <w:p w14:paraId="6F00D9D8">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6EAEAABB">
      <w:pPr>
        <w:snapToGrid w:val="0"/>
        <w:spacing w:before="120" w:beforeLines="50" w:after="50"/>
        <w:jc w:val="center"/>
        <w:rPr>
          <w:rFonts w:hint="eastAsia" w:ascii="宋体" w:hAnsi="宋体" w:eastAsia="宋体" w:cs="宋体"/>
          <w:bCs/>
          <w:color w:val="auto"/>
          <w:sz w:val="44"/>
          <w:szCs w:val="44"/>
          <w:highlight w:val="none"/>
        </w:rPr>
      </w:pPr>
    </w:p>
    <w:p w14:paraId="70769900">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资  格  证  明  文  件</w:t>
      </w:r>
    </w:p>
    <w:p w14:paraId="0FC71275">
      <w:pPr>
        <w:snapToGrid w:val="0"/>
        <w:spacing w:before="120" w:beforeLines="50" w:after="50"/>
        <w:rPr>
          <w:rFonts w:hint="eastAsia" w:ascii="宋体" w:hAnsi="宋体" w:eastAsia="宋体" w:cs="宋体"/>
          <w:bCs/>
          <w:color w:val="auto"/>
          <w:sz w:val="24"/>
          <w:szCs w:val="20"/>
          <w:highlight w:val="none"/>
        </w:rPr>
      </w:pPr>
    </w:p>
    <w:p w14:paraId="3D77DF49">
      <w:pPr>
        <w:snapToGrid w:val="0"/>
        <w:spacing w:before="120" w:beforeLines="50" w:after="50"/>
        <w:rPr>
          <w:rFonts w:hint="eastAsia" w:ascii="宋体" w:hAnsi="宋体" w:eastAsia="宋体" w:cs="宋体"/>
          <w:bCs/>
          <w:color w:val="auto"/>
          <w:sz w:val="24"/>
          <w:szCs w:val="20"/>
          <w:highlight w:val="none"/>
        </w:rPr>
      </w:pPr>
    </w:p>
    <w:p w14:paraId="77284B68">
      <w:pPr>
        <w:snapToGrid w:val="0"/>
        <w:spacing w:before="120" w:beforeLines="50" w:after="50"/>
        <w:rPr>
          <w:rFonts w:hint="eastAsia" w:ascii="宋体" w:hAnsi="宋体" w:eastAsia="宋体" w:cs="宋体"/>
          <w:bCs/>
          <w:color w:val="auto"/>
          <w:sz w:val="24"/>
          <w:szCs w:val="20"/>
          <w:highlight w:val="none"/>
        </w:rPr>
      </w:pPr>
    </w:p>
    <w:p w14:paraId="1FAA30F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614A67">
      <w:pPr>
        <w:snapToGrid w:val="0"/>
        <w:spacing w:before="120" w:beforeLines="50" w:after="50"/>
        <w:ind w:firstLine="720" w:firstLineChars="225"/>
        <w:rPr>
          <w:rFonts w:hint="eastAsia" w:ascii="宋体" w:hAnsi="宋体" w:eastAsia="宋体" w:cs="宋体"/>
          <w:bCs/>
          <w:color w:val="auto"/>
          <w:sz w:val="32"/>
          <w:szCs w:val="32"/>
          <w:highlight w:val="none"/>
        </w:rPr>
      </w:pPr>
    </w:p>
    <w:p w14:paraId="03C210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5DB7F9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B2537B2">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518715B0">
      <w:pPr>
        <w:snapToGrid w:val="0"/>
        <w:spacing w:before="120" w:beforeLines="50" w:after="50"/>
        <w:ind w:firstLine="720" w:firstLineChars="225"/>
        <w:rPr>
          <w:rFonts w:hint="eastAsia" w:ascii="宋体" w:hAnsi="宋体" w:eastAsia="宋体" w:cs="宋体"/>
          <w:bCs/>
          <w:color w:val="auto"/>
          <w:sz w:val="32"/>
          <w:szCs w:val="32"/>
          <w:highlight w:val="none"/>
        </w:rPr>
      </w:pPr>
    </w:p>
    <w:p w14:paraId="4C3968E2">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03417FC">
      <w:pPr>
        <w:pStyle w:val="8"/>
        <w:snapToGrid w:val="0"/>
        <w:spacing w:before="50" w:after="50"/>
        <w:ind w:firstLine="720" w:firstLineChars="225"/>
        <w:rPr>
          <w:rFonts w:hint="eastAsia" w:ascii="宋体" w:hAnsi="宋体" w:eastAsia="宋体" w:cs="宋体"/>
          <w:bCs/>
          <w:color w:val="auto"/>
          <w:sz w:val="32"/>
          <w:szCs w:val="32"/>
          <w:highlight w:val="none"/>
        </w:rPr>
      </w:pPr>
    </w:p>
    <w:p w14:paraId="02D63107">
      <w:pPr>
        <w:pStyle w:val="8"/>
        <w:snapToGrid w:val="0"/>
        <w:spacing w:before="50" w:after="50"/>
        <w:ind w:firstLine="720" w:firstLineChars="225"/>
        <w:rPr>
          <w:rFonts w:hint="eastAsia" w:ascii="宋体" w:hAnsi="宋体" w:eastAsia="宋体" w:cs="宋体"/>
          <w:bCs/>
          <w:color w:val="auto"/>
          <w:sz w:val="32"/>
          <w:szCs w:val="32"/>
          <w:highlight w:val="none"/>
        </w:rPr>
      </w:pPr>
    </w:p>
    <w:p w14:paraId="50ACBCAE">
      <w:pPr>
        <w:pStyle w:val="8"/>
        <w:snapToGrid w:val="0"/>
        <w:spacing w:before="50" w:after="50"/>
        <w:ind w:firstLine="1280" w:firstLineChars="400"/>
        <w:rPr>
          <w:rFonts w:hint="eastAsia" w:ascii="宋体" w:hAnsi="宋体" w:eastAsia="宋体" w:cs="宋体"/>
          <w:bCs/>
          <w:color w:val="auto"/>
          <w:sz w:val="32"/>
          <w:szCs w:val="32"/>
          <w:highlight w:val="none"/>
        </w:rPr>
      </w:pPr>
    </w:p>
    <w:p w14:paraId="2C6FC664">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8F5B33A">
      <w:pPr>
        <w:pStyle w:val="25"/>
        <w:spacing w:line="360" w:lineRule="auto"/>
        <w:jc w:val="center"/>
        <w:rPr>
          <w:rFonts w:hint="eastAsia" w:ascii="宋体" w:hAnsi="宋体" w:eastAsia="宋体" w:cs="宋体"/>
          <w:b/>
          <w:color w:val="auto"/>
          <w:sz w:val="28"/>
          <w:szCs w:val="28"/>
          <w:highlight w:val="none"/>
        </w:rPr>
      </w:pPr>
    </w:p>
    <w:p w14:paraId="79E56025">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57729A0">
      <w:pPr>
        <w:pStyle w:val="25"/>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A2C5E72">
      <w:pPr>
        <w:pStyle w:val="25"/>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rPr>
        <w:t>根据竞争性磋商文件规定及供应商提供的材料自行编写目录（部分格式后附）</w:t>
      </w:r>
      <w:r>
        <w:rPr>
          <w:rFonts w:hint="eastAsia" w:ascii="宋体" w:hAnsi="宋体" w:eastAsia="宋体" w:cs="宋体"/>
          <w:color w:val="auto"/>
          <w:szCs w:val="21"/>
          <w:highlight w:val="none"/>
        </w:rPr>
        <w:t>。</w:t>
      </w:r>
    </w:p>
    <w:p w14:paraId="798C8099">
      <w:pPr>
        <w:pStyle w:val="25"/>
        <w:spacing w:line="360" w:lineRule="auto"/>
        <w:rPr>
          <w:rFonts w:hint="eastAsia" w:ascii="宋体" w:hAnsi="宋体" w:eastAsia="宋体" w:cs="宋体"/>
          <w:b/>
          <w:color w:val="auto"/>
          <w:sz w:val="28"/>
          <w:szCs w:val="28"/>
          <w:highlight w:val="none"/>
        </w:rPr>
      </w:pPr>
    </w:p>
    <w:p w14:paraId="1184B7F6">
      <w:pPr>
        <w:pStyle w:val="25"/>
        <w:spacing w:line="360" w:lineRule="auto"/>
        <w:rPr>
          <w:rFonts w:hint="eastAsia" w:ascii="宋体" w:hAnsi="宋体" w:eastAsia="宋体" w:cs="宋体"/>
          <w:b/>
          <w:color w:val="auto"/>
          <w:sz w:val="28"/>
          <w:szCs w:val="28"/>
          <w:highlight w:val="none"/>
        </w:rPr>
      </w:pPr>
    </w:p>
    <w:p w14:paraId="523798D1">
      <w:pPr>
        <w:pStyle w:val="26"/>
        <w:rPr>
          <w:rFonts w:hint="eastAsia" w:ascii="宋体" w:hAnsi="宋体" w:eastAsia="宋体" w:cs="宋体"/>
          <w:b/>
          <w:color w:val="auto"/>
          <w:sz w:val="28"/>
          <w:szCs w:val="28"/>
          <w:highlight w:val="none"/>
        </w:rPr>
      </w:pPr>
    </w:p>
    <w:p w14:paraId="7612838D">
      <w:pPr>
        <w:pStyle w:val="25"/>
        <w:rPr>
          <w:rFonts w:hint="eastAsia" w:ascii="宋体" w:hAnsi="宋体" w:eastAsia="宋体" w:cs="宋体"/>
          <w:b/>
          <w:color w:val="auto"/>
          <w:sz w:val="28"/>
          <w:szCs w:val="28"/>
          <w:highlight w:val="none"/>
        </w:rPr>
      </w:pPr>
    </w:p>
    <w:p w14:paraId="372AA0F8">
      <w:pPr>
        <w:pStyle w:val="26"/>
        <w:rPr>
          <w:rFonts w:hint="eastAsia" w:ascii="宋体" w:hAnsi="宋体" w:eastAsia="宋体" w:cs="宋体"/>
          <w:b/>
          <w:color w:val="auto"/>
          <w:sz w:val="28"/>
          <w:szCs w:val="28"/>
          <w:highlight w:val="none"/>
        </w:rPr>
      </w:pPr>
    </w:p>
    <w:p w14:paraId="564FDDB6">
      <w:pPr>
        <w:pStyle w:val="25"/>
        <w:rPr>
          <w:rFonts w:hint="eastAsia" w:ascii="宋体" w:hAnsi="宋体" w:eastAsia="宋体" w:cs="宋体"/>
          <w:b/>
          <w:color w:val="auto"/>
          <w:sz w:val="28"/>
          <w:szCs w:val="28"/>
          <w:highlight w:val="none"/>
        </w:rPr>
      </w:pPr>
    </w:p>
    <w:p w14:paraId="4EAA4A02">
      <w:pPr>
        <w:pStyle w:val="26"/>
        <w:rPr>
          <w:rFonts w:hint="eastAsia" w:ascii="宋体" w:hAnsi="宋体" w:eastAsia="宋体" w:cs="宋体"/>
          <w:b/>
          <w:color w:val="auto"/>
          <w:sz w:val="28"/>
          <w:szCs w:val="28"/>
          <w:highlight w:val="none"/>
        </w:rPr>
      </w:pPr>
    </w:p>
    <w:p w14:paraId="7BE422CC">
      <w:pPr>
        <w:pStyle w:val="25"/>
        <w:rPr>
          <w:rFonts w:hint="eastAsia" w:ascii="宋体" w:hAnsi="宋体" w:eastAsia="宋体" w:cs="宋体"/>
          <w:b/>
          <w:color w:val="auto"/>
          <w:sz w:val="28"/>
          <w:szCs w:val="28"/>
          <w:highlight w:val="none"/>
        </w:rPr>
      </w:pPr>
    </w:p>
    <w:p w14:paraId="620D134A">
      <w:pPr>
        <w:pStyle w:val="26"/>
        <w:rPr>
          <w:rFonts w:hint="eastAsia" w:ascii="宋体" w:hAnsi="宋体" w:eastAsia="宋体" w:cs="宋体"/>
          <w:b/>
          <w:color w:val="auto"/>
          <w:sz w:val="28"/>
          <w:szCs w:val="28"/>
          <w:highlight w:val="none"/>
        </w:rPr>
      </w:pPr>
    </w:p>
    <w:p w14:paraId="4169395C">
      <w:pPr>
        <w:pStyle w:val="25"/>
        <w:rPr>
          <w:rFonts w:hint="eastAsia" w:ascii="宋体" w:hAnsi="宋体" w:eastAsia="宋体" w:cs="宋体"/>
          <w:b/>
          <w:color w:val="auto"/>
          <w:sz w:val="28"/>
          <w:szCs w:val="28"/>
          <w:highlight w:val="none"/>
        </w:rPr>
      </w:pPr>
    </w:p>
    <w:p w14:paraId="60493037">
      <w:pPr>
        <w:pStyle w:val="26"/>
        <w:rPr>
          <w:rFonts w:hint="eastAsia" w:ascii="宋体" w:hAnsi="宋体" w:eastAsia="宋体" w:cs="宋体"/>
          <w:b/>
          <w:color w:val="auto"/>
          <w:sz w:val="28"/>
          <w:szCs w:val="28"/>
          <w:highlight w:val="none"/>
        </w:rPr>
      </w:pPr>
    </w:p>
    <w:p w14:paraId="4C741FBD">
      <w:pPr>
        <w:pStyle w:val="25"/>
        <w:rPr>
          <w:rFonts w:hint="eastAsia" w:ascii="宋体" w:hAnsi="宋体" w:eastAsia="宋体" w:cs="宋体"/>
          <w:b/>
          <w:color w:val="auto"/>
          <w:sz w:val="28"/>
          <w:szCs w:val="28"/>
          <w:highlight w:val="none"/>
        </w:rPr>
      </w:pPr>
    </w:p>
    <w:p w14:paraId="2F4DD3DB">
      <w:pPr>
        <w:pStyle w:val="26"/>
        <w:rPr>
          <w:rFonts w:hint="eastAsia" w:ascii="宋体" w:hAnsi="宋体" w:eastAsia="宋体" w:cs="宋体"/>
          <w:b/>
          <w:color w:val="auto"/>
          <w:sz w:val="28"/>
          <w:szCs w:val="28"/>
          <w:highlight w:val="none"/>
        </w:rPr>
      </w:pPr>
    </w:p>
    <w:p w14:paraId="77B89764">
      <w:pPr>
        <w:pStyle w:val="25"/>
        <w:rPr>
          <w:rFonts w:hint="eastAsia" w:ascii="宋体" w:hAnsi="宋体" w:eastAsia="宋体" w:cs="宋体"/>
          <w:b/>
          <w:color w:val="auto"/>
          <w:sz w:val="28"/>
          <w:szCs w:val="28"/>
          <w:highlight w:val="none"/>
        </w:rPr>
      </w:pPr>
    </w:p>
    <w:p w14:paraId="7164D64C">
      <w:pPr>
        <w:pStyle w:val="26"/>
        <w:rPr>
          <w:rFonts w:hint="eastAsia" w:ascii="宋体" w:hAnsi="宋体" w:eastAsia="宋体" w:cs="宋体"/>
          <w:b/>
          <w:color w:val="auto"/>
          <w:sz w:val="28"/>
          <w:szCs w:val="28"/>
          <w:highlight w:val="none"/>
        </w:rPr>
      </w:pPr>
    </w:p>
    <w:p w14:paraId="196D08FF">
      <w:pPr>
        <w:pStyle w:val="25"/>
        <w:rPr>
          <w:rFonts w:hint="eastAsia" w:ascii="宋体" w:hAnsi="宋体" w:eastAsia="宋体" w:cs="宋体"/>
          <w:b/>
          <w:color w:val="auto"/>
          <w:sz w:val="28"/>
          <w:szCs w:val="28"/>
          <w:highlight w:val="none"/>
        </w:rPr>
      </w:pPr>
    </w:p>
    <w:p w14:paraId="193C2C65">
      <w:pPr>
        <w:pStyle w:val="26"/>
        <w:rPr>
          <w:rFonts w:hint="eastAsia" w:ascii="宋体" w:hAnsi="宋体" w:eastAsia="宋体" w:cs="宋体"/>
          <w:b/>
          <w:color w:val="auto"/>
          <w:sz w:val="28"/>
          <w:szCs w:val="28"/>
          <w:highlight w:val="none"/>
        </w:rPr>
      </w:pPr>
    </w:p>
    <w:p w14:paraId="7D97DE1E">
      <w:pPr>
        <w:pStyle w:val="25"/>
        <w:rPr>
          <w:rFonts w:hint="eastAsia" w:ascii="宋体" w:hAnsi="宋体" w:eastAsia="宋体" w:cs="宋体"/>
          <w:b/>
          <w:color w:val="auto"/>
          <w:sz w:val="28"/>
          <w:szCs w:val="28"/>
          <w:highlight w:val="none"/>
        </w:rPr>
      </w:pPr>
    </w:p>
    <w:p w14:paraId="6710E35B">
      <w:pPr>
        <w:pStyle w:val="26"/>
        <w:rPr>
          <w:rFonts w:hint="eastAsia" w:ascii="宋体" w:hAnsi="宋体" w:eastAsia="宋体" w:cs="宋体"/>
          <w:color w:val="auto"/>
          <w:highlight w:val="none"/>
        </w:rPr>
      </w:pPr>
    </w:p>
    <w:p w14:paraId="5815003F">
      <w:pPr>
        <w:pStyle w:val="25"/>
        <w:rPr>
          <w:rFonts w:hint="eastAsia" w:ascii="宋体" w:hAnsi="宋体" w:eastAsia="宋体" w:cs="宋体"/>
          <w:b/>
          <w:color w:val="auto"/>
          <w:sz w:val="28"/>
          <w:szCs w:val="28"/>
          <w:highlight w:val="none"/>
        </w:rPr>
      </w:pPr>
    </w:p>
    <w:p w14:paraId="6E4F7E57">
      <w:pPr>
        <w:pStyle w:val="25"/>
        <w:spacing w:line="360" w:lineRule="auto"/>
        <w:rPr>
          <w:rFonts w:hint="eastAsia" w:ascii="宋体" w:hAnsi="宋体" w:eastAsia="宋体" w:cs="宋体"/>
          <w:b/>
          <w:color w:val="auto"/>
          <w:spacing w:val="0"/>
          <w:kern w:val="2"/>
          <w:sz w:val="24"/>
          <w:szCs w:val="24"/>
          <w:highlight w:val="none"/>
          <w:lang w:val="en-US" w:eastAsia="zh-CN" w:bidi="ar-SA"/>
        </w:rPr>
      </w:pPr>
    </w:p>
    <w:p w14:paraId="43D463DE">
      <w:pPr>
        <w:rPr>
          <w:rFonts w:hint="eastAsia" w:ascii="宋体" w:hAnsi="宋体" w:eastAsia="宋体" w:cs="宋体"/>
          <w:b/>
          <w:color w:val="auto"/>
          <w:spacing w:val="0"/>
          <w:kern w:val="2"/>
          <w:sz w:val="24"/>
          <w:szCs w:val="24"/>
          <w:highlight w:val="none"/>
          <w:lang w:val="en-US" w:eastAsia="zh-CN" w:bidi="ar-SA"/>
        </w:rPr>
      </w:pPr>
      <w:r>
        <w:rPr>
          <w:rFonts w:hint="eastAsia" w:ascii="宋体" w:hAnsi="宋体" w:eastAsia="宋体" w:cs="宋体"/>
          <w:b/>
          <w:color w:val="auto"/>
          <w:spacing w:val="0"/>
          <w:kern w:val="2"/>
          <w:sz w:val="24"/>
          <w:szCs w:val="24"/>
          <w:highlight w:val="none"/>
          <w:lang w:val="en-US" w:eastAsia="zh-CN" w:bidi="ar-SA"/>
        </w:rPr>
        <w:br w:type="page"/>
      </w:r>
    </w:p>
    <w:p w14:paraId="707042BC">
      <w:pPr>
        <w:pStyle w:val="25"/>
        <w:spacing w:line="360" w:lineRule="auto"/>
        <w:rPr>
          <w:rFonts w:hint="eastAsia" w:ascii="宋体" w:hAnsi="宋体" w:eastAsia="宋体" w:cs="宋体"/>
          <w:b/>
          <w:color w:val="auto"/>
          <w:spacing w:val="0"/>
          <w:kern w:val="2"/>
          <w:sz w:val="24"/>
          <w:szCs w:val="24"/>
          <w:highlight w:val="none"/>
          <w:lang w:val="en-US" w:eastAsia="zh-CN" w:bidi="ar-SA"/>
        </w:rPr>
      </w:pPr>
      <w:r>
        <w:rPr>
          <w:rFonts w:hint="eastAsia" w:ascii="宋体" w:hAnsi="宋体" w:eastAsia="宋体" w:cs="宋体"/>
          <w:b/>
          <w:color w:val="auto"/>
          <w:spacing w:val="0"/>
          <w:kern w:val="2"/>
          <w:sz w:val="24"/>
          <w:szCs w:val="24"/>
          <w:highlight w:val="none"/>
          <w:lang w:val="en-US" w:eastAsia="zh-CN" w:bidi="ar-SA"/>
        </w:rPr>
        <w:t>1、崇左市政府采购供应商信用承诺函；</w:t>
      </w:r>
    </w:p>
    <w:p w14:paraId="38CB8B1B">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kern w:val="0"/>
          <w:sz w:val="22"/>
          <w:szCs w:val="22"/>
          <w:highlight w:val="none"/>
          <w:lang w:val="en-US" w:eastAsia="zh-CN" w:bidi="ar"/>
        </w:rPr>
        <w:t>致</w:t>
      </w:r>
      <w:r>
        <w:rPr>
          <w:rFonts w:hint="eastAsia" w:ascii="宋体" w:hAnsi="宋体" w:eastAsia="宋体" w:cs="宋体"/>
          <w:color w:val="auto"/>
          <w:kern w:val="0"/>
          <w:sz w:val="22"/>
          <w:szCs w:val="22"/>
          <w:highlight w:val="none"/>
          <w:u w:val="single"/>
          <w:lang w:val="en-US" w:eastAsia="zh-CN" w:bidi="ar"/>
        </w:rPr>
        <w:t>（采购代理机构名称）</w:t>
      </w:r>
      <w:r>
        <w:rPr>
          <w:rFonts w:hint="eastAsia" w:ascii="宋体" w:hAnsi="宋体" w:eastAsia="宋体" w:cs="宋体"/>
          <w:color w:val="auto"/>
          <w:kern w:val="0"/>
          <w:sz w:val="22"/>
          <w:szCs w:val="22"/>
          <w:highlight w:val="none"/>
          <w:u w:val="none"/>
          <w:lang w:val="en-US" w:eastAsia="zh-CN" w:bidi="ar"/>
        </w:rPr>
        <w:t>:</w:t>
      </w:r>
    </w:p>
    <w:p w14:paraId="3E6A161F">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lang w:val="en-US" w:eastAsia="zh-CN" w:bidi="ar"/>
        </w:rPr>
        <w:t>我方自愿参加</w:t>
      </w:r>
      <w:r>
        <w:rPr>
          <w:rFonts w:hint="eastAsia" w:ascii="宋体" w:hAnsi="宋体" w:eastAsia="宋体" w:cs="宋体"/>
          <w:color w:val="auto"/>
          <w:kern w:val="0"/>
          <w:sz w:val="22"/>
          <w:szCs w:val="22"/>
          <w:highlight w:val="none"/>
          <w:u w:val="single"/>
          <w:lang w:val="en-US" w:eastAsia="zh-CN" w:bidi="ar"/>
        </w:rPr>
        <w:t xml:space="preserve"> （项目名称） 项目（项目编号：         ）</w:t>
      </w:r>
      <w:r>
        <w:rPr>
          <w:rFonts w:hint="eastAsia" w:ascii="宋体" w:hAnsi="宋体" w:eastAsia="宋体" w:cs="宋体"/>
          <w:color w:val="auto"/>
          <w:kern w:val="0"/>
          <w:sz w:val="22"/>
          <w:szCs w:val="22"/>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highlight w:val="none"/>
          <w:lang w:val="en-US" w:eastAsia="zh-CN" w:bidi="ar"/>
        </w:rPr>
        <w:t xml:space="preserve">： </w:t>
      </w:r>
    </w:p>
    <w:p w14:paraId="7DC6188E">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327CDEE">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2.我方具有符合采购文件资格要求的财务状况报告。 </w:t>
      </w:r>
    </w:p>
    <w:p w14:paraId="400C4A88">
      <w:pPr>
        <w:keepNext w:val="0"/>
        <w:keepLines w:val="0"/>
        <w:pageBreakBefore w:val="0"/>
        <w:widowControl/>
        <w:suppressLineNumbers w:val="0"/>
        <w:kinsoku/>
        <w:wordWrap/>
        <w:overflowPunct/>
        <w:topLinePunct w:val="0"/>
        <w:autoSpaceDE/>
        <w:autoSpaceDN/>
        <w:bidi w:val="0"/>
        <w:adjustRightInd/>
        <w:snapToGrid/>
        <w:spacing w:line="440" w:lineRule="exact"/>
        <w:ind w:firstLine="416" w:firstLineChars="200"/>
        <w:jc w:val="both"/>
        <w:textAlignment w:val="auto"/>
        <w:rPr>
          <w:rFonts w:hint="eastAsia" w:ascii="宋体" w:hAnsi="宋体" w:eastAsia="宋体" w:cs="宋体"/>
          <w:color w:val="auto"/>
          <w:spacing w:val="-17"/>
          <w:sz w:val="22"/>
          <w:szCs w:val="22"/>
          <w:highlight w:val="none"/>
        </w:rPr>
      </w:pPr>
      <w:r>
        <w:rPr>
          <w:rFonts w:hint="eastAsia" w:ascii="宋体" w:hAnsi="宋体" w:eastAsia="宋体" w:cs="宋体"/>
          <w:color w:val="auto"/>
          <w:spacing w:val="-6"/>
          <w:kern w:val="0"/>
          <w:sz w:val="22"/>
          <w:szCs w:val="22"/>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2"/>
          <w:szCs w:val="22"/>
          <w:highlight w:val="none"/>
          <w:lang w:val="en-US" w:eastAsia="zh-CN" w:bidi="ar"/>
        </w:rPr>
        <w:t xml:space="preserve"> </w:t>
      </w:r>
    </w:p>
    <w:p w14:paraId="091B40D7">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4.我方具有符合采购文件资格要求履行合同所必需的设备和专业技术能力。 </w:t>
      </w:r>
    </w:p>
    <w:p w14:paraId="22151705">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5.我方参加政府采购活动前3年内在经营活动中没有重大违法记录。 </w:t>
      </w:r>
    </w:p>
    <w:p w14:paraId="1777E46C">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我方对以上承诺内容的真实性负责。如有虚假，将依法承担相应责任。</w:t>
      </w:r>
    </w:p>
    <w:p w14:paraId="4C7A094F">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34FAB510">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02448625">
      <w:pPr>
        <w:keepNext w:val="0"/>
        <w:keepLines w:val="0"/>
        <w:pageBreakBefore w:val="0"/>
        <w:widowControl/>
        <w:suppressLineNumbers w:val="0"/>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供应商名称（盖章）： </w:t>
      </w:r>
    </w:p>
    <w:p w14:paraId="586C7DA0">
      <w:pPr>
        <w:keepNext w:val="0"/>
        <w:keepLines w:val="0"/>
        <w:pageBreakBefore w:val="0"/>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日期：</w:t>
      </w:r>
    </w:p>
    <w:p w14:paraId="3717E544">
      <w:pPr>
        <w:pStyle w:val="19"/>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2"/>
          <w:szCs w:val="22"/>
          <w:highlight w:val="none"/>
          <w:lang w:val="en-US" w:eastAsia="zh-CN" w:bidi="ar"/>
        </w:rPr>
      </w:pPr>
    </w:p>
    <w:p w14:paraId="1B8D43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1.参与政府采购活动的供应商可按第1点的内容：“我方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1BCA53DC">
      <w:pPr>
        <w:numPr>
          <w:ilvl w:val="0"/>
          <w:numId w:val="0"/>
        </w:numPr>
        <w:snapToGrid w:val="0"/>
        <w:spacing w:beforeLines="50" w:after="50"/>
        <w:ind w:leftChars="0"/>
        <w:jc w:val="left"/>
        <w:rPr>
          <w:rFonts w:hint="eastAsia" w:ascii="宋体" w:hAnsi="宋体" w:eastAsia="宋体" w:cs="宋体"/>
          <w:b/>
          <w:color w:val="auto"/>
          <w:sz w:val="22"/>
          <w:szCs w:val="22"/>
          <w:highlight w:val="none"/>
        </w:rPr>
      </w:pPr>
    </w:p>
    <w:p w14:paraId="7D2BD6F6">
      <w:pPr>
        <w:pStyle w:val="10"/>
        <w:rPr>
          <w:rFonts w:hint="eastAsia" w:ascii="宋体" w:hAnsi="宋体" w:eastAsia="宋体" w:cs="宋体"/>
          <w:color w:val="auto"/>
          <w:highlight w:val="none"/>
        </w:rPr>
      </w:pPr>
    </w:p>
    <w:p w14:paraId="51EA4479">
      <w:pPr>
        <w:numPr>
          <w:ilvl w:val="0"/>
          <w:numId w:val="0"/>
        </w:numPr>
        <w:snapToGrid w:val="0"/>
        <w:spacing w:beforeLines="50" w:after="50"/>
        <w:ind w:leftChars="0"/>
        <w:jc w:val="left"/>
        <w:rPr>
          <w:rFonts w:hint="eastAsia" w:ascii="宋体" w:hAnsi="宋体" w:eastAsia="宋体" w:cs="宋体"/>
          <w:b/>
          <w:color w:val="auto"/>
          <w:sz w:val="22"/>
          <w:szCs w:val="22"/>
          <w:highlight w:val="none"/>
        </w:rPr>
      </w:pPr>
    </w:p>
    <w:p w14:paraId="2E007231">
      <w:pPr>
        <w:pStyle w:val="25"/>
        <w:spacing w:line="360" w:lineRule="auto"/>
        <w:rPr>
          <w:rFonts w:hint="eastAsia" w:ascii="宋体" w:hAnsi="宋体" w:eastAsia="宋体" w:cs="宋体"/>
          <w:b/>
          <w:color w:val="auto"/>
          <w:sz w:val="28"/>
          <w:szCs w:val="28"/>
          <w:highlight w:val="none"/>
        </w:rPr>
      </w:pPr>
    </w:p>
    <w:p w14:paraId="48AB96F3">
      <w:pPr>
        <w:pStyle w:val="26"/>
        <w:rPr>
          <w:rFonts w:hint="eastAsia" w:ascii="宋体" w:hAnsi="宋体" w:eastAsia="宋体" w:cs="宋体"/>
          <w:b/>
          <w:color w:val="auto"/>
          <w:sz w:val="28"/>
          <w:szCs w:val="28"/>
          <w:highlight w:val="none"/>
        </w:rPr>
      </w:pPr>
    </w:p>
    <w:p w14:paraId="7487F9A9">
      <w:pPr>
        <w:pStyle w:val="25"/>
        <w:rPr>
          <w:rFonts w:hint="eastAsia" w:ascii="宋体" w:hAnsi="宋体" w:eastAsia="宋体" w:cs="宋体"/>
          <w:b/>
          <w:color w:val="auto"/>
          <w:sz w:val="28"/>
          <w:szCs w:val="28"/>
          <w:highlight w:val="none"/>
        </w:rPr>
      </w:pPr>
    </w:p>
    <w:p w14:paraId="6A469186">
      <w:pPr>
        <w:pStyle w:val="26"/>
        <w:rPr>
          <w:rFonts w:hint="eastAsia" w:ascii="宋体" w:hAnsi="宋体" w:eastAsia="宋体" w:cs="宋体"/>
          <w:b/>
          <w:color w:val="auto"/>
          <w:sz w:val="28"/>
          <w:szCs w:val="28"/>
          <w:highlight w:val="none"/>
        </w:rPr>
      </w:pPr>
    </w:p>
    <w:p w14:paraId="73FCB238">
      <w:pPr>
        <w:pStyle w:val="25"/>
        <w:rPr>
          <w:rFonts w:hint="eastAsia" w:ascii="宋体" w:hAnsi="宋体" w:eastAsia="宋体" w:cs="宋体"/>
          <w:b/>
          <w:color w:val="auto"/>
          <w:sz w:val="28"/>
          <w:szCs w:val="28"/>
          <w:highlight w:val="none"/>
        </w:rPr>
      </w:pPr>
    </w:p>
    <w:p w14:paraId="2A7BC33D">
      <w:pPr>
        <w:bidi w:val="0"/>
        <w:rPr>
          <w:rFonts w:hint="eastAsia" w:ascii="宋体" w:hAnsi="宋体" w:eastAsia="宋体" w:cs="宋体"/>
          <w:color w:val="auto"/>
          <w:highlight w:val="none"/>
        </w:rPr>
      </w:pPr>
    </w:p>
    <w:p w14:paraId="41562616">
      <w:pPr>
        <w:pStyle w:val="25"/>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有效的资质证书副本复印件或根据广西壮族自治区人民政府办公厅印发《关于支持建筑业企业增信心稳增长促转型若干措施》的通知（桂政办发〔2024〕62号）中“推动互跨专业承接业务”要求的证明材料复印件及有效的安全生产许可证副本复印件</w:t>
      </w:r>
      <w:r>
        <w:rPr>
          <w:rFonts w:hint="eastAsia" w:ascii="宋体" w:hAnsi="宋体" w:eastAsia="宋体" w:cs="宋体"/>
          <w:b/>
          <w:color w:val="auto"/>
          <w:sz w:val="24"/>
          <w:highlight w:val="none"/>
        </w:rPr>
        <w:t>；</w:t>
      </w:r>
    </w:p>
    <w:p w14:paraId="2990F0D1">
      <w:pPr>
        <w:pStyle w:val="26"/>
        <w:rPr>
          <w:rFonts w:hint="eastAsia" w:ascii="宋体" w:hAnsi="宋体" w:eastAsia="宋体" w:cs="宋体"/>
          <w:color w:val="auto"/>
          <w:highlight w:val="none"/>
        </w:rPr>
      </w:pPr>
    </w:p>
    <w:p w14:paraId="4D08295F">
      <w:pPr>
        <w:pStyle w:val="25"/>
        <w:numPr>
          <w:ilvl w:val="0"/>
          <w:numId w:val="0"/>
        </w:num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拟派项目经理的身份证复印件、注册建造师证和安全生产考核合格证（“三类人员”B类证书）</w:t>
      </w:r>
    </w:p>
    <w:p w14:paraId="414C53AE">
      <w:pPr>
        <w:pStyle w:val="25"/>
        <w:rPr>
          <w:rFonts w:hint="eastAsia" w:ascii="宋体" w:hAnsi="宋体" w:eastAsia="宋体" w:cs="宋体"/>
          <w:b/>
          <w:color w:val="auto"/>
          <w:sz w:val="24"/>
          <w:highlight w:val="none"/>
          <w:lang w:eastAsia="zh-CN"/>
        </w:rPr>
      </w:pPr>
    </w:p>
    <w:p w14:paraId="125C8BFB">
      <w:pPr>
        <w:pStyle w:val="26"/>
        <w:rPr>
          <w:rFonts w:hint="eastAsia" w:ascii="宋体" w:hAnsi="宋体" w:eastAsia="宋体" w:cs="宋体"/>
          <w:b/>
          <w:color w:val="auto"/>
          <w:sz w:val="24"/>
          <w:highlight w:val="none"/>
          <w:lang w:eastAsia="zh-CN"/>
        </w:rPr>
      </w:pPr>
    </w:p>
    <w:p w14:paraId="2E069B1C">
      <w:pPr>
        <w:rPr>
          <w:rFonts w:hint="eastAsia" w:ascii="宋体" w:hAnsi="宋体" w:eastAsia="宋体" w:cs="宋体"/>
          <w:b/>
          <w:color w:val="auto"/>
          <w:sz w:val="24"/>
          <w:highlight w:val="none"/>
          <w:lang w:val="en-US" w:eastAsia="zh-CN"/>
        </w:rPr>
      </w:pPr>
    </w:p>
    <w:p w14:paraId="23198290">
      <w:pPr>
        <w:pStyle w:val="25"/>
        <w:numPr>
          <w:ilvl w:val="0"/>
          <w:numId w:val="0"/>
        </w:numPr>
        <w:spacing w:line="360" w:lineRule="auto"/>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lang w:eastAsia="zh-CN"/>
        </w:rPr>
        <w:t>供应商直接控股、管理关系信息表</w:t>
      </w:r>
    </w:p>
    <w:p w14:paraId="35CDB301">
      <w:pPr>
        <w:snapToGrid w:val="0"/>
        <w:spacing w:before="50" w:after="120"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30"/>
          <w:szCs w:val="30"/>
          <w:highlight w:val="none"/>
        </w:rPr>
        <w:t>供应商</w:t>
      </w:r>
      <w:r>
        <w:rPr>
          <w:rFonts w:hint="eastAsia" w:ascii="宋体" w:hAnsi="宋体" w:eastAsia="宋体" w:cs="宋体"/>
          <w:b/>
          <w:color w:val="auto"/>
          <w:sz w:val="28"/>
          <w:szCs w:val="28"/>
          <w:highlight w:val="none"/>
        </w:rPr>
        <w:t>直接控股股东信息表</w:t>
      </w:r>
    </w:p>
    <w:tbl>
      <w:tblPr>
        <w:tblStyle w:val="21"/>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B4905AE">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3D8C24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B3A05E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7CC1EC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3E963B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2321D5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1CB0D0D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342E53">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78F465">
            <w:pPr>
              <w:widowControl/>
              <w:wordWrap w:val="0"/>
              <w:spacing w:line="200" w:lineRule="atLeast"/>
              <w:jc w:val="center"/>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171BBF">
            <w:pPr>
              <w:widowControl/>
              <w:wordWrap w:val="0"/>
              <w:spacing w:line="200" w:lineRule="atLeast"/>
              <w:jc w:val="center"/>
              <w:rPr>
                <w:rFonts w:hint="eastAsia" w:ascii="宋体" w:hAnsi="宋体" w:eastAsia="宋体" w:cs="宋体"/>
                <w:color w:val="auto"/>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561023">
            <w:pPr>
              <w:widowControl/>
              <w:wordWrap w:val="0"/>
              <w:spacing w:line="200" w:lineRule="atLeast"/>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CC8A54">
            <w:pPr>
              <w:widowControl/>
              <w:wordWrap w:val="0"/>
              <w:spacing w:line="200" w:lineRule="atLeast"/>
              <w:jc w:val="center"/>
              <w:rPr>
                <w:rFonts w:hint="eastAsia" w:ascii="宋体" w:hAnsi="宋体" w:eastAsia="宋体" w:cs="宋体"/>
                <w:color w:val="auto"/>
                <w:sz w:val="24"/>
                <w:szCs w:val="24"/>
                <w:highlight w:val="none"/>
              </w:rPr>
            </w:pPr>
          </w:p>
        </w:tc>
      </w:tr>
      <w:tr w14:paraId="265A55C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C01934">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7DECAA">
            <w:pPr>
              <w:widowControl/>
              <w:wordWrap w:val="0"/>
              <w:spacing w:line="200" w:lineRule="atLeast"/>
              <w:jc w:val="center"/>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8DFF2A">
            <w:pPr>
              <w:widowControl/>
              <w:wordWrap w:val="0"/>
              <w:spacing w:line="200" w:lineRule="atLeast"/>
              <w:jc w:val="center"/>
              <w:rPr>
                <w:rFonts w:hint="eastAsia" w:ascii="宋体" w:hAnsi="宋体" w:eastAsia="宋体" w:cs="宋体"/>
                <w:color w:val="auto"/>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EA892E">
            <w:pPr>
              <w:widowControl/>
              <w:wordWrap w:val="0"/>
              <w:spacing w:line="200" w:lineRule="atLeast"/>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05BB3A">
            <w:pPr>
              <w:widowControl/>
              <w:wordWrap w:val="0"/>
              <w:spacing w:line="200" w:lineRule="atLeast"/>
              <w:jc w:val="center"/>
              <w:rPr>
                <w:rFonts w:hint="eastAsia" w:ascii="宋体" w:hAnsi="宋体" w:eastAsia="宋体" w:cs="宋体"/>
                <w:color w:val="auto"/>
                <w:sz w:val="24"/>
                <w:szCs w:val="24"/>
                <w:highlight w:val="none"/>
              </w:rPr>
            </w:pPr>
          </w:p>
        </w:tc>
      </w:tr>
      <w:tr w14:paraId="4CC19CF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345709">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79EB0F">
            <w:pPr>
              <w:widowControl/>
              <w:wordWrap w:val="0"/>
              <w:spacing w:line="200" w:lineRule="atLeast"/>
              <w:jc w:val="center"/>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E50CAA">
            <w:pPr>
              <w:widowControl/>
              <w:wordWrap w:val="0"/>
              <w:spacing w:line="200" w:lineRule="atLeast"/>
              <w:jc w:val="center"/>
              <w:rPr>
                <w:rFonts w:hint="eastAsia" w:ascii="宋体" w:hAnsi="宋体" w:eastAsia="宋体" w:cs="宋体"/>
                <w:color w:val="auto"/>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E524B4">
            <w:pPr>
              <w:widowControl/>
              <w:wordWrap w:val="0"/>
              <w:spacing w:line="200" w:lineRule="atLeast"/>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F9E85D">
            <w:pPr>
              <w:widowControl/>
              <w:wordWrap w:val="0"/>
              <w:spacing w:line="200" w:lineRule="atLeast"/>
              <w:jc w:val="center"/>
              <w:rPr>
                <w:rFonts w:hint="eastAsia" w:ascii="宋体" w:hAnsi="宋体" w:eastAsia="宋体" w:cs="宋体"/>
                <w:color w:val="auto"/>
                <w:sz w:val="24"/>
                <w:szCs w:val="24"/>
                <w:highlight w:val="none"/>
              </w:rPr>
            </w:pPr>
          </w:p>
        </w:tc>
      </w:tr>
      <w:tr w14:paraId="35E1F22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8662FC">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68E918">
            <w:pPr>
              <w:widowControl/>
              <w:wordWrap w:val="0"/>
              <w:spacing w:line="200" w:lineRule="atLeast"/>
              <w:jc w:val="center"/>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FECE31">
            <w:pPr>
              <w:widowControl/>
              <w:wordWrap w:val="0"/>
              <w:spacing w:line="200" w:lineRule="atLeast"/>
              <w:jc w:val="center"/>
              <w:rPr>
                <w:rFonts w:hint="eastAsia" w:ascii="宋体" w:hAnsi="宋体" w:eastAsia="宋体" w:cs="宋体"/>
                <w:color w:val="auto"/>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79CEDE">
            <w:pPr>
              <w:widowControl/>
              <w:wordWrap w:val="0"/>
              <w:spacing w:line="200" w:lineRule="atLeast"/>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C15F60">
            <w:pPr>
              <w:widowControl/>
              <w:wordWrap w:val="0"/>
              <w:spacing w:line="200" w:lineRule="atLeast"/>
              <w:jc w:val="center"/>
              <w:rPr>
                <w:rFonts w:hint="eastAsia" w:ascii="宋体" w:hAnsi="宋体" w:eastAsia="宋体" w:cs="宋体"/>
                <w:color w:val="auto"/>
                <w:sz w:val="24"/>
                <w:szCs w:val="24"/>
                <w:highlight w:val="none"/>
              </w:rPr>
            </w:pPr>
          </w:p>
        </w:tc>
      </w:tr>
    </w:tbl>
    <w:p w14:paraId="77748C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7A50D1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3697C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2.本表所指的控股关系仅限于直接控股关系，不包括间接的控股关系。公司实际控制人与公司之间的关系不属于本表所指的直接控股关系。</w:t>
      </w:r>
    </w:p>
    <w:p w14:paraId="2369F7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3.供应商不存在直接控股股东的，则填“无”。</w:t>
      </w:r>
    </w:p>
    <w:p w14:paraId="01347C51">
      <w:pPr>
        <w:snapToGrid w:val="0"/>
        <w:jc w:val="left"/>
        <w:rPr>
          <w:rFonts w:hint="eastAsia" w:ascii="宋体" w:hAnsi="宋体" w:eastAsia="宋体" w:cs="宋体"/>
          <w:color w:val="auto"/>
          <w:sz w:val="24"/>
          <w:szCs w:val="24"/>
          <w:highlight w:val="none"/>
        </w:rPr>
      </w:pPr>
    </w:p>
    <w:p w14:paraId="37970C76">
      <w:pPr>
        <w:snapToGrid w:val="0"/>
        <w:jc w:val="left"/>
        <w:rPr>
          <w:rFonts w:hint="eastAsia" w:ascii="宋体" w:hAnsi="宋体" w:eastAsia="宋体" w:cs="宋体"/>
          <w:color w:val="auto"/>
          <w:sz w:val="24"/>
          <w:szCs w:val="24"/>
          <w:highlight w:val="none"/>
        </w:rPr>
      </w:pPr>
    </w:p>
    <w:p w14:paraId="09512622">
      <w:pPr>
        <w:snapToGrid w:val="0"/>
        <w:jc w:val="left"/>
        <w:rPr>
          <w:rFonts w:hint="eastAsia" w:ascii="宋体" w:hAnsi="宋体" w:eastAsia="宋体" w:cs="宋体"/>
          <w:color w:val="auto"/>
          <w:sz w:val="24"/>
          <w:szCs w:val="24"/>
          <w:highlight w:val="none"/>
        </w:rPr>
      </w:pPr>
    </w:p>
    <w:p w14:paraId="79120659">
      <w:pPr>
        <w:pStyle w:val="2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供应商名称（电子签章）：  </w:t>
      </w:r>
    </w:p>
    <w:p w14:paraId="31D1B8F3">
      <w:pPr>
        <w:pStyle w:val="2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法定代表人(负责人、自然人)或相应的委托代理人签字（</w:t>
      </w:r>
      <w:r>
        <w:rPr>
          <w:rFonts w:hint="eastAsia" w:ascii="宋体" w:hAnsi="宋体" w:eastAsia="宋体" w:cs="宋体"/>
          <w:color w:val="auto"/>
          <w:sz w:val="24"/>
          <w:szCs w:val="24"/>
          <w:highlight w:val="none"/>
          <w:lang w:eastAsia="zh-CN"/>
        </w:rPr>
        <w:t>签字或盖</w:t>
      </w:r>
      <w:r>
        <w:rPr>
          <w:rFonts w:hint="eastAsia" w:ascii="宋体" w:hAnsi="宋体" w:eastAsia="宋体" w:cs="宋体"/>
          <w:color w:val="auto"/>
          <w:sz w:val="24"/>
          <w:szCs w:val="24"/>
          <w:highlight w:val="none"/>
        </w:rPr>
        <w:t xml:space="preserve">章）：   </w:t>
      </w:r>
    </w:p>
    <w:p w14:paraId="08F3BC67">
      <w:pPr>
        <w:snapToGrid w:val="0"/>
        <w:spacing w:before="120" w:beforeLines="50" w:after="50"/>
        <w:ind w:righ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88A5D68">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2"/>
          <w:szCs w:val="22"/>
          <w:highlight w:val="none"/>
        </w:rPr>
        <w:br w:type="page"/>
      </w:r>
    </w:p>
    <w:p w14:paraId="1E5F8247">
      <w:pPr>
        <w:snapToGrid w:val="0"/>
        <w:jc w:val="center"/>
        <w:rPr>
          <w:rFonts w:hint="eastAsia" w:ascii="宋体" w:hAnsi="宋体" w:eastAsia="宋体" w:cs="宋体"/>
          <w:color w:val="auto"/>
          <w:highlight w:val="none"/>
        </w:rPr>
      </w:pPr>
      <w:r>
        <w:rPr>
          <w:rFonts w:hint="eastAsia" w:ascii="宋体" w:hAnsi="宋体" w:eastAsia="宋体" w:cs="宋体"/>
          <w:b/>
          <w:color w:val="auto"/>
          <w:kern w:val="0"/>
          <w:sz w:val="30"/>
          <w:szCs w:val="30"/>
          <w:highlight w:val="none"/>
        </w:rPr>
        <w:t>供应商直接管理关系信息表</w:t>
      </w:r>
    </w:p>
    <w:tbl>
      <w:tblPr>
        <w:tblStyle w:val="21"/>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EFAC9DF">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82FE60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F9AEC7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203518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D181DF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3B1610D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B68006">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0231C4">
            <w:pPr>
              <w:widowControl/>
              <w:wordWrap w:val="0"/>
              <w:spacing w:line="200" w:lineRule="atLeast"/>
              <w:jc w:val="center"/>
              <w:rPr>
                <w:rFonts w:hint="eastAsia" w:ascii="宋体" w:hAnsi="宋体" w:eastAsia="宋体" w:cs="宋体"/>
                <w:color w:val="auto"/>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170E03">
            <w:pPr>
              <w:widowControl/>
              <w:wordWrap w:val="0"/>
              <w:spacing w:line="200" w:lineRule="atLeast"/>
              <w:jc w:val="center"/>
              <w:rPr>
                <w:rFonts w:hint="eastAsia" w:ascii="宋体" w:hAnsi="宋体" w:eastAsia="宋体" w:cs="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140201">
            <w:pPr>
              <w:widowControl/>
              <w:wordWrap w:val="0"/>
              <w:spacing w:line="200" w:lineRule="atLeast"/>
              <w:jc w:val="center"/>
              <w:rPr>
                <w:rFonts w:hint="eastAsia" w:ascii="宋体" w:hAnsi="宋体" w:eastAsia="宋体" w:cs="宋体"/>
                <w:color w:val="auto"/>
                <w:sz w:val="24"/>
                <w:szCs w:val="24"/>
                <w:highlight w:val="none"/>
              </w:rPr>
            </w:pPr>
          </w:p>
        </w:tc>
      </w:tr>
      <w:tr w14:paraId="21D6EE2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5D7F6A">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12ED21">
            <w:pPr>
              <w:widowControl/>
              <w:wordWrap w:val="0"/>
              <w:spacing w:line="200" w:lineRule="atLeast"/>
              <w:jc w:val="center"/>
              <w:rPr>
                <w:rFonts w:hint="eastAsia" w:ascii="宋体" w:hAnsi="宋体" w:eastAsia="宋体" w:cs="宋体"/>
                <w:color w:val="auto"/>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0F15F6">
            <w:pPr>
              <w:widowControl/>
              <w:wordWrap w:val="0"/>
              <w:spacing w:line="200" w:lineRule="atLeast"/>
              <w:jc w:val="center"/>
              <w:rPr>
                <w:rFonts w:hint="eastAsia" w:ascii="宋体" w:hAnsi="宋体" w:eastAsia="宋体" w:cs="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9E14C3">
            <w:pPr>
              <w:widowControl/>
              <w:wordWrap w:val="0"/>
              <w:spacing w:line="200" w:lineRule="atLeast"/>
              <w:jc w:val="center"/>
              <w:rPr>
                <w:rFonts w:hint="eastAsia" w:ascii="宋体" w:hAnsi="宋体" w:eastAsia="宋体" w:cs="宋体"/>
                <w:color w:val="auto"/>
                <w:sz w:val="24"/>
                <w:szCs w:val="24"/>
                <w:highlight w:val="none"/>
              </w:rPr>
            </w:pPr>
          </w:p>
        </w:tc>
      </w:tr>
      <w:tr w14:paraId="720D555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613224">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759899">
            <w:pPr>
              <w:widowControl/>
              <w:wordWrap w:val="0"/>
              <w:spacing w:line="200" w:lineRule="atLeast"/>
              <w:jc w:val="center"/>
              <w:rPr>
                <w:rFonts w:hint="eastAsia" w:ascii="宋体" w:hAnsi="宋体" w:eastAsia="宋体" w:cs="宋体"/>
                <w:color w:val="auto"/>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425E67">
            <w:pPr>
              <w:widowControl/>
              <w:wordWrap w:val="0"/>
              <w:spacing w:line="200" w:lineRule="atLeast"/>
              <w:jc w:val="center"/>
              <w:rPr>
                <w:rFonts w:hint="eastAsia" w:ascii="宋体" w:hAnsi="宋体" w:eastAsia="宋体" w:cs="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D3B15D">
            <w:pPr>
              <w:widowControl/>
              <w:wordWrap w:val="0"/>
              <w:spacing w:line="200" w:lineRule="atLeast"/>
              <w:jc w:val="center"/>
              <w:rPr>
                <w:rFonts w:hint="eastAsia" w:ascii="宋体" w:hAnsi="宋体" w:eastAsia="宋体" w:cs="宋体"/>
                <w:color w:val="auto"/>
                <w:sz w:val="24"/>
                <w:szCs w:val="24"/>
                <w:highlight w:val="none"/>
              </w:rPr>
            </w:pPr>
          </w:p>
        </w:tc>
      </w:tr>
      <w:tr w14:paraId="0B1E66C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9BD11F">
            <w:pPr>
              <w:widowControl/>
              <w:wordWrap w:val="0"/>
              <w:spacing w:line="2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9B1DAC">
            <w:pPr>
              <w:widowControl/>
              <w:wordWrap w:val="0"/>
              <w:spacing w:line="200" w:lineRule="atLeast"/>
              <w:jc w:val="center"/>
              <w:rPr>
                <w:rFonts w:hint="eastAsia" w:ascii="宋体" w:hAnsi="宋体" w:eastAsia="宋体" w:cs="宋体"/>
                <w:color w:val="auto"/>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110531">
            <w:pPr>
              <w:widowControl/>
              <w:wordWrap w:val="0"/>
              <w:spacing w:line="200" w:lineRule="atLeast"/>
              <w:jc w:val="center"/>
              <w:rPr>
                <w:rFonts w:hint="eastAsia" w:ascii="宋体" w:hAnsi="宋体" w:eastAsia="宋体" w:cs="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58F469">
            <w:pPr>
              <w:widowControl/>
              <w:wordWrap w:val="0"/>
              <w:spacing w:line="200" w:lineRule="atLeast"/>
              <w:jc w:val="center"/>
              <w:rPr>
                <w:rFonts w:hint="eastAsia" w:ascii="宋体" w:hAnsi="宋体" w:eastAsia="宋体" w:cs="宋体"/>
                <w:color w:val="auto"/>
                <w:sz w:val="24"/>
                <w:szCs w:val="24"/>
                <w:highlight w:val="none"/>
              </w:rPr>
            </w:pPr>
          </w:p>
        </w:tc>
      </w:tr>
    </w:tbl>
    <w:p w14:paraId="470FC12D">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2A85688">
      <w:pPr>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1.管理关系：是指不具有出资持股关系的其他单位之间存在的管理与被管理关系，如一些上下级关系的事业单位和团体组织。</w:t>
      </w:r>
    </w:p>
    <w:p w14:paraId="1F9452A2">
      <w:pPr>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2.本表所指的管理关系仅限于直接管理关系，不包括间接的管理关系。</w:t>
      </w:r>
    </w:p>
    <w:p w14:paraId="3F491F1E">
      <w:pPr>
        <w:spacing w:line="360" w:lineRule="auto"/>
        <w:ind w:firstLine="480" w:firstLineChars="200"/>
        <w:contextualSpacing/>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3.供应商不存在直接管理关系的，则填“无”</w:t>
      </w:r>
      <w:r>
        <w:rPr>
          <w:rFonts w:hint="eastAsia" w:ascii="宋体" w:hAnsi="宋体" w:eastAsia="宋体" w:cs="宋体"/>
          <w:color w:val="auto"/>
          <w:kern w:val="0"/>
          <w:sz w:val="24"/>
          <w:szCs w:val="24"/>
          <w:highlight w:val="none"/>
          <w:lang w:eastAsia="zh-CN"/>
        </w:rPr>
        <w:t>。</w:t>
      </w:r>
    </w:p>
    <w:p w14:paraId="2C8C4B83">
      <w:pPr>
        <w:snapToGrid w:val="0"/>
        <w:jc w:val="left"/>
        <w:rPr>
          <w:rFonts w:hint="eastAsia" w:ascii="宋体" w:hAnsi="宋体" w:eastAsia="宋体" w:cs="宋体"/>
          <w:color w:val="auto"/>
          <w:highlight w:val="none"/>
        </w:rPr>
      </w:pPr>
    </w:p>
    <w:p w14:paraId="5DE45D1B">
      <w:pPr>
        <w:snapToGrid w:val="0"/>
        <w:jc w:val="left"/>
        <w:rPr>
          <w:rFonts w:hint="eastAsia" w:ascii="宋体" w:hAnsi="宋体" w:eastAsia="宋体" w:cs="宋体"/>
          <w:color w:val="auto"/>
          <w:highlight w:val="none"/>
        </w:rPr>
      </w:pPr>
    </w:p>
    <w:p w14:paraId="5BB13E17">
      <w:pPr>
        <w:snapToGrid w:val="0"/>
        <w:jc w:val="left"/>
        <w:rPr>
          <w:rFonts w:hint="eastAsia" w:ascii="宋体" w:hAnsi="宋体" w:eastAsia="宋体" w:cs="宋体"/>
          <w:color w:val="auto"/>
          <w:highlight w:val="none"/>
        </w:rPr>
      </w:pPr>
    </w:p>
    <w:p w14:paraId="148EC99E">
      <w:pPr>
        <w:snapToGrid w:val="0"/>
        <w:jc w:val="left"/>
        <w:rPr>
          <w:rFonts w:hint="eastAsia" w:ascii="宋体" w:hAnsi="宋体" w:eastAsia="宋体" w:cs="宋体"/>
          <w:color w:val="auto"/>
          <w:highlight w:val="none"/>
        </w:rPr>
      </w:pPr>
    </w:p>
    <w:p w14:paraId="01A2E9C8">
      <w:pPr>
        <w:snapToGrid w:val="0"/>
        <w:jc w:val="left"/>
        <w:rPr>
          <w:rFonts w:hint="eastAsia" w:ascii="宋体" w:hAnsi="宋体" w:eastAsia="宋体" w:cs="宋体"/>
          <w:color w:val="auto"/>
          <w:highlight w:val="none"/>
        </w:rPr>
      </w:pPr>
    </w:p>
    <w:p w14:paraId="16555294">
      <w:pPr>
        <w:snapToGrid w:val="0"/>
        <w:jc w:val="left"/>
        <w:rPr>
          <w:rFonts w:hint="eastAsia" w:ascii="宋体" w:hAnsi="宋体" w:eastAsia="宋体" w:cs="宋体"/>
          <w:color w:val="auto"/>
          <w:highlight w:val="none"/>
        </w:rPr>
      </w:pPr>
    </w:p>
    <w:p w14:paraId="1A427A4F">
      <w:pPr>
        <w:snapToGrid w:val="0"/>
        <w:jc w:val="left"/>
        <w:rPr>
          <w:rFonts w:hint="eastAsia" w:ascii="宋体" w:hAnsi="宋体" w:eastAsia="宋体" w:cs="宋体"/>
          <w:color w:val="auto"/>
          <w:sz w:val="24"/>
          <w:szCs w:val="24"/>
          <w:highlight w:val="none"/>
        </w:rPr>
      </w:pPr>
    </w:p>
    <w:p w14:paraId="04A202DD">
      <w:pPr>
        <w:pStyle w:val="2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供应商名称（电子签章）</w:t>
      </w:r>
      <w:r>
        <w:rPr>
          <w:rFonts w:hint="eastAsia" w:ascii="宋体" w:hAnsi="宋体" w:eastAsia="宋体" w:cs="宋体"/>
          <w:color w:val="auto"/>
          <w:sz w:val="24"/>
          <w:szCs w:val="24"/>
          <w:highlight w:val="none"/>
        </w:rPr>
        <w:t xml:space="preserve">：  </w:t>
      </w:r>
    </w:p>
    <w:p w14:paraId="68D183FC">
      <w:pPr>
        <w:pStyle w:val="2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法定代表人(负责人、自然人)或相应的委托代理人签字（</w:t>
      </w:r>
      <w:r>
        <w:rPr>
          <w:rFonts w:hint="eastAsia" w:ascii="宋体" w:hAnsi="宋体" w:eastAsia="宋体" w:cs="宋体"/>
          <w:color w:val="auto"/>
          <w:sz w:val="24"/>
          <w:szCs w:val="24"/>
          <w:highlight w:val="none"/>
          <w:lang w:eastAsia="zh-CN"/>
        </w:rPr>
        <w:t>签字或盖</w:t>
      </w:r>
      <w:r>
        <w:rPr>
          <w:rFonts w:hint="eastAsia" w:ascii="宋体" w:hAnsi="宋体" w:eastAsia="宋体" w:cs="宋体"/>
          <w:color w:val="auto"/>
          <w:sz w:val="24"/>
          <w:szCs w:val="24"/>
          <w:highlight w:val="none"/>
        </w:rPr>
        <w:t xml:space="preserve">章）：   </w:t>
      </w:r>
    </w:p>
    <w:p w14:paraId="22D4C479">
      <w:pPr>
        <w:snapToGrid w:val="0"/>
        <w:spacing w:before="120" w:beforeLines="50" w:after="50"/>
        <w:ind w:righ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BB14568">
      <w:pPr>
        <w:pStyle w:val="14"/>
        <w:spacing w:line="460" w:lineRule="exact"/>
        <w:ind w:firstLine="420"/>
        <w:rPr>
          <w:rFonts w:hint="eastAsia" w:ascii="宋体" w:hAnsi="宋体" w:eastAsia="宋体" w:cs="宋体"/>
          <w:color w:val="auto"/>
          <w:szCs w:val="21"/>
          <w:highlight w:val="none"/>
          <w:u w:val="single"/>
        </w:rPr>
      </w:pPr>
    </w:p>
    <w:p w14:paraId="515CE4D3">
      <w:pPr>
        <w:pStyle w:val="26"/>
        <w:rPr>
          <w:rFonts w:hint="eastAsia" w:ascii="宋体" w:hAnsi="宋体" w:eastAsia="宋体" w:cs="宋体"/>
          <w:color w:val="auto"/>
          <w:highlight w:val="none"/>
        </w:rPr>
      </w:pPr>
    </w:p>
    <w:p w14:paraId="41841BC3">
      <w:pPr>
        <w:pStyle w:val="25"/>
        <w:rPr>
          <w:rFonts w:hint="eastAsia" w:ascii="宋体" w:hAnsi="宋体" w:eastAsia="宋体" w:cs="宋体"/>
          <w:color w:val="auto"/>
          <w:highlight w:val="none"/>
        </w:rPr>
      </w:pPr>
    </w:p>
    <w:p w14:paraId="142F50E1">
      <w:pPr>
        <w:pStyle w:val="26"/>
        <w:rPr>
          <w:rFonts w:hint="eastAsia" w:ascii="宋体" w:hAnsi="宋体" w:eastAsia="宋体" w:cs="宋体"/>
          <w:color w:val="auto"/>
          <w:highlight w:val="none"/>
        </w:rPr>
      </w:pPr>
    </w:p>
    <w:p w14:paraId="17E41F8C">
      <w:pPr>
        <w:pStyle w:val="25"/>
        <w:rPr>
          <w:rFonts w:hint="eastAsia" w:ascii="宋体" w:hAnsi="宋体" w:eastAsia="宋体" w:cs="宋体"/>
          <w:color w:val="auto"/>
          <w:highlight w:val="none"/>
        </w:rPr>
      </w:pPr>
    </w:p>
    <w:p w14:paraId="0D3E8C05">
      <w:pPr>
        <w:pStyle w:val="26"/>
        <w:rPr>
          <w:rFonts w:hint="eastAsia" w:ascii="宋体" w:hAnsi="宋体" w:eastAsia="宋体" w:cs="宋体"/>
          <w:color w:val="auto"/>
          <w:highlight w:val="none"/>
        </w:rPr>
      </w:pPr>
    </w:p>
    <w:p w14:paraId="0F246384">
      <w:pPr>
        <w:pStyle w:val="25"/>
        <w:rPr>
          <w:rFonts w:hint="eastAsia" w:ascii="宋体" w:hAnsi="宋体" w:eastAsia="宋体" w:cs="宋体"/>
          <w:color w:val="auto"/>
          <w:highlight w:val="none"/>
        </w:rPr>
      </w:pPr>
    </w:p>
    <w:p w14:paraId="457FC281">
      <w:pPr>
        <w:pStyle w:val="26"/>
        <w:rPr>
          <w:rFonts w:hint="eastAsia" w:ascii="宋体" w:hAnsi="宋体" w:eastAsia="宋体" w:cs="宋体"/>
          <w:color w:val="auto"/>
          <w:highlight w:val="none"/>
        </w:rPr>
      </w:pPr>
    </w:p>
    <w:p w14:paraId="01DDBA77">
      <w:pPr>
        <w:pStyle w:val="25"/>
        <w:rPr>
          <w:rFonts w:hint="eastAsia" w:ascii="宋体" w:hAnsi="宋体" w:eastAsia="宋体" w:cs="宋体"/>
          <w:color w:val="auto"/>
          <w:highlight w:val="none"/>
        </w:rPr>
      </w:pPr>
    </w:p>
    <w:p w14:paraId="7894F977">
      <w:pPr>
        <w:pStyle w:val="26"/>
        <w:rPr>
          <w:rFonts w:hint="eastAsia" w:ascii="宋体" w:hAnsi="宋体" w:eastAsia="宋体" w:cs="宋体"/>
          <w:color w:val="auto"/>
          <w:highlight w:val="none"/>
        </w:rPr>
      </w:pPr>
    </w:p>
    <w:p w14:paraId="2121F151">
      <w:pPr>
        <w:pStyle w:val="25"/>
        <w:rPr>
          <w:rFonts w:hint="eastAsia" w:ascii="宋体" w:hAnsi="宋体" w:eastAsia="宋体" w:cs="宋体"/>
          <w:color w:val="auto"/>
          <w:highlight w:val="none"/>
        </w:rPr>
      </w:pPr>
    </w:p>
    <w:p w14:paraId="2C264B7F">
      <w:pPr>
        <w:pStyle w:val="26"/>
        <w:rPr>
          <w:rFonts w:hint="eastAsia" w:ascii="宋体" w:hAnsi="宋体" w:eastAsia="宋体" w:cs="宋体"/>
          <w:color w:val="auto"/>
          <w:highlight w:val="none"/>
        </w:rPr>
      </w:pPr>
    </w:p>
    <w:p w14:paraId="348C0B26">
      <w:pPr>
        <w:pStyle w:val="25"/>
        <w:rPr>
          <w:rFonts w:hint="eastAsia" w:ascii="宋体" w:hAnsi="宋体" w:eastAsia="宋体" w:cs="宋体"/>
          <w:color w:val="auto"/>
          <w:highlight w:val="none"/>
        </w:rPr>
      </w:pPr>
    </w:p>
    <w:p w14:paraId="0ED386EA">
      <w:pPr>
        <w:bidi w:val="0"/>
        <w:rPr>
          <w:rFonts w:hint="eastAsia"/>
          <w:color w:val="auto"/>
          <w:highlight w:val="none"/>
        </w:rPr>
      </w:pPr>
    </w:p>
    <w:p w14:paraId="66A38CEC">
      <w:pPr>
        <w:pStyle w:val="25"/>
        <w:numPr>
          <w:ilvl w:val="0"/>
          <w:numId w:val="0"/>
        </w:numPr>
        <w:spacing w:line="360" w:lineRule="auto"/>
        <w:ind w:left="0" w:leftChars="0" w:firstLine="0" w:firstLineChars="0"/>
        <w:rPr>
          <w:rFonts w:hint="eastAsia" w:ascii="宋体" w:hAnsi="宋体" w:eastAsia="宋体" w:cs="宋体"/>
          <w:b/>
          <w:color w:val="auto"/>
          <w:sz w:val="24"/>
          <w:highlight w:val="none"/>
          <w:lang w:val="en-US" w:eastAsia="zh-CN"/>
        </w:rPr>
      </w:pPr>
      <w:r>
        <w:rPr>
          <w:rFonts w:hint="eastAsia" w:ascii="宋体" w:hAnsi="宋体" w:eastAsia="宋体" w:cs="宋体"/>
          <w:b/>
          <w:color w:val="auto"/>
          <w:kern w:val="2"/>
          <w:sz w:val="24"/>
          <w:szCs w:val="24"/>
          <w:highlight w:val="none"/>
          <w:lang w:val="en-US" w:eastAsia="zh-CN" w:bidi="ar-SA"/>
        </w:rPr>
        <w:t>5、中小企业声明函</w:t>
      </w:r>
      <w:r>
        <w:rPr>
          <w:rFonts w:hint="eastAsia" w:ascii="宋体" w:hAnsi="宋体" w:eastAsia="宋体" w:cs="宋体"/>
          <w:b/>
          <w:color w:val="auto"/>
          <w:sz w:val="24"/>
          <w:highlight w:val="none"/>
          <w:lang w:val="en-US" w:eastAsia="zh-CN"/>
        </w:rPr>
        <w:t>或《政府采购促进中小企业发展管理办法 财库〔2020〕46号》要求提供的证明文件</w:t>
      </w:r>
    </w:p>
    <w:p w14:paraId="5BD63D26">
      <w:pPr>
        <w:pStyle w:val="26"/>
        <w:widowControl w:val="0"/>
        <w:numPr>
          <w:ilvl w:val="0"/>
          <w:numId w:val="0"/>
        </w:numPr>
        <w:jc w:val="both"/>
        <w:rPr>
          <w:rFonts w:hint="eastAsia" w:ascii="宋体" w:hAnsi="宋体" w:eastAsia="宋体" w:cs="宋体"/>
          <w:color w:val="auto"/>
          <w:highlight w:val="none"/>
        </w:rPr>
      </w:pPr>
    </w:p>
    <w:p w14:paraId="12B0EDBA">
      <w:pPr>
        <w:jc w:val="center"/>
        <w:rPr>
          <w:rFonts w:hint="eastAsia" w:ascii="宋体" w:hAnsi="宋体" w:eastAsia="宋体" w:cs="宋体"/>
          <w:color w:val="auto"/>
          <w:highlight w:val="none"/>
        </w:rPr>
      </w:pPr>
    </w:p>
    <w:p w14:paraId="46587B3A">
      <w:pPr>
        <w:spacing w:line="300" w:lineRule="exact"/>
        <w:ind w:left="422" w:hanging="422" w:hangingChars="1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中小企业声明函（工程）</w:t>
      </w:r>
    </w:p>
    <w:p w14:paraId="3149B8B1">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p>
    <w:p w14:paraId="537A63F5">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0A2636C6">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（标的名称） </w:t>
      </w:r>
      <w:r>
        <w:rPr>
          <w:rFonts w:hint="eastAsia" w:ascii="宋体" w:hAnsi="宋体" w:eastAsia="宋体" w:cs="宋体"/>
          <w:color w:val="auto"/>
          <w:sz w:val="21"/>
          <w:szCs w:val="21"/>
          <w:highlight w:val="none"/>
        </w:rPr>
        <w:t xml:space="preserve">，属于 </w:t>
      </w:r>
      <w:r>
        <w:rPr>
          <w:rFonts w:hint="eastAsia" w:ascii="宋体" w:hAnsi="宋体" w:eastAsia="宋体" w:cs="宋体"/>
          <w:color w:val="auto"/>
          <w:sz w:val="21"/>
          <w:szCs w:val="21"/>
          <w:highlight w:val="none"/>
          <w:u w:val="single"/>
        </w:rPr>
        <w:t xml:space="preserve">（采购文件中明确的所属行业） </w:t>
      </w:r>
      <w:r>
        <w:rPr>
          <w:rFonts w:hint="eastAsia" w:ascii="宋体" w:hAnsi="宋体" w:eastAsia="宋体" w:cs="宋体"/>
          <w:color w:val="auto"/>
          <w:sz w:val="21"/>
          <w:szCs w:val="21"/>
          <w:highlight w:val="none"/>
        </w:rPr>
        <w:t>；承建企业为</w:t>
      </w:r>
      <w:r>
        <w:rPr>
          <w:rFonts w:hint="eastAsia" w:ascii="宋体" w:hAnsi="宋体" w:eastAsia="宋体" w:cs="宋体"/>
          <w:color w:val="auto"/>
          <w:sz w:val="21"/>
          <w:szCs w:val="21"/>
          <w:highlight w:val="none"/>
          <w:u w:val="single"/>
        </w:rPr>
        <w:t xml:space="preserve"> （企业名称） </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w:t>
      </w:r>
    </w:p>
    <w:p w14:paraId="7DFA5523">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 xml:space="preserve"> （采购文件中明确的所属行业） </w:t>
      </w:r>
      <w:r>
        <w:rPr>
          <w:rFonts w:hint="eastAsia" w:ascii="宋体" w:hAnsi="宋体" w:eastAsia="宋体" w:cs="宋体"/>
          <w:color w:val="auto"/>
          <w:sz w:val="21"/>
          <w:szCs w:val="21"/>
          <w:highlight w:val="none"/>
        </w:rPr>
        <w:t xml:space="preserve">；承建企业为 </w:t>
      </w:r>
      <w:r>
        <w:rPr>
          <w:rFonts w:hint="eastAsia" w:ascii="宋体" w:hAnsi="宋体" w:eastAsia="宋体" w:cs="宋体"/>
          <w:color w:val="auto"/>
          <w:sz w:val="21"/>
          <w:szCs w:val="21"/>
          <w:highlight w:val="none"/>
          <w:u w:val="single"/>
        </w:rPr>
        <w:t xml:space="preserve">（企业名称） </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w:t>
      </w:r>
    </w:p>
    <w:p w14:paraId="0983F63B">
      <w:pPr>
        <w:pStyle w:val="19"/>
        <w:shd w:val="clear" w:color="auto" w:fill="FFFFFF"/>
        <w:spacing w:before="0" w:beforeAutospacing="0" w:after="0" w:afterAutospacing="0" w:line="460" w:lineRule="exact"/>
        <w:ind w:firstLine="53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3391827C">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63D41C40">
      <w:pPr>
        <w:pStyle w:val="19"/>
        <w:shd w:val="clear" w:color="auto" w:fill="FFFFFF"/>
        <w:spacing w:before="0" w:beforeAutospacing="0" w:after="0" w:afterAutospacing="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1796DA84">
      <w:pPr>
        <w:pStyle w:val="19"/>
        <w:shd w:val="clear" w:color="auto" w:fill="FFFFFF"/>
        <w:spacing w:before="0" w:beforeAutospacing="0" w:after="0" w:afterAutospacing="0" w:line="460" w:lineRule="exact"/>
        <w:ind w:firstLine="5153" w:firstLineChars="2454"/>
        <w:jc w:val="both"/>
        <w:rPr>
          <w:rFonts w:hint="eastAsia" w:ascii="宋体" w:hAnsi="宋体" w:eastAsia="宋体" w:cs="宋体"/>
          <w:color w:val="auto"/>
          <w:sz w:val="21"/>
          <w:szCs w:val="21"/>
          <w:highlight w:val="none"/>
        </w:rPr>
      </w:pPr>
    </w:p>
    <w:p w14:paraId="0CDB9B79">
      <w:pPr>
        <w:pStyle w:val="19"/>
        <w:shd w:val="clear" w:color="auto" w:fill="FFFFFF"/>
        <w:spacing w:before="0" w:beforeAutospacing="0" w:after="0" w:afterAutospacing="0" w:line="460" w:lineRule="exact"/>
        <w:ind w:firstLine="5153" w:firstLineChars="2454"/>
        <w:jc w:val="both"/>
        <w:rPr>
          <w:rFonts w:hint="eastAsia" w:ascii="宋体" w:hAnsi="宋体" w:eastAsia="宋体" w:cs="宋体"/>
          <w:color w:val="auto"/>
          <w:sz w:val="21"/>
          <w:szCs w:val="21"/>
          <w:highlight w:val="none"/>
        </w:rPr>
      </w:pPr>
    </w:p>
    <w:p w14:paraId="3AC07A1A">
      <w:pPr>
        <w:pStyle w:val="19"/>
        <w:shd w:val="clear" w:color="auto" w:fill="FFFFFF"/>
        <w:spacing w:before="0" w:beforeAutospacing="0" w:after="0" w:afterAutospacing="0" w:line="460" w:lineRule="exact"/>
        <w:ind w:firstLine="4560" w:firstLineChars="19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4"/>
          <w:szCs w:val="21"/>
          <w:highlight w:val="none"/>
          <w:lang w:eastAsia="zh-CN"/>
        </w:rPr>
        <w:t>供应商名称（电子签章）</w:t>
      </w:r>
      <w:r>
        <w:rPr>
          <w:rFonts w:hint="eastAsia" w:ascii="宋体" w:hAnsi="宋体" w:eastAsia="宋体" w:cs="宋体"/>
          <w:color w:val="auto"/>
          <w:sz w:val="21"/>
          <w:szCs w:val="21"/>
          <w:highlight w:val="none"/>
        </w:rPr>
        <w:t>：</w:t>
      </w:r>
    </w:p>
    <w:p w14:paraId="359CA66E">
      <w:pPr>
        <w:pStyle w:val="19"/>
        <w:shd w:val="clear" w:color="auto" w:fill="FFFFFF"/>
        <w:spacing w:before="0" w:beforeAutospacing="0" w:after="0" w:afterAutospacing="0" w:line="460" w:lineRule="exact"/>
        <w:ind w:firstLine="5153" w:firstLineChars="245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2C804DD9">
      <w:pPr>
        <w:pStyle w:val="19"/>
        <w:shd w:val="clear" w:color="auto" w:fill="FFFFFF"/>
        <w:spacing w:before="0" w:beforeAutospacing="0" w:after="0" w:afterAutospacing="0" w:line="460" w:lineRule="exact"/>
        <w:ind w:firstLine="539"/>
        <w:rPr>
          <w:rFonts w:hint="eastAsia" w:ascii="宋体" w:hAnsi="宋体" w:eastAsia="宋体" w:cs="宋体"/>
          <w:color w:val="auto"/>
          <w:highlight w:val="none"/>
        </w:rPr>
      </w:pPr>
    </w:p>
    <w:p w14:paraId="1B142FBE">
      <w:pPr>
        <w:pStyle w:val="19"/>
        <w:shd w:val="clear" w:color="auto" w:fill="FFFFFF"/>
        <w:spacing w:before="0" w:beforeAutospacing="0" w:after="0" w:afterAutospacing="0" w:line="460" w:lineRule="exact"/>
        <w:ind w:firstLine="539"/>
        <w:rPr>
          <w:rFonts w:hint="eastAsia" w:ascii="宋体" w:hAnsi="宋体" w:eastAsia="宋体" w:cs="宋体"/>
          <w:color w:val="auto"/>
          <w:highlight w:val="none"/>
        </w:rPr>
      </w:pPr>
    </w:p>
    <w:p w14:paraId="37595A50">
      <w:pPr>
        <w:pStyle w:val="19"/>
        <w:shd w:val="clear" w:color="auto" w:fill="FFFFFF"/>
        <w:spacing w:before="0" w:beforeAutospacing="0" w:after="0" w:afterAutospacing="0" w:line="460" w:lineRule="exact"/>
        <w:ind w:firstLine="539"/>
        <w:rPr>
          <w:rFonts w:hint="eastAsia" w:ascii="宋体" w:hAnsi="宋体" w:eastAsia="宋体" w:cs="宋体"/>
          <w:bCs/>
          <w:color w:val="auto"/>
          <w:sz w:val="28"/>
          <w:szCs w:val="28"/>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170815</wp:posOffset>
                </wp:positionH>
                <wp:positionV relativeFrom="paragraph">
                  <wp:posOffset>57785</wp:posOffset>
                </wp:positionV>
                <wp:extent cx="217424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1742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5pt;margin-top:4.55pt;height:0.05pt;width:171.2pt;z-index:251660288;mso-width-relative:page;mso-height-relative:page;" filled="f" stroked="t" coordsize="21600,21600" o:gfxdata="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25DYtMAAAAGAQAADwAAAAAAAAABACAAAAAiAAAAZHJzL2Rvd25yZXYueG1sUEsBAhQA&#10;FAAAAAgAh07iQDznLIv3AQAA5gMAAA4AAAAAAAAAAQAgAAAAIg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1"/>
          <w:szCs w:val="21"/>
          <w:highlight w:val="none"/>
        </w:rPr>
        <w:t>。</w:t>
      </w:r>
    </w:p>
    <w:p w14:paraId="357166CF">
      <w:pPr>
        <w:pStyle w:val="26"/>
        <w:rPr>
          <w:rFonts w:hint="eastAsia" w:ascii="宋体" w:hAnsi="宋体" w:eastAsia="宋体" w:cs="宋体"/>
          <w:color w:val="auto"/>
          <w:highlight w:val="none"/>
        </w:rPr>
        <w:sectPr>
          <w:footerReference r:id="rId6" w:type="default"/>
          <w:pgSz w:w="11906" w:h="16838"/>
          <w:pgMar w:top="1134" w:right="1134" w:bottom="1134" w:left="1417" w:header="851" w:footer="851" w:gutter="0"/>
          <w:pgNumType w:fmt="decimal" w:start="1"/>
          <w:cols w:space="720" w:num="1"/>
          <w:formProt w:val="1"/>
          <w:docGrid w:linePitch="312" w:charSpace="43007"/>
        </w:sectPr>
      </w:pPr>
    </w:p>
    <w:p w14:paraId="47363E6E">
      <w:pPr>
        <w:rPr>
          <w:rFonts w:hint="eastAsia" w:ascii="宋体" w:hAnsi="宋体" w:eastAsia="宋体" w:cs="宋体"/>
          <w:color w:val="auto"/>
          <w:highlight w:val="none"/>
        </w:rPr>
      </w:pPr>
    </w:p>
    <w:p w14:paraId="140671AC">
      <w:pPr>
        <w:pStyle w:val="32"/>
        <w:shd w:val="clear" w:color="auto" w:fill="FFFFFF"/>
        <w:spacing w:before="0" w:beforeAutospacing="0" w:after="0" w:afterAutospacing="0"/>
        <w:ind w:left="1836" w:hanging="1424"/>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残疾人福利性单位声明函</w:t>
      </w:r>
    </w:p>
    <w:p w14:paraId="150B2F86">
      <w:pPr>
        <w:pStyle w:val="19"/>
        <w:shd w:val="clear" w:color="auto" w:fill="FFFFFF"/>
        <w:spacing w:before="0" w:beforeAutospacing="0" w:after="0" w:afterAutospacing="0" w:line="460" w:lineRule="exact"/>
        <w:ind w:firstLine="539"/>
        <w:rPr>
          <w:rFonts w:hint="eastAsia" w:ascii="宋体" w:hAnsi="宋体" w:eastAsia="宋体" w:cs="宋体"/>
          <w:color w:val="auto"/>
          <w:highlight w:val="none"/>
        </w:rPr>
      </w:pPr>
    </w:p>
    <w:p w14:paraId="0878F04C">
      <w:pPr>
        <w:pStyle w:val="19"/>
        <w:shd w:val="clear" w:color="auto" w:fill="FFFFFF"/>
        <w:spacing w:before="0" w:beforeAutospacing="0" w:after="0" w:afterAutospacing="0" w:line="460" w:lineRule="exact"/>
        <w:ind w:firstLine="53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0419D22E">
      <w:pPr>
        <w:pStyle w:val="19"/>
        <w:shd w:val="clear" w:color="auto" w:fill="FFFFFF"/>
        <w:spacing w:before="0" w:beforeAutospacing="0" w:after="0" w:afterAutospacing="0" w:line="460" w:lineRule="exact"/>
        <w:ind w:firstLine="53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4A3DCD13">
      <w:pPr>
        <w:pStyle w:val="19"/>
        <w:shd w:val="clear" w:color="auto" w:fill="FFFFFF"/>
        <w:spacing w:before="0" w:beforeAutospacing="0" w:after="0" w:afterAutospacing="0" w:line="460" w:lineRule="exact"/>
        <w:ind w:firstLine="539"/>
        <w:rPr>
          <w:rFonts w:hint="eastAsia" w:ascii="宋体" w:hAnsi="宋体" w:eastAsia="宋体" w:cs="宋体"/>
          <w:color w:val="auto"/>
          <w:sz w:val="21"/>
          <w:szCs w:val="21"/>
          <w:highlight w:val="none"/>
        </w:rPr>
      </w:pPr>
    </w:p>
    <w:p w14:paraId="63DB477D">
      <w:pPr>
        <w:pStyle w:val="19"/>
        <w:shd w:val="clear" w:color="auto" w:fill="FFFFFF"/>
        <w:spacing w:before="0" w:beforeAutospacing="0" w:after="0" w:afterAutospacing="0" w:line="460" w:lineRule="exact"/>
        <w:ind w:firstLine="539"/>
        <w:rPr>
          <w:rFonts w:hint="eastAsia" w:ascii="宋体" w:hAnsi="宋体" w:eastAsia="宋体" w:cs="宋体"/>
          <w:color w:val="auto"/>
          <w:sz w:val="21"/>
          <w:szCs w:val="21"/>
          <w:highlight w:val="none"/>
        </w:rPr>
      </w:pPr>
    </w:p>
    <w:p w14:paraId="5D48CE5B">
      <w:pPr>
        <w:pStyle w:val="19"/>
        <w:shd w:val="clear" w:color="auto" w:fill="FFFFFF"/>
        <w:spacing w:before="0" w:beforeAutospacing="0" w:after="0" w:afterAutospacing="0" w:line="460" w:lineRule="exact"/>
        <w:ind w:firstLine="4320" w:firstLineChars="1800"/>
        <w:rPr>
          <w:rFonts w:hint="eastAsia" w:ascii="宋体" w:hAnsi="宋体" w:eastAsia="宋体" w:cs="宋体"/>
          <w:color w:val="auto"/>
          <w:sz w:val="21"/>
          <w:szCs w:val="21"/>
          <w:highlight w:val="none"/>
        </w:rPr>
      </w:pPr>
      <w:r>
        <w:rPr>
          <w:rFonts w:hint="eastAsia" w:ascii="宋体" w:hAnsi="宋体" w:eastAsia="宋体" w:cs="宋体"/>
          <w:color w:val="auto"/>
          <w:kern w:val="0"/>
          <w:sz w:val="24"/>
          <w:szCs w:val="21"/>
          <w:highlight w:val="none"/>
          <w:lang w:eastAsia="zh-CN"/>
        </w:rPr>
        <w:t>供应商名称（电子签章）</w:t>
      </w:r>
      <w:r>
        <w:rPr>
          <w:rFonts w:hint="eastAsia" w:ascii="宋体" w:hAnsi="宋体" w:eastAsia="宋体" w:cs="宋体"/>
          <w:color w:val="auto"/>
          <w:sz w:val="21"/>
          <w:szCs w:val="21"/>
          <w:highlight w:val="none"/>
        </w:rPr>
        <w:t>：</w:t>
      </w:r>
    </w:p>
    <w:p w14:paraId="3985B36D">
      <w:pPr>
        <w:pStyle w:val="19"/>
        <w:shd w:val="clear" w:color="auto" w:fill="FFFFFF"/>
        <w:spacing w:before="0" w:beforeAutospacing="0" w:after="0" w:afterAutospacing="0" w:line="460" w:lineRule="exact"/>
        <w:ind w:firstLine="4454" w:firstLineChars="21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223384BA">
      <w:pPr>
        <w:pStyle w:val="25"/>
        <w:spacing w:line="360" w:lineRule="auto"/>
        <w:rPr>
          <w:rFonts w:hint="eastAsia" w:ascii="宋体" w:hAnsi="宋体" w:eastAsia="宋体" w:cs="宋体"/>
          <w:b/>
          <w:color w:val="auto"/>
          <w:sz w:val="48"/>
          <w:szCs w:val="48"/>
          <w:highlight w:val="none"/>
        </w:rPr>
      </w:pPr>
    </w:p>
    <w:p w14:paraId="372FB28C">
      <w:pPr>
        <w:pStyle w:val="26"/>
        <w:rPr>
          <w:rFonts w:hint="eastAsia" w:ascii="宋体" w:hAnsi="宋体" w:eastAsia="宋体" w:cs="宋体"/>
          <w:b/>
          <w:color w:val="auto"/>
          <w:sz w:val="48"/>
          <w:szCs w:val="48"/>
          <w:highlight w:val="none"/>
        </w:rPr>
      </w:pPr>
    </w:p>
    <w:p w14:paraId="02C73A20">
      <w:pPr>
        <w:pStyle w:val="25"/>
        <w:rPr>
          <w:rFonts w:hint="eastAsia" w:ascii="宋体" w:hAnsi="宋体" w:eastAsia="宋体" w:cs="宋体"/>
          <w:b/>
          <w:color w:val="auto"/>
          <w:sz w:val="48"/>
          <w:szCs w:val="48"/>
          <w:highlight w:val="none"/>
        </w:rPr>
      </w:pPr>
    </w:p>
    <w:p w14:paraId="5B2E3AD6">
      <w:pPr>
        <w:pStyle w:val="26"/>
        <w:rPr>
          <w:rFonts w:hint="eastAsia" w:ascii="宋体" w:hAnsi="宋体" w:eastAsia="宋体" w:cs="宋体"/>
          <w:b/>
          <w:color w:val="auto"/>
          <w:sz w:val="48"/>
          <w:szCs w:val="48"/>
          <w:highlight w:val="none"/>
        </w:rPr>
      </w:pPr>
    </w:p>
    <w:p w14:paraId="04828376">
      <w:pPr>
        <w:pStyle w:val="2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p>
    <w:p w14:paraId="2C409A3D">
      <w:pPr>
        <w:pStyle w:val="25"/>
        <w:rPr>
          <w:rFonts w:hint="eastAsia" w:ascii="宋体" w:hAnsi="宋体" w:eastAsia="宋体" w:cs="宋体"/>
          <w:b/>
          <w:color w:val="auto"/>
          <w:sz w:val="48"/>
          <w:szCs w:val="48"/>
          <w:highlight w:val="none"/>
        </w:rPr>
      </w:pPr>
    </w:p>
    <w:p w14:paraId="74BCE857">
      <w:pPr>
        <w:pStyle w:val="26"/>
        <w:rPr>
          <w:rFonts w:hint="eastAsia" w:ascii="宋体" w:hAnsi="宋体" w:eastAsia="宋体" w:cs="宋体"/>
          <w:b/>
          <w:color w:val="auto"/>
          <w:sz w:val="48"/>
          <w:szCs w:val="48"/>
          <w:highlight w:val="none"/>
        </w:rPr>
      </w:pPr>
    </w:p>
    <w:p w14:paraId="40E450C3">
      <w:pPr>
        <w:pStyle w:val="25"/>
        <w:rPr>
          <w:rFonts w:hint="eastAsia" w:ascii="宋体" w:hAnsi="宋体" w:eastAsia="宋体" w:cs="宋体"/>
          <w:b/>
          <w:color w:val="auto"/>
          <w:sz w:val="48"/>
          <w:szCs w:val="48"/>
          <w:highlight w:val="none"/>
        </w:rPr>
      </w:pPr>
    </w:p>
    <w:p w14:paraId="7EB41515">
      <w:pPr>
        <w:pStyle w:val="26"/>
        <w:rPr>
          <w:rFonts w:hint="eastAsia" w:ascii="宋体" w:hAnsi="宋体" w:eastAsia="宋体" w:cs="宋体"/>
          <w:b/>
          <w:color w:val="auto"/>
          <w:sz w:val="48"/>
          <w:szCs w:val="48"/>
          <w:highlight w:val="none"/>
        </w:rPr>
      </w:pPr>
    </w:p>
    <w:p w14:paraId="66DDA285">
      <w:pPr>
        <w:pStyle w:val="25"/>
        <w:rPr>
          <w:rFonts w:hint="eastAsia" w:ascii="宋体" w:hAnsi="宋体" w:eastAsia="宋体" w:cs="宋体"/>
          <w:b/>
          <w:color w:val="auto"/>
          <w:sz w:val="48"/>
          <w:szCs w:val="48"/>
          <w:highlight w:val="none"/>
        </w:rPr>
      </w:pPr>
    </w:p>
    <w:p w14:paraId="39D01012">
      <w:pPr>
        <w:pStyle w:val="26"/>
        <w:rPr>
          <w:rFonts w:hint="eastAsia" w:ascii="宋体" w:hAnsi="宋体" w:eastAsia="宋体" w:cs="宋体"/>
          <w:color w:val="auto"/>
          <w:highlight w:val="none"/>
        </w:rPr>
      </w:pPr>
    </w:p>
    <w:p w14:paraId="7A805F10">
      <w:pPr>
        <w:pStyle w:val="26"/>
        <w:rPr>
          <w:rFonts w:hint="eastAsia" w:ascii="宋体" w:hAnsi="宋体" w:eastAsia="宋体" w:cs="宋体"/>
          <w:b/>
          <w:color w:val="auto"/>
          <w:sz w:val="48"/>
          <w:szCs w:val="48"/>
          <w:highlight w:val="none"/>
        </w:rPr>
      </w:pPr>
    </w:p>
    <w:p w14:paraId="567606BF">
      <w:pPr>
        <w:pStyle w:val="25"/>
        <w:rPr>
          <w:rFonts w:hint="eastAsia" w:ascii="宋体" w:hAnsi="宋体" w:eastAsia="宋体" w:cs="宋体"/>
          <w:color w:val="auto"/>
          <w:highlight w:val="none"/>
        </w:rPr>
      </w:pPr>
    </w:p>
    <w:p w14:paraId="319E0CB9">
      <w:pPr>
        <w:pStyle w:val="26"/>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附件：中小微企业划型标准</w:t>
      </w:r>
    </w:p>
    <w:tbl>
      <w:tblPr>
        <w:tblStyle w:val="21"/>
        <w:tblW w:w="0" w:type="auto"/>
        <w:jc w:val="center"/>
        <w:tblLayout w:type="fixed"/>
        <w:tblCellMar>
          <w:top w:w="0" w:type="dxa"/>
          <w:left w:w="108" w:type="dxa"/>
          <w:bottom w:w="0" w:type="dxa"/>
          <w:right w:w="108" w:type="dxa"/>
        </w:tblCellMar>
      </w:tblPr>
      <w:tblGrid>
        <w:gridCol w:w="1985"/>
        <w:gridCol w:w="1985"/>
        <w:gridCol w:w="851"/>
        <w:gridCol w:w="1843"/>
        <w:gridCol w:w="1702"/>
        <w:gridCol w:w="1134"/>
      </w:tblGrid>
      <w:tr w14:paraId="764B23B5">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360AA15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noWrap w:val="0"/>
            <w:vAlign w:val="center"/>
          </w:tcPr>
          <w:p w14:paraId="41F2C6A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C9314C4">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noWrap w:val="0"/>
            <w:vAlign w:val="center"/>
          </w:tcPr>
          <w:p w14:paraId="757F110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noWrap w:val="0"/>
            <w:vAlign w:val="center"/>
          </w:tcPr>
          <w:p w14:paraId="37DBEDA1">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260A14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C407DFD">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57E5040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noWrap w:val="0"/>
            <w:vAlign w:val="center"/>
          </w:tcPr>
          <w:p w14:paraId="7BD7A8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72434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DEF08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noWrap w:val="0"/>
            <w:vAlign w:val="center"/>
          </w:tcPr>
          <w:p w14:paraId="65E7977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6E0E65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175D4A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380F3D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noWrap w:val="0"/>
            <w:vAlign w:val="center"/>
          </w:tcPr>
          <w:p w14:paraId="226B88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CCE06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4CF3BB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71818B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FC2B4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2AAE7C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AF3B399">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3B5EA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C9BEC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D6980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noWrap w:val="0"/>
            <w:vAlign w:val="center"/>
          </w:tcPr>
          <w:p w14:paraId="3A3CBC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699218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A7B2D5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FE829E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noWrap w:val="0"/>
            <w:vAlign w:val="center"/>
          </w:tcPr>
          <w:p w14:paraId="67BDE9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BD37A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E1634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noWrap w:val="0"/>
            <w:vAlign w:val="center"/>
          </w:tcPr>
          <w:p w14:paraId="1205D8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058B21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395C52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F474DB9">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158C1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7EDB8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760AA8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noWrap w:val="0"/>
            <w:vAlign w:val="center"/>
          </w:tcPr>
          <w:p w14:paraId="200BC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BBC2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69D057A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87C1E4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noWrap w:val="0"/>
            <w:vAlign w:val="center"/>
          </w:tcPr>
          <w:p w14:paraId="3119B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931AF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68A13F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noWrap w:val="0"/>
            <w:vAlign w:val="center"/>
          </w:tcPr>
          <w:p w14:paraId="54DB4B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09D097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54D7F71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C759EC0">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82AAD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F54C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6D0763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noWrap w:val="0"/>
            <w:vAlign w:val="center"/>
          </w:tcPr>
          <w:p w14:paraId="074E48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2FA8FD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6645410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7BC5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noWrap w:val="0"/>
            <w:vAlign w:val="center"/>
          </w:tcPr>
          <w:p w14:paraId="4E4EF6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C19D7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53C3DD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noWrap w:val="0"/>
            <w:vAlign w:val="center"/>
          </w:tcPr>
          <w:p w14:paraId="5115CA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382BE2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88557B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2842AE2">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8F7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7E00E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6BB4C4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noWrap w:val="0"/>
            <w:vAlign w:val="center"/>
          </w:tcPr>
          <w:p w14:paraId="5779E3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45ADEA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B2B36B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82613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noWrap w:val="0"/>
            <w:vAlign w:val="center"/>
          </w:tcPr>
          <w:p w14:paraId="57CB36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E1EB6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7B6D8F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31FA76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A41A0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CA0FCF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7D5E645">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E625B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A27EB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38AAC8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noWrap w:val="0"/>
            <w:vAlign w:val="center"/>
          </w:tcPr>
          <w:p w14:paraId="453A7E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309908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D62C57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C19913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noWrap w:val="0"/>
            <w:vAlign w:val="center"/>
          </w:tcPr>
          <w:p w14:paraId="73731F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7424C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36B487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noWrap w:val="0"/>
            <w:vAlign w:val="center"/>
          </w:tcPr>
          <w:p w14:paraId="62F4C1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37DE39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931B5D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46E17B9">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97010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8E524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4CEAE5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noWrap w:val="0"/>
            <w:vAlign w:val="center"/>
          </w:tcPr>
          <w:p w14:paraId="1C5DEA7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06B32C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3477C6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FA5FF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noWrap w:val="0"/>
            <w:vAlign w:val="center"/>
          </w:tcPr>
          <w:p w14:paraId="30B00A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867D8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2CF7D2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0AAFA8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49AD9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652218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D2FA4D7">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2B474F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079EE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C23E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noWrap w:val="0"/>
            <w:vAlign w:val="center"/>
          </w:tcPr>
          <w:p w14:paraId="55D46F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94750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284EC4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95A299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noWrap w:val="0"/>
            <w:vAlign w:val="center"/>
          </w:tcPr>
          <w:p w14:paraId="2A12F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BB7EF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19627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70A243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D8A5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8B98A4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C725471">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DDD42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83731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2468BC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noWrap w:val="0"/>
            <w:vAlign w:val="center"/>
          </w:tcPr>
          <w:p w14:paraId="508151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028B1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DA5F4B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68ADF3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noWrap w:val="0"/>
            <w:vAlign w:val="center"/>
          </w:tcPr>
          <w:p w14:paraId="006E4B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83746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2D2661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4E14F4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6487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6B8AB9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738A384">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C2EEB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A9EC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5F5D46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noWrap w:val="0"/>
            <w:vAlign w:val="center"/>
          </w:tcPr>
          <w:p w14:paraId="78941C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97EBF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E1053D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7BBB32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noWrap w:val="0"/>
            <w:vAlign w:val="center"/>
          </w:tcPr>
          <w:p w14:paraId="4630F7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91DD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7C9FE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noWrap w:val="0"/>
            <w:vAlign w:val="center"/>
          </w:tcPr>
          <w:p w14:paraId="4F83B8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EA2CD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DC991D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B9AAFD2">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5CCFA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00A37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5E7CD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noWrap w:val="0"/>
            <w:vAlign w:val="center"/>
          </w:tcPr>
          <w:p w14:paraId="1520E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87AAD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21541F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664A3E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noWrap w:val="0"/>
            <w:vAlign w:val="center"/>
          </w:tcPr>
          <w:p w14:paraId="3367CF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1584B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405F2B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1E0296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BEEB1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A43E7F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A32957E">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D49D0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5E74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B2CD1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noWrap w:val="0"/>
            <w:vAlign w:val="center"/>
          </w:tcPr>
          <w:p w14:paraId="03244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788A2B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3B3F27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E84660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noWrap w:val="0"/>
            <w:vAlign w:val="center"/>
          </w:tcPr>
          <w:p w14:paraId="486EAF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F9F92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568728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noWrap w:val="0"/>
            <w:vAlign w:val="center"/>
          </w:tcPr>
          <w:p w14:paraId="50563E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748600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3082E0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851FE8E">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990AE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0DCB18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8B23C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noWrap w:val="0"/>
            <w:vAlign w:val="center"/>
          </w:tcPr>
          <w:p w14:paraId="075949E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70A138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4CDE60C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6C639F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noWrap w:val="0"/>
            <w:vAlign w:val="center"/>
          </w:tcPr>
          <w:p w14:paraId="29D0E8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4CE41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5CADF0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1C0588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58B9F4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950D68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A6FA8D8">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9B645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C7278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3E71D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noWrap w:val="0"/>
            <w:vAlign w:val="center"/>
          </w:tcPr>
          <w:p w14:paraId="732166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78079F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1CE2A01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64BC27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noWrap w:val="0"/>
            <w:vAlign w:val="center"/>
          </w:tcPr>
          <w:p w14:paraId="443F83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CBFE7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7DD598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690A6E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B3BA4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37933A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B7F316B">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D38F6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A2431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D0828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noWrap w:val="0"/>
            <w:vAlign w:val="center"/>
          </w:tcPr>
          <w:p w14:paraId="71348D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7EC4EE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253890E">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10243E7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noWrap w:val="0"/>
            <w:vAlign w:val="center"/>
          </w:tcPr>
          <w:p w14:paraId="4CB653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E4649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24734E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47E9EF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16851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15E0CBE3">
      <w:pPr>
        <w:pStyle w:val="25"/>
        <w:bidi w:val="0"/>
        <w:rPr>
          <w:rFonts w:hint="eastAsia" w:ascii="宋体" w:hAnsi="宋体" w:eastAsia="宋体" w:cs="宋体"/>
          <w:color w:val="auto"/>
          <w:highlight w:val="none"/>
          <w:lang w:eastAsia="zh-CN"/>
        </w:rPr>
      </w:pPr>
    </w:p>
    <w:p w14:paraId="122914BC">
      <w:pPr>
        <w:pStyle w:val="29"/>
        <w:rPr>
          <w:rFonts w:hint="eastAsia" w:ascii="宋体" w:hAnsi="宋体" w:eastAsia="宋体" w:cs="宋体"/>
          <w:color w:val="auto"/>
          <w:highlight w:val="none"/>
        </w:rPr>
      </w:pPr>
    </w:p>
    <w:p w14:paraId="650C363B">
      <w:pPr>
        <w:pStyle w:val="25"/>
        <w:rPr>
          <w:rFonts w:hint="eastAsia" w:ascii="宋体" w:hAnsi="宋体" w:eastAsia="宋体" w:cs="宋体"/>
          <w:color w:val="auto"/>
          <w:highlight w:val="none"/>
        </w:rPr>
      </w:pPr>
    </w:p>
    <w:p w14:paraId="30670F41">
      <w:pPr>
        <w:pStyle w:val="26"/>
        <w:rPr>
          <w:rFonts w:hint="eastAsia" w:ascii="宋体" w:hAnsi="宋体" w:eastAsia="宋体" w:cs="宋体"/>
          <w:color w:val="auto"/>
          <w:highlight w:val="none"/>
        </w:rPr>
      </w:pPr>
    </w:p>
    <w:p w14:paraId="5395FC7D">
      <w:pPr>
        <w:pStyle w:val="25"/>
        <w:rPr>
          <w:rFonts w:hint="eastAsia" w:ascii="宋体" w:hAnsi="宋体" w:eastAsia="宋体" w:cs="宋体"/>
          <w:color w:val="auto"/>
          <w:highlight w:val="none"/>
        </w:rPr>
      </w:pPr>
    </w:p>
    <w:p w14:paraId="519DE7AE">
      <w:pPr>
        <w:pStyle w:val="26"/>
        <w:rPr>
          <w:rFonts w:hint="eastAsia" w:ascii="宋体" w:hAnsi="宋体" w:eastAsia="宋体" w:cs="宋体"/>
          <w:color w:val="auto"/>
          <w:highlight w:val="none"/>
        </w:rPr>
      </w:pPr>
    </w:p>
    <w:p w14:paraId="477E7DB4">
      <w:pPr>
        <w:pStyle w:val="25"/>
        <w:rPr>
          <w:rFonts w:hint="eastAsia" w:ascii="宋体" w:hAnsi="宋体" w:eastAsia="宋体" w:cs="宋体"/>
          <w:color w:val="auto"/>
          <w:highlight w:val="none"/>
        </w:rPr>
      </w:pPr>
    </w:p>
    <w:p w14:paraId="1139C12E">
      <w:pPr>
        <w:pStyle w:val="26"/>
        <w:rPr>
          <w:rFonts w:hint="eastAsia" w:ascii="宋体" w:hAnsi="宋体" w:eastAsia="宋体" w:cs="宋体"/>
          <w:color w:val="auto"/>
          <w:highlight w:val="none"/>
        </w:rPr>
      </w:pPr>
    </w:p>
    <w:p w14:paraId="7447D266">
      <w:pPr>
        <w:pStyle w:val="25"/>
        <w:rPr>
          <w:rFonts w:hint="eastAsia" w:ascii="宋体" w:hAnsi="宋体" w:eastAsia="宋体" w:cs="宋体"/>
          <w:color w:val="auto"/>
          <w:highlight w:val="none"/>
        </w:rPr>
      </w:pPr>
    </w:p>
    <w:p w14:paraId="7FA5701F">
      <w:pPr>
        <w:pStyle w:val="26"/>
        <w:rPr>
          <w:rFonts w:hint="eastAsia" w:ascii="宋体" w:hAnsi="宋体" w:eastAsia="宋体" w:cs="宋体"/>
          <w:color w:val="auto"/>
          <w:highlight w:val="none"/>
        </w:rPr>
      </w:pPr>
    </w:p>
    <w:p w14:paraId="04C0A663">
      <w:pPr>
        <w:pStyle w:val="25"/>
        <w:rPr>
          <w:rFonts w:hint="eastAsia" w:ascii="宋体" w:hAnsi="宋体" w:eastAsia="宋体" w:cs="宋体"/>
          <w:color w:val="auto"/>
          <w:highlight w:val="none"/>
        </w:rPr>
      </w:pPr>
    </w:p>
    <w:p w14:paraId="0ACF3C0C">
      <w:pPr>
        <w:pStyle w:val="26"/>
        <w:rPr>
          <w:rFonts w:hint="eastAsia" w:ascii="宋体" w:hAnsi="宋体" w:eastAsia="宋体" w:cs="宋体"/>
          <w:color w:val="auto"/>
          <w:highlight w:val="none"/>
        </w:rPr>
      </w:pPr>
    </w:p>
    <w:p w14:paraId="08E5230A">
      <w:pPr>
        <w:pStyle w:val="25"/>
        <w:rPr>
          <w:rFonts w:hint="eastAsia" w:ascii="宋体" w:hAnsi="宋体" w:eastAsia="宋体" w:cs="宋体"/>
          <w:color w:val="auto"/>
          <w:highlight w:val="none"/>
        </w:rPr>
      </w:pPr>
    </w:p>
    <w:p w14:paraId="07EC8652">
      <w:pPr>
        <w:pStyle w:val="26"/>
        <w:rPr>
          <w:rFonts w:hint="eastAsia" w:ascii="宋体" w:hAnsi="宋体" w:eastAsia="宋体" w:cs="宋体"/>
          <w:color w:val="auto"/>
          <w:highlight w:val="none"/>
        </w:rPr>
      </w:pPr>
    </w:p>
    <w:p w14:paraId="6CCF68D7">
      <w:pPr>
        <w:pStyle w:val="25"/>
        <w:rPr>
          <w:rFonts w:hint="eastAsia" w:ascii="宋体" w:hAnsi="宋体" w:eastAsia="宋体" w:cs="宋体"/>
          <w:color w:val="auto"/>
          <w:highlight w:val="none"/>
        </w:rPr>
      </w:pPr>
    </w:p>
    <w:p w14:paraId="55AFCA02">
      <w:pPr>
        <w:pStyle w:val="26"/>
        <w:rPr>
          <w:rFonts w:hint="eastAsia" w:ascii="宋体" w:hAnsi="宋体" w:eastAsia="宋体" w:cs="宋体"/>
          <w:color w:val="auto"/>
          <w:highlight w:val="none"/>
        </w:rPr>
      </w:pPr>
    </w:p>
    <w:p w14:paraId="4678ADD4">
      <w:pPr>
        <w:pStyle w:val="25"/>
        <w:rPr>
          <w:rFonts w:hint="eastAsia" w:ascii="宋体" w:hAnsi="宋体" w:eastAsia="宋体" w:cs="宋体"/>
          <w:color w:val="auto"/>
          <w:highlight w:val="none"/>
        </w:rPr>
      </w:pPr>
    </w:p>
    <w:p w14:paraId="66B5B8B8">
      <w:pPr>
        <w:snapToGrid w:val="0"/>
        <w:spacing w:before="120" w:beforeLines="50" w:after="50"/>
        <w:jc w:val="center"/>
        <w:rPr>
          <w:rFonts w:hint="eastAsia" w:ascii="宋体" w:hAnsi="宋体" w:eastAsia="宋体" w:cs="宋体"/>
          <w:bCs/>
          <w:color w:val="auto"/>
          <w:sz w:val="84"/>
          <w:szCs w:val="84"/>
          <w:highlight w:val="none"/>
        </w:rPr>
      </w:pPr>
    </w:p>
    <w:p w14:paraId="6A18F27F">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326AAE63">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报  价  文  件</w:t>
      </w:r>
    </w:p>
    <w:p w14:paraId="4113BE7C">
      <w:pPr>
        <w:snapToGrid w:val="0"/>
        <w:spacing w:before="120" w:beforeLines="50" w:after="50"/>
        <w:rPr>
          <w:rFonts w:hint="eastAsia" w:ascii="宋体" w:hAnsi="宋体" w:eastAsia="宋体" w:cs="宋体"/>
          <w:bCs/>
          <w:color w:val="auto"/>
          <w:sz w:val="24"/>
          <w:szCs w:val="20"/>
          <w:highlight w:val="none"/>
        </w:rPr>
      </w:pPr>
    </w:p>
    <w:p w14:paraId="47A0A350">
      <w:pPr>
        <w:snapToGrid w:val="0"/>
        <w:spacing w:before="120" w:beforeLines="50" w:after="50"/>
        <w:rPr>
          <w:rFonts w:hint="eastAsia" w:ascii="宋体" w:hAnsi="宋体" w:eastAsia="宋体" w:cs="宋体"/>
          <w:bCs/>
          <w:color w:val="auto"/>
          <w:sz w:val="24"/>
          <w:szCs w:val="20"/>
          <w:highlight w:val="none"/>
        </w:rPr>
      </w:pPr>
    </w:p>
    <w:p w14:paraId="114089B5">
      <w:pPr>
        <w:snapToGrid w:val="0"/>
        <w:spacing w:before="120" w:beforeLines="50" w:after="50"/>
        <w:rPr>
          <w:rFonts w:hint="eastAsia" w:ascii="宋体" w:hAnsi="宋体" w:eastAsia="宋体" w:cs="宋体"/>
          <w:bCs/>
          <w:color w:val="auto"/>
          <w:sz w:val="24"/>
          <w:szCs w:val="20"/>
          <w:highlight w:val="none"/>
        </w:rPr>
      </w:pPr>
    </w:p>
    <w:p w14:paraId="701D0E66">
      <w:pPr>
        <w:snapToGrid w:val="0"/>
        <w:spacing w:before="120" w:beforeLines="50" w:after="50"/>
        <w:rPr>
          <w:rFonts w:hint="eastAsia" w:ascii="宋体" w:hAnsi="宋体" w:eastAsia="宋体" w:cs="宋体"/>
          <w:bCs/>
          <w:color w:val="auto"/>
          <w:sz w:val="24"/>
          <w:szCs w:val="20"/>
          <w:highlight w:val="none"/>
        </w:rPr>
      </w:pPr>
    </w:p>
    <w:p w14:paraId="4737C27A">
      <w:pPr>
        <w:snapToGrid w:val="0"/>
        <w:spacing w:before="120" w:beforeLines="50" w:after="50"/>
        <w:rPr>
          <w:rFonts w:hint="eastAsia" w:ascii="宋体" w:hAnsi="宋体" w:eastAsia="宋体" w:cs="宋体"/>
          <w:bCs/>
          <w:color w:val="auto"/>
          <w:sz w:val="24"/>
          <w:szCs w:val="20"/>
          <w:highlight w:val="none"/>
        </w:rPr>
      </w:pPr>
    </w:p>
    <w:p w14:paraId="5989720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B583900">
      <w:pPr>
        <w:snapToGrid w:val="0"/>
        <w:spacing w:before="120" w:beforeLines="50" w:after="50"/>
        <w:ind w:firstLine="720" w:firstLineChars="225"/>
        <w:rPr>
          <w:rFonts w:hint="eastAsia" w:ascii="宋体" w:hAnsi="宋体" w:eastAsia="宋体" w:cs="宋体"/>
          <w:bCs/>
          <w:color w:val="auto"/>
          <w:sz w:val="32"/>
          <w:szCs w:val="32"/>
          <w:highlight w:val="none"/>
        </w:rPr>
      </w:pPr>
    </w:p>
    <w:p w14:paraId="18E3A99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F45488D">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2F3C283">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CAC936D">
      <w:pPr>
        <w:pStyle w:val="8"/>
        <w:snapToGrid w:val="0"/>
        <w:spacing w:before="50" w:after="50"/>
        <w:ind w:firstLine="720" w:firstLineChars="225"/>
        <w:rPr>
          <w:rFonts w:hint="eastAsia" w:ascii="宋体" w:hAnsi="宋体" w:eastAsia="宋体" w:cs="宋体"/>
          <w:bCs/>
          <w:color w:val="auto"/>
          <w:sz w:val="32"/>
          <w:szCs w:val="32"/>
          <w:highlight w:val="none"/>
        </w:rPr>
      </w:pPr>
    </w:p>
    <w:p w14:paraId="68077AEB">
      <w:pPr>
        <w:pStyle w:val="8"/>
        <w:snapToGrid w:val="0"/>
        <w:spacing w:before="50" w:after="50"/>
        <w:ind w:firstLine="720" w:firstLineChars="225"/>
        <w:rPr>
          <w:rFonts w:hint="eastAsia" w:ascii="宋体" w:hAnsi="宋体" w:eastAsia="宋体" w:cs="宋体"/>
          <w:bCs/>
          <w:color w:val="auto"/>
          <w:sz w:val="32"/>
          <w:szCs w:val="32"/>
          <w:highlight w:val="none"/>
        </w:rPr>
      </w:pPr>
    </w:p>
    <w:p w14:paraId="6D58D06C">
      <w:pPr>
        <w:pStyle w:val="8"/>
        <w:snapToGrid w:val="0"/>
        <w:spacing w:before="50" w:after="50"/>
        <w:ind w:firstLine="1280" w:firstLineChars="400"/>
        <w:rPr>
          <w:rFonts w:hint="eastAsia" w:ascii="宋体" w:hAnsi="宋体" w:eastAsia="宋体" w:cs="宋体"/>
          <w:bCs/>
          <w:color w:val="auto"/>
          <w:sz w:val="32"/>
          <w:szCs w:val="32"/>
          <w:highlight w:val="none"/>
        </w:rPr>
      </w:pPr>
    </w:p>
    <w:p w14:paraId="3B05A70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2A5A149">
      <w:pPr>
        <w:pStyle w:val="25"/>
        <w:spacing w:line="360" w:lineRule="auto"/>
        <w:rPr>
          <w:rFonts w:hint="eastAsia" w:ascii="宋体" w:hAnsi="宋体" w:eastAsia="宋体" w:cs="宋体"/>
          <w:b/>
          <w:color w:val="auto"/>
          <w:sz w:val="28"/>
          <w:szCs w:val="28"/>
          <w:highlight w:val="none"/>
        </w:rPr>
      </w:pPr>
      <w:r>
        <w:rPr>
          <w:rFonts w:hint="eastAsia" w:ascii="宋体" w:hAnsi="宋体" w:eastAsia="宋体" w:cs="宋体"/>
          <w:color w:val="auto"/>
          <w:sz w:val="24"/>
          <w:highlight w:val="none"/>
        </w:rPr>
        <w:br w:type="page"/>
      </w:r>
    </w:p>
    <w:p w14:paraId="2492088D">
      <w:pPr>
        <w:pStyle w:val="25"/>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8185E13">
      <w:pPr>
        <w:pStyle w:val="25"/>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根据竞争性磋商文件规定及供应商提供的材料自行编写目录（部分格式后附）</w:t>
      </w:r>
    </w:p>
    <w:p w14:paraId="10948546">
      <w:pPr>
        <w:pStyle w:val="26"/>
        <w:rPr>
          <w:rFonts w:hint="eastAsia" w:ascii="宋体" w:hAnsi="宋体" w:eastAsia="宋体" w:cs="宋体"/>
          <w:color w:val="auto"/>
          <w:highlight w:val="none"/>
        </w:rPr>
      </w:pPr>
    </w:p>
    <w:p w14:paraId="2B5B7BAA">
      <w:pPr>
        <w:pStyle w:val="25"/>
        <w:spacing w:line="360" w:lineRule="auto"/>
        <w:rPr>
          <w:rFonts w:hint="eastAsia" w:ascii="宋体" w:hAnsi="宋体" w:eastAsia="宋体" w:cs="宋体"/>
          <w:color w:val="auto"/>
          <w:szCs w:val="21"/>
          <w:highlight w:val="none"/>
        </w:rPr>
      </w:pPr>
    </w:p>
    <w:p w14:paraId="146361DC">
      <w:pPr>
        <w:pStyle w:val="26"/>
        <w:rPr>
          <w:rFonts w:hint="eastAsia" w:ascii="宋体" w:hAnsi="宋体" w:eastAsia="宋体" w:cs="宋体"/>
          <w:color w:val="auto"/>
          <w:highlight w:val="none"/>
        </w:rPr>
      </w:pPr>
    </w:p>
    <w:p w14:paraId="7F40EF64">
      <w:pPr>
        <w:pStyle w:val="25"/>
        <w:spacing w:line="360" w:lineRule="auto"/>
        <w:rPr>
          <w:rFonts w:hint="eastAsia" w:ascii="宋体" w:hAnsi="宋体" w:eastAsia="宋体" w:cs="宋体"/>
          <w:b/>
          <w:color w:val="auto"/>
          <w:sz w:val="28"/>
          <w:szCs w:val="28"/>
          <w:highlight w:val="none"/>
        </w:rPr>
      </w:pPr>
    </w:p>
    <w:p w14:paraId="59D98984">
      <w:pPr>
        <w:pStyle w:val="25"/>
        <w:spacing w:line="360" w:lineRule="auto"/>
        <w:jc w:val="left"/>
        <w:rPr>
          <w:rFonts w:hint="eastAsia" w:ascii="宋体" w:hAnsi="宋体" w:eastAsia="宋体" w:cs="宋体"/>
          <w:b/>
          <w:color w:val="auto"/>
          <w:sz w:val="28"/>
          <w:szCs w:val="28"/>
          <w:highlight w:val="none"/>
        </w:rPr>
        <w:sectPr>
          <w:pgSz w:w="11906" w:h="16838"/>
          <w:pgMar w:top="1134" w:right="1134" w:bottom="1134" w:left="1417" w:header="851" w:footer="851" w:gutter="0"/>
          <w:pgNumType w:fmt="decimal"/>
          <w:cols w:space="720" w:num="1"/>
          <w:formProt w:val="0"/>
          <w:docGrid w:linePitch="312" w:charSpace="43007"/>
        </w:sectPr>
      </w:pPr>
    </w:p>
    <w:p w14:paraId="7FC13AF2">
      <w:pPr>
        <w:pStyle w:val="25"/>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磋商函</w:t>
      </w:r>
    </w:p>
    <w:p w14:paraId="0500848F">
      <w:pPr>
        <w:pStyle w:val="25"/>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磋  商  函</w:t>
      </w:r>
    </w:p>
    <w:p w14:paraId="07C3D5B7">
      <w:pPr>
        <w:pStyle w:val="25"/>
        <w:spacing w:line="360" w:lineRule="auto"/>
        <w:ind w:left="141"/>
        <w:rPr>
          <w:rFonts w:hint="eastAsia" w:ascii="宋体" w:hAnsi="宋体" w:eastAsia="宋体" w:cs="宋体"/>
          <w:color w:val="auto"/>
          <w:szCs w:val="21"/>
          <w:highlight w:val="none"/>
          <w:u w:val="single"/>
        </w:rPr>
      </w:pPr>
    </w:p>
    <w:p w14:paraId="2BB6A32A">
      <w:pPr>
        <w:spacing w:line="360" w:lineRule="auto"/>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u w:val="single"/>
        </w:rPr>
        <w:t>致：（采购人名称）</w:t>
      </w:r>
    </w:p>
    <w:p w14:paraId="187420F2">
      <w:pPr>
        <w:autoSpaceDE w:val="0"/>
        <w:autoSpaceDN w:val="0"/>
        <w:adjustRightInd w:val="0"/>
        <w:spacing w:line="36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1.根据你方</w:t>
      </w:r>
      <w:r>
        <w:rPr>
          <w:rFonts w:hint="eastAsia" w:ascii="宋体" w:hAnsi="宋体" w:eastAsia="宋体" w:cs="宋体"/>
          <w:color w:val="auto"/>
          <w:kern w:val="0"/>
          <w:sz w:val="21"/>
          <w:szCs w:val="22"/>
          <w:highlight w:val="none"/>
          <w:u w:val="single"/>
        </w:rPr>
        <w:t>（项目名称和编号）</w:t>
      </w:r>
      <w:r>
        <w:rPr>
          <w:rFonts w:hint="eastAsia" w:ascii="宋体" w:hAnsi="宋体" w:eastAsia="宋体" w:cs="宋体"/>
          <w:color w:val="auto"/>
          <w:kern w:val="0"/>
          <w:sz w:val="21"/>
          <w:szCs w:val="22"/>
          <w:highlight w:val="none"/>
        </w:rPr>
        <w:t>工程的采购文件，遵照采购投标有关法律、法规和规章的规定，经我公司研究上述采购文件的竞标须知、合同条款、图纸、工程质量标准及其他有关文件后，我方愿以人民币</w:t>
      </w:r>
      <w:r>
        <w:rPr>
          <w:rFonts w:hint="eastAsia" w:ascii="宋体" w:hAnsi="宋体" w:eastAsia="宋体" w:cs="宋体"/>
          <w:color w:val="auto"/>
          <w:kern w:val="0"/>
          <w:sz w:val="21"/>
          <w:szCs w:val="22"/>
          <w:highlight w:val="none"/>
          <w:u w:val="single"/>
        </w:rPr>
        <w:t>：</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元）</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rPr>
        <w:t>的竞标总价，并按上述图纸、合同条款、工程建设标准的条件要求承包上述工程的施工、竣工，并承担任何质量缺陷保修责任。</w:t>
      </w:r>
    </w:p>
    <w:p w14:paraId="5E6559F8">
      <w:pPr>
        <w:autoSpaceDE w:val="0"/>
        <w:autoSpaceDN w:val="0"/>
        <w:adjustRightInd w:val="0"/>
        <w:spacing w:line="36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2. 我方已详细审核全部采购文件，包括采购补遗文件及有关附件。</w:t>
      </w:r>
    </w:p>
    <w:p w14:paraId="75E3230D">
      <w:pPr>
        <w:autoSpaceDE w:val="0"/>
        <w:autoSpaceDN w:val="0"/>
        <w:adjustRightInd w:val="0"/>
        <w:spacing w:line="36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3. 我方承认</w:t>
      </w:r>
      <w:r>
        <w:rPr>
          <w:rFonts w:hint="eastAsia" w:ascii="宋体" w:hAnsi="宋体" w:eastAsia="宋体" w:cs="宋体"/>
          <w:color w:val="auto"/>
          <w:kern w:val="0"/>
          <w:sz w:val="21"/>
          <w:szCs w:val="22"/>
          <w:highlight w:val="none"/>
          <w:lang w:eastAsia="zh-CN"/>
        </w:rPr>
        <w:t>磋商函</w:t>
      </w:r>
      <w:r>
        <w:rPr>
          <w:rFonts w:hint="eastAsia" w:ascii="宋体" w:hAnsi="宋体" w:eastAsia="宋体" w:cs="宋体"/>
          <w:color w:val="auto"/>
          <w:kern w:val="0"/>
          <w:sz w:val="21"/>
          <w:szCs w:val="22"/>
          <w:highlight w:val="none"/>
        </w:rPr>
        <w:t>附录是我方</w:t>
      </w:r>
      <w:r>
        <w:rPr>
          <w:rFonts w:hint="eastAsia" w:ascii="宋体" w:hAnsi="宋体" w:eastAsia="宋体" w:cs="宋体"/>
          <w:color w:val="auto"/>
          <w:kern w:val="0"/>
          <w:sz w:val="21"/>
          <w:szCs w:val="22"/>
          <w:highlight w:val="none"/>
          <w:lang w:eastAsia="zh-CN"/>
        </w:rPr>
        <w:t>磋商函</w:t>
      </w:r>
      <w:r>
        <w:rPr>
          <w:rFonts w:hint="eastAsia" w:ascii="宋体" w:hAnsi="宋体" w:eastAsia="宋体" w:cs="宋体"/>
          <w:color w:val="auto"/>
          <w:kern w:val="0"/>
          <w:sz w:val="21"/>
          <w:szCs w:val="22"/>
          <w:highlight w:val="none"/>
        </w:rPr>
        <w:t>的组成部分。</w:t>
      </w:r>
    </w:p>
    <w:p w14:paraId="564E63A6">
      <w:pPr>
        <w:autoSpaceDE w:val="0"/>
        <w:autoSpaceDN w:val="0"/>
        <w:adjustRightInd w:val="0"/>
        <w:spacing w:line="36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4. 一旦我方成交，我方保证按合同协议书中约定的工期</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日历日</w:t>
      </w:r>
      <w:r>
        <w:rPr>
          <w:rFonts w:hint="eastAsia" w:ascii="宋体" w:hAnsi="宋体" w:eastAsia="宋体" w:cs="宋体"/>
          <w:color w:val="auto"/>
          <w:kern w:val="0"/>
          <w:sz w:val="21"/>
          <w:szCs w:val="22"/>
          <w:highlight w:val="none"/>
        </w:rPr>
        <w:t>内完成并移交全部工程，并保证工程质量。</w:t>
      </w:r>
    </w:p>
    <w:p w14:paraId="1185A35C">
      <w:pPr>
        <w:autoSpaceDE w:val="0"/>
        <w:autoSpaceDN w:val="0"/>
        <w:adjustRightInd w:val="0"/>
        <w:spacing w:line="360" w:lineRule="auto"/>
        <w:ind w:firstLine="417" w:firstLineChars="199"/>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5. 我方同意所提交的响应文件在“竞标须知”规定的竞标有效期内有效，在此期间内如果成交，我方将受此约束。</w:t>
      </w:r>
    </w:p>
    <w:p w14:paraId="69315D50">
      <w:pPr>
        <w:autoSpaceDE w:val="0"/>
        <w:autoSpaceDN w:val="0"/>
        <w:adjustRightInd w:val="0"/>
        <w:spacing w:line="36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6. 除非另外达成协议并生效，你方的成交通知书和本响应文件将成为约束双方的合同文件的组成部分。</w:t>
      </w:r>
    </w:p>
    <w:p w14:paraId="41B409F5">
      <w:pPr>
        <w:autoSpaceDE w:val="0"/>
        <w:autoSpaceDN w:val="0"/>
        <w:adjustRightInd w:val="0"/>
        <w:spacing w:line="360" w:lineRule="auto"/>
        <w:ind w:firstLine="555"/>
        <w:rPr>
          <w:rFonts w:hint="eastAsia" w:ascii="宋体" w:hAnsi="宋体" w:eastAsia="宋体" w:cs="宋体"/>
          <w:color w:val="auto"/>
          <w:kern w:val="0"/>
          <w:sz w:val="21"/>
          <w:szCs w:val="22"/>
          <w:highlight w:val="none"/>
        </w:rPr>
      </w:pPr>
    </w:p>
    <w:p w14:paraId="28222B80">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u w:val="single"/>
          <w:lang w:val="en-US" w:eastAsia="zh-CN"/>
        </w:rPr>
      </w:pPr>
      <w:r>
        <w:rPr>
          <w:rFonts w:hint="eastAsia" w:ascii="宋体" w:hAnsi="宋体" w:eastAsia="宋体" w:cs="宋体"/>
          <w:color w:val="auto"/>
          <w:sz w:val="21"/>
          <w:szCs w:val="21"/>
          <w:highlight w:val="none"/>
        </w:rPr>
        <w:t>供应商名称（电子签章）：</w:t>
      </w:r>
      <w:r>
        <w:rPr>
          <w:rFonts w:hint="eastAsia" w:ascii="宋体" w:hAnsi="宋体" w:eastAsia="宋体" w:cs="宋体"/>
          <w:color w:val="auto"/>
          <w:kern w:val="0"/>
          <w:sz w:val="21"/>
          <w:szCs w:val="22"/>
          <w:highlight w:val="none"/>
          <w:u w:val="single"/>
          <w:lang w:val="en-US" w:eastAsia="zh-CN"/>
        </w:rPr>
        <w:t xml:space="preserve">                </w:t>
      </w:r>
    </w:p>
    <w:p w14:paraId="5B3FB23F">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单位地址：</w:t>
      </w:r>
      <w:r>
        <w:rPr>
          <w:rFonts w:hint="eastAsia" w:ascii="宋体" w:hAnsi="宋体" w:eastAsia="宋体" w:cs="宋体"/>
          <w:color w:val="auto"/>
          <w:kern w:val="0"/>
          <w:sz w:val="21"/>
          <w:szCs w:val="22"/>
          <w:highlight w:val="none"/>
          <w:u w:val="single"/>
          <w:lang w:val="en-US" w:eastAsia="zh-CN"/>
        </w:rPr>
        <w:t xml:space="preserve">                </w:t>
      </w:r>
    </w:p>
    <w:p w14:paraId="5F5CC23E">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法定代表人或其授权代理人</w:t>
      </w:r>
      <w:r>
        <w:rPr>
          <w:rFonts w:hint="eastAsia" w:ascii="宋体" w:hAnsi="宋体" w:eastAsia="宋体" w:cs="宋体"/>
          <w:color w:val="auto"/>
          <w:kern w:val="0"/>
          <w:sz w:val="21"/>
          <w:szCs w:val="22"/>
          <w:highlight w:val="none"/>
          <w:u w:val="single"/>
        </w:rPr>
        <w:t>：</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（签字或盖章）</w:t>
      </w:r>
    </w:p>
    <w:p w14:paraId="106A6F07">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邮政编码：</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电话：</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lang w:val="en-US" w:eastAsia="zh-CN"/>
        </w:rPr>
        <w:t xml:space="preserve">    电子邮箱</w:t>
      </w:r>
      <w:r>
        <w:rPr>
          <w:rFonts w:hint="eastAsia" w:ascii="宋体" w:hAnsi="宋体" w:eastAsia="宋体" w:cs="宋体"/>
          <w:color w:val="auto"/>
          <w:kern w:val="0"/>
          <w:sz w:val="21"/>
          <w:szCs w:val="22"/>
          <w:highlight w:val="none"/>
        </w:rPr>
        <w:t>：</w:t>
      </w:r>
      <w:r>
        <w:rPr>
          <w:rFonts w:hint="eastAsia" w:ascii="宋体" w:hAnsi="宋体" w:eastAsia="宋体" w:cs="宋体"/>
          <w:color w:val="auto"/>
          <w:kern w:val="0"/>
          <w:sz w:val="21"/>
          <w:szCs w:val="22"/>
          <w:highlight w:val="none"/>
          <w:u w:val="single"/>
          <w:lang w:val="en-US" w:eastAsia="zh-CN"/>
        </w:rPr>
        <w:t xml:space="preserve">                </w:t>
      </w:r>
    </w:p>
    <w:p w14:paraId="7DE4DA14">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开户银行名称：</w:t>
      </w:r>
      <w:r>
        <w:rPr>
          <w:rFonts w:hint="eastAsia" w:ascii="宋体" w:hAnsi="宋体" w:eastAsia="宋体" w:cs="宋体"/>
          <w:color w:val="auto"/>
          <w:kern w:val="0"/>
          <w:sz w:val="21"/>
          <w:szCs w:val="22"/>
          <w:highlight w:val="none"/>
          <w:u w:val="single"/>
          <w:lang w:val="en-US" w:eastAsia="zh-CN"/>
        </w:rPr>
        <w:t xml:space="preserve">                </w:t>
      </w:r>
    </w:p>
    <w:p w14:paraId="114DF11E">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开户银行帐号：</w:t>
      </w:r>
      <w:r>
        <w:rPr>
          <w:rFonts w:hint="eastAsia" w:ascii="宋体" w:hAnsi="宋体" w:eastAsia="宋体" w:cs="宋体"/>
          <w:color w:val="auto"/>
          <w:kern w:val="0"/>
          <w:sz w:val="21"/>
          <w:szCs w:val="22"/>
          <w:highlight w:val="none"/>
          <w:u w:val="single"/>
          <w:lang w:val="en-US" w:eastAsia="zh-CN"/>
        </w:rPr>
        <w:t xml:space="preserve">                </w:t>
      </w:r>
    </w:p>
    <w:p w14:paraId="4CE28291">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开户银行地址：</w:t>
      </w:r>
      <w:r>
        <w:rPr>
          <w:rFonts w:hint="eastAsia" w:ascii="宋体" w:hAnsi="宋体" w:eastAsia="宋体" w:cs="宋体"/>
          <w:color w:val="auto"/>
          <w:kern w:val="0"/>
          <w:sz w:val="21"/>
          <w:szCs w:val="22"/>
          <w:highlight w:val="none"/>
          <w:u w:val="single"/>
          <w:lang w:val="en-US" w:eastAsia="zh-CN"/>
        </w:rPr>
        <w:t xml:space="preserve">                </w:t>
      </w:r>
    </w:p>
    <w:p w14:paraId="17013953">
      <w:pPr>
        <w:autoSpaceDE w:val="0"/>
        <w:autoSpaceDN w:val="0"/>
        <w:adjustRightInd w:val="0"/>
        <w:spacing w:line="360" w:lineRule="auto"/>
        <w:ind w:firstLine="840" w:firstLineChars="4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日期：</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年</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月</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日</w:t>
      </w:r>
    </w:p>
    <w:p w14:paraId="2FC04019">
      <w:pPr>
        <w:pStyle w:val="25"/>
        <w:spacing w:line="360" w:lineRule="auto"/>
        <w:ind w:right="97"/>
        <w:rPr>
          <w:rFonts w:hint="eastAsia" w:ascii="宋体" w:hAnsi="宋体" w:eastAsia="宋体" w:cs="宋体"/>
          <w:color w:val="auto"/>
          <w:szCs w:val="21"/>
          <w:highlight w:val="none"/>
        </w:rPr>
      </w:pPr>
    </w:p>
    <w:p w14:paraId="4751ABFE">
      <w:pPr>
        <w:pStyle w:val="25"/>
        <w:spacing w:line="360" w:lineRule="auto"/>
        <w:rPr>
          <w:rFonts w:hint="eastAsia" w:ascii="宋体" w:hAnsi="宋体" w:eastAsia="宋体" w:cs="宋体"/>
          <w:b/>
          <w:color w:val="auto"/>
          <w:sz w:val="28"/>
          <w:szCs w:val="28"/>
          <w:highlight w:val="none"/>
        </w:rPr>
      </w:pPr>
    </w:p>
    <w:p w14:paraId="3C0DE348">
      <w:pPr>
        <w:pStyle w:val="26"/>
        <w:rPr>
          <w:rFonts w:hint="eastAsia" w:ascii="宋体" w:hAnsi="宋体" w:eastAsia="宋体" w:cs="宋体"/>
          <w:color w:val="auto"/>
          <w:highlight w:val="none"/>
        </w:rPr>
      </w:pPr>
    </w:p>
    <w:p w14:paraId="222CE944">
      <w:pPr>
        <w:pStyle w:val="25"/>
        <w:spacing w:line="360" w:lineRule="auto"/>
        <w:rPr>
          <w:rFonts w:hint="eastAsia" w:ascii="宋体" w:hAnsi="宋体" w:eastAsia="宋体" w:cs="宋体"/>
          <w:b/>
          <w:color w:val="auto"/>
          <w:sz w:val="28"/>
          <w:szCs w:val="28"/>
          <w:highlight w:val="none"/>
        </w:rPr>
        <w:sectPr>
          <w:pgSz w:w="11906" w:h="16838"/>
          <w:pgMar w:top="1134" w:right="1134" w:bottom="1134" w:left="1417" w:header="851" w:footer="851" w:gutter="0"/>
          <w:pgNumType w:fmt="decimal"/>
          <w:cols w:space="720" w:num="1"/>
          <w:formProt w:val="0"/>
          <w:docGrid w:linePitch="312" w:charSpace="43007"/>
        </w:sectPr>
      </w:pPr>
    </w:p>
    <w:p w14:paraId="4D0743A8">
      <w:pPr>
        <w:pStyle w:val="25"/>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 xml:space="preserve">磋商函附录       </w:t>
      </w:r>
    </w:p>
    <w:p w14:paraId="0C35A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bookmarkStart w:id="40" w:name="_Toc514606977"/>
      <w:bookmarkStart w:id="41" w:name="_Toc514605322"/>
      <w:bookmarkStart w:id="42" w:name="_Toc514607588"/>
      <w:bookmarkStart w:id="43" w:name="_Toc31318"/>
      <w:bookmarkStart w:id="44" w:name="_Toc514605589"/>
      <w:bookmarkStart w:id="45" w:name="_Toc1106"/>
      <w:r>
        <w:rPr>
          <w:rFonts w:hint="eastAsia" w:ascii="宋体" w:hAnsi="宋体" w:eastAsia="宋体" w:cs="宋体"/>
          <w:b/>
          <w:bCs/>
          <w:color w:val="auto"/>
          <w:sz w:val="28"/>
          <w:szCs w:val="28"/>
          <w:highlight w:val="none"/>
        </w:rPr>
        <w:t>磋商函附录</w:t>
      </w:r>
      <w:bookmarkEnd w:id="40"/>
      <w:bookmarkEnd w:id="41"/>
      <w:bookmarkEnd w:id="42"/>
      <w:bookmarkEnd w:id="43"/>
      <w:bookmarkEnd w:id="44"/>
      <w:bookmarkEnd w:id="45"/>
    </w:p>
    <w:tbl>
      <w:tblPr>
        <w:tblStyle w:val="21"/>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2145"/>
        <w:gridCol w:w="1854"/>
        <w:gridCol w:w="2633"/>
        <w:gridCol w:w="900"/>
      </w:tblGrid>
      <w:tr w14:paraId="6CF4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0025D4C">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序号</w:t>
            </w:r>
          </w:p>
        </w:tc>
        <w:tc>
          <w:tcPr>
            <w:tcW w:w="2145" w:type="dxa"/>
            <w:vAlign w:val="center"/>
          </w:tcPr>
          <w:p w14:paraId="14B9FAA1">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项目内容</w:t>
            </w:r>
          </w:p>
        </w:tc>
        <w:tc>
          <w:tcPr>
            <w:tcW w:w="1854" w:type="dxa"/>
            <w:vAlign w:val="center"/>
          </w:tcPr>
          <w:p w14:paraId="29F62270">
            <w:pPr>
              <w:autoSpaceDE w:val="0"/>
              <w:autoSpaceDN w:val="0"/>
              <w:adjustRightInd w:val="0"/>
              <w:spacing w:line="360" w:lineRule="auto"/>
              <w:jc w:val="center"/>
              <w:rPr>
                <w:rFonts w:hint="eastAsia" w:ascii="宋体" w:hAnsi="宋体" w:eastAsia="宋体" w:cs="宋体"/>
                <w:color w:val="auto"/>
                <w:kern w:val="0"/>
                <w:sz w:val="21"/>
                <w:szCs w:val="22"/>
                <w:highlight w:val="none"/>
                <w:lang w:val="en-US" w:eastAsia="zh-CN"/>
              </w:rPr>
            </w:pPr>
            <w:r>
              <w:rPr>
                <w:rFonts w:hint="eastAsia" w:ascii="宋体" w:hAnsi="宋体" w:eastAsia="宋体" w:cs="宋体"/>
                <w:color w:val="auto"/>
                <w:kern w:val="0"/>
                <w:sz w:val="21"/>
                <w:szCs w:val="22"/>
                <w:highlight w:val="none"/>
              </w:rPr>
              <w:t>合同</w:t>
            </w:r>
            <w:r>
              <w:rPr>
                <w:rFonts w:hint="eastAsia" w:ascii="宋体" w:hAnsi="宋体" w:eastAsia="宋体" w:cs="宋体"/>
                <w:color w:val="auto"/>
                <w:kern w:val="0"/>
                <w:sz w:val="21"/>
                <w:szCs w:val="22"/>
                <w:highlight w:val="none"/>
                <w:lang w:val="en-US" w:eastAsia="zh-CN"/>
              </w:rPr>
              <w:t>约定内容</w:t>
            </w:r>
          </w:p>
        </w:tc>
        <w:tc>
          <w:tcPr>
            <w:tcW w:w="2633" w:type="dxa"/>
            <w:vAlign w:val="center"/>
          </w:tcPr>
          <w:p w14:paraId="38E0D47E">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lang w:val="en-US" w:eastAsia="zh-CN"/>
              </w:rPr>
              <w:t>投标响应</w:t>
            </w:r>
            <w:r>
              <w:rPr>
                <w:rFonts w:hint="eastAsia" w:ascii="宋体" w:hAnsi="宋体" w:eastAsia="宋体" w:cs="宋体"/>
                <w:color w:val="auto"/>
                <w:kern w:val="0"/>
                <w:sz w:val="21"/>
                <w:szCs w:val="22"/>
                <w:highlight w:val="none"/>
              </w:rPr>
              <w:t>内容</w:t>
            </w:r>
          </w:p>
        </w:tc>
        <w:tc>
          <w:tcPr>
            <w:tcW w:w="900" w:type="dxa"/>
            <w:vAlign w:val="center"/>
          </w:tcPr>
          <w:p w14:paraId="57AF6494">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备注</w:t>
            </w:r>
          </w:p>
        </w:tc>
      </w:tr>
      <w:tr w14:paraId="7342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843" w:type="dxa"/>
            <w:vAlign w:val="center"/>
          </w:tcPr>
          <w:p w14:paraId="2E4AEE6F">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1</w:t>
            </w:r>
          </w:p>
        </w:tc>
        <w:tc>
          <w:tcPr>
            <w:tcW w:w="2145" w:type="dxa"/>
            <w:vAlign w:val="center"/>
          </w:tcPr>
          <w:p w14:paraId="4E80B9BC">
            <w:pPr>
              <w:autoSpaceDE w:val="0"/>
              <w:autoSpaceDN w:val="0"/>
              <w:adjustRightInd w:val="0"/>
              <w:spacing w:line="360" w:lineRule="auto"/>
              <w:jc w:val="both"/>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工程进度付款</w:t>
            </w:r>
          </w:p>
        </w:tc>
        <w:tc>
          <w:tcPr>
            <w:tcW w:w="1854" w:type="dxa"/>
            <w:vAlign w:val="center"/>
          </w:tcPr>
          <w:p w14:paraId="66FD533E">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0B77CC70">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900" w:type="dxa"/>
            <w:vAlign w:val="center"/>
          </w:tcPr>
          <w:p w14:paraId="3DCE32A3">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4275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0F579DB5">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lang w:val="en-US" w:eastAsia="zh-CN"/>
              </w:rPr>
              <w:t>2</w:t>
            </w:r>
          </w:p>
        </w:tc>
        <w:tc>
          <w:tcPr>
            <w:tcW w:w="2145" w:type="dxa"/>
            <w:vAlign w:val="center"/>
          </w:tcPr>
          <w:p w14:paraId="730FC10F">
            <w:pPr>
              <w:autoSpaceDE w:val="0"/>
              <w:autoSpaceDN w:val="0"/>
              <w:adjustRightInd w:val="0"/>
              <w:spacing w:line="360" w:lineRule="auto"/>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保修期</w:t>
            </w:r>
          </w:p>
        </w:tc>
        <w:tc>
          <w:tcPr>
            <w:tcW w:w="1854" w:type="dxa"/>
            <w:vAlign w:val="center"/>
          </w:tcPr>
          <w:p w14:paraId="767562B8">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15196638">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900" w:type="dxa"/>
            <w:vAlign w:val="center"/>
          </w:tcPr>
          <w:p w14:paraId="4DCA079D">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4C60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222DF213">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lang w:val="en-US" w:eastAsia="zh-CN"/>
              </w:rPr>
              <w:t>3</w:t>
            </w:r>
          </w:p>
        </w:tc>
        <w:tc>
          <w:tcPr>
            <w:tcW w:w="2145" w:type="dxa"/>
            <w:vAlign w:val="center"/>
          </w:tcPr>
          <w:p w14:paraId="1C6885DB">
            <w:pPr>
              <w:autoSpaceDE w:val="0"/>
              <w:autoSpaceDN w:val="0"/>
              <w:adjustRightInd w:val="0"/>
              <w:spacing w:line="360" w:lineRule="auto"/>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质量保证金</w:t>
            </w:r>
          </w:p>
        </w:tc>
        <w:tc>
          <w:tcPr>
            <w:tcW w:w="1854" w:type="dxa"/>
            <w:vAlign w:val="center"/>
          </w:tcPr>
          <w:p w14:paraId="0222FA5B">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1F38947E">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900" w:type="dxa"/>
            <w:vAlign w:val="center"/>
          </w:tcPr>
          <w:p w14:paraId="1CCF9DD3">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6BAE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5B1832C">
            <w:pPr>
              <w:autoSpaceDE w:val="0"/>
              <w:autoSpaceDN w:val="0"/>
              <w:adjustRightInd w:val="0"/>
              <w:spacing w:line="360" w:lineRule="auto"/>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lang w:val="en-US" w:eastAsia="zh-CN"/>
              </w:rPr>
              <w:t>4</w:t>
            </w:r>
          </w:p>
        </w:tc>
        <w:tc>
          <w:tcPr>
            <w:tcW w:w="2145" w:type="dxa"/>
            <w:vAlign w:val="center"/>
          </w:tcPr>
          <w:p w14:paraId="359E2F88">
            <w:pPr>
              <w:autoSpaceDE w:val="0"/>
              <w:autoSpaceDN w:val="0"/>
              <w:adjustRightInd w:val="0"/>
              <w:spacing w:line="360" w:lineRule="auto"/>
              <w:rPr>
                <w:rFonts w:hint="eastAsia" w:ascii="宋体" w:hAnsi="宋体" w:eastAsia="宋体" w:cs="宋体"/>
                <w:color w:val="auto"/>
                <w:kern w:val="0"/>
                <w:sz w:val="21"/>
                <w:szCs w:val="22"/>
                <w:highlight w:val="none"/>
              </w:rPr>
            </w:pPr>
            <w:r>
              <w:rPr>
                <w:rFonts w:hint="eastAsia" w:ascii="宋体" w:hAnsi="宋体" w:cs="宋体"/>
                <w:color w:val="auto"/>
                <w:kern w:val="0"/>
                <w:sz w:val="21"/>
                <w:szCs w:val="22"/>
                <w:highlight w:val="none"/>
                <w:lang w:val="en-US" w:eastAsia="zh-CN"/>
              </w:rPr>
              <w:t>竞标</w:t>
            </w:r>
            <w:r>
              <w:rPr>
                <w:rFonts w:hint="eastAsia" w:ascii="宋体" w:hAnsi="宋体" w:eastAsia="宋体" w:cs="宋体"/>
                <w:color w:val="auto"/>
                <w:kern w:val="0"/>
                <w:sz w:val="21"/>
                <w:szCs w:val="22"/>
                <w:highlight w:val="none"/>
              </w:rPr>
              <w:t>工期</w:t>
            </w:r>
          </w:p>
        </w:tc>
        <w:tc>
          <w:tcPr>
            <w:tcW w:w="1854" w:type="dxa"/>
            <w:vAlign w:val="center"/>
          </w:tcPr>
          <w:p w14:paraId="1ADA2780">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513B1707">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900" w:type="dxa"/>
            <w:vAlign w:val="center"/>
          </w:tcPr>
          <w:p w14:paraId="06F2963D">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65B3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7EA1DAEF">
            <w:pPr>
              <w:autoSpaceDE w:val="0"/>
              <w:autoSpaceDN w:val="0"/>
              <w:adjustRightInd w:val="0"/>
              <w:spacing w:line="360" w:lineRule="auto"/>
              <w:ind w:left="-567" w:leftChars="-270" w:firstLine="504" w:firstLineChars="240"/>
              <w:jc w:val="center"/>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lang w:val="en-US" w:eastAsia="zh-CN"/>
              </w:rPr>
              <w:t>5</w:t>
            </w:r>
          </w:p>
        </w:tc>
        <w:tc>
          <w:tcPr>
            <w:tcW w:w="2145" w:type="dxa"/>
            <w:vAlign w:val="center"/>
          </w:tcPr>
          <w:p w14:paraId="5C3798A3">
            <w:pPr>
              <w:autoSpaceDE w:val="0"/>
              <w:autoSpaceDN w:val="0"/>
              <w:adjustRightInd w:val="0"/>
              <w:spacing w:line="360" w:lineRule="auto"/>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承诺工程质量</w:t>
            </w:r>
          </w:p>
        </w:tc>
        <w:tc>
          <w:tcPr>
            <w:tcW w:w="1854" w:type="dxa"/>
            <w:vAlign w:val="center"/>
          </w:tcPr>
          <w:p w14:paraId="7A240C4E">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7062A6BB">
            <w:pPr>
              <w:autoSpaceDE w:val="0"/>
              <w:autoSpaceDN w:val="0"/>
              <w:adjustRightInd w:val="0"/>
              <w:spacing w:line="360" w:lineRule="auto"/>
              <w:jc w:val="center"/>
              <w:rPr>
                <w:rFonts w:hint="eastAsia" w:ascii="宋体" w:hAnsi="宋体" w:eastAsia="宋体" w:cs="宋体"/>
                <w:color w:val="auto"/>
                <w:kern w:val="0"/>
                <w:sz w:val="21"/>
                <w:szCs w:val="22"/>
                <w:highlight w:val="none"/>
                <w:u w:val="single"/>
              </w:rPr>
            </w:pPr>
          </w:p>
        </w:tc>
        <w:tc>
          <w:tcPr>
            <w:tcW w:w="900" w:type="dxa"/>
            <w:vAlign w:val="center"/>
          </w:tcPr>
          <w:p w14:paraId="33F2A46C">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105D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62643CEE">
            <w:pPr>
              <w:autoSpaceDE w:val="0"/>
              <w:autoSpaceDN w:val="0"/>
              <w:adjustRightInd w:val="0"/>
              <w:spacing w:line="360" w:lineRule="auto"/>
              <w:ind w:left="-567" w:leftChars="-270" w:firstLine="504" w:firstLineChars="240"/>
              <w:jc w:val="center"/>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6</w:t>
            </w:r>
          </w:p>
        </w:tc>
        <w:tc>
          <w:tcPr>
            <w:tcW w:w="2145" w:type="dxa"/>
            <w:shd w:val="clear" w:color="auto" w:fill="auto"/>
            <w:vAlign w:val="center"/>
          </w:tcPr>
          <w:p w14:paraId="6149E0C6">
            <w:pPr>
              <w:wordWrap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项目经理</w:t>
            </w:r>
          </w:p>
        </w:tc>
        <w:tc>
          <w:tcPr>
            <w:tcW w:w="1854" w:type="dxa"/>
            <w:shd w:val="clear" w:color="auto" w:fill="auto"/>
            <w:vAlign w:val="center"/>
          </w:tcPr>
          <w:p w14:paraId="7FBD3E5C">
            <w:pPr>
              <w:wordWrap w:val="0"/>
              <w:jc w:val="center"/>
              <w:rPr>
                <w:rFonts w:hint="eastAsia" w:ascii="宋体" w:hAnsi="宋体" w:eastAsia="宋体" w:cs="宋体"/>
                <w:color w:val="auto"/>
                <w:kern w:val="2"/>
                <w:sz w:val="21"/>
                <w:szCs w:val="21"/>
                <w:highlight w:val="none"/>
                <w:lang w:val="en-US" w:eastAsia="zh-CN" w:bidi="ar-SA"/>
              </w:rPr>
            </w:pPr>
          </w:p>
        </w:tc>
        <w:tc>
          <w:tcPr>
            <w:tcW w:w="2633" w:type="dxa"/>
            <w:shd w:val="clear" w:color="auto" w:fill="auto"/>
            <w:vAlign w:val="center"/>
          </w:tcPr>
          <w:p w14:paraId="3F30FBEE">
            <w:pPr>
              <w:wordWrap w:val="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p>
          <w:p w14:paraId="646B490A">
            <w:pPr>
              <w:wordWrap w:val="0"/>
              <w:rPr>
                <w:rFonts w:hint="eastAsia" w:ascii="宋体" w:hAnsi="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注册专业、等级：</w:t>
            </w:r>
            <w:r>
              <w:rPr>
                <w:rFonts w:hint="eastAsia" w:ascii="宋体" w:hAnsi="宋体" w:eastAsia="宋体" w:cs="宋体"/>
                <w:color w:val="auto"/>
                <w:sz w:val="21"/>
                <w:szCs w:val="21"/>
                <w:highlight w:val="none"/>
                <w:u w:val="single"/>
              </w:rPr>
              <w:t xml:space="preserve">        </w:t>
            </w:r>
          </w:p>
          <w:p w14:paraId="16FDEA14">
            <w:pPr>
              <w:wordWrap w:val="0"/>
              <w:rPr>
                <w:rFonts w:hint="eastAsia" w:ascii="宋体" w:hAnsi="宋体" w:eastAsia="宋体" w:cs="宋体"/>
                <w:color w:val="auto"/>
                <w:sz w:val="21"/>
                <w:szCs w:val="21"/>
                <w:highlight w:val="none"/>
                <w:u w:val="single"/>
              </w:rPr>
            </w:pPr>
            <w:r>
              <w:rPr>
                <w:rFonts w:hint="eastAsia" w:ascii="宋体" w:hAnsi="宋体"/>
                <w:b w:val="0"/>
                <w:bCs w:val="0"/>
                <w:color w:val="auto"/>
                <w:sz w:val="21"/>
                <w:szCs w:val="21"/>
                <w:highlight w:val="none"/>
                <w:lang w:val="en-US" w:eastAsia="zh-CN"/>
              </w:rPr>
              <w:t>注册编号：</w:t>
            </w:r>
            <w:r>
              <w:rPr>
                <w:rFonts w:hint="eastAsia" w:ascii="宋体" w:hAnsi="宋体" w:eastAsia="宋体" w:cs="宋体"/>
                <w:color w:val="auto"/>
                <w:sz w:val="21"/>
                <w:szCs w:val="21"/>
                <w:highlight w:val="none"/>
                <w:u w:val="single"/>
              </w:rPr>
              <w:t xml:space="preserve">         </w:t>
            </w:r>
          </w:p>
          <w:p w14:paraId="3ED5A46D">
            <w:pPr>
              <w:wordWrap w:val="0"/>
              <w:rPr>
                <w:rFonts w:hint="eastAsia" w:ascii="宋体" w:hAnsi="宋体" w:eastAsia="宋体" w:cs="宋体"/>
                <w:color w:val="auto"/>
                <w:kern w:val="2"/>
                <w:sz w:val="21"/>
                <w:szCs w:val="21"/>
                <w:highlight w:val="none"/>
                <w:u w:val="single"/>
                <w:lang w:val="en-US" w:eastAsia="zh-CN" w:bidi="ar-SA"/>
              </w:rPr>
            </w:pPr>
            <w:r>
              <w:rPr>
                <w:rFonts w:hint="eastAsia" w:ascii="宋体" w:hAnsi="宋体"/>
                <w:b w:val="0"/>
                <w:bCs w:val="0"/>
                <w:color w:val="auto"/>
                <w:sz w:val="21"/>
                <w:szCs w:val="21"/>
                <w:highlight w:val="none"/>
                <w:lang w:val="en-US" w:eastAsia="zh-CN"/>
              </w:rPr>
              <w:t>身份证号：</w:t>
            </w:r>
            <w:r>
              <w:rPr>
                <w:rFonts w:hint="eastAsia" w:ascii="宋体" w:hAnsi="宋体" w:eastAsia="宋体" w:cs="宋体"/>
                <w:color w:val="auto"/>
                <w:sz w:val="21"/>
                <w:szCs w:val="21"/>
                <w:highlight w:val="none"/>
                <w:u w:val="single"/>
              </w:rPr>
              <w:t xml:space="preserve">         </w:t>
            </w:r>
          </w:p>
        </w:tc>
        <w:tc>
          <w:tcPr>
            <w:tcW w:w="900" w:type="dxa"/>
            <w:vAlign w:val="center"/>
          </w:tcPr>
          <w:p w14:paraId="651BF779">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4332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6D39BCEC">
            <w:pPr>
              <w:autoSpaceDE w:val="0"/>
              <w:autoSpaceDN w:val="0"/>
              <w:adjustRightInd w:val="0"/>
              <w:spacing w:line="360" w:lineRule="auto"/>
              <w:ind w:left="-567" w:leftChars="-270" w:firstLine="504" w:firstLineChars="240"/>
              <w:jc w:val="center"/>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7</w:t>
            </w:r>
          </w:p>
        </w:tc>
        <w:tc>
          <w:tcPr>
            <w:tcW w:w="2145" w:type="dxa"/>
            <w:shd w:val="clear" w:color="auto" w:fill="auto"/>
            <w:vAlign w:val="center"/>
          </w:tcPr>
          <w:p w14:paraId="409723CF">
            <w:pPr>
              <w:wordWrap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专职安全员</w:t>
            </w:r>
          </w:p>
        </w:tc>
        <w:tc>
          <w:tcPr>
            <w:tcW w:w="1854" w:type="dxa"/>
            <w:shd w:val="clear" w:color="auto" w:fill="auto"/>
            <w:vAlign w:val="center"/>
          </w:tcPr>
          <w:p w14:paraId="3F5BBF05">
            <w:pPr>
              <w:wordWrap w:val="0"/>
              <w:rPr>
                <w:rFonts w:hint="eastAsia" w:ascii="宋体" w:hAnsi="宋体" w:eastAsia="宋体" w:cs="宋体"/>
                <w:color w:val="auto"/>
                <w:kern w:val="2"/>
                <w:sz w:val="21"/>
                <w:szCs w:val="21"/>
                <w:highlight w:val="none"/>
                <w:lang w:val="en-US" w:eastAsia="zh-CN" w:bidi="ar-SA"/>
              </w:rPr>
            </w:pPr>
          </w:p>
        </w:tc>
        <w:tc>
          <w:tcPr>
            <w:tcW w:w="2633" w:type="dxa"/>
            <w:shd w:val="clear" w:color="auto" w:fill="auto"/>
            <w:vAlign w:val="center"/>
          </w:tcPr>
          <w:p w14:paraId="028EDEB1">
            <w:pPr>
              <w:wordWrap w:val="0"/>
              <w:jc w:val="both"/>
              <w:rPr>
                <w:rFonts w:hint="eastAsia" w:ascii="宋体" w:hAnsi="宋体"/>
                <w:b w:val="0"/>
                <w:bCs w:val="0"/>
                <w:color w:val="auto"/>
                <w:sz w:val="21"/>
                <w:szCs w:val="21"/>
                <w:highlight w:val="none"/>
                <w:lang w:eastAsia="zh-CN"/>
              </w:rPr>
            </w:pPr>
            <w:r>
              <w:rPr>
                <w:rFonts w:hint="eastAsia" w:ascii="宋体" w:hAnsi="宋体"/>
                <w:b w:val="0"/>
                <w:bCs w:val="0"/>
                <w:color w:val="auto"/>
                <w:sz w:val="21"/>
                <w:szCs w:val="21"/>
                <w:highlight w:val="none"/>
              </w:rPr>
              <w:t>安全生产考核合格证书编号</w:t>
            </w:r>
            <w:r>
              <w:rPr>
                <w:rFonts w:hint="eastAsia" w:ascii="宋体" w:hAnsi="宋体"/>
                <w:b w:val="0"/>
                <w:bCs w:val="0"/>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740DF004">
            <w:pPr>
              <w:wordWrap w:val="0"/>
              <w:jc w:val="both"/>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b w:val="0"/>
                <w:bCs w:val="0"/>
                <w:color w:val="auto"/>
                <w:sz w:val="21"/>
                <w:szCs w:val="21"/>
                <w:highlight w:val="none"/>
              </w:rPr>
              <w:t>身份证号</w:t>
            </w:r>
            <w:r>
              <w:rPr>
                <w:rFonts w:hint="eastAsia" w:ascii="宋体" w:hAnsi="宋体"/>
                <w:b w:val="0"/>
                <w:bCs w:val="0"/>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tc>
        <w:tc>
          <w:tcPr>
            <w:tcW w:w="900" w:type="dxa"/>
            <w:vAlign w:val="center"/>
          </w:tcPr>
          <w:p w14:paraId="4AFA0FDC">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r>
      <w:tr w14:paraId="3DED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800A256">
            <w:pPr>
              <w:autoSpaceDE w:val="0"/>
              <w:autoSpaceDN w:val="0"/>
              <w:adjustRightInd w:val="0"/>
              <w:spacing w:line="360" w:lineRule="auto"/>
              <w:ind w:left="-567" w:leftChars="-270" w:firstLine="504" w:firstLineChars="240"/>
              <w:jc w:val="center"/>
              <w:rPr>
                <w:rFonts w:hint="eastAsia" w:ascii="宋体" w:hAnsi="宋体" w:eastAsia="宋体" w:cs="宋体"/>
                <w:color w:val="auto"/>
                <w:kern w:val="0"/>
                <w:sz w:val="21"/>
                <w:szCs w:val="22"/>
                <w:highlight w:val="none"/>
                <w:lang w:val="en-US" w:eastAsia="zh-CN"/>
              </w:rPr>
            </w:pPr>
            <w:r>
              <w:rPr>
                <w:rFonts w:hint="eastAsia" w:ascii="宋体" w:hAnsi="宋体" w:eastAsia="宋体" w:cs="宋体"/>
                <w:color w:val="auto"/>
                <w:kern w:val="0"/>
                <w:sz w:val="21"/>
                <w:szCs w:val="22"/>
                <w:highlight w:val="none"/>
                <w:lang w:val="en-US" w:eastAsia="zh-CN"/>
              </w:rPr>
              <w:t>..</w:t>
            </w:r>
          </w:p>
        </w:tc>
        <w:tc>
          <w:tcPr>
            <w:tcW w:w="2145" w:type="dxa"/>
            <w:vAlign w:val="center"/>
          </w:tcPr>
          <w:p w14:paraId="6AAAC9EA">
            <w:pPr>
              <w:autoSpaceDE w:val="0"/>
              <w:autoSpaceDN w:val="0"/>
              <w:adjustRightInd w:val="0"/>
              <w:spacing w:line="360" w:lineRule="auto"/>
              <w:rPr>
                <w:rFonts w:hint="eastAsia" w:ascii="宋体" w:hAnsi="宋体" w:eastAsia="宋体" w:cs="宋体"/>
                <w:color w:val="auto"/>
                <w:kern w:val="0"/>
                <w:sz w:val="21"/>
                <w:szCs w:val="22"/>
                <w:highlight w:val="none"/>
                <w:lang w:val="en-US" w:eastAsia="zh-CN"/>
              </w:rPr>
            </w:pPr>
            <w:r>
              <w:rPr>
                <w:rFonts w:hint="eastAsia" w:ascii="宋体" w:hAnsi="宋体" w:eastAsia="宋体" w:cs="宋体"/>
                <w:color w:val="auto"/>
                <w:kern w:val="0"/>
                <w:sz w:val="21"/>
                <w:szCs w:val="22"/>
                <w:highlight w:val="none"/>
                <w:lang w:val="en-US" w:eastAsia="zh-CN"/>
              </w:rPr>
              <w:t>......</w:t>
            </w:r>
          </w:p>
        </w:tc>
        <w:tc>
          <w:tcPr>
            <w:tcW w:w="1854" w:type="dxa"/>
            <w:vAlign w:val="center"/>
          </w:tcPr>
          <w:p w14:paraId="19FEFE8E">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2633" w:type="dxa"/>
            <w:vAlign w:val="center"/>
          </w:tcPr>
          <w:p w14:paraId="02525DBA">
            <w:pPr>
              <w:autoSpaceDE w:val="0"/>
              <w:autoSpaceDN w:val="0"/>
              <w:adjustRightInd w:val="0"/>
              <w:spacing w:line="360" w:lineRule="auto"/>
              <w:jc w:val="center"/>
              <w:rPr>
                <w:rFonts w:hint="eastAsia" w:ascii="宋体" w:hAnsi="宋体" w:eastAsia="宋体" w:cs="宋体"/>
                <w:color w:val="auto"/>
                <w:kern w:val="0"/>
                <w:sz w:val="21"/>
                <w:szCs w:val="22"/>
                <w:highlight w:val="none"/>
              </w:rPr>
            </w:pPr>
          </w:p>
        </w:tc>
        <w:tc>
          <w:tcPr>
            <w:tcW w:w="900" w:type="dxa"/>
            <w:vAlign w:val="center"/>
          </w:tcPr>
          <w:p w14:paraId="79742716">
            <w:pPr>
              <w:autoSpaceDE w:val="0"/>
              <w:autoSpaceDN w:val="0"/>
              <w:adjustRightInd w:val="0"/>
              <w:spacing w:line="360" w:lineRule="auto"/>
              <w:jc w:val="center"/>
              <w:rPr>
                <w:rFonts w:hint="eastAsia" w:ascii="宋体" w:hAnsi="宋体" w:eastAsia="宋体" w:cs="宋体"/>
                <w:color w:val="auto"/>
                <w:kern w:val="0"/>
                <w:sz w:val="21"/>
                <w:szCs w:val="22"/>
                <w:highlight w:val="none"/>
                <w:u w:val="single"/>
              </w:rPr>
            </w:pPr>
          </w:p>
        </w:tc>
      </w:tr>
    </w:tbl>
    <w:p w14:paraId="38897110">
      <w:pPr>
        <w:pStyle w:val="25"/>
        <w:snapToGrid w:val="0"/>
        <w:spacing w:line="360" w:lineRule="auto"/>
        <w:rPr>
          <w:rFonts w:hint="eastAsia" w:ascii="宋体" w:hAnsi="宋体" w:eastAsia="宋体" w:cs="宋体"/>
          <w:color w:val="auto"/>
          <w:sz w:val="22"/>
          <w:szCs w:val="22"/>
          <w:highlight w:val="none"/>
          <w:lang w:eastAsia="zh-CN"/>
        </w:rPr>
      </w:pPr>
    </w:p>
    <w:p w14:paraId="32E70318">
      <w:pPr>
        <w:pStyle w:val="14"/>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法定代表人(负责人、自然人)或相应的委托代理人签字（</w:t>
      </w:r>
      <w:r>
        <w:rPr>
          <w:rFonts w:hint="eastAsia" w:ascii="宋体" w:hAnsi="宋体" w:eastAsia="宋体" w:cs="宋体"/>
          <w:color w:val="auto"/>
          <w:sz w:val="21"/>
          <w:szCs w:val="22"/>
          <w:highlight w:val="none"/>
          <w:lang w:eastAsia="zh-CN"/>
        </w:rPr>
        <w:t>签字或盖</w:t>
      </w:r>
      <w:r>
        <w:rPr>
          <w:rFonts w:hint="eastAsia" w:ascii="宋体" w:hAnsi="宋体" w:eastAsia="宋体" w:cs="宋体"/>
          <w:color w:val="auto"/>
          <w:sz w:val="21"/>
          <w:szCs w:val="22"/>
          <w:highlight w:val="none"/>
        </w:rPr>
        <w:t>章）:</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sz w:val="21"/>
          <w:szCs w:val="22"/>
          <w:highlight w:val="none"/>
        </w:rPr>
        <w:t xml:space="preserve"> </w:t>
      </w:r>
    </w:p>
    <w:p w14:paraId="7329B3A2">
      <w:pPr>
        <w:pStyle w:val="14"/>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kern w:val="0"/>
          <w:sz w:val="24"/>
          <w:szCs w:val="21"/>
          <w:highlight w:val="none"/>
          <w:lang w:eastAsia="zh-CN"/>
        </w:rPr>
        <w:t>供应商名称（电子签章）</w:t>
      </w:r>
      <w:r>
        <w:rPr>
          <w:rFonts w:hint="eastAsia" w:ascii="宋体" w:hAnsi="宋体" w:eastAsia="宋体" w:cs="宋体"/>
          <w:color w:val="auto"/>
          <w:sz w:val="21"/>
          <w:szCs w:val="22"/>
          <w:highlight w:val="none"/>
        </w:rPr>
        <w:t>：</w:t>
      </w:r>
      <w:r>
        <w:rPr>
          <w:rFonts w:hint="eastAsia" w:ascii="宋体" w:hAnsi="宋体" w:eastAsia="宋体" w:cs="宋体"/>
          <w:color w:val="auto"/>
          <w:kern w:val="0"/>
          <w:sz w:val="21"/>
          <w:szCs w:val="22"/>
          <w:highlight w:val="none"/>
          <w:u w:val="single"/>
          <w:lang w:val="en-US" w:eastAsia="zh-CN"/>
        </w:rPr>
        <w:t xml:space="preserve">                </w:t>
      </w:r>
    </w:p>
    <w:p w14:paraId="56517F45">
      <w:pPr>
        <w:pStyle w:val="14"/>
        <w:spacing w:line="360" w:lineRule="auto"/>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 xml:space="preserve">时间：   年  月  日 </w:t>
      </w:r>
    </w:p>
    <w:p w14:paraId="67C37BD0">
      <w:pPr>
        <w:pStyle w:val="14"/>
        <w:spacing w:line="360" w:lineRule="auto"/>
        <w:rPr>
          <w:rFonts w:hint="eastAsia" w:ascii="宋体" w:hAnsi="宋体" w:eastAsia="宋体" w:cs="宋体"/>
          <w:b/>
          <w:color w:val="auto"/>
          <w:sz w:val="32"/>
          <w:szCs w:val="32"/>
          <w:highlight w:val="none"/>
        </w:rPr>
      </w:pPr>
    </w:p>
    <w:p w14:paraId="2D697CEF">
      <w:pPr>
        <w:pStyle w:val="25"/>
        <w:rPr>
          <w:rFonts w:hint="eastAsia" w:ascii="宋体" w:hAnsi="宋体" w:eastAsia="宋体" w:cs="宋体"/>
          <w:b/>
          <w:color w:val="auto"/>
          <w:sz w:val="28"/>
          <w:szCs w:val="28"/>
          <w:highlight w:val="none"/>
        </w:rPr>
      </w:pPr>
    </w:p>
    <w:p w14:paraId="17D5A429">
      <w:pPr>
        <w:pStyle w:val="14"/>
        <w:spacing w:line="360" w:lineRule="auto"/>
        <w:rPr>
          <w:rFonts w:hint="eastAsia" w:ascii="宋体" w:hAnsi="宋体" w:eastAsia="宋体" w:cs="宋体"/>
          <w:b/>
          <w:color w:val="auto"/>
          <w:sz w:val="28"/>
          <w:szCs w:val="28"/>
          <w:highlight w:val="none"/>
        </w:rPr>
        <w:sectPr>
          <w:pgSz w:w="11906" w:h="16838"/>
          <w:pgMar w:top="1134" w:right="1134" w:bottom="1134" w:left="1417" w:header="851" w:footer="851" w:gutter="0"/>
          <w:pgNumType w:fmt="decimal"/>
          <w:cols w:space="720" w:num="1"/>
          <w:formProt w:val="0"/>
          <w:docGrid w:linePitch="312" w:charSpace="43007"/>
        </w:sectPr>
      </w:pPr>
    </w:p>
    <w:p w14:paraId="7888244B">
      <w:pPr>
        <w:pStyle w:val="14"/>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磋商报价表</w:t>
      </w:r>
    </w:p>
    <w:p w14:paraId="2306DC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bookmarkStart w:id="46" w:name="_Toc32185"/>
      <w:bookmarkStart w:id="47" w:name="_Toc514607589"/>
      <w:bookmarkStart w:id="48" w:name="_Toc514605590"/>
      <w:bookmarkStart w:id="49" w:name="_Toc514605323"/>
      <w:bookmarkStart w:id="50" w:name="_Toc435"/>
      <w:bookmarkStart w:id="51" w:name="_Toc514606978"/>
      <w:r>
        <w:rPr>
          <w:rFonts w:hint="eastAsia" w:ascii="宋体" w:hAnsi="宋体" w:eastAsia="宋体" w:cs="宋体"/>
          <w:b/>
          <w:bCs/>
          <w:color w:val="auto"/>
          <w:sz w:val="28"/>
          <w:szCs w:val="28"/>
          <w:highlight w:val="none"/>
        </w:rPr>
        <w:t>磋商报价表</w:t>
      </w:r>
      <w:bookmarkEnd w:id="46"/>
      <w:bookmarkEnd w:id="47"/>
      <w:bookmarkEnd w:id="48"/>
      <w:bookmarkEnd w:id="49"/>
      <w:bookmarkEnd w:id="50"/>
      <w:bookmarkEnd w:id="51"/>
    </w:p>
    <w:p w14:paraId="463E78FF">
      <w:pPr>
        <w:spacing w:line="360" w:lineRule="auto"/>
        <w:rPr>
          <w:rFonts w:hint="eastAsia" w:ascii="宋体" w:hAnsi="宋体" w:eastAsia="宋体" w:cs="宋体"/>
          <w:color w:val="auto"/>
          <w:kern w:val="0"/>
          <w:sz w:val="21"/>
          <w:szCs w:val="22"/>
          <w:highlight w:val="none"/>
        </w:rPr>
      </w:pPr>
      <w:r>
        <w:rPr>
          <w:rFonts w:hint="eastAsia" w:ascii="宋体" w:hAnsi="宋体" w:eastAsia="宋体" w:cs="宋体"/>
          <w:color w:val="auto"/>
          <w:sz w:val="21"/>
          <w:szCs w:val="22"/>
          <w:highlight w:val="none"/>
          <w:u w:val="single"/>
        </w:rPr>
        <w:t>（工程项目名称）</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rPr>
        <w:t>工程</w:t>
      </w:r>
      <w:r>
        <w:rPr>
          <w:rFonts w:hint="eastAsia" w:ascii="宋体" w:hAnsi="宋体" w:cs="宋体"/>
          <w:color w:val="auto"/>
          <w:sz w:val="21"/>
          <w:szCs w:val="22"/>
          <w:highlight w:val="none"/>
          <w:lang w:val="en-US" w:eastAsia="zh-CN"/>
        </w:rPr>
        <w:t xml:space="preserve">                           </w:t>
      </w:r>
      <w:r>
        <w:rPr>
          <w:rFonts w:hint="eastAsia" w:ascii="宋体" w:hAnsi="宋体" w:eastAsia="宋体" w:cs="宋体"/>
          <w:color w:val="auto"/>
          <w:kern w:val="0"/>
          <w:sz w:val="21"/>
          <w:szCs w:val="22"/>
          <w:highlight w:val="none"/>
        </w:rPr>
        <w:t>币种：人民币</w:t>
      </w:r>
    </w:p>
    <w:p w14:paraId="18678AF0">
      <w:pPr>
        <w:pStyle w:val="18"/>
        <w:rPr>
          <w:rFonts w:hint="eastAsia"/>
          <w:color w:val="auto"/>
          <w:highlight w:val="none"/>
        </w:rPr>
      </w:pPr>
    </w:p>
    <w:tbl>
      <w:tblPr>
        <w:tblStyle w:val="21"/>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2067"/>
      </w:tblGrid>
      <w:tr w14:paraId="3CB6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6D2D303D">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项目内容</w:t>
            </w:r>
          </w:p>
        </w:tc>
        <w:tc>
          <w:tcPr>
            <w:tcW w:w="3176" w:type="dxa"/>
            <w:vAlign w:val="center"/>
          </w:tcPr>
          <w:p w14:paraId="63D9945F">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金额</w:t>
            </w:r>
          </w:p>
        </w:tc>
        <w:tc>
          <w:tcPr>
            <w:tcW w:w="2067" w:type="dxa"/>
            <w:vAlign w:val="center"/>
          </w:tcPr>
          <w:p w14:paraId="26989062">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备注</w:t>
            </w:r>
          </w:p>
        </w:tc>
      </w:tr>
      <w:tr w14:paraId="6A22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690C600F">
            <w:pPr>
              <w:spacing w:line="360" w:lineRule="auto"/>
              <w:jc w:val="center"/>
              <w:rPr>
                <w:rFonts w:hint="eastAsia" w:ascii="宋体" w:hAnsi="宋体" w:eastAsia="宋体" w:cs="宋体"/>
                <w:color w:val="auto"/>
                <w:sz w:val="21"/>
                <w:szCs w:val="22"/>
                <w:highlight w:val="none"/>
              </w:rPr>
            </w:pPr>
          </w:p>
        </w:tc>
        <w:tc>
          <w:tcPr>
            <w:tcW w:w="3176" w:type="dxa"/>
            <w:vAlign w:val="center"/>
          </w:tcPr>
          <w:p w14:paraId="2C8ED9E6">
            <w:pPr>
              <w:spacing w:line="360" w:lineRule="auto"/>
              <w:ind w:right="14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元</w:t>
            </w:r>
          </w:p>
        </w:tc>
        <w:tc>
          <w:tcPr>
            <w:tcW w:w="2067" w:type="dxa"/>
            <w:vAlign w:val="center"/>
          </w:tcPr>
          <w:p w14:paraId="3A6C858F">
            <w:pPr>
              <w:spacing w:line="360" w:lineRule="auto"/>
              <w:jc w:val="center"/>
              <w:rPr>
                <w:rFonts w:hint="eastAsia" w:ascii="宋体" w:hAnsi="宋体" w:eastAsia="宋体" w:cs="宋体"/>
                <w:color w:val="auto"/>
                <w:sz w:val="21"/>
                <w:szCs w:val="22"/>
                <w:highlight w:val="none"/>
              </w:rPr>
            </w:pPr>
          </w:p>
        </w:tc>
      </w:tr>
      <w:tr w14:paraId="29D5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2CA543E1">
            <w:pPr>
              <w:spacing w:line="360" w:lineRule="auto"/>
              <w:jc w:val="center"/>
              <w:rPr>
                <w:rFonts w:hint="eastAsia" w:ascii="宋体" w:hAnsi="宋体" w:eastAsia="宋体" w:cs="宋体"/>
                <w:color w:val="auto"/>
                <w:sz w:val="21"/>
                <w:szCs w:val="22"/>
                <w:highlight w:val="none"/>
              </w:rPr>
            </w:pPr>
          </w:p>
        </w:tc>
        <w:tc>
          <w:tcPr>
            <w:tcW w:w="3176" w:type="dxa"/>
            <w:vAlign w:val="center"/>
          </w:tcPr>
          <w:p w14:paraId="5B14A3AA">
            <w:pPr>
              <w:spacing w:line="360" w:lineRule="auto"/>
              <w:ind w:right="14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元</w:t>
            </w:r>
          </w:p>
        </w:tc>
        <w:tc>
          <w:tcPr>
            <w:tcW w:w="2067" w:type="dxa"/>
            <w:vAlign w:val="center"/>
          </w:tcPr>
          <w:p w14:paraId="6C433FE8">
            <w:pPr>
              <w:spacing w:line="360" w:lineRule="auto"/>
              <w:jc w:val="center"/>
              <w:rPr>
                <w:rFonts w:hint="eastAsia" w:ascii="宋体" w:hAnsi="宋体" w:eastAsia="宋体" w:cs="宋体"/>
                <w:color w:val="auto"/>
                <w:sz w:val="21"/>
                <w:szCs w:val="22"/>
                <w:highlight w:val="none"/>
              </w:rPr>
            </w:pPr>
          </w:p>
        </w:tc>
      </w:tr>
      <w:tr w14:paraId="6546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70B2A65A">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合计</w:t>
            </w:r>
          </w:p>
        </w:tc>
        <w:tc>
          <w:tcPr>
            <w:tcW w:w="3176" w:type="dxa"/>
            <w:vAlign w:val="center"/>
          </w:tcPr>
          <w:p w14:paraId="18B872F2">
            <w:pPr>
              <w:spacing w:line="360" w:lineRule="auto"/>
              <w:ind w:right="140"/>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元</w:t>
            </w:r>
          </w:p>
        </w:tc>
        <w:tc>
          <w:tcPr>
            <w:tcW w:w="2067" w:type="dxa"/>
            <w:vAlign w:val="center"/>
          </w:tcPr>
          <w:p w14:paraId="478B9CBD">
            <w:pPr>
              <w:spacing w:line="360" w:lineRule="auto"/>
              <w:jc w:val="center"/>
              <w:rPr>
                <w:rFonts w:hint="eastAsia" w:ascii="宋体" w:hAnsi="宋体" w:eastAsia="宋体" w:cs="宋体"/>
                <w:color w:val="auto"/>
                <w:sz w:val="21"/>
                <w:szCs w:val="22"/>
                <w:highlight w:val="none"/>
              </w:rPr>
            </w:pPr>
          </w:p>
        </w:tc>
      </w:tr>
      <w:tr w14:paraId="5D0A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341" w:type="dxa"/>
            <w:gridSpan w:val="3"/>
            <w:vAlign w:val="center"/>
          </w:tcPr>
          <w:p w14:paraId="7162C334">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磋商</w:t>
            </w:r>
            <w:r>
              <w:rPr>
                <w:rFonts w:hint="eastAsia" w:ascii="宋体" w:hAnsi="宋体" w:eastAsia="宋体" w:cs="宋体"/>
                <w:color w:val="auto"/>
                <w:sz w:val="21"/>
                <w:szCs w:val="22"/>
                <w:highlight w:val="none"/>
              </w:rPr>
              <w:t>总报价：</w:t>
            </w:r>
            <w:r>
              <w:rPr>
                <w:rFonts w:hint="eastAsia" w:ascii="宋体" w:hAnsi="宋体" w:eastAsia="宋体" w:cs="宋体"/>
                <w:color w:val="auto"/>
                <w:sz w:val="21"/>
                <w:szCs w:val="22"/>
                <w:highlight w:val="none"/>
                <w:u w:val="single"/>
                <w:lang w:val="en-US" w:eastAsia="zh-CN"/>
              </w:rPr>
              <w:t xml:space="preserve"> 人民币                        </w:t>
            </w:r>
            <w:r>
              <w:rPr>
                <w:rFonts w:hint="eastAsia" w:ascii="宋体" w:hAnsi="宋体" w:eastAsia="宋体" w:cs="宋体"/>
                <w:color w:val="auto"/>
                <w:sz w:val="21"/>
                <w:szCs w:val="22"/>
                <w:highlight w:val="none"/>
                <w:u w:val="single"/>
              </w:rPr>
              <w:t>（¥）</w:t>
            </w:r>
          </w:p>
        </w:tc>
      </w:tr>
      <w:tr w14:paraId="6380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41" w:type="dxa"/>
            <w:gridSpan w:val="3"/>
          </w:tcPr>
          <w:p w14:paraId="21B7F26C">
            <w:pPr>
              <w:spacing w:line="360" w:lineRule="auto"/>
              <w:ind w:right="7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说明：</w:t>
            </w:r>
          </w:p>
        </w:tc>
      </w:tr>
      <w:tr w14:paraId="61D1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3C9B8777">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工期（日历日）</w:t>
            </w:r>
          </w:p>
        </w:tc>
        <w:tc>
          <w:tcPr>
            <w:tcW w:w="5243" w:type="dxa"/>
            <w:gridSpan w:val="2"/>
            <w:vAlign w:val="center"/>
          </w:tcPr>
          <w:p w14:paraId="3E37F7EC">
            <w:pPr>
              <w:spacing w:line="360" w:lineRule="auto"/>
              <w:ind w:right="700"/>
              <w:jc w:val="center"/>
              <w:rPr>
                <w:rFonts w:hint="eastAsia" w:ascii="宋体" w:hAnsi="宋体" w:eastAsia="宋体" w:cs="宋体"/>
                <w:color w:val="auto"/>
                <w:sz w:val="21"/>
                <w:szCs w:val="22"/>
                <w:highlight w:val="none"/>
              </w:rPr>
            </w:pPr>
          </w:p>
        </w:tc>
      </w:tr>
      <w:tr w14:paraId="2D31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2D1A571C">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承诺工程质量</w:t>
            </w:r>
          </w:p>
        </w:tc>
        <w:tc>
          <w:tcPr>
            <w:tcW w:w="5243" w:type="dxa"/>
            <w:gridSpan w:val="2"/>
            <w:vAlign w:val="center"/>
          </w:tcPr>
          <w:p w14:paraId="3F507CB1">
            <w:pPr>
              <w:spacing w:line="360" w:lineRule="auto"/>
              <w:ind w:right="700"/>
              <w:jc w:val="center"/>
              <w:rPr>
                <w:rFonts w:hint="eastAsia" w:ascii="宋体" w:hAnsi="宋体" w:eastAsia="宋体" w:cs="宋体"/>
                <w:color w:val="auto"/>
                <w:sz w:val="21"/>
                <w:szCs w:val="22"/>
                <w:highlight w:val="none"/>
              </w:rPr>
            </w:pPr>
          </w:p>
        </w:tc>
      </w:tr>
    </w:tbl>
    <w:p w14:paraId="467156E3">
      <w:pPr>
        <w:pStyle w:val="14"/>
        <w:spacing w:line="360" w:lineRule="auto"/>
        <w:ind w:firstLine="960" w:firstLineChars="400"/>
        <w:rPr>
          <w:rFonts w:hint="eastAsia" w:ascii="宋体" w:hAnsi="宋体" w:eastAsia="宋体" w:cs="宋体"/>
          <w:color w:val="auto"/>
          <w:kern w:val="0"/>
          <w:sz w:val="24"/>
          <w:szCs w:val="21"/>
          <w:highlight w:val="none"/>
          <w:lang w:eastAsia="zh-CN"/>
        </w:rPr>
      </w:pPr>
    </w:p>
    <w:p w14:paraId="7745ABD5">
      <w:pPr>
        <w:pStyle w:val="14"/>
        <w:spacing w:line="360" w:lineRule="auto"/>
        <w:ind w:firstLine="960" w:firstLineChars="400"/>
        <w:rPr>
          <w:rFonts w:hint="eastAsia" w:ascii="宋体" w:hAnsi="宋体" w:eastAsia="宋体" w:cs="宋体"/>
          <w:color w:val="auto"/>
          <w:sz w:val="21"/>
          <w:szCs w:val="22"/>
          <w:highlight w:val="none"/>
        </w:rPr>
      </w:pPr>
      <w:r>
        <w:rPr>
          <w:rFonts w:hint="eastAsia" w:ascii="宋体" w:hAnsi="宋体" w:eastAsia="宋体" w:cs="宋体"/>
          <w:color w:val="auto"/>
          <w:kern w:val="0"/>
          <w:sz w:val="24"/>
          <w:szCs w:val="21"/>
          <w:highlight w:val="none"/>
          <w:lang w:eastAsia="zh-CN"/>
        </w:rPr>
        <w:t>供应商名称（电子签章）</w:t>
      </w:r>
      <w:r>
        <w:rPr>
          <w:rFonts w:hint="eastAsia" w:ascii="宋体" w:hAnsi="宋体" w:eastAsia="宋体" w:cs="宋体"/>
          <w:color w:val="auto"/>
          <w:sz w:val="21"/>
          <w:szCs w:val="22"/>
          <w:highlight w:val="none"/>
        </w:rPr>
        <w:t>：</w:t>
      </w:r>
      <w:r>
        <w:rPr>
          <w:rFonts w:hint="eastAsia" w:ascii="宋体" w:hAnsi="宋体" w:eastAsia="宋体" w:cs="宋体"/>
          <w:color w:val="auto"/>
          <w:kern w:val="0"/>
          <w:sz w:val="21"/>
          <w:szCs w:val="22"/>
          <w:highlight w:val="none"/>
          <w:u w:val="single"/>
          <w:lang w:val="en-US" w:eastAsia="zh-CN"/>
        </w:rPr>
        <w:t xml:space="preserve">                  </w:t>
      </w:r>
    </w:p>
    <w:p w14:paraId="2D4974D2">
      <w:pPr>
        <w:spacing w:line="360" w:lineRule="auto"/>
        <w:ind w:firstLine="840" w:firstLineChars="400"/>
        <w:rPr>
          <w:rFonts w:hint="eastAsia" w:ascii="宋体" w:hAnsi="宋体" w:eastAsia="宋体" w:cs="宋体"/>
          <w:color w:val="auto"/>
          <w:sz w:val="21"/>
          <w:szCs w:val="22"/>
          <w:highlight w:val="none"/>
          <w:u w:val="single"/>
        </w:rPr>
      </w:pPr>
      <w:r>
        <w:rPr>
          <w:rFonts w:hint="eastAsia" w:ascii="宋体" w:hAnsi="宋体" w:eastAsia="宋体" w:cs="宋体"/>
          <w:color w:val="auto"/>
          <w:sz w:val="21"/>
          <w:szCs w:val="22"/>
          <w:highlight w:val="none"/>
        </w:rPr>
        <w:t>法定代表人或其授权代理人</w:t>
      </w:r>
      <w:r>
        <w:rPr>
          <w:rFonts w:hint="eastAsia" w:ascii="宋体" w:hAnsi="宋体" w:eastAsia="宋体" w:cs="宋体"/>
          <w:color w:val="auto"/>
          <w:sz w:val="21"/>
          <w:szCs w:val="22"/>
          <w:highlight w:val="none"/>
          <w:u w:val="single"/>
        </w:rPr>
        <w:t>：</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u w:val="single"/>
        </w:rPr>
        <w:t>（签字或盖章）</w:t>
      </w:r>
    </w:p>
    <w:p w14:paraId="2BC6C7FB">
      <w:pPr>
        <w:pStyle w:val="20"/>
        <w:spacing w:line="360" w:lineRule="auto"/>
        <w:ind w:firstLine="840" w:firstLineChars="4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日期：</w:t>
      </w:r>
      <w:r>
        <w:rPr>
          <w:rFonts w:hint="eastAsia" w:ascii="宋体" w:hAnsi="宋体" w:eastAsia="宋体" w:cs="宋体"/>
          <w:color w:val="auto"/>
          <w:sz w:val="21"/>
          <w:szCs w:val="22"/>
          <w:highlight w:val="none"/>
          <w:lang w:val="en-US" w:eastAsia="zh-CN"/>
        </w:rPr>
        <w:t xml:space="preserve">     </w:t>
      </w:r>
      <w:r>
        <w:rPr>
          <w:rFonts w:hint="eastAsia" w:ascii="宋体" w:hAnsi="宋体" w:eastAsia="宋体" w:cs="宋体"/>
          <w:color w:val="auto"/>
          <w:sz w:val="21"/>
          <w:szCs w:val="22"/>
          <w:highlight w:val="none"/>
        </w:rPr>
        <w:t>年</w:t>
      </w:r>
      <w:r>
        <w:rPr>
          <w:rFonts w:hint="eastAsia" w:ascii="宋体" w:hAnsi="宋体" w:eastAsia="宋体" w:cs="宋体"/>
          <w:color w:val="auto"/>
          <w:sz w:val="21"/>
          <w:szCs w:val="22"/>
          <w:highlight w:val="none"/>
          <w:lang w:val="en-US" w:eastAsia="zh-CN"/>
        </w:rPr>
        <w:t xml:space="preserve">  </w:t>
      </w:r>
      <w:r>
        <w:rPr>
          <w:rFonts w:hint="eastAsia" w:ascii="宋体" w:hAnsi="宋体" w:eastAsia="宋体" w:cs="宋体"/>
          <w:color w:val="auto"/>
          <w:sz w:val="21"/>
          <w:szCs w:val="22"/>
          <w:highlight w:val="none"/>
        </w:rPr>
        <w:t>月</w:t>
      </w:r>
      <w:r>
        <w:rPr>
          <w:rFonts w:hint="eastAsia" w:ascii="宋体" w:hAnsi="宋体" w:eastAsia="宋体" w:cs="宋体"/>
          <w:color w:val="auto"/>
          <w:sz w:val="21"/>
          <w:szCs w:val="22"/>
          <w:highlight w:val="none"/>
          <w:lang w:val="en-US" w:eastAsia="zh-CN"/>
        </w:rPr>
        <w:t xml:space="preserve">  </w:t>
      </w:r>
      <w:r>
        <w:rPr>
          <w:rFonts w:hint="eastAsia" w:ascii="宋体" w:hAnsi="宋体" w:eastAsia="宋体" w:cs="宋体"/>
          <w:color w:val="auto"/>
          <w:sz w:val="21"/>
          <w:szCs w:val="22"/>
          <w:highlight w:val="none"/>
        </w:rPr>
        <w:t>日</w:t>
      </w:r>
    </w:p>
    <w:p w14:paraId="10EA2127">
      <w:pPr>
        <w:rPr>
          <w:rFonts w:hint="eastAsia" w:ascii="宋体" w:hAnsi="宋体" w:eastAsia="宋体" w:cs="宋体"/>
          <w:color w:val="auto"/>
          <w:szCs w:val="21"/>
          <w:highlight w:val="none"/>
        </w:rPr>
      </w:pPr>
    </w:p>
    <w:p w14:paraId="07FA93BE">
      <w:pPr>
        <w:pStyle w:val="10"/>
        <w:rPr>
          <w:rFonts w:hint="eastAsia" w:ascii="宋体" w:hAnsi="宋体" w:eastAsia="宋体" w:cs="宋体"/>
          <w:color w:val="auto"/>
          <w:szCs w:val="21"/>
          <w:highlight w:val="none"/>
        </w:rPr>
      </w:pPr>
    </w:p>
    <w:p w14:paraId="19120F56">
      <w:pPr>
        <w:rPr>
          <w:rFonts w:hint="eastAsia" w:ascii="宋体" w:hAnsi="宋体" w:eastAsia="宋体" w:cs="宋体"/>
          <w:color w:val="auto"/>
          <w:highlight w:val="none"/>
        </w:rPr>
      </w:pPr>
    </w:p>
    <w:p w14:paraId="4502F77A">
      <w:pPr>
        <w:pStyle w:val="27"/>
        <w:rPr>
          <w:rFonts w:hint="eastAsia" w:ascii="宋体" w:hAnsi="宋体" w:eastAsia="宋体" w:cs="宋体"/>
          <w:color w:val="auto"/>
          <w:szCs w:val="21"/>
          <w:highlight w:val="none"/>
        </w:rPr>
      </w:pPr>
    </w:p>
    <w:p w14:paraId="2DECE9AC">
      <w:pPr>
        <w:numPr>
          <w:ilvl w:val="0"/>
          <w:numId w:val="0"/>
        </w:numPr>
        <w:spacing w:line="360" w:lineRule="auto"/>
        <w:rPr>
          <w:rFonts w:hint="eastAsia" w:ascii="宋体" w:hAnsi="宋体" w:eastAsia="宋体" w:cs="宋体"/>
          <w:b/>
          <w:color w:val="auto"/>
          <w:sz w:val="28"/>
          <w:szCs w:val="28"/>
          <w:highlight w:val="none"/>
          <w:lang w:eastAsia="zh-CN"/>
        </w:rPr>
      </w:pPr>
      <w:bookmarkStart w:id="52" w:name="_Toc458689680"/>
      <w:bookmarkEnd w:id="52"/>
      <w:bookmarkStart w:id="53" w:name="_Toc502737803"/>
      <w:bookmarkEnd w:id="53"/>
      <w:bookmarkStart w:id="54" w:name="_Toc392941016"/>
      <w:bookmarkEnd w:id="54"/>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lang w:eastAsia="zh-CN"/>
        </w:rPr>
        <w:t>已标价工程量清单</w:t>
      </w:r>
    </w:p>
    <w:p w14:paraId="194FA00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5B6C6A3">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1.供应商在编制响应文件时,应编写报价说明。供应商编制报价时，其定额和费用标准不作限制。供应商可充分发挥自身优势，结合建筑市场的供求关系，自行选用定额和费用标准。</w:t>
      </w:r>
    </w:p>
    <w:p w14:paraId="67117CAD">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2.供应商编制投标报价应附有编制说明，报价编制依据、选用定额，费率取值（其他直接费、现场经费、间接费、利润、税金等费用的费率取值）等（如有，请提供）。</w:t>
      </w:r>
    </w:p>
    <w:p w14:paraId="623E98D7">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3.供应商的已标价工程量清单必须加盖供应商公章。</w:t>
      </w:r>
    </w:p>
    <w:p w14:paraId="16A9A94D">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4.单价不能超过工程量清单单价上限，否则响应文件按无效响应处理。</w:t>
      </w:r>
    </w:p>
    <w:p w14:paraId="425F2BF2">
      <w:pPr>
        <w:pStyle w:val="10"/>
        <w:rPr>
          <w:rFonts w:hint="eastAsia" w:ascii="宋体" w:hAnsi="宋体" w:eastAsia="宋体" w:cs="宋体"/>
          <w:color w:val="auto"/>
          <w:sz w:val="36"/>
          <w:highlight w:val="none"/>
        </w:rPr>
      </w:pPr>
    </w:p>
    <w:p w14:paraId="7ED46615">
      <w:pPr>
        <w:pStyle w:val="25"/>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kern w:val="0"/>
          <w:sz w:val="28"/>
          <w:szCs w:val="28"/>
          <w:highlight w:val="none"/>
          <w:lang w:val="en-US" w:eastAsia="zh-CN" w:bidi="hi-IN"/>
        </w:rPr>
      </w:pPr>
      <w:r>
        <w:rPr>
          <w:rFonts w:hint="eastAsia" w:ascii="宋体" w:hAnsi="宋体" w:eastAsia="宋体" w:cs="宋体"/>
          <w:b/>
          <w:color w:val="auto"/>
          <w:kern w:val="0"/>
          <w:sz w:val="28"/>
          <w:szCs w:val="28"/>
          <w:highlight w:val="none"/>
          <w:lang w:val="en-US" w:eastAsia="zh-CN" w:bidi="hi-IN"/>
        </w:rPr>
        <w:t>5、供应商认为有必要提供的声明及其他证明材料（如有，请提供）</w:t>
      </w:r>
    </w:p>
    <w:p w14:paraId="36F9DEF6">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2E981EDA">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lang w:val="en-US" w:eastAsia="zh-CN"/>
        </w:rPr>
        <w:t>商</w:t>
      </w:r>
      <w:r>
        <w:rPr>
          <w:rFonts w:hint="eastAsia" w:ascii="宋体" w:hAnsi="宋体" w:eastAsia="宋体" w:cs="宋体"/>
          <w:bCs/>
          <w:color w:val="auto"/>
          <w:sz w:val="32"/>
          <w:szCs w:val="32"/>
          <w:highlight w:val="none"/>
        </w:rPr>
        <w:t xml:space="preserve">  </w:t>
      </w:r>
      <w:r>
        <w:rPr>
          <w:rFonts w:hint="eastAsia" w:ascii="宋体" w:hAnsi="宋体" w:eastAsia="宋体" w:cs="宋体"/>
          <w:bCs/>
          <w:color w:val="auto"/>
          <w:sz w:val="32"/>
          <w:szCs w:val="32"/>
          <w:highlight w:val="none"/>
          <w:lang w:val="en-US" w:eastAsia="zh-CN"/>
        </w:rPr>
        <w:t>务</w:t>
      </w:r>
      <w:r>
        <w:rPr>
          <w:rFonts w:hint="eastAsia" w:ascii="宋体" w:hAnsi="宋体" w:eastAsia="宋体" w:cs="宋体"/>
          <w:bCs/>
          <w:color w:val="auto"/>
          <w:sz w:val="32"/>
          <w:szCs w:val="32"/>
          <w:highlight w:val="none"/>
        </w:rPr>
        <w:t xml:space="preserve">  技  术  文  件</w:t>
      </w:r>
    </w:p>
    <w:p w14:paraId="08B4F820">
      <w:pPr>
        <w:snapToGrid w:val="0"/>
        <w:spacing w:before="120" w:beforeLines="50" w:after="50"/>
        <w:rPr>
          <w:rFonts w:hint="eastAsia" w:ascii="宋体" w:hAnsi="宋体" w:eastAsia="宋体" w:cs="宋体"/>
          <w:bCs/>
          <w:color w:val="auto"/>
          <w:sz w:val="24"/>
          <w:szCs w:val="20"/>
          <w:highlight w:val="none"/>
        </w:rPr>
      </w:pPr>
    </w:p>
    <w:p w14:paraId="29C002DF">
      <w:pPr>
        <w:snapToGrid w:val="0"/>
        <w:spacing w:before="120" w:beforeLines="50" w:after="50"/>
        <w:rPr>
          <w:rFonts w:hint="eastAsia" w:ascii="宋体" w:hAnsi="宋体" w:eastAsia="宋体" w:cs="宋体"/>
          <w:bCs/>
          <w:color w:val="auto"/>
          <w:sz w:val="24"/>
          <w:szCs w:val="20"/>
          <w:highlight w:val="none"/>
        </w:rPr>
      </w:pPr>
    </w:p>
    <w:p w14:paraId="12F16E01">
      <w:pPr>
        <w:snapToGrid w:val="0"/>
        <w:spacing w:before="120" w:beforeLines="50" w:after="50"/>
        <w:rPr>
          <w:rFonts w:hint="eastAsia" w:ascii="宋体" w:hAnsi="宋体" w:eastAsia="宋体" w:cs="宋体"/>
          <w:bCs/>
          <w:color w:val="auto"/>
          <w:sz w:val="24"/>
          <w:szCs w:val="20"/>
          <w:highlight w:val="none"/>
        </w:rPr>
      </w:pPr>
    </w:p>
    <w:p w14:paraId="1291BBEA">
      <w:pPr>
        <w:snapToGrid w:val="0"/>
        <w:spacing w:before="120" w:beforeLines="50" w:after="50"/>
        <w:rPr>
          <w:rFonts w:hint="eastAsia" w:ascii="宋体" w:hAnsi="宋体" w:eastAsia="宋体" w:cs="宋体"/>
          <w:bCs/>
          <w:color w:val="auto"/>
          <w:sz w:val="24"/>
          <w:szCs w:val="20"/>
          <w:highlight w:val="none"/>
        </w:rPr>
      </w:pPr>
    </w:p>
    <w:p w14:paraId="5E4513B1">
      <w:pPr>
        <w:snapToGrid w:val="0"/>
        <w:spacing w:before="120" w:beforeLines="50" w:after="50"/>
        <w:rPr>
          <w:rFonts w:hint="eastAsia" w:ascii="宋体" w:hAnsi="宋体" w:eastAsia="宋体" w:cs="宋体"/>
          <w:bCs/>
          <w:color w:val="auto"/>
          <w:sz w:val="24"/>
          <w:szCs w:val="20"/>
          <w:highlight w:val="none"/>
        </w:rPr>
      </w:pPr>
    </w:p>
    <w:p w14:paraId="2FBCC5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BCC93DC">
      <w:pPr>
        <w:snapToGrid w:val="0"/>
        <w:spacing w:before="120" w:beforeLines="50" w:after="50"/>
        <w:ind w:firstLine="720" w:firstLineChars="225"/>
        <w:rPr>
          <w:rFonts w:hint="eastAsia" w:ascii="宋体" w:hAnsi="宋体" w:eastAsia="宋体" w:cs="宋体"/>
          <w:bCs/>
          <w:color w:val="auto"/>
          <w:sz w:val="32"/>
          <w:szCs w:val="32"/>
          <w:highlight w:val="none"/>
        </w:rPr>
      </w:pPr>
    </w:p>
    <w:p w14:paraId="0D566A5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446DD70">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7BBB396">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123098C">
      <w:pPr>
        <w:pStyle w:val="8"/>
        <w:snapToGrid w:val="0"/>
        <w:spacing w:before="50" w:after="50"/>
        <w:ind w:firstLine="720" w:firstLineChars="225"/>
        <w:rPr>
          <w:rFonts w:hint="eastAsia" w:ascii="宋体" w:hAnsi="宋体" w:eastAsia="宋体" w:cs="宋体"/>
          <w:bCs/>
          <w:color w:val="auto"/>
          <w:sz w:val="32"/>
          <w:szCs w:val="32"/>
          <w:highlight w:val="none"/>
        </w:rPr>
      </w:pPr>
    </w:p>
    <w:p w14:paraId="2DE92345">
      <w:pPr>
        <w:pStyle w:val="8"/>
        <w:snapToGrid w:val="0"/>
        <w:spacing w:before="50" w:after="50"/>
        <w:ind w:firstLine="720" w:firstLineChars="225"/>
        <w:rPr>
          <w:rFonts w:hint="eastAsia" w:ascii="宋体" w:hAnsi="宋体" w:eastAsia="宋体" w:cs="宋体"/>
          <w:bCs/>
          <w:color w:val="auto"/>
          <w:sz w:val="32"/>
          <w:szCs w:val="32"/>
          <w:highlight w:val="none"/>
        </w:rPr>
      </w:pPr>
    </w:p>
    <w:p w14:paraId="23660B0E">
      <w:pPr>
        <w:pStyle w:val="8"/>
        <w:snapToGrid w:val="0"/>
        <w:spacing w:before="50" w:after="50"/>
        <w:ind w:firstLine="1280" w:firstLineChars="400"/>
        <w:rPr>
          <w:rFonts w:hint="eastAsia" w:ascii="宋体" w:hAnsi="宋体" w:eastAsia="宋体" w:cs="宋体"/>
          <w:bCs/>
          <w:color w:val="auto"/>
          <w:sz w:val="32"/>
          <w:szCs w:val="32"/>
          <w:highlight w:val="none"/>
        </w:rPr>
      </w:pPr>
    </w:p>
    <w:p w14:paraId="6CE20B01">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F3615B3">
      <w:pPr>
        <w:pStyle w:val="25"/>
        <w:spacing w:line="360" w:lineRule="auto"/>
        <w:rPr>
          <w:rFonts w:hint="eastAsia" w:ascii="宋体" w:hAnsi="宋体" w:eastAsia="宋体" w:cs="宋体"/>
          <w:color w:val="auto"/>
          <w:sz w:val="24"/>
          <w:highlight w:val="none"/>
        </w:rPr>
      </w:pPr>
    </w:p>
    <w:p w14:paraId="4DB2BD88">
      <w:pPr>
        <w:pStyle w:val="25"/>
        <w:spacing w:line="360" w:lineRule="auto"/>
        <w:rPr>
          <w:rFonts w:hint="eastAsia" w:ascii="宋体" w:hAnsi="宋体" w:eastAsia="宋体" w:cs="宋体"/>
          <w:color w:val="auto"/>
          <w:sz w:val="24"/>
          <w:highlight w:val="none"/>
        </w:rPr>
      </w:pPr>
    </w:p>
    <w:p w14:paraId="662DA494">
      <w:pPr>
        <w:pStyle w:val="25"/>
        <w:spacing w:line="360" w:lineRule="auto"/>
        <w:rPr>
          <w:rFonts w:hint="eastAsia" w:ascii="宋体" w:hAnsi="宋体" w:eastAsia="宋体" w:cs="宋体"/>
          <w:color w:val="auto"/>
          <w:sz w:val="24"/>
          <w:highlight w:val="none"/>
        </w:rPr>
      </w:pPr>
    </w:p>
    <w:p w14:paraId="2D9B0A05">
      <w:pPr>
        <w:pStyle w:val="26"/>
        <w:rPr>
          <w:rFonts w:hint="eastAsia" w:ascii="宋体" w:hAnsi="宋体" w:eastAsia="宋体" w:cs="宋体"/>
          <w:color w:val="auto"/>
          <w:sz w:val="24"/>
          <w:highlight w:val="none"/>
        </w:rPr>
      </w:pPr>
    </w:p>
    <w:p w14:paraId="6C230BD1">
      <w:pPr>
        <w:pStyle w:val="25"/>
        <w:rPr>
          <w:rFonts w:hint="eastAsia" w:ascii="宋体" w:hAnsi="宋体" w:eastAsia="宋体" w:cs="宋体"/>
          <w:color w:val="auto"/>
          <w:sz w:val="24"/>
          <w:highlight w:val="none"/>
        </w:rPr>
      </w:pPr>
    </w:p>
    <w:p w14:paraId="143361F3">
      <w:pPr>
        <w:pStyle w:val="26"/>
        <w:rPr>
          <w:rFonts w:hint="eastAsia" w:ascii="宋体" w:hAnsi="宋体" w:eastAsia="宋体" w:cs="宋体"/>
          <w:color w:val="auto"/>
          <w:highlight w:val="none"/>
        </w:rPr>
      </w:pPr>
    </w:p>
    <w:p w14:paraId="7E2F491A">
      <w:pPr>
        <w:pStyle w:val="25"/>
        <w:spacing w:line="360" w:lineRule="auto"/>
        <w:jc w:val="center"/>
        <w:rPr>
          <w:rFonts w:hint="eastAsia" w:ascii="宋体" w:hAnsi="宋体" w:eastAsia="宋体" w:cs="宋体"/>
          <w:color w:val="auto"/>
          <w:sz w:val="24"/>
          <w:highlight w:val="none"/>
        </w:rPr>
      </w:pPr>
    </w:p>
    <w:p w14:paraId="67595E40">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80C16B5">
      <w:pPr>
        <w:pStyle w:val="25"/>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CEBA36E">
      <w:pPr>
        <w:pStyle w:val="25"/>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b/>
          <w:color w:val="auto"/>
          <w:sz w:val="32"/>
          <w:szCs w:val="32"/>
          <w:highlight w:val="none"/>
        </w:rPr>
      </w:pPr>
      <w:r>
        <w:rPr>
          <w:rFonts w:hint="eastAsia" w:ascii="宋体" w:hAnsi="宋体" w:eastAsia="宋体" w:cs="宋体"/>
          <w:color w:val="auto"/>
          <w:sz w:val="32"/>
          <w:szCs w:val="32"/>
          <w:highlight w:val="none"/>
        </w:rPr>
        <w:t>根据竞争性磋商文件规定规定及供应商提供的材料自行编写目录（部分格式后附）</w:t>
      </w:r>
    </w:p>
    <w:p w14:paraId="1449429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A7C92E">
      <w:pPr>
        <w:pStyle w:val="25"/>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法定代表人身份证明书，须附上法定代表人身份证复印件</w:t>
      </w:r>
    </w:p>
    <w:p w14:paraId="3671C6F5">
      <w:pPr>
        <w:pStyle w:val="25"/>
        <w:snapToGrid w:val="0"/>
        <w:spacing w:line="360" w:lineRule="auto"/>
        <w:jc w:val="center"/>
        <w:rPr>
          <w:rFonts w:hint="eastAsia" w:ascii="宋体" w:hAnsi="宋体" w:eastAsia="宋体" w:cs="宋体"/>
          <w:b/>
          <w:color w:val="auto"/>
          <w:sz w:val="24"/>
          <w:highlight w:val="none"/>
        </w:rPr>
      </w:pPr>
    </w:p>
    <w:p w14:paraId="7E49A43A">
      <w:pPr>
        <w:pStyle w:val="25"/>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法定代表人身份证明书</w:t>
      </w:r>
    </w:p>
    <w:p w14:paraId="78F4F7ED">
      <w:pPr>
        <w:autoSpaceDE w:val="0"/>
        <w:autoSpaceDN w:val="0"/>
        <w:adjustRightInd w:val="0"/>
        <w:spacing w:line="480" w:lineRule="auto"/>
        <w:jc w:val="left"/>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rPr>
        <w:t>单位名称：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3C60BA6B">
      <w:pPr>
        <w:autoSpaceDE w:val="0"/>
        <w:autoSpaceDN w:val="0"/>
        <w:adjustRightInd w:val="0"/>
        <w:spacing w:line="48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单位性质：</w:t>
      </w:r>
      <w:r>
        <w:rPr>
          <w:rFonts w:hint="eastAsia" w:ascii="宋体" w:hAnsi="宋体" w:eastAsia="宋体" w:cs="宋体"/>
          <w:color w:val="auto"/>
          <w:kern w:val="0"/>
          <w:sz w:val="21"/>
          <w:szCs w:val="21"/>
          <w:highlight w:val="none"/>
          <w:u w:val="single"/>
          <w:lang w:val="en-US" w:eastAsia="zh-CN"/>
        </w:rPr>
        <w:t xml:space="preserve">                         </w:t>
      </w:r>
    </w:p>
    <w:p w14:paraId="330A0E2C">
      <w:pPr>
        <w:autoSpaceDE w:val="0"/>
        <w:autoSpaceDN w:val="0"/>
        <w:adjustRightInd w:val="0"/>
        <w:spacing w:line="48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lang w:val="en-US" w:eastAsia="zh-CN"/>
        </w:rPr>
        <w:t xml:space="preserve">                         </w:t>
      </w:r>
    </w:p>
    <w:p w14:paraId="5053039E">
      <w:pPr>
        <w:autoSpaceDE w:val="0"/>
        <w:autoSpaceDN w:val="0"/>
        <w:adjustRightInd w:val="0"/>
        <w:spacing w:line="48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成立时间：</w:t>
      </w:r>
      <w:r>
        <w:rPr>
          <w:rFonts w:hint="eastAsia" w:ascii="宋体" w:hAnsi="宋体" w:eastAsia="宋体" w:cs="宋体"/>
          <w:color w:val="auto"/>
          <w:kern w:val="0"/>
          <w:sz w:val="21"/>
          <w:szCs w:val="21"/>
          <w:highlight w:val="none"/>
          <w:u w:val="single"/>
          <w:lang w:val="en-US" w:eastAsia="zh-CN"/>
        </w:rPr>
        <w:t xml:space="preserve">                         </w:t>
      </w:r>
    </w:p>
    <w:p w14:paraId="43E4988A">
      <w:pPr>
        <w:autoSpaceDE w:val="0"/>
        <w:autoSpaceDN w:val="0"/>
        <w:adjustRightInd w:val="0"/>
        <w:spacing w:line="48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经营期限：</w:t>
      </w:r>
      <w:r>
        <w:rPr>
          <w:rFonts w:hint="eastAsia" w:ascii="宋体" w:hAnsi="宋体" w:eastAsia="宋体" w:cs="宋体"/>
          <w:color w:val="auto"/>
          <w:kern w:val="0"/>
          <w:sz w:val="21"/>
          <w:szCs w:val="21"/>
          <w:highlight w:val="none"/>
          <w:u w:val="single"/>
          <w:lang w:val="en-US" w:eastAsia="zh-CN"/>
        </w:rPr>
        <w:t xml:space="preserve">                         </w:t>
      </w:r>
    </w:p>
    <w:p w14:paraId="5E43F024">
      <w:pPr>
        <w:autoSpaceDE w:val="0"/>
        <w:autoSpaceDN w:val="0"/>
        <w:adjustRightInd w:val="0"/>
        <w:spacing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性别：</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年龄：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职务：</w:t>
      </w:r>
      <w:r>
        <w:rPr>
          <w:rFonts w:hint="eastAsia" w:ascii="宋体" w:hAnsi="宋体" w:eastAsia="宋体" w:cs="宋体"/>
          <w:color w:val="auto"/>
          <w:kern w:val="0"/>
          <w:sz w:val="21"/>
          <w:szCs w:val="21"/>
          <w:highlight w:val="none"/>
          <w:u w:val="single"/>
          <w:lang w:val="en-US" w:eastAsia="zh-CN"/>
        </w:rPr>
        <w:t xml:space="preserve">            </w:t>
      </w:r>
    </w:p>
    <w:p w14:paraId="02AD867B">
      <w:pPr>
        <w:autoSpaceDE w:val="0"/>
        <w:autoSpaceDN w:val="0"/>
        <w:adjustRightInd w:val="0"/>
        <w:spacing w:line="48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供应商</w:t>
      </w:r>
      <w:r>
        <w:rPr>
          <w:rFonts w:hint="eastAsia" w:ascii="宋体" w:hAnsi="宋体" w:eastAsia="宋体" w:cs="宋体"/>
          <w:color w:val="auto"/>
          <w:kern w:val="0"/>
          <w:sz w:val="21"/>
          <w:szCs w:val="21"/>
          <w:highlight w:val="none"/>
          <w:u w:val="single"/>
        </w:rPr>
        <w:t>名称）</w:t>
      </w:r>
      <w:r>
        <w:rPr>
          <w:rFonts w:hint="eastAsia" w:ascii="宋体" w:hAnsi="宋体" w:eastAsia="宋体" w:cs="宋体"/>
          <w:color w:val="auto"/>
          <w:kern w:val="0"/>
          <w:sz w:val="21"/>
          <w:szCs w:val="21"/>
          <w:highlight w:val="none"/>
        </w:rPr>
        <w:t>的法定代表人。</w:t>
      </w:r>
    </w:p>
    <w:p w14:paraId="4C3FECDA">
      <w:pPr>
        <w:autoSpaceDE w:val="0"/>
        <w:autoSpaceDN w:val="0"/>
        <w:adjustRightInd w:val="0"/>
        <w:spacing w:line="480" w:lineRule="auto"/>
        <w:rPr>
          <w:rFonts w:hint="eastAsia" w:ascii="宋体" w:hAnsi="宋体" w:eastAsia="宋体" w:cs="宋体"/>
          <w:color w:val="auto"/>
          <w:kern w:val="0"/>
          <w:sz w:val="21"/>
          <w:szCs w:val="21"/>
          <w:highlight w:val="none"/>
        </w:rPr>
      </w:pPr>
    </w:p>
    <w:p w14:paraId="41169629">
      <w:pPr>
        <w:autoSpaceDE w:val="0"/>
        <w:autoSpaceDN w:val="0"/>
        <w:adjustRightInd w:val="0"/>
        <w:spacing w:line="48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79B69522">
      <w:pPr>
        <w:autoSpaceDE w:val="0"/>
        <w:autoSpaceDN w:val="0"/>
        <w:adjustRightIn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供应商名称：                 （盖章）</w:t>
      </w:r>
    </w:p>
    <w:p w14:paraId="695230DD">
      <w:pPr>
        <w:autoSpaceDE w:val="0"/>
        <w:autoSpaceDN w:val="0"/>
        <w:adjustRightInd w:val="0"/>
        <w:spacing w:line="360" w:lineRule="auto"/>
        <w:jc w:val="left"/>
        <w:rPr>
          <w:rFonts w:hint="eastAsia" w:ascii="宋体" w:hAnsi="宋体" w:eastAsia="宋体" w:cs="宋体"/>
          <w:color w:val="auto"/>
          <w:kern w:val="0"/>
          <w:sz w:val="21"/>
          <w:szCs w:val="21"/>
          <w:highlight w:val="none"/>
        </w:rPr>
      </w:pPr>
    </w:p>
    <w:p w14:paraId="65E16243">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w:t>
      </w:r>
    </w:p>
    <w:p w14:paraId="38BF32E7">
      <w:pPr>
        <w:autoSpaceDE w:val="0"/>
        <w:autoSpaceDN w:val="0"/>
        <w:adjustRightInd w:val="0"/>
        <w:spacing w:line="360" w:lineRule="auto"/>
        <w:jc w:val="left"/>
        <w:rPr>
          <w:rFonts w:hint="eastAsia" w:ascii="宋体" w:hAnsi="宋体" w:eastAsia="宋体" w:cs="宋体"/>
          <w:color w:val="auto"/>
          <w:kern w:val="0"/>
          <w:sz w:val="21"/>
          <w:szCs w:val="21"/>
          <w:highlight w:val="none"/>
        </w:rPr>
      </w:pPr>
    </w:p>
    <w:p w14:paraId="2FCF3D91">
      <w:pPr>
        <w:autoSpaceDE w:val="0"/>
        <w:autoSpaceDN w:val="0"/>
        <w:adjustRightInd w:val="0"/>
        <w:spacing w:line="360" w:lineRule="auto"/>
        <w:jc w:val="left"/>
        <w:rPr>
          <w:rFonts w:hint="eastAsia" w:ascii="宋体" w:hAnsi="宋体" w:eastAsia="宋体" w:cs="宋体"/>
          <w:color w:val="auto"/>
          <w:kern w:val="0"/>
          <w:sz w:val="21"/>
          <w:szCs w:val="21"/>
          <w:highlight w:val="none"/>
        </w:rPr>
      </w:pPr>
    </w:p>
    <w:p w14:paraId="105AB915">
      <w:pPr>
        <w:autoSpaceDE w:val="0"/>
        <w:autoSpaceDN w:val="0"/>
        <w:adjustRightInd w:val="0"/>
        <w:spacing w:line="360" w:lineRule="auto"/>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附：法定代表人身份证正反面复印件及营业执照复印件</w:t>
      </w:r>
    </w:p>
    <w:p w14:paraId="349DAD6D">
      <w:pPr>
        <w:pStyle w:val="25"/>
        <w:spacing w:line="360" w:lineRule="auto"/>
        <w:ind w:right="97"/>
        <w:rPr>
          <w:rFonts w:hint="eastAsia" w:ascii="宋体" w:hAnsi="宋体" w:eastAsia="宋体" w:cs="宋体"/>
          <w:color w:val="auto"/>
          <w:sz w:val="21"/>
          <w:szCs w:val="21"/>
          <w:highlight w:val="none"/>
        </w:rPr>
      </w:pPr>
    </w:p>
    <w:p w14:paraId="7FF58650">
      <w:pPr>
        <w:pStyle w:val="25"/>
        <w:spacing w:line="360" w:lineRule="auto"/>
        <w:ind w:right="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252590D1">
      <w:pPr>
        <w:pStyle w:val="25"/>
        <w:spacing w:line="360" w:lineRule="auto"/>
        <w:ind w:right="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(1)法定代表人亲自参加开标会议的，须附上“法定代表人身份证明书”，附法定代表人身份证复印件。</w:t>
      </w:r>
    </w:p>
    <w:p w14:paraId="0F45DE6A">
      <w:pPr>
        <w:pStyle w:val="25"/>
        <w:spacing w:line="360" w:lineRule="auto"/>
        <w:rPr>
          <w:rFonts w:hint="eastAsia" w:ascii="宋体" w:hAnsi="宋体" w:eastAsia="宋体" w:cs="宋体"/>
          <w:b/>
          <w:color w:val="auto"/>
          <w:sz w:val="28"/>
          <w:szCs w:val="28"/>
          <w:highlight w:val="none"/>
        </w:rPr>
      </w:pPr>
    </w:p>
    <w:p w14:paraId="7EEA43D7">
      <w:pPr>
        <w:pStyle w:val="27"/>
        <w:rPr>
          <w:rFonts w:hint="eastAsia" w:ascii="宋体" w:hAnsi="宋体" w:eastAsia="宋体" w:cs="宋体"/>
          <w:color w:val="auto"/>
          <w:sz w:val="36"/>
          <w:highlight w:val="none"/>
        </w:rPr>
      </w:pPr>
    </w:p>
    <w:p w14:paraId="556B4901">
      <w:pPr>
        <w:rPr>
          <w:rFonts w:hint="eastAsia" w:ascii="宋体" w:hAnsi="宋体" w:eastAsia="宋体" w:cs="宋体"/>
          <w:color w:val="auto"/>
          <w:sz w:val="36"/>
          <w:highlight w:val="none"/>
        </w:rPr>
      </w:pPr>
    </w:p>
    <w:p w14:paraId="08291AAC">
      <w:pPr>
        <w:rPr>
          <w:rFonts w:hint="eastAsia" w:ascii="宋体" w:hAnsi="宋体" w:eastAsia="宋体" w:cs="宋体"/>
          <w:color w:val="auto"/>
          <w:sz w:val="36"/>
          <w:highlight w:val="none"/>
        </w:rPr>
      </w:pPr>
    </w:p>
    <w:p w14:paraId="49B2D87F">
      <w:pPr>
        <w:rPr>
          <w:rFonts w:hint="eastAsia" w:ascii="宋体" w:hAnsi="宋体" w:eastAsia="宋体" w:cs="宋体"/>
          <w:color w:val="auto"/>
          <w:sz w:val="36"/>
          <w:highlight w:val="none"/>
        </w:rPr>
      </w:pPr>
    </w:p>
    <w:p w14:paraId="59ADD95F">
      <w:pPr>
        <w:rPr>
          <w:rFonts w:hint="eastAsia" w:ascii="宋体" w:hAnsi="宋体" w:eastAsia="宋体" w:cs="宋体"/>
          <w:color w:val="auto"/>
          <w:sz w:val="36"/>
          <w:highlight w:val="none"/>
        </w:rPr>
      </w:pPr>
    </w:p>
    <w:p w14:paraId="0B157252">
      <w:pPr>
        <w:pStyle w:val="10"/>
        <w:rPr>
          <w:rFonts w:hint="eastAsia" w:ascii="宋体" w:hAnsi="宋体" w:eastAsia="宋体" w:cs="宋体"/>
          <w:color w:val="auto"/>
          <w:sz w:val="36"/>
          <w:highlight w:val="none"/>
        </w:rPr>
      </w:pPr>
    </w:p>
    <w:p w14:paraId="296CA38F">
      <w:pP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br w:type="page"/>
      </w:r>
    </w:p>
    <w:p w14:paraId="1FE06D6E">
      <w:pPr>
        <w:pStyle w:val="25"/>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授权委托书及代理人身份证复印件</w:t>
      </w:r>
    </w:p>
    <w:p w14:paraId="6A7AF80F">
      <w:pPr>
        <w:pStyle w:val="25"/>
        <w:snapToGrid w:val="0"/>
        <w:spacing w:line="360" w:lineRule="auto"/>
        <w:jc w:val="center"/>
        <w:rPr>
          <w:rFonts w:hint="eastAsia" w:ascii="宋体" w:hAnsi="宋体" w:eastAsia="宋体" w:cs="宋体"/>
          <w:b/>
          <w:color w:val="auto"/>
          <w:sz w:val="24"/>
          <w:highlight w:val="none"/>
        </w:rPr>
      </w:pPr>
    </w:p>
    <w:p w14:paraId="67C356BC">
      <w:pPr>
        <w:pStyle w:val="26"/>
        <w:rPr>
          <w:rFonts w:hint="eastAsia" w:ascii="宋体" w:hAnsi="宋体" w:eastAsia="宋体" w:cs="宋体"/>
          <w:color w:val="auto"/>
          <w:highlight w:val="none"/>
        </w:rPr>
      </w:pPr>
    </w:p>
    <w:p w14:paraId="331ABE71">
      <w:pPr>
        <w:pStyle w:val="25"/>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法定代表人</w:t>
      </w:r>
      <w:r>
        <w:rPr>
          <w:rFonts w:hint="eastAsia" w:ascii="宋体" w:hAnsi="宋体" w:eastAsia="宋体" w:cs="宋体"/>
          <w:b/>
          <w:color w:val="auto"/>
          <w:sz w:val="24"/>
          <w:highlight w:val="none"/>
        </w:rPr>
        <w:t>授权委托书</w:t>
      </w:r>
    </w:p>
    <w:p w14:paraId="3684ED6D">
      <w:pPr>
        <w:pStyle w:val="25"/>
        <w:snapToGrid w:val="0"/>
        <w:spacing w:line="360" w:lineRule="auto"/>
        <w:rPr>
          <w:rFonts w:hint="eastAsia" w:ascii="宋体" w:hAnsi="宋体" w:eastAsia="宋体" w:cs="宋体"/>
          <w:color w:val="auto"/>
          <w:sz w:val="28"/>
          <w:szCs w:val="28"/>
          <w:highlight w:val="none"/>
        </w:rPr>
      </w:pPr>
    </w:p>
    <w:p w14:paraId="64234122">
      <w:pPr>
        <w:autoSpaceDE w:val="0"/>
        <w:autoSpaceDN w:val="0"/>
        <w:adjustRightInd w:val="0"/>
        <w:spacing w:line="600" w:lineRule="auto"/>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本授权书声明：我</w:t>
      </w:r>
      <w:r>
        <w:rPr>
          <w:rFonts w:hint="eastAsia" w:ascii="宋体" w:hAnsi="宋体" w:eastAsia="宋体" w:cs="宋体"/>
          <w:color w:val="auto"/>
          <w:kern w:val="0"/>
          <w:sz w:val="21"/>
          <w:szCs w:val="22"/>
          <w:highlight w:val="none"/>
          <w:u w:val="single"/>
        </w:rPr>
        <w:t>（姓名）</w:t>
      </w:r>
      <w:r>
        <w:rPr>
          <w:rFonts w:hint="eastAsia" w:ascii="宋体" w:hAnsi="宋体" w:eastAsia="宋体" w:cs="宋体"/>
          <w:color w:val="auto"/>
          <w:kern w:val="0"/>
          <w:sz w:val="21"/>
          <w:szCs w:val="22"/>
          <w:highlight w:val="none"/>
        </w:rPr>
        <w:t>系</w:t>
      </w:r>
      <w:r>
        <w:rPr>
          <w:rFonts w:hint="eastAsia" w:ascii="宋体" w:hAnsi="宋体" w:eastAsia="宋体" w:cs="宋体"/>
          <w:color w:val="auto"/>
          <w:kern w:val="0"/>
          <w:sz w:val="21"/>
          <w:szCs w:val="22"/>
          <w:highlight w:val="none"/>
          <w:u w:val="single"/>
        </w:rPr>
        <w:t>（供应商名称）</w:t>
      </w:r>
      <w:r>
        <w:rPr>
          <w:rFonts w:hint="eastAsia" w:ascii="宋体" w:hAnsi="宋体" w:eastAsia="宋体" w:cs="宋体"/>
          <w:color w:val="auto"/>
          <w:kern w:val="0"/>
          <w:sz w:val="21"/>
          <w:szCs w:val="22"/>
          <w:highlight w:val="none"/>
        </w:rPr>
        <w:t>的法定代表人，现授权</w:t>
      </w:r>
      <w:r>
        <w:rPr>
          <w:rFonts w:hint="eastAsia" w:ascii="宋体" w:hAnsi="宋体" w:eastAsia="宋体" w:cs="宋体"/>
          <w:color w:val="auto"/>
          <w:kern w:val="0"/>
          <w:sz w:val="21"/>
          <w:szCs w:val="22"/>
          <w:highlight w:val="none"/>
          <w:u w:val="single"/>
        </w:rPr>
        <w:t>（姓名）</w:t>
      </w:r>
      <w:r>
        <w:rPr>
          <w:rFonts w:hint="eastAsia" w:ascii="宋体" w:hAnsi="宋体" w:eastAsia="宋体" w:cs="宋体"/>
          <w:color w:val="auto"/>
          <w:kern w:val="0"/>
          <w:sz w:val="21"/>
          <w:szCs w:val="22"/>
          <w:highlight w:val="none"/>
        </w:rPr>
        <w:t>为我公司代理人，以本公司名义参加</w:t>
      </w:r>
      <w:r>
        <w:rPr>
          <w:rFonts w:hint="eastAsia" w:ascii="宋体" w:hAnsi="宋体" w:eastAsia="宋体" w:cs="宋体"/>
          <w:color w:val="auto"/>
          <w:kern w:val="0"/>
          <w:sz w:val="21"/>
          <w:szCs w:val="22"/>
          <w:highlight w:val="none"/>
          <w:u w:val="single"/>
        </w:rPr>
        <w:t>（采购人名称）</w:t>
      </w:r>
      <w:r>
        <w:rPr>
          <w:rFonts w:hint="eastAsia" w:ascii="宋体" w:hAnsi="宋体" w:eastAsia="宋体" w:cs="宋体"/>
          <w:color w:val="auto"/>
          <w:kern w:val="0"/>
          <w:sz w:val="21"/>
          <w:szCs w:val="22"/>
          <w:highlight w:val="none"/>
        </w:rPr>
        <w:t>的</w:t>
      </w:r>
      <w:r>
        <w:rPr>
          <w:rFonts w:hint="eastAsia" w:ascii="宋体" w:hAnsi="宋体" w:eastAsia="宋体" w:cs="宋体"/>
          <w:color w:val="auto"/>
          <w:kern w:val="0"/>
          <w:sz w:val="21"/>
          <w:szCs w:val="22"/>
          <w:highlight w:val="none"/>
          <w:u w:val="single"/>
        </w:rPr>
        <w:t>（</w:t>
      </w:r>
      <w:r>
        <w:rPr>
          <w:rFonts w:hint="eastAsia" w:ascii="宋体" w:hAnsi="宋体" w:eastAsia="宋体" w:cs="宋体"/>
          <w:color w:val="auto"/>
          <w:kern w:val="0"/>
          <w:sz w:val="21"/>
          <w:szCs w:val="22"/>
          <w:highlight w:val="none"/>
          <w:u w:val="single"/>
          <w:lang w:val="en-US" w:eastAsia="zh-CN"/>
        </w:rPr>
        <w:t>项目</w:t>
      </w:r>
      <w:r>
        <w:rPr>
          <w:rFonts w:hint="eastAsia" w:ascii="宋体" w:hAnsi="宋体" w:eastAsia="宋体" w:cs="宋体"/>
          <w:color w:val="auto"/>
          <w:kern w:val="0"/>
          <w:sz w:val="21"/>
          <w:szCs w:val="22"/>
          <w:highlight w:val="none"/>
          <w:u w:val="single"/>
        </w:rPr>
        <w:t>名称）</w:t>
      </w:r>
      <w:r>
        <w:rPr>
          <w:rFonts w:hint="eastAsia" w:ascii="宋体" w:hAnsi="宋体" w:eastAsia="宋体" w:cs="宋体"/>
          <w:color w:val="auto"/>
          <w:kern w:val="0"/>
          <w:sz w:val="21"/>
          <w:szCs w:val="22"/>
          <w:highlight w:val="none"/>
        </w:rPr>
        <w:t>的竞标活动。代理人在竞标和合同谈判过程中所签署的一切文件和处理与之有关的一切事务，我均予以承认。</w:t>
      </w:r>
    </w:p>
    <w:p w14:paraId="483FC191">
      <w:pPr>
        <w:autoSpaceDE w:val="0"/>
        <w:autoSpaceDN w:val="0"/>
        <w:adjustRightInd w:val="0"/>
        <w:spacing w:line="600" w:lineRule="auto"/>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本授权书有效期为</w:t>
      </w:r>
      <w:r>
        <w:rPr>
          <w:rFonts w:hint="eastAsia" w:ascii="宋体" w:hAnsi="宋体" w:eastAsia="宋体" w:cs="宋体"/>
          <w:color w:val="auto"/>
          <w:kern w:val="0"/>
          <w:sz w:val="21"/>
          <w:szCs w:val="22"/>
          <w:highlight w:val="none"/>
          <w:u w:val="single"/>
        </w:rPr>
        <w:t>：</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年</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月</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日至</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年</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月</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u w:val="single"/>
        </w:rPr>
        <w:t>日</w:t>
      </w:r>
    </w:p>
    <w:p w14:paraId="5B0A4518">
      <w:pPr>
        <w:autoSpaceDE w:val="0"/>
        <w:autoSpaceDN w:val="0"/>
        <w:adjustRightInd w:val="0"/>
        <w:spacing w:line="600" w:lineRule="auto"/>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代理人无转委权。特此授权。</w:t>
      </w:r>
    </w:p>
    <w:p w14:paraId="1AC1B419">
      <w:pPr>
        <w:autoSpaceDE w:val="0"/>
        <w:autoSpaceDN w:val="0"/>
        <w:adjustRightInd w:val="0"/>
        <w:spacing w:line="600" w:lineRule="auto"/>
        <w:ind w:firstLine="420" w:firstLineChars="200"/>
        <w:jc w:val="left"/>
        <w:rPr>
          <w:rFonts w:hint="eastAsia" w:ascii="宋体" w:hAnsi="宋体" w:eastAsia="宋体" w:cs="宋体"/>
          <w:color w:val="auto"/>
          <w:kern w:val="0"/>
          <w:sz w:val="21"/>
          <w:szCs w:val="22"/>
          <w:highlight w:val="none"/>
          <w:u w:val="single"/>
        </w:rPr>
      </w:pPr>
      <w:r>
        <w:rPr>
          <w:rFonts w:hint="eastAsia" w:ascii="宋体" w:hAnsi="宋体" w:eastAsia="宋体" w:cs="宋体"/>
          <w:color w:val="auto"/>
          <w:kern w:val="0"/>
          <w:sz w:val="21"/>
          <w:szCs w:val="22"/>
          <w:highlight w:val="none"/>
        </w:rPr>
        <w:t>代理人（签字）：</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rPr>
        <w:t>性别：</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rPr>
        <w:t>年龄：</w:t>
      </w:r>
      <w:r>
        <w:rPr>
          <w:rFonts w:hint="eastAsia" w:ascii="宋体" w:hAnsi="宋体" w:eastAsia="宋体" w:cs="宋体"/>
          <w:color w:val="auto"/>
          <w:kern w:val="0"/>
          <w:sz w:val="21"/>
          <w:szCs w:val="22"/>
          <w:highlight w:val="none"/>
          <w:u w:val="single"/>
          <w:lang w:val="en-US" w:eastAsia="zh-CN"/>
        </w:rPr>
        <w:t xml:space="preserve">            </w:t>
      </w:r>
    </w:p>
    <w:p w14:paraId="1230003E">
      <w:pPr>
        <w:autoSpaceDE w:val="0"/>
        <w:autoSpaceDN w:val="0"/>
        <w:adjustRightInd w:val="0"/>
        <w:spacing w:line="600" w:lineRule="auto"/>
        <w:ind w:firstLine="420" w:firstLineChars="200"/>
        <w:jc w:val="left"/>
        <w:rPr>
          <w:rFonts w:hint="eastAsia" w:ascii="宋体" w:hAnsi="宋体" w:eastAsia="宋体" w:cs="宋体"/>
          <w:color w:val="auto"/>
          <w:kern w:val="0"/>
          <w:sz w:val="21"/>
          <w:szCs w:val="22"/>
          <w:highlight w:val="none"/>
          <w:u w:val="single"/>
          <w:lang w:val="en-US" w:eastAsia="zh-CN"/>
        </w:rPr>
      </w:pPr>
      <w:r>
        <w:rPr>
          <w:rFonts w:hint="eastAsia" w:ascii="宋体" w:hAnsi="宋体" w:eastAsia="宋体" w:cs="宋体"/>
          <w:color w:val="auto"/>
          <w:kern w:val="0"/>
          <w:sz w:val="21"/>
          <w:szCs w:val="22"/>
          <w:highlight w:val="none"/>
        </w:rPr>
        <w:t>身份证号码：</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rPr>
        <w:t>联系电话：</w:t>
      </w:r>
      <w:r>
        <w:rPr>
          <w:rFonts w:hint="eastAsia" w:ascii="宋体" w:hAnsi="宋体" w:eastAsia="宋体" w:cs="宋体"/>
          <w:color w:val="auto"/>
          <w:kern w:val="0"/>
          <w:sz w:val="21"/>
          <w:szCs w:val="22"/>
          <w:highlight w:val="none"/>
          <w:u w:val="single"/>
          <w:lang w:val="en-US" w:eastAsia="zh-CN"/>
        </w:rPr>
        <w:t xml:space="preserve">             </w:t>
      </w:r>
    </w:p>
    <w:p w14:paraId="69615092">
      <w:pPr>
        <w:autoSpaceDE w:val="0"/>
        <w:autoSpaceDN w:val="0"/>
        <w:adjustRightInd w:val="0"/>
        <w:spacing w:line="600" w:lineRule="auto"/>
        <w:ind w:firstLine="420" w:firstLineChars="2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供应商名称（电子签章）</w:t>
      </w:r>
      <w:r>
        <w:rPr>
          <w:rFonts w:hint="eastAsia" w:ascii="宋体" w:hAnsi="宋体" w:eastAsia="宋体" w:cs="宋体"/>
          <w:color w:val="auto"/>
          <w:kern w:val="0"/>
          <w:sz w:val="24"/>
          <w:highlight w:val="none"/>
        </w:rPr>
        <w:t>：</w:t>
      </w:r>
      <w:r>
        <w:rPr>
          <w:rFonts w:hint="eastAsia" w:ascii="宋体" w:hAnsi="宋体" w:eastAsia="宋体" w:cs="宋体"/>
          <w:color w:val="auto"/>
          <w:kern w:val="0"/>
          <w:sz w:val="21"/>
          <w:szCs w:val="22"/>
          <w:highlight w:val="none"/>
          <w:u w:val="single"/>
          <w:lang w:val="en-US" w:eastAsia="zh-CN"/>
        </w:rPr>
        <w:t xml:space="preserve">             </w:t>
      </w:r>
    </w:p>
    <w:p w14:paraId="1663877D">
      <w:pPr>
        <w:autoSpaceDE w:val="0"/>
        <w:autoSpaceDN w:val="0"/>
        <w:adjustRightInd w:val="0"/>
        <w:spacing w:line="600" w:lineRule="auto"/>
        <w:ind w:firstLine="420" w:firstLineChars="2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法定代表人：</w:t>
      </w:r>
      <w:r>
        <w:rPr>
          <w:rFonts w:hint="eastAsia" w:ascii="宋体" w:hAnsi="宋体" w:eastAsia="宋体" w:cs="宋体"/>
          <w:color w:val="auto"/>
          <w:kern w:val="0"/>
          <w:sz w:val="21"/>
          <w:szCs w:val="22"/>
          <w:highlight w:val="none"/>
          <w:u w:val="single"/>
          <w:lang w:val="en-US" w:eastAsia="zh-CN"/>
        </w:rPr>
        <w:t xml:space="preserve">             </w:t>
      </w:r>
      <w:r>
        <w:rPr>
          <w:rFonts w:hint="eastAsia" w:ascii="宋体" w:hAnsi="宋体" w:eastAsia="宋体" w:cs="宋体"/>
          <w:color w:val="auto"/>
          <w:kern w:val="0"/>
          <w:sz w:val="21"/>
          <w:szCs w:val="22"/>
          <w:highlight w:val="none"/>
        </w:rPr>
        <w:t>（签字或盖章）</w:t>
      </w:r>
    </w:p>
    <w:p w14:paraId="1CE36E2C">
      <w:pPr>
        <w:autoSpaceDE w:val="0"/>
        <w:autoSpaceDN w:val="0"/>
        <w:adjustRightInd w:val="0"/>
        <w:spacing w:line="600" w:lineRule="auto"/>
        <w:ind w:firstLine="420" w:firstLineChars="200"/>
        <w:jc w:val="left"/>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日期：</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年</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月</w:t>
      </w:r>
      <w:r>
        <w:rPr>
          <w:rFonts w:hint="eastAsia" w:ascii="宋体" w:hAnsi="宋体" w:eastAsia="宋体" w:cs="宋体"/>
          <w:color w:val="auto"/>
          <w:kern w:val="0"/>
          <w:sz w:val="21"/>
          <w:szCs w:val="22"/>
          <w:highlight w:val="none"/>
          <w:lang w:val="en-US" w:eastAsia="zh-CN"/>
        </w:rPr>
        <w:t xml:space="preserve">  </w:t>
      </w:r>
      <w:r>
        <w:rPr>
          <w:rFonts w:hint="eastAsia" w:ascii="宋体" w:hAnsi="宋体" w:eastAsia="宋体" w:cs="宋体"/>
          <w:color w:val="auto"/>
          <w:kern w:val="0"/>
          <w:sz w:val="21"/>
          <w:szCs w:val="22"/>
          <w:highlight w:val="none"/>
        </w:rPr>
        <w:t>日</w:t>
      </w:r>
    </w:p>
    <w:p w14:paraId="1CD6126B">
      <w:pPr>
        <w:pStyle w:val="25"/>
        <w:autoSpaceDE w:val="0"/>
        <w:autoSpaceDN w:val="0"/>
        <w:spacing w:line="360" w:lineRule="auto"/>
        <w:ind w:left="480" w:hanging="480"/>
        <w:rPr>
          <w:rFonts w:hint="eastAsia" w:ascii="宋体" w:hAnsi="宋体" w:eastAsia="宋体" w:cs="宋体"/>
          <w:color w:val="auto"/>
          <w:szCs w:val="21"/>
          <w:highlight w:val="none"/>
        </w:rPr>
      </w:pPr>
    </w:p>
    <w:p w14:paraId="24795C8B">
      <w:pPr>
        <w:pStyle w:val="25"/>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附：代理人身份证复印件</w:t>
      </w:r>
    </w:p>
    <w:p w14:paraId="74D4A5B6">
      <w:pPr>
        <w:rPr>
          <w:rFonts w:hint="eastAsia" w:ascii="宋体" w:hAnsi="宋体" w:eastAsia="宋体" w:cs="宋体"/>
          <w:color w:val="auto"/>
          <w:sz w:val="36"/>
          <w:highlight w:val="none"/>
        </w:rPr>
      </w:pPr>
    </w:p>
    <w:p w14:paraId="61C399D1">
      <w:pPr>
        <w:rPr>
          <w:rFonts w:hint="eastAsia" w:ascii="宋体" w:hAnsi="宋体" w:eastAsia="宋体" w:cs="宋体"/>
          <w:color w:val="auto"/>
          <w:sz w:val="36"/>
          <w:highlight w:val="none"/>
        </w:rPr>
      </w:pPr>
    </w:p>
    <w:p w14:paraId="0812C3F9">
      <w:pPr>
        <w:rPr>
          <w:rFonts w:hint="eastAsia" w:ascii="宋体" w:hAnsi="宋体" w:eastAsia="宋体" w:cs="宋体"/>
          <w:color w:val="auto"/>
          <w:sz w:val="36"/>
          <w:highlight w:val="none"/>
        </w:rPr>
      </w:pPr>
    </w:p>
    <w:p w14:paraId="7F1C927F">
      <w:pPr>
        <w:rPr>
          <w:rFonts w:hint="eastAsia" w:ascii="宋体" w:hAnsi="宋体" w:eastAsia="宋体" w:cs="宋体"/>
          <w:color w:val="auto"/>
          <w:sz w:val="36"/>
          <w:highlight w:val="none"/>
        </w:rPr>
      </w:pPr>
    </w:p>
    <w:p w14:paraId="4210DEAD">
      <w:pPr>
        <w:rPr>
          <w:rFonts w:hint="eastAsia" w:ascii="宋体" w:hAnsi="宋体" w:eastAsia="宋体" w:cs="宋体"/>
          <w:color w:val="auto"/>
          <w:sz w:val="36"/>
          <w:highlight w:val="none"/>
        </w:rPr>
      </w:pPr>
    </w:p>
    <w:p w14:paraId="1B5A250B">
      <w:pPr>
        <w:rPr>
          <w:rFonts w:hint="eastAsia" w:ascii="宋体" w:hAnsi="宋体" w:eastAsia="宋体" w:cs="宋体"/>
          <w:color w:val="auto"/>
          <w:sz w:val="36"/>
          <w:highlight w:val="none"/>
        </w:rPr>
      </w:pPr>
    </w:p>
    <w:p w14:paraId="385D8BC3">
      <w:pPr>
        <w:rPr>
          <w:rFonts w:hint="eastAsia" w:ascii="宋体" w:hAnsi="宋体" w:eastAsia="宋体" w:cs="宋体"/>
          <w:color w:val="auto"/>
          <w:sz w:val="36"/>
          <w:highlight w:val="none"/>
        </w:rPr>
      </w:pPr>
    </w:p>
    <w:p w14:paraId="1F877CF6">
      <w:pPr>
        <w:pStyle w:val="10"/>
        <w:rPr>
          <w:rFonts w:hint="eastAsia" w:ascii="宋体" w:hAnsi="宋体" w:eastAsia="宋体" w:cs="宋体"/>
          <w:color w:val="auto"/>
          <w:highlight w:val="none"/>
        </w:rPr>
      </w:pPr>
    </w:p>
    <w:p w14:paraId="13412AA6">
      <w:pPr>
        <w:pStyle w:val="25"/>
        <w:numPr>
          <w:ilvl w:val="0"/>
          <w:numId w:val="0"/>
        </w:numPr>
        <w:spacing w:line="360" w:lineRule="auto"/>
        <w:ind w:leftChars="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3、无虚假应标、串通竞标行为的承诺函</w:t>
      </w:r>
    </w:p>
    <w:p w14:paraId="12793CC1">
      <w:pPr>
        <w:pStyle w:val="26"/>
        <w:numPr>
          <w:ilvl w:val="0"/>
          <w:numId w:val="0"/>
        </w:numPr>
        <w:ind w:leftChars="0"/>
        <w:rPr>
          <w:rFonts w:hint="eastAsia" w:ascii="宋体" w:hAnsi="宋体" w:eastAsia="宋体" w:cs="宋体"/>
          <w:color w:val="auto"/>
          <w:highlight w:val="none"/>
          <w:lang w:val="en-US" w:eastAsia="zh-CN"/>
        </w:rPr>
      </w:pPr>
    </w:p>
    <w:p w14:paraId="402655C9">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一、我公司承诺如有虚假应标行为的，我方愿意承担一切后果，并不再寻求任何旨在减轻或者免除法律责任的辩解。</w:t>
      </w:r>
    </w:p>
    <w:p w14:paraId="4EB0890F">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二、我公司承诺无下列相互串通竞标的情形：</w:t>
      </w:r>
    </w:p>
    <w:p w14:paraId="10EE1C1E">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1.不同供应商的响应文件由同一单位或者个人编制；或者不同供应商报名的IP地址一致的；</w:t>
      </w:r>
    </w:p>
    <w:p w14:paraId="305AFA3A">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52104E00">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3.不同的供应商的响应文件载明的项目管理员或者联系人员为同一个人；</w:t>
      </w:r>
    </w:p>
    <w:p w14:paraId="61DB2C1A">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w:t>
      </w:r>
      <w:r>
        <w:rPr>
          <w:rFonts w:hint="eastAsia" w:ascii="宋体" w:hAnsi="宋体" w:eastAsia="宋体" w:cs="宋体"/>
          <w:color w:val="auto"/>
          <w:spacing w:val="-6"/>
          <w:sz w:val="21"/>
          <w:szCs w:val="21"/>
          <w:highlight w:val="none"/>
        </w:rPr>
        <w:t>同供应商的响应文件异常一致或者竞标报价呈规律性差异；</w:t>
      </w:r>
    </w:p>
    <w:p w14:paraId="023EF9CC">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30F0040D">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三、我公司承诺无下列恶意串通的情形：</w:t>
      </w:r>
    </w:p>
    <w:p w14:paraId="770D9FDE">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57164CAD">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10C99E0D">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w:t>
      </w:r>
      <w:r>
        <w:rPr>
          <w:rFonts w:hint="eastAsia" w:ascii="宋体" w:hAnsi="宋体" w:eastAsia="宋体" w:cs="宋体"/>
          <w:color w:val="auto"/>
          <w:spacing w:val="-6"/>
          <w:sz w:val="21"/>
          <w:szCs w:val="21"/>
          <w:highlight w:val="none"/>
        </w:rPr>
        <w:t>应商之间协商报价、技术方案等响应文件的实质性内容；</w:t>
      </w:r>
    </w:p>
    <w:p w14:paraId="10FD1515">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4.属于同一集团、协会、商会等组织成员的供应商按照该组织要求协同参加采购活动；</w:t>
      </w:r>
    </w:p>
    <w:p w14:paraId="3B4555B9">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5.供应商之间事先约定一致抬高或者压低竞标报价,或者在竞争性谈判项目中事先约定轮流以高价位或者低价位成交,或者事先约定由某一特定供应商成交,然后再参加竞标；</w:t>
      </w:r>
    </w:p>
    <w:p w14:paraId="397553C6">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6.供应商之间商定部分供应商放弃参加采购活动或者放弃成交；</w:t>
      </w:r>
    </w:p>
    <w:p w14:paraId="58982F5B">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w:t>
      </w:r>
      <w:r>
        <w:rPr>
          <w:rFonts w:hint="eastAsia" w:ascii="宋体" w:hAnsi="宋体" w:eastAsia="宋体" w:cs="宋体"/>
          <w:color w:val="auto"/>
          <w:spacing w:val="-6"/>
          <w:sz w:val="21"/>
          <w:szCs w:val="21"/>
          <w:highlight w:val="none"/>
        </w:rPr>
        <w:t>谋求特定供应商成交或者排斥其他供应商的其他串通行为。</w:t>
      </w:r>
    </w:p>
    <w:p w14:paraId="02AD76E1">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353FE84F">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以上情形一经核查属实，我方愿意承担一切后果，并不再寻求任何旨在减轻或者免除法律责任的辩解。</w:t>
      </w:r>
    </w:p>
    <w:p w14:paraId="22927086">
      <w:pPr>
        <w:pStyle w:val="25"/>
        <w:spacing w:line="360" w:lineRule="auto"/>
        <w:rPr>
          <w:rFonts w:hint="eastAsia" w:ascii="宋体" w:hAnsi="宋体" w:eastAsia="宋体" w:cs="宋体"/>
          <w:color w:val="auto"/>
          <w:sz w:val="21"/>
          <w:szCs w:val="21"/>
          <w:highlight w:val="none"/>
        </w:rPr>
      </w:pPr>
    </w:p>
    <w:p w14:paraId="0659269F">
      <w:pPr>
        <w:pStyle w:val="25"/>
        <w:spacing w:line="360" w:lineRule="auto"/>
        <w:rPr>
          <w:rFonts w:hint="eastAsia" w:ascii="宋体" w:hAnsi="宋体" w:eastAsia="宋体" w:cs="宋体"/>
          <w:color w:val="auto"/>
          <w:sz w:val="21"/>
          <w:szCs w:val="21"/>
          <w:highlight w:val="none"/>
        </w:rPr>
      </w:pPr>
    </w:p>
    <w:p w14:paraId="4428D9E0">
      <w:pPr>
        <w:pStyle w:val="25"/>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供应商名称（电子签章）：</w:t>
      </w:r>
      <w:r>
        <w:rPr>
          <w:rFonts w:hint="eastAsia" w:ascii="宋体" w:hAnsi="宋体" w:eastAsia="宋体" w:cs="宋体"/>
          <w:color w:val="auto"/>
          <w:kern w:val="0"/>
          <w:sz w:val="21"/>
          <w:szCs w:val="22"/>
          <w:highlight w:val="none"/>
          <w:u w:val="single"/>
          <w:lang w:val="en-US" w:eastAsia="zh-CN"/>
        </w:rPr>
        <w:t xml:space="preserve">        </w:t>
      </w:r>
    </w:p>
    <w:p w14:paraId="4B06DD78">
      <w:pPr>
        <w:pStyle w:val="25"/>
        <w:spacing w:line="360" w:lineRule="auto"/>
        <w:ind w:firstLine="840" w:firstLineChars="4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75A59876">
      <w:pPr>
        <w:pStyle w:val="25"/>
        <w:spacing w:line="360" w:lineRule="auto"/>
        <w:jc w:val="left"/>
        <w:rPr>
          <w:rFonts w:hint="eastAsia" w:ascii="宋体" w:hAnsi="宋体" w:eastAsia="宋体" w:cs="宋体"/>
          <w:b/>
          <w:color w:val="auto"/>
          <w:sz w:val="28"/>
          <w:szCs w:val="28"/>
          <w:highlight w:val="none"/>
          <w:lang w:val="en-US" w:eastAsia="zh-CN"/>
        </w:rPr>
      </w:pPr>
    </w:p>
    <w:p w14:paraId="7F75E794">
      <w:pPr>
        <w:pStyle w:val="25"/>
        <w:spacing w:line="360" w:lineRule="auto"/>
        <w:jc w:val="left"/>
        <w:rPr>
          <w:rFonts w:hint="eastAsia" w:ascii="宋体" w:hAnsi="宋体" w:eastAsia="宋体" w:cs="宋体"/>
          <w:b/>
          <w:color w:val="auto"/>
          <w:sz w:val="28"/>
          <w:szCs w:val="28"/>
          <w:highlight w:val="none"/>
          <w:lang w:val="en-US" w:eastAsia="zh-CN"/>
        </w:rPr>
      </w:pPr>
    </w:p>
    <w:p w14:paraId="782C613E">
      <w:pPr>
        <w:bidi w:val="0"/>
        <w:rPr>
          <w:rFonts w:hint="eastAsia" w:ascii="宋体" w:hAnsi="宋体" w:eastAsia="宋体" w:cs="宋体"/>
          <w:color w:val="auto"/>
          <w:highlight w:val="none"/>
        </w:rPr>
      </w:pPr>
    </w:p>
    <w:p w14:paraId="179D16D3">
      <w:pPr>
        <w:pStyle w:val="27"/>
        <w:rPr>
          <w:rFonts w:hint="eastAsia" w:ascii="宋体" w:hAnsi="宋体" w:eastAsia="宋体" w:cs="宋体"/>
          <w:color w:val="auto"/>
          <w:highlight w:val="none"/>
        </w:rPr>
      </w:pPr>
    </w:p>
    <w:p w14:paraId="6F3A752C">
      <w:pPr>
        <w:bidi w:val="0"/>
        <w:rPr>
          <w:rFonts w:hint="eastAsia" w:ascii="宋体" w:hAnsi="宋体" w:eastAsia="宋体" w:cs="宋体"/>
          <w:color w:val="auto"/>
          <w:highlight w:val="none"/>
        </w:rPr>
      </w:pPr>
    </w:p>
    <w:p w14:paraId="5735DF89">
      <w:pPr>
        <w:bidi w:val="0"/>
        <w:rPr>
          <w:rFonts w:hint="eastAsia" w:ascii="宋体" w:hAnsi="宋体" w:eastAsia="宋体" w:cs="宋体"/>
          <w:color w:val="auto"/>
          <w:highlight w:val="none"/>
        </w:rPr>
      </w:pPr>
    </w:p>
    <w:p w14:paraId="3DB13588">
      <w:pPr>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、施工组织设计</w:t>
      </w:r>
    </w:p>
    <w:p w14:paraId="3758412C">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1、磋商单位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F9EE690">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4.</w:t>
      </w:r>
      <w:r>
        <w:rPr>
          <w:rFonts w:hint="eastAsia" w:ascii="宋体" w:hAnsi="宋体" w:eastAsia="宋体" w:cs="宋体"/>
          <w:color w:val="auto"/>
          <w:sz w:val="21"/>
          <w:szCs w:val="22"/>
          <w:highlight w:val="none"/>
        </w:rPr>
        <w:t>2．施工组织设计除采用文字表述外可附下列图表，图表及格式要求附后。</w:t>
      </w:r>
    </w:p>
    <w:p w14:paraId="2A558A6B">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附表一  拟投入本工程的主要施工设备表</w:t>
      </w:r>
    </w:p>
    <w:p w14:paraId="0032D1C6">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附表二  拟配备本工程的试验和检测仪器设备表</w:t>
      </w:r>
    </w:p>
    <w:p w14:paraId="550C97E5">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附表三  劳动力计划表</w:t>
      </w:r>
    </w:p>
    <w:p w14:paraId="2DCB42D6">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附表四  计划开、竣工日期和施工进度网络图</w:t>
      </w:r>
    </w:p>
    <w:p w14:paraId="15D2882F">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附表五  施工总平面图</w:t>
      </w:r>
    </w:p>
    <w:p w14:paraId="0F78BF61">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附表六  临时用地表</w:t>
      </w:r>
    </w:p>
    <w:p w14:paraId="32BA1432">
      <w:pPr>
        <w:spacing w:line="460" w:lineRule="exact"/>
        <w:ind w:firstLine="420" w:firstLineChars="200"/>
        <w:rPr>
          <w:rFonts w:hint="eastAsia" w:ascii="宋体" w:hAnsi="宋体" w:eastAsia="宋体" w:cs="宋体"/>
          <w:color w:val="auto"/>
          <w:sz w:val="21"/>
          <w:szCs w:val="22"/>
          <w:highlight w:val="none"/>
        </w:rPr>
      </w:pPr>
    </w:p>
    <w:p w14:paraId="3DF08686">
      <w:pP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附表一：拟投入本</w:t>
      </w:r>
      <w:r>
        <w:rPr>
          <w:rFonts w:hint="eastAsia" w:ascii="宋体" w:hAnsi="宋体" w:eastAsia="宋体" w:cs="宋体"/>
          <w:color w:val="auto"/>
          <w:sz w:val="21"/>
          <w:szCs w:val="22"/>
          <w:highlight w:val="none"/>
        </w:rPr>
        <w:t>工程</w:t>
      </w:r>
      <w:r>
        <w:rPr>
          <w:rFonts w:hint="eastAsia" w:ascii="宋体" w:hAnsi="宋体" w:eastAsia="宋体" w:cs="宋体"/>
          <w:color w:val="auto"/>
          <w:sz w:val="21"/>
          <w:szCs w:val="21"/>
          <w:highlight w:val="none"/>
        </w:rPr>
        <w:t>的主要施工设备表（可根据项目实际情况增减内容）</w:t>
      </w:r>
    </w:p>
    <w:tbl>
      <w:tblPr>
        <w:tblStyle w:val="21"/>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83C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394CAF52">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序号</w:t>
            </w:r>
          </w:p>
        </w:tc>
        <w:tc>
          <w:tcPr>
            <w:tcW w:w="1226" w:type="dxa"/>
            <w:vAlign w:val="center"/>
          </w:tcPr>
          <w:p w14:paraId="35AEE15E">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设备名称</w:t>
            </w:r>
          </w:p>
        </w:tc>
        <w:tc>
          <w:tcPr>
            <w:tcW w:w="851" w:type="dxa"/>
            <w:vAlign w:val="center"/>
          </w:tcPr>
          <w:p w14:paraId="4845A57D">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型号</w:t>
            </w:r>
          </w:p>
          <w:p w14:paraId="779A2B7B">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规格</w:t>
            </w:r>
          </w:p>
        </w:tc>
        <w:tc>
          <w:tcPr>
            <w:tcW w:w="708" w:type="dxa"/>
            <w:vAlign w:val="center"/>
          </w:tcPr>
          <w:p w14:paraId="077CC859">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数量</w:t>
            </w:r>
          </w:p>
        </w:tc>
        <w:tc>
          <w:tcPr>
            <w:tcW w:w="709" w:type="dxa"/>
            <w:vAlign w:val="center"/>
          </w:tcPr>
          <w:p w14:paraId="7634FA80">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国别</w:t>
            </w:r>
          </w:p>
          <w:p w14:paraId="78644D89">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产地</w:t>
            </w:r>
          </w:p>
        </w:tc>
        <w:tc>
          <w:tcPr>
            <w:tcW w:w="851" w:type="dxa"/>
            <w:vAlign w:val="center"/>
          </w:tcPr>
          <w:p w14:paraId="26AC699A">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制造</w:t>
            </w:r>
          </w:p>
          <w:p w14:paraId="75F5C6D7">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年份</w:t>
            </w:r>
          </w:p>
        </w:tc>
        <w:tc>
          <w:tcPr>
            <w:tcW w:w="1134" w:type="dxa"/>
            <w:vAlign w:val="center"/>
          </w:tcPr>
          <w:p w14:paraId="3DCAC025">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额定功率</w:t>
            </w:r>
          </w:p>
          <w:p w14:paraId="034810A7">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（KW）</w:t>
            </w:r>
          </w:p>
        </w:tc>
        <w:tc>
          <w:tcPr>
            <w:tcW w:w="992" w:type="dxa"/>
            <w:vAlign w:val="center"/>
          </w:tcPr>
          <w:p w14:paraId="017BFA2A">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生产</w:t>
            </w:r>
          </w:p>
          <w:p w14:paraId="1BAFDC6E">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能力</w:t>
            </w:r>
          </w:p>
        </w:tc>
        <w:tc>
          <w:tcPr>
            <w:tcW w:w="1134" w:type="dxa"/>
            <w:vAlign w:val="center"/>
          </w:tcPr>
          <w:p w14:paraId="1565D6E7">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用于施</w:t>
            </w:r>
          </w:p>
          <w:p w14:paraId="3DBE3258">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工部位</w:t>
            </w:r>
          </w:p>
        </w:tc>
        <w:tc>
          <w:tcPr>
            <w:tcW w:w="992" w:type="dxa"/>
            <w:vAlign w:val="center"/>
          </w:tcPr>
          <w:p w14:paraId="45D968AB">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备注</w:t>
            </w:r>
          </w:p>
        </w:tc>
      </w:tr>
      <w:tr w14:paraId="31EF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A98F1B8">
            <w:pPr>
              <w:spacing w:line="360" w:lineRule="auto"/>
              <w:rPr>
                <w:rFonts w:hint="eastAsia" w:ascii="宋体" w:hAnsi="宋体" w:eastAsia="宋体" w:cs="宋体"/>
                <w:color w:val="auto"/>
                <w:sz w:val="21"/>
                <w:szCs w:val="22"/>
                <w:highlight w:val="none"/>
              </w:rPr>
            </w:pPr>
          </w:p>
        </w:tc>
        <w:tc>
          <w:tcPr>
            <w:tcW w:w="1226" w:type="dxa"/>
          </w:tcPr>
          <w:p w14:paraId="4E028999">
            <w:pPr>
              <w:spacing w:line="360" w:lineRule="auto"/>
              <w:ind w:firstLine="420" w:firstLineChars="200"/>
              <w:rPr>
                <w:rFonts w:hint="eastAsia" w:ascii="宋体" w:hAnsi="宋体" w:eastAsia="宋体" w:cs="宋体"/>
                <w:color w:val="auto"/>
                <w:sz w:val="21"/>
                <w:szCs w:val="22"/>
                <w:highlight w:val="none"/>
              </w:rPr>
            </w:pPr>
          </w:p>
        </w:tc>
        <w:tc>
          <w:tcPr>
            <w:tcW w:w="851" w:type="dxa"/>
          </w:tcPr>
          <w:p w14:paraId="54441351">
            <w:pPr>
              <w:spacing w:line="360" w:lineRule="auto"/>
              <w:rPr>
                <w:rFonts w:hint="eastAsia" w:ascii="宋体" w:hAnsi="宋体" w:eastAsia="宋体" w:cs="宋体"/>
                <w:color w:val="auto"/>
                <w:sz w:val="21"/>
                <w:szCs w:val="22"/>
                <w:highlight w:val="none"/>
              </w:rPr>
            </w:pPr>
          </w:p>
        </w:tc>
        <w:tc>
          <w:tcPr>
            <w:tcW w:w="708" w:type="dxa"/>
          </w:tcPr>
          <w:p w14:paraId="230CB263">
            <w:pPr>
              <w:spacing w:line="360" w:lineRule="auto"/>
              <w:rPr>
                <w:rFonts w:hint="eastAsia" w:ascii="宋体" w:hAnsi="宋体" w:eastAsia="宋体" w:cs="宋体"/>
                <w:color w:val="auto"/>
                <w:sz w:val="21"/>
                <w:szCs w:val="22"/>
                <w:highlight w:val="none"/>
              </w:rPr>
            </w:pPr>
          </w:p>
        </w:tc>
        <w:tc>
          <w:tcPr>
            <w:tcW w:w="709" w:type="dxa"/>
          </w:tcPr>
          <w:p w14:paraId="51400381">
            <w:pPr>
              <w:spacing w:line="360" w:lineRule="auto"/>
              <w:rPr>
                <w:rFonts w:hint="eastAsia" w:ascii="宋体" w:hAnsi="宋体" w:eastAsia="宋体" w:cs="宋体"/>
                <w:color w:val="auto"/>
                <w:sz w:val="21"/>
                <w:szCs w:val="22"/>
                <w:highlight w:val="none"/>
              </w:rPr>
            </w:pPr>
          </w:p>
        </w:tc>
        <w:tc>
          <w:tcPr>
            <w:tcW w:w="851" w:type="dxa"/>
          </w:tcPr>
          <w:p w14:paraId="5A29A6B1">
            <w:pPr>
              <w:spacing w:line="360" w:lineRule="auto"/>
              <w:rPr>
                <w:rFonts w:hint="eastAsia" w:ascii="宋体" w:hAnsi="宋体" w:eastAsia="宋体" w:cs="宋体"/>
                <w:color w:val="auto"/>
                <w:sz w:val="21"/>
                <w:szCs w:val="22"/>
                <w:highlight w:val="none"/>
              </w:rPr>
            </w:pPr>
          </w:p>
        </w:tc>
        <w:tc>
          <w:tcPr>
            <w:tcW w:w="1134" w:type="dxa"/>
          </w:tcPr>
          <w:p w14:paraId="2DCB9C32">
            <w:pPr>
              <w:spacing w:line="360" w:lineRule="auto"/>
              <w:rPr>
                <w:rFonts w:hint="eastAsia" w:ascii="宋体" w:hAnsi="宋体" w:eastAsia="宋体" w:cs="宋体"/>
                <w:color w:val="auto"/>
                <w:sz w:val="21"/>
                <w:szCs w:val="22"/>
                <w:highlight w:val="none"/>
              </w:rPr>
            </w:pPr>
          </w:p>
        </w:tc>
        <w:tc>
          <w:tcPr>
            <w:tcW w:w="992" w:type="dxa"/>
          </w:tcPr>
          <w:p w14:paraId="2F8445BF">
            <w:pPr>
              <w:spacing w:line="360" w:lineRule="auto"/>
              <w:rPr>
                <w:rFonts w:hint="eastAsia" w:ascii="宋体" w:hAnsi="宋体" w:eastAsia="宋体" w:cs="宋体"/>
                <w:color w:val="auto"/>
                <w:sz w:val="21"/>
                <w:szCs w:val="22"/>
                <w:highlight w:val="none"/>
              </w:rPr>
            </w:pPr>
          </w:p>
        </w:tc>
        <w:tc>
          <w:tcPr>
            <w:tcW w:w="1134" w:type="dxa"/>
          </w:tcPr>
          <w:p w14:paraId="00A6F843">
            <w:pPr>
              <w:spacing w:line="360" w:lineRule="auto"/>
              <w:rPr>
                <w:rFonts w:hint="eastAsia" w:ascii="宋体" w:hAnsi="宋体" w:eastAsia="宋体" w:cs="宋体"/>
                <w:color w:val="auto"/>
                <w:sz w:val="21"/>
                <w:szCs w:val="22"/>
                <w:highlight w:val="none"/>
              </w:rPr>
            </w:pPr>
          </w:p>
        </w:tc>
        <w:tc>
          <w:tcPr>
            <w:tcW w:w="992" w:type="dxa"/>
          </w:tcPr>
          <w:p w14:paraId="426B5F2C">
            <w:pPr>
              <w:spacing w:line="360" w:lineRule="auto"/>
              <w:rPr>
                <w:rFonts w:hint="eastAsia" w:ascii="宋体" w:hAnsi="宋体" w:eastAsia="宋体" w:cs="宋体"/>
                <w:color w:val="auto"/>
                <w:sz w:val="21"/>
                <w:szCs w:val="22"/>
                <w:highlight w:val="none"/>
              </w:rPr>
            </w:pPr>
          </w:p>
        </w:tc>
      </w:tr>
      <w:tr w14:paraId="5451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403D261">
            <w:pPr>
              <w:spacing w:line="360" w:lineRule="auto"/>
              <w:rPr>
                <w:rFonts w:hint="eastAsia" w:ascii="宋体" w:hAnsi="宋体" w:eastAsia="宋体" w:cs="宋体"/>
                <w:color w:val="auto"/>
                <w:sz w:val="21"/>
                <w:szCs w:val="22"/>
                <w:highlight w:val="none"/>
              </w:rPr>
            </w:pPr>
          </w:p>
        </w:tc>
        <w:tc>
          <w:tcPr>
            <w:tcW w:w="1226" w:type="dxa"/>
          </w:tcPr>
          <w:p w14:paraId="0802BDB4">
            <w:pPr>
              <w:spacing w:line="360" w:lineRule="auto"/>
              <w:rPr>
                <w:rFonts w:hint="eastAsia" w:ascii="宋体" w:hAnsi="宋体" w:eastAsia="宋体" w:cs="宋体"/>
                <w:color w:val="auto"/>
                <w:sz w:val="21"/>
                <w:szCs w:val="22"/>
                <w:highlight w:val="none"/>
              </w:rPr>
            </w:pPr>
          </w:p>
        </w:tc>
        <w:tc>
          <w:tcPr>
            <w:tcW w:w="851" w:type="dxa"/>
          </w:tcPr>
          <w:p w14:paraId="6D2DDE60">
            <w:pPr>
              <w:spacing w:line="360" w:lineRule="auto"/>
              <w:rPr>
                <w:rFonts w:hint="eastAsia" w:ascii="宋体" w:hAnsi="宋体" w:eastAsia="宋体" w:cs="宋体"/>
                <w:color w:val="auto"/>
                <w:sz w:val="21"/>
                <w:szCs w:val="22"/>
                <w:highlight w:val="none"/>
              </w:rPr>
            </w:pPr>
          </w:p>
        </w:tc>
        <w:tc>
          <w:tcPr>
            <w:tcW w:w="708" w:type="dxa"/>
          </w:tcPr>
          <w:p w14:paraId="038C6FAB">
            <w:pPr>
              <w:spacing w:line="360" w:lineRule="auto"/>
              <w:rPr>
                <w:rFonts w:hint="eastAsia" w:ascii="宋体" w:hAnsi="宋体" w:eastAsia="宋体" w:cs="宋体"/>
                <w:color w:val="auto"/>
                <w:sz w:val="21"/>
                <w:szCs w:val="22"/>
                <w:highlight w:val="none"/>
              </w:rPr>
            </w:pPr>
          </w:p>
        </w:tc>
        <w:tc>
          <w:tcPr>
            <w:tcW w:w="709" w:type="dxa"/>
          </w:tcPr>
          <w:p w14:paraId="6244A2D7">
            <w:pPr>
              <w:spacing w:line="360" w:lineRule="auto"/>
              <w:rPr>
                <w:rFonts w:hint="eastAsia" w:ascii="宋体" w:hAnsi="宋体" w:eastAsia="宋体" w:cs="宋体"/>
                <w:color w:val="auto"/>
                <w:sz w:val="21"/>
                <w:szCs w:val="22"/>
                <w:highlight w:val="none"/>
              </w:rPr>
            </w:pPr>
          </w:p>
        </w:tc>
        <w:tc>
          <w:tcPr>
            <w:tcW w:w="851" w:type="dxa"/>
          </w:tcPr>
          <w:p w14:paraId="77336E14">
            <w:pPr>
              <w:spacing w:line="360" w:lineRule="auto"/>
              <w:rPr>
                <w:rFonts w:hint="eastAsia" w:ascii="宋体" w:hAnsi="宋体" w:eastAsia="宋体" w:cs="宋体"/>
                <w:color w:val="auto"/>
                <w:sz w:val="21"/>
                <w:szCs w:val="22"/>
                <w:highlight w:val="none"/>
              </w:rPr>
            </w:pPr>
          </w:p>
        </w:tc>
        <w:tc>
          <w:tcPr>
            <w:tcW w:w="1134" w:type="dxa"/>
          </w:tcPr>
          <w:p w14:paraId="63888050">
            <w:pPr>
              <w:spacing w:line="360" w:lineRule="auto"/>
              <w:rPr>
                <w:rFonts w:hint="eastAsia" w:ascii="宋体" w:hAnsi="宋体" w:eastAsia="宋体" w:cs="宋体"/>
                <w:color w:val="auto"/>
                <w:sz w:val="21"/>
                <w:szCs w:val="22"/>
                <w:highlight w:val="none"/>
              </w:rPr>
            </w:pPr>
          </w:p>
        </w:tc>
        <w:tc>
          <w:tcPr>
            <w:tcW w:w="992" w:type="dxa"/>
          </w:tcPr>
          <w:p w14:paraId="56D733BC">
            <w:pPr>
              <w:spacing w:line="360" w:lineRule="auto"/>
              <w:rPr>
                <w:rFonts w:hint="eastAsia" w:ascii="宋体" w:hAnsi="宋体" w:eastAsia="宋体" w:cs="宋体"/>
                <w:color w:val="auto"/>
                <w:sz w:val="21"/>
                <w:szCs w:val="22"/>
                <w:highlight w:val="none"/>
              </w:rPr>
            </w:pPr>
          </w:p>
        </w:tc>
        <w:tc>
          <w:tcPr>
            <w:tcW w:w="1134" w:type="dxa"/>
          </w:tcPr>
          <w:p w14:paraId="266478A5">
            <w:pPr>
              <w:spacing w:line="360" w:lineRule="auto"/>
              <w:rPr>
                <w:rFonts w:hint="eastAsia" w:ascii="宋体" w:hAnsi="宋体" w:eastAsia="宋体" w:cs="宋体"/>
                <w:color w:val="auto"/>
                <w:sz w:val="21"/>
                <w:szCs w:val="22"/>
                <w:highlight w:val="none"/>
              </w:rPr>
            </w:pPr>
          </w:p>
        </w:tc>
        <w:tc>
          <w:tcPr>
            <w:tcW w:w="992" w:type="dxa"/>
          </w:tcPr>
          <w:p w14:paraId="744C7C23">
            <w:pPr>
              <w:spacing w:line="360" w:lineRule="auto"/>
              <w:rPr>
                <w:rFonts w:hint="eastAsia" w:ascii="宋体" w:hAnsi="宋体" w:eastAsia="宋体" w:cs="宋体"/>
                <w:color w:val="auto"/>
                <w:sz w:val="21"/>
                <w:szCs w:val="22"/>
                <w:highlight w:val="none"/>
              </w:rPr>
            </w:pPr>
          </w:p>
        </w:tc>
      </w:tr>
      <w:tr w14:paraId="659E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F1889D6">
            <w:pPr>
              <w:spacing w:line="360" w:lineRule="auto"/>
              <w:rPr>
                <w:rFonts w:hint="eastAsia" w:ascii="宋体" w:hAnsi="宋体" w:eastAsia="宋体" w:cs="宋体"/>
                <w:color w:val="auto"/>
                <w:sz w:val="21"/>
                <w:szCs w:val="22"/>
                <w:highlight w:val="none"/>
              </w:rPr>
            </w:pPr>
          </w:p>
        </w:tc>
        <w:tc>
          <w:tcPr>
            <w:tcW w:w="1226" w:type="dxa"/>
          </w:tcPr>
          <w:p w14:paraId="3DC25C4C">
            <w:pPr>
              <w:spacing w:line="360" w:lineRule="auto"/>
              <w:rPr>
                <w:rFonts w:hint="eastAsia" w:ascii="宋体" w:hAnsi="宋体" w:eastAsia="宋体" w:cs="宋体"/>
                <w:color w:val="auto"/>
                <w:sz w:val="21"/>
                <w:szCs w:val="22"/>
                <w:highlight w:val="none"/>
              </w:rPr>
            </w:pPr>
          </w:p>
        </w:tc>
        <w:tc>
          <w:tcPr>
            <w:tcW w:w="851" w:type="dxa"/>
          </w:tcPr>
          <w:p w14:paraId="7D263E14">
            <w:pPr>
              <w:spacing w:line="360" w:lineRule="auto"/>
              <w:rPr>
                <w:rFonts w:hint="eastAsia" w:ascii="宋体" w:hAnsi="宋体" w:eastAsia="宋体" w:cs="宋体"/>
                <w:color w:val="auto"/>
                <w:sz w:val="21"/>
                <w:szCs w:val="22"/>
                <w:highlight w:val="none"/>
              </w:rPr>
            </w:pPr>
          </w:p>
        </w:tc>
        <w:tc>
          <w:tcPr>
            <w:tcW w:w="708" w:type="dxa"/>
          </w:tcPr>
          <w:p w14:paraId="005274E3">
            <w:pPr>
              <w:spacing w:line="360" w:lineRule="auto"/>
              <w:rPr>
                <w:rFonts w:hint="eastAsia" w:ascii="宋体" w:hAnsi="宋体" w:eastAsia="宋体" w:cs="宋体"/>
                <w:color w:val="auto"/>
                <w:sz w:val="21"/>
                <w:szCs w:val="22"/>
                <w:highlight w:val="none"/>
              </w:rPr>
            </w:pPr>
          </w:p>
        </w:tc>
        <w:tc>
          <w:tcPr>
            <w:tcW w:w="709" w:type="dxa"/>
          </w:tcPr>
          <w:p w14:paraId="18288B06">
            <w:pPr>
              <w:spacing w:line="360" w:lineRule="auto"/>
              <w:rPr>
                <w:rFonts w:hint="eastAsia" w:ascii="宋体" w:hAnsi="宋体" w:eastAsia="宋体" w:cs="宋体"/>
                <w:color w:val="auto"/>
                <w:sz w:val="21"/>
                <w:szCs w:val="22"/>
                <w:highlight w:val="none"/>
              </w:rPr>
            </w:pPr>
          </w:p>
        </w:tc>
        <w:tc>
          <w:tcPr>
            <w:tcW w:w="851" w:type="dxa"/>
          </w:tcPr>
          <w:p w14:paraId="7FC33CC8">
            <w:pPr>
              <w:spacing w:line="360" w:lineRule="auto"/>
              <w:rPr>
                <w:rFonts w:hint="eastAsia" w:ascii="宋体" w:hAnsi="宋体" w:eastAsia="宋体" w:cs="宋体"/>
                <w:color w:val="auto"/>
                <w:sz w:val="21"/>
                <w:szCs w:val="22"/>
                <w:highlight w:val="none"/>
              </w:rPr>
            </w:pPr>
          </w:p>
        </w:tc>
        <w:tc>
          <w:tcPr>
            <w:tcW w:w="1134" w:type="dxa"/>
          </w:tcPr>
          <w:p w14:paraId="76DB1478">
            <w:pPr>
              <w:spacing w:line="360" w:lineRule="auto"/>
              <w:rPr>
                <w:rFonts w:hint="eastAsia" w:ascii="宋体" w:hAnsi="宋体" w:eastAsia="宋体" w:cs="宋体"/>
                <w:color w:val="auto"/>
                <w:sz w:val="21"/>
                <w:szCs w:val="22"/>
                <w:highlight w:val="none"/>
              </w:rPr>
            </w:pPr>
          </w:p>
        </w:tc>
        <w:tc>
          <w:tcPr>
            <w:tcW w:w="992" w:type="dxa"/>
          </w:tcPr>
          <w:p w14:paraId="4C839947">
            <w:pPr>
              <w:spacing w:line="360" w:lineRule="auto"/>
              <w:rPr>
                <w:rFonts w:hint="eastAsia" w:ascii="宋体" w:hAnsi="宋体" w:eastAsia="宋体" w:cs="宋体"/>
                <w:color w:val="auto"/>
                <w:sz w:val="21"/>
                <w:szCs w:val="22"/>
                <w:highlight w:val="none"/>
              </w:rPr>
            </w:pPr>
          </w:p>
        </w:tc>
        <w:tc>
          <w:tcPr>
            <w:tcW w:w="1134" w:type="dxa"/>
          </w:tcPr>
          <w:p w14:paraId="41556B30">
            <w:pPr>
              <w:spacing w:line="360" w:lineRule="auto"/>
              <w:rPr>
                <w:rFonts w:hint="eastAsia" w:ascii="宋体" w:hAnsi="宋体" w:eastAsia="宋体" w:cs="宋体"/>
                <w:color w:val="auto"/>
                <w:sz w:val="21"/>
                <w:szCs w:val="22"/>
                <w:highlight w:val="none"/>
              </w:rPr>
            </w:pPr>
          </w:p>
        </w:tc>
        <w:tc>
          <w:tcPr>
            <w:tcW w:w="992" w:type="dxa"/>
          </w:tcPr>
          <w:p w14:paraId="1EADE867">
            <w:pPr>
              <w:spacing w:line="360" w:lineRule="auto"/>
              <w:rPr>
                <w:rFonts w:hint="eastAsia" w:ascii="宋体" w:hAnsi="宋体" w:eastAsia="宋体" w:cs="宋体"/>
                <w:color w:val="auto"/>
                <w:sz w:val="21"/>
                <w:szCs w:val="22"/>
                <w:highlight w:val="none"/>
              </w:rPr>
            </w:pPr>
          </w:p>
        </w:tc>
      </w:tr>
    </w:tbl>
    <w:p w14:paraId="3A018550">
      <w:pPr>
        <w:rPr>
          <w:rFonts w:hint="eastAsia" w:ascii="宋体" w:hAnsi="宋体" w:eastAsia="宋体" w:cs="宋体"/>
          <w:color w:val="auto"/>
          <w:sz w:val="21"/>
          <w:szCs w:val="21"/>
          <w:highlight w:val="none"/>
        </w:rPr>
      </w:pPr>
    </w:p>
    <w:p w14:paraId="5BF6A452">
      <w:pPr>
        <w:rPr>
          <w:rFonts w:hint="eastAsia" w:ascii="宋体" w:hAnsi="宋体" w:eastAsia="宋体" w:cs="宋体"/>
          <w:color w:val="auto"/>
          <w:sz w:val="21"/>
          <w:szCs w:val="21"/>
          <w:highlight w:val="none"/>
        </w:rPr>
      </w:pPr>
    </w:p>
    <w:p w14:paraId="5FC818FC">
      <w:pPr>
        <w:rPr>
          <w:rFonts w:hint="eastAsia" w:ascii="宋体" w:hAnsi="宋体" w:eastAsia="宋体" w:cs="宋体"/>
          <w:color w:val="auto"/>
          <w:sz w:val="21"/>
          <w:szCs w:val="22"/>
          <w:highlight w:val="none"/>
        </w:rPr>
      </w:pPr>
      <w:r>
        <w:rPr>
          <w:rFonts w:hint="eastAsia" w:ascii="宋体" w:hAnsi="宋体" w:eastAsia="宋体" w:cs="宋体"/>
          <w:color w:val="auto"/>
          <w:sz w:val="21"/>
          <w:szCs w:val="21"/>
          <w:highlight w:val="none"/>
        </w:rPr>
        <w:t>附表二：拟配备本工程的试验和检测仪器设备表（可根据项目实际情况增减内容）</w:t>
      </w:r>
    </w:p>
    <w:p w14:paraId="4C77441A">
      <w:pPr>
        <w:rPr>
          <w:rFonts w:hint="eastAsia" w:ascii="宋体" w:hAnsi="宋体" w:eastAsia="宋体" w:cs="宋体"/>
          <w:color w:val="auto"/>
          <w:sz w:val="21"/>
          <w:szCs w:val="21"/>
          <w:highlight w:val="none"/>
        </w:rPr>
      </w:pPr>
    </w:p>
    <w:tbl>
      <w:tblPr>
        <w:tblStyle w:val="21"/>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3724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305879D">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序号</w:t>
            </w:r>
          </w:p>
        </w:tc>
        <w:tc>
          <w:tcPr>
            <w:tcW w:w="1226" w:type="dxa"/>
            <w:vAlign w:val="center"/>
          </w:tcPr>
          <w:p w14:paraId="0B6D99BB">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仪器设备名称</w:t>
            </w:r>
          </w:p>
        </w:tc>
        <w:tc>
          <w:tcPr>
            <w:tcW w:w="851" w:type="dxa"/>
            <w:vAlign w:val="center"/>
          </w:tcPr>
          <w:p w14:paraId="17281B2F">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型号</w:t>
            </w:r>
          </w:p>
          <w:p w14:paraId="3DEF668E">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规格</w:t>
            </w:r>
          </w:p>
        </w:tc>
        <w:tc>
          <w:tcPr>
            <w:tcW w:w="708" w:type="dxa"/>
            <w:vAlign w:val="center"/>
          </w:tcPr>
          <w:p w14:paraId="73090A80">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数量</w:t>
            </w:r>
          </w:p>
        </w:tc>
        <w:tc>
          <w:tcPr>
            <w:tcW w:w="709" w:type="dxa"/>
            <w:vAlign w:val="center"/>
          </w:tcPr>
          <w:p w14:paraId="68DAC654">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国别</w:t>
            </w:r>
          </w:p>
          <w:p w14:paraId="2D5C8E87">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产地</w:t>
            </w:r>
          </w:p>
        </w:tc>
        <w:tc>
          <w:tcPr>
            <w:tcW w:w="1134" w:type="dxa"/>
            <w:vAlign w:val="center"/>
          </w:tcPr>
          <w:p w14:paraId="3F995E54">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制造年份</w:t>
            </w:r>
          </w:p>
        </w:tc>
        <w:tc>
          <w:tcPr>
            <w:tcW w:w="1276" w:type="dxa"/>
            <w:vAlign w:val="center"/>
          </w:tcPr>
          <w:p w14:paraId="2D150077">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已使用</w:t>
            </w:r>
          </w:p>
          <w:p w14:paraId="4EF2F773">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台时数</w:t>
            </w:r>
          </w:p>
        </w:tc>
        <w:tc>
          <w:tcPr>
            <w:tcW w:w="1134" w:type="dxa"/>
            <w:vAlign w:val="center"/>
          </w:tcPr>
          <w:p w14:paraId="0B38B650">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用途</w:t>
            </w:r>
          </w:p>
        </w:tc>
        <w:tc>
          <w:tcPr>
            <w:tcW w:w="1559" w:type="dxa"/>
            <w:vAlign w:val="center"/>
          </w:tcPr>
          <w:p w14:paraId="6477CE88">
            <w:pPr>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备注</w:t>
            </w:r>
          </w:p>
        </w:tc>
      </w:tr>
      <w:tr w14:paraId="20B2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49D3F74">
            <w:pPr>
              <w:spacing w:line="360" w:lineRule="auto"/>
              <w:ind w:firstLine="420" w:firstLineChars="200"/>
              <w:rPr>
                <w:rFonts w:hint="eastAsia" w:ascii="宋体" w:hAnsi="宋体" w:eastAsia="宋体" w:cs="宋体"/>
                <w:color w:val="auto"/>
                <w:sz w:val="21"/>
                <w:szCs w:val="22"/>
                <w:highlight w:val="none"/>
              </w:rPr>
            </w:pPr>
          </w:p>
        </w:tc>
        <w:tc>
          <w:tcPr>
            <w:tcW w:w="1226" w:type="dxa"/>
            <w:vAlign w:val="center"/>
          </w:tcPr>
          <w:p w14:paraId="2F4CAEFA">
            <w:pPr>
              <w:spacing w:line="360" w:lineRule="auto"/>
              <w:ind w:firstLine="420" w:firstLineChars="200"/>
              <w:rPr>
                <w:rFonts w:hint="eastAsia" w:ascii="宋体" w:hAnsi="宋体" w:eastAsia="宋体" w:cs="宋体"/>
                <w:color w:val="auto"/>
                <w:sz w:val="21"/>
                <w:szCs w:val="22"/>
                <w:highlight w:val="none"/>
              </w:rPr>
            </w:pPr>
          </w:p>
        </w:tc>
        <w:tc>
          <w:tcPr>
            <w:tcW w:w="851" w:type="dxa"/>
            <w:vAlign w:val="center"/>
          </w:tcPr>
          <w:p w14:paraId="393AC732">
            <w:pPr>
              <w:spacing w:line="360" w:lineRule="auto"/>
              <w:ind w:firstLine="420" w:firstLineChars="200"/>
              <w:rPr>
                <w:rFonts w:hint="eastAsia" w:ascii="宋体" w:hAnsi="宋体" w:eastAsia="宋体" w:cs="宋体"/>
                <w:color w:val="auto"/>
                <w:sz w:val="21"/>
                <w:szCs w:val="22"/>
                <w:highlight w:val="none"/>
              </w:rPr>
            </w:pPr>
          </w:p>
        </w:tc>
        <w:tc>
          <w:tcPr>
            <w:tcW w:w="708" w:type="dxa"/>
            <w:vAlign w:val="center"/>
          </w:tcPr>
          <w:p w14:paraId="2E1551F9">
            <w:pPr>
              <w:spacing w:line="360" w:lineRule="auto"/>
              <w:ind w:firstLine="420" w:firstLineChars="200"/>
              <w:rPr>
                <w:rFonts w:hint="eastAsia" w:ascii="宋体" w:hAnsi="宋体" w:eastAsia="宋体" w:cs="宋体"/>
                <w:color w:val="auto"/>
                <w:sz w:val="21"/>
                <w:szCs w:val="22"/>
                <w:highlight w:val="none"/>
              </w:rPr>
            </w:pPr>
          </w:p>
        </w:tc>
        <w:tc>
          <w:tcPr>
            <w:tcW w:w="709" w:type="dxa"/>
            <w:vAlign w:val="center"/>
          </w:tcPr>
          <w:p w14:paraId="391AAF41">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60A8D561">
            <w:pPr>
              <w:spacing w:line="360" w:lineRule="auto"/>
              <w:ind w:firstLine="420" w:firstLineChars="200"/>
              <w:rPr>
                <w:rFonts w:hint="eastAsia" w:ascii="宋体" w:hAnsi="宋体" w:eastAsia="宋体" w:cs="宋体"/>
                <w:color w:val="auto"/>
                <w:sz w:val="21"/>
                <w:szCs w:val="22"/>
                <w:highlight w:val="none"/>
              </w:rPr>
            </w:pPr>
          </w:p>
        </w:tc>
        <w:tc>
          <w:tcPr>
            <w:tcW w:w="1276" w:type="dxa"/>
            <w:vAlign w:val="center"/>
          </w:tcPr>
          <w:p w14:paraId="420DCD49">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1A630A40">
            <w:pPr>
              <w:spacing w:line="360" w:lineRule="auto"/>
              <w:ind w:firstLine="420" w:firstLineChars="200"/>
              <w:rPr>
                <w:rFonts w:hint="eastAsia" w:ascii="宋体" w:hAnsi="宋体" w:eastAsia="宋体" w:cs="宋体"/>
                <w:color w:val="auto"/>
                <w:sz w:val="21"/>
                <w:szCs w:val="22"/>
                <w:highlight w:val="none"/>
              </w:rPr>
            </w:pPr>
          </w:p>
        </w:tc>
        <w:tc>
          <w:tcPr>
            <w:tcW w:w="1559" w:type="dxa"/>
            <w:vAlign w:val="center"/>
          </w:tcPr>
          <w:p w14:paraId="43D92FED">
            <w:pPr>
              <w:spacing w:line="360" w:lineRule="auto"/>
              <w:ind w:firstLine="420" w:firstLineChars="200"/>
              <w:rPr>
                <w:rFonts w:hint="eastAsia" w:ascii="宋体" w:hAnsi="宋体" w:eastAsia="宋体" w:cs="宋体"/>
                <w:color w:val="auto"/>
                <w:sz w:val="21"/>
                <w:szCs w:val="22"/>
                <w:highlight w:val="none"/>
              </w:rPr>
            </w:pPr>
          </w:p>
        </w:tc>
      </w:tr>
      <w:tr w14:paraId="4194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0999AAF">
            <w:pPr>
              <w:spacing w:line="360" w:lineRule="auto"/>
              <w:ind w:firstLine="420" w:firstLineChars="200"/>
              <w:rPr>
                <w:rFonts w:hint="eastAsia" w:ascii="宋体" w:hAnsi="宋体" w:eastAsia="宋体" w:cs="宋体"/>
                <w:color w:val="auto"/>
                <w:sz w:val="21"/>
                <w:szCs w:val="22"/>
                <w:highlight w:val="none"/>
              </w:rPr>
            </w:pPr>
          </w:p>
        </w:tc>
        <w:tc>
          <w:tcPr>
            <w:tcW w:w="1226" w:type="dxa"/>
            <w:vAlign w:val="center"/>
          </w:tcPr>
          <w:p w14:paraId="695ADAFF">
            <w:pPr>
              <w:spacing w:line="360" w:lineRule="auto"/>
              <w:ind w:firstLine="420" w:firstLineChars="200"/>
              <w:rPr>
                <w:rFonts w:hint="eastAsia" w:ascii="宋体" w:hAnsi="宋体" w:eastAsia="宋体" w:cs="宋体"/>
                <w:color w:val="auto"/>
                <w:sz w:val="21"/>
                <w:szCs w:val="22"/>
                <w:highlight w:val="none"/>
              </w:rPr>
            </w:pPr>
          </w:p>
        </w:tc>
        <w:tc>
          <w:tcPr>
            <w:tcW w:w="851" w:type="dxa"/>
            <w:vAlign w:val="center"/>
          </w:tcPr>
          <w:p w14:paraId="05D1CD7A">
            <w:pPr>
              <w:spacing w:line="360" w:lineRule="auto"/>
              <w:ind w:firstLine="420" w:firstLineChars="200"/>
              <w:rPr>
                <w:rFonts w:hint="eastAsia" w:ascii="宋体" w:hAnsi="宋体" w:eastAsia="宋体" w:cs="宋体"/>
                <w:color w:val="auto"/>
                <w:sz w:val="21"/>
                <w:szCs w:val="22"/>
                <w:highlight w:val="none"/>
              </w:rPr>
            </w:pPr>
          </w:p>
        </w:tc>
        <w:tc>
          <w:tcPr>
            <w:tcW w:w="708" w:type="dxa"/>
            <w:vAlign w:val="center"/>
          </w:tcPr>
          <w:p w14:paraId="552FDDF7">
            <w:pPr>
              <w:spacing w:line="360" w:lineRule="auto"/>
              <w:ind w:firstLine="420" w:firstLineChars="200"/>
              <w:rPr>
                <w:rFonts w:hint="eastAsia" w:ascii="宋体" w:hAnsi="宋体" w:eastAsia="宋体" w:cs="宋体"/>
                <w:color w:val="auto"/>
                <w:sz w:val="21"/>
                <w:szCs w:val="22"/>
                <w:highlight w:val="none"/>
              </w:rPr>
            </w:pPr>
          </w:p>
        </w:tc>
        <w:tc>
          <w:tcPr>
            <w:tcW w:w="709" w:type="dxa"/>
            <w:vAlign w:val="center"/>
          </w:tcPr>
          <w:p w14:paraId="5F20A8C6">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2BC01887">
            <w:pPr>
              <w:spacing w:line="360" w:lineRule="auto"/>
              <w:ind w:firstLine="420" w:firstLineChars="200"/>
              <w:rPr>
                <w:rFonts w:hint="eastAsia" w:ascii="宋体" w:hAnsi="宋体" w:eastAsia="宋体" w:cs="宋体"/>
                <w:color w:val="auto"/>
                <w:sz w:val="21"/>
                <w:szCs w:val="22"/>
                <w:highlight w:val="none"/>
              </w:rPr>
            </w:pPr>
          </w:p>
        </w:tc>
        <w:tc>
          <w:tcPr>
            <w:tcW w:w="1276" w:type="dxa"/>
            <w:vAlign w:val="center"/>
          </w:tcPr>
          <w:p w14:paraId="16A87A1D">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5F28185E">
            <w:pPr>
              <w:spacing w:line="360" w:lineRule="auto"/>
              <w:ind w:firstLine="420" w:firstLineChars="200"/>
              <w:rPr>
                <w:rFonts w:hint="eastAsia" w:ascii="宋体" w:hAnsi="宋体" w:eastAsia="宋体" w:cs="宋体"/>
                <w:color w:val="auto"/>
                <w:sz w:val="21"/>
                <w:szCs w:val="22"/>
                <w:highlight w:val="none"/>
              </w:rPr>
            </w:pPr>
          </w:p>
        </w:tc>
        <w:tc>
          <w:tcPr>
            <w:tcW w:w="1559" w:type="dxa"/>
            <w:vAlign w:val="center"/>
          </w:tcPr>
          <w:p w14:paraId="79EC8EBE">
            <w:pPr>
              <w:spacing w:line="360" w:lineRule="auto"/>
              <w:ind w:firstLine="420" w:firstLineChars="200"/>
              <w:rPr>
                <w:rFonts w:hint="eastAsia" w:ascii="宋体" w:hAnsi="宋体" w:eastAsia="宋体" w:cs="宋体"/>
                <w:color w:val="auto"/>
                <w:sz w:val="21"/>
                <w:szCs w:val="22"/>
                <w:highlight w:val="none"/>
              </w:rPr>
            </w:pPr>
          </w:p>
        </w:tc>
      </w:tr>
      <w:tr w14:paraId="64EA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9EB3DBC">
            <w:pPr>
              <w:spacing w:line="360" w:lineRule="auto"/>
              <w:ind w:firstLine="420" w:firstLineChars="200"/>
              <w:rPr>
                <w:rFonts w:hint="eastAsia" w:ascii="宋体" w:hAnsi="宋体" w:eastAsia="宋体" w:cs="宋体"/>
                <w:color w:val="auto"/>
                <w:sz w:val="21"/>
                <w:szCs w:val="22"/>
                <w:highlight w:val="none"/>
              </w:rPr>
            </w:pPr>
          </w:p>
        </w:tc>
        <w:tc>
          <w:tcPr>
            <w:tcW w:w="1226" w:type="dxa"/>
            <w:vAlign w:val="center"/>
          </w:tcPr>
          <w:p w14:paraId="6AE15D9A">
            <w:pPr>
              <w:spacing w:line="360" w:lineRule="auto"/>
              <w:ind w:firstLine="420" w:firstLineChars="200"/>
              <w:rPr>
                <w:rFonts w:hint="eastAsia" w:ascii="宋体" w:hAnsi="宋体" w:eastAsia="宋体" w:cs="宋体"/>
                <w:color w:val="auto"/>
                <w:sz w:val="21"/>
                <w:szCs w:val="22"/>
                <w:highlight w:val="none"/>
              </w:rPr>
            </w:pPr>
          </w:p>
        </w:tc>
        <w:tc>
          <w:tcPr>
            <w:tcW w:w="851" w:type="dxa"/>
            <w:vAlign w:val="center"/>
          </w:tcPr>
          <w:p w14:paraId="1733EF91">
            <w:pPr>
              <w:spacing w:line="360" w:lineRule="auto"/>
              <w:ind w:firstLine="420" w:firstLineChars="200"/>
              <w:rPr>
                <w:rFonts w:hint="eastAsia" w:ascii="宋体" w:hAnsi="宋体" w:eastAsia="宋体" w:cs="宋体"/>
                <w:color w:val="auto"/>
                <w:sz w:val="21"/>
                <w:szCs w:val="22"/>
                <w:highlight w:val="none"/>
              </w:rPr>
            </w:pPr>
          </w:p>
        </w:tc>
        <w:tc>
          <w:tcPr>
            <w:tcW w:w="708" w:type="dxa"/>
            <w:vAlign w:val="center"/>
          </w:tcPr>
          <w:p w14:paraId="61914D7E">
            <w:pPr>
              <w:spacing w:line="360" w:lineRule="auto"/>
              <w:ind w:firstLine="420" w:firstLineChars="200"/>
              <w:rPr>
                <w:rFonts w:hint="eastAsia" w:ascii="宋体" w:hAnsi="宋体" w:eastAsia="宋体" w:cs="宋体"/>
                <w:color w:val="auto"/>
                <w:sz w:val="21"/>
                <w:szCs w:val="22"/>
                <w:highlight w:val="none"/>
              </w:rPr>
            </w:pPr>
          </w:p>
        </w:tc>
        <w:tc>
          <w:tcPr>
            <w:tcW w:w="709" w:type="dxa"/>
            <w:vAlign w:val="center"/>
          </w:tcPr>
          <w:p w14:paraId="7CB86879">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58C55DE7">
            <w:pPr>
              <w:spacing w:line="360" w:lineRule="auto"/>
              <w:ind w:firstLine="420" w:firstLineChars="200"/>
              <w:rPr>
                <w:rFonts w:hint="eastAsia" w:ascii="宋体" w:hAnsi="宋体" w:eastAsia="宋体" w:cs="宋体"/>
                <w:color w:val="auto"/>
                <w:sz w:val="21"/>
                <w:szCs w:val="22"/>
                <w:highlight w:val="none"/>
              </w:rPr>
            </w:pPr>
          </w:p>
        </w:tc>
        <w:tc>
          <w:tcPr>
            <w:tcW w:w="1276" w:type="dxa"/>
            <w:vAlign w:val="center"/>
          </w:tcPr>
          <w:p w14:paraId="72F9201B">
            <w:pPr>
              <w:spacing w:line="360" w:lineRule="auto"/>
              <w:ind w:firstLine="420" w:firstLineChars="200"/>
              <w:rPr>
                <w:rFonts w:hint="eastAsia" w:ascii="宋体" w:hAnsi="宋体" w:eastAsia="宋体" w:cs="宋体"/>
                <w:color w:val="auto"/>
                <w:sz w:val="21"/>
                <w:szCs w:val="22"/>
                <w:highlight w:val="none"/>
              </w:rPr>
            </w:pPr>
          </w:p>
        </w:tc>
        <w:tc>
          <w:tcPr>
            <w:tcW w:w="1134" w:type="dxa"/>
            <w:vAlign w:val="center"/>
          </w:tcPr>
          <w:p w14:paraId="25AA9DEA">
            <w:pPr>
              <w:spacing w:line="360" w:lineRule="auto"/>
              <w:ind w:firstLine="420" w:firstLineChars="200"/>
              <w:rPr>
                <w:rFonts w:hint="eastAsia" w:ascii="宋体" w:hAnsi="宋体" w:eastAsia="宋体" w:cs="宋体"/>
                <w:color w:val="auto"/>
                <w:sz w:val="21"/>
                <w:szCs w:val="22"/>
                <w:highlight w:val="none"/>
              </w:rPr>
            </w:pPr>
          </w:p>
        </w:tc>
        <w:tc>
          <w:tcPr>
            <w:tcW w:w="1559" w:type="dxa"/>
            <w:vAlign w:val="center"/>
          </w:tcPr>
          <w:p w14:paraId="4FD03268">
            <w:pPr>
              <w:spacing w:line="360" w:lineRule="auto"/>
              <w:ind w:firstLine="420" w:firstLineChars="200"/>
              <w:rPr>
                <w:rFonts w:hint="eastAsia" w:ascii="宋体" w:hAnsi="宋体" w:eastAsia="宋体" w:cs="宋体"/>
                <w:color w:val="auto"/>
                <w:sz w:val="21"/>
                <w:szCs w:val="22"/>
                <w:highlight w:val="none"/>
              </w:rPr>
            </w:pPr>
          </w:p>
        </w:tc>
      </w:tr>
    </w:tbl>
    <w:p w14:paraId="23CCFC5C">
      <w:pPr>
        <w:rPr>
          <w:rFonts w:hint="eastAsia" w:ascii="宋体" w:hAnsi="宋体" w:eastAsia="宋体" w:cs="宋体"/>
          <w:color w:val="auto"/>
          <w:sz w:val="21"/>
          <w:szCs w:val="21"/>
          <w:highlight w:val="none"/>
        </w:rPr>
      </w:pPr>
    </w:p>
    <w:p w14:paraId="483B9E3A">
      <w:pPr>
        <w:rPr>
          <w:rFonts w:hint="eastAsia" w:ascii="宋体" w:hAnsi="宋体" w:eastAsia="宋体" w:cs="宋体"/>
          <w:color w:val="auto"/>
          <w:sz w:val="21"/>
          <w:szCs w:val="21"/>
          <w:highlight w:val="none"/>
        </w:rPr>
      </w:pPr>
    </w:p>
    <w:p w14:paraId="62F64FA9">
      <w:pPr>
        <w:rPr>
          <w:rFonts w:hint="eastAsia" w:ascii="宋体" w:hAnsi="宋体" w:eastAsia="宋体" w:cs="宋体"/>
          <w:color w:val="auto"/>
          <w:sz w:val="21"/>
          <w:szCs w:val="21"/>
          <w:highlight w:val="none"/>
        </w:rPr>
      </w:pPr>
    </w:p>
    <w:p w14:paraId="20536E48">
      <w:pPr>
        <w:pStyle w:val="10"/>
        <w:rPr>
          <w:rFonts w:hint="eastAsia" w:ascii="宋体" w:hAnsi="宋体" w:eastAsia="宋体" w:cs="宋体"/>
          <w:color w:val="auto"/>
          <w:highlight w:val="none"/>
        </w:rPr>
      </w:pPr>
    </w:p>
    <w:p w14:paraId="155E5E70">
      <w:pPr>
        <w:rPr>
          <w:rFonts w:hint="eastAsia" w:ascii="宋体" w:hAnsi="宋体" w:eastAsia="宋体" w:cs="宋体"/>
          <w:color w:val="auto"/>
          <w:sz w:val="21"/>
          <w:szCs w:val="21"/>
          <w:highlight w:val="none"/>
        </w:rPr>
      </w:pPr>
    </w:p>
    <w:p w14:paraId="60DA5D04">
      <w:pPr>
        <w:pStyle w:val="27"/>
        <w:rPr>
          <w:rFonts w:hint="eastAsia" w:ascii="宋体" w:hAnsi="宋体" w:eastAsia="宋体" w:cs="宋体"/>
          <w:color w:val="auto"/>
          <w:sz w:val="21"/>
          <w:szCs w:val="21"/>
          <w:highlight w:val="none"/>
        </w:rPr>
      </w:pPr>
    </w:p>
    <w:p w14:paraId="1A34F57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7773E0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附表三：劳动力计划表</w:t>
      </w:r>
    </w:p>
    <w:p w14:paraId="1E80951E">
      <w:pPr>
        <w:ind w:firstLine="7245" w:firstLineChars="345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 xml:space="preserve">    单位：人</w:t>
      </w:r>
    </w:p>
    <w:tbl>
      <w:tblPr>
        <w:tblStyle w:val="21"/>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60D7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4402D21">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工种</w:t>
            </w:r>
          </w:p>
        </w:tc>
        <w:tc>
          <w:tcPr>
            <w:tcW w:w="8506" w:type="dxa"/>
            <w:gridSpan w:val="7"/>
            <w:vAlign w:val="center"/>
          </w:tcPr>
          <w:p w14:paraId="7ACF7FC4">
            <w:pPr>
              <w:spacing w:line="360" w:lineRule="auto"/>
              <w:jc w:val="center"/>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按工程施工阶段投入劳动力情况</w:t>
            </w:r>
          </w:p>
        </w:tc>
      </w:tr>
      <w:tr w14:paraId="4516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D3D4796">
            <w:pPr>
              <w:spacing w:line="360" w:lineRule="auto"/>
              <w:jc w:val="center"/>
              <w:rPr>
                <w:rFonts w:hint="eastAsia" w:ascii="宋体" w:hAnsi="宋体" w:eastAsia="宋体" w:cs="宋体"/>
                <w:color w:val="auto"/>
                <w:sz w:val="21"/>
                <w:szCs w:val="22"/>
                <w:highlight w:val="none"/>
              </w:rPr>
            </w:pPr>
          </w:p>
        </w:tc>
        <w:tc>
          <w:tcPr>
            <w:tcW w:w="961" w:type="dxa"/>
            <w:vAlign w:val="center"/>
          </w:tcPr>
          <w:p w14:paraId="3CB00517">
            <w:pPr>
              <w:spacing w:line="360" w:lineRule="auto"/>
              <w:jc w:val="center"/>
              <w:rPr>
                <w:rFonts w:hint="eastAsia" w:ascii="宋体" w:hAnsi="宋体" w:eastAsia="宋体" w:cs="宋体"/>
                <w:color w:val="auto"/>
                <w:sz w:val="21"/>
                <w:szCs w:val="22"/>
                <w:highlight w:val="none"/>
              </w:rPr>
            </w:pPr>
          </w:p>
        </w:tc>
        <w:tc>
          <w:tcPr>
            <w:tcW w:w="1257" w:type="dxa"/>
            <w:vAlign w:val="center"/>
          </w:tcPr>
          <w:p w14:paraId="44834E2B">
            <w:pPr>
              <w:spacing w:line="360" w:lineRule="auto"/>
              <w:jc w:val="center"/>
              <w:rPr>
                <w:rFonts w:hint="eastAsia" w:ascii="宋体" w:hAnsi="宋体" w:eastAsia="宋体" w:cs="宋体"/>
                <w:color w:val="auto"/>
                <w:sz w:val="21"/>
                <w:szCs w:val="22"/>
                <w:highlight w:val="none"/>
              </w:rPr>
            </w:pPr>
          </w:p>
        </w:tc>
        <w:tc>
          <w:tcPr>
            <w:tcW w:w="1258" w:type="dxa"/>
            <w:vAlign w:val="center"/>
          </w:tcPr>
          <w:p w14:paraId="29354F2E">
            <w:pPr>
              <w:spacing w:line="360" w:lineRule="auto"/>
              <w:jc w:val="center"/>
              <w:rPr>
                <w:rFonts w:hint="eastAsia" w:ascii="宋体" w:hAnsi="宋体" w:eastAsia="宋体" w:cs="宋体"/>
                <w:color w:val="auto"/>
                <w:sz w:val="21"/>
                <w:szCs w:val="22"/>
                <w:highlight w:val="none"/>
              </w:rPr>
            </w:pPr>
          </w:p>
        </w:tc>
        <w:tc>
          <w:tcPr>
            <w:tcW w:w="1257" w:type="dxa"/>
            <w:vAlign w:val="center"/>
          </w:tcPr>
          <w:p w14:paraId="05ED5DEA">
            <w:pPr>
              <w:spacing w:line="360" w:lineRule="auto"/>
              <w:jc w:val="center"/>
              <w:rPr>
                <w:rFonts w:hint="eastAsia" w:ascii="宋体" w:hAnsi="宋体" w:eastAsia="宋体" w:cs="宋体"/>
                <w:color w:val="auto"/>
                <w:sz w:val="21"/>
                <w:szCs w:val="22"/>
                <w:highlight w:val="none"/>
              </w:rPr>
            </w:pPr>
          </w:p>
        </w:tc>
        <w:tc>
          <w:tcPr>
            <w:tcW w:w="1258" w:type="dxa"/>
            <w:vAlign w:val="center"/>
          </w:tcPr>
          <w:p w14:paraId="67FF5413">
            <w:pPr>
              <w:spacing w:line="360" w:lineRule="auto"/>
              <w:jc w:val="center"/>
              <w:rPr>
                <w:rFonts w:hint="eastAsia" w:ascii="宋体" w:hAnsi="宋体" w:eastAsia="宋体" w:cs="宋体"/>
                <w:color w:val="auto"/>
                <w:sz w:val="21"/>
                <w:szCs w:val="22"/>
                <w:highlight w:val="none"/>
              </w:rPr>
            </w:pPr>
          </w:p>
        </w:tc>
        <w:tc>
          <w:tcPr>
            <w:tcW w:w="1257" w:type="dxa"/>
            <w:vAlign w:val="center"/>
          </w:tcPr>
          <w:p w14:paraId="69EBAF61">
            <w:pPr>
              <w:spacing w:line="360" w:lineRule="auto"/>
              <w:jc w:val="center"/>
              <w:rPr>
                <w:rFonts w:hint="eastAsia" w:ascii="宋体" w:hAnsi="宋体" w:eastAsia="宋体" w:cs="宋体"/>
                <w:color w:val="auto"/>
                <w:sz w:val="21"/>
                <w:szCs w:val="22"/>
                <w:highlight w:val="none"/>
              </w:rPr>
            </w:pPr>
          </w:p>
        </w:tc>
        <w:tc>
          <w:tcPr>
            <w:tcW w:w="1258" w:type="dxa"/>
            <w:vAlign w:val="center"/>
          </w:tcPr>
          <w:p w14:paraId="645B35B2">
            <w:pPr>
              <w:spacing w:line="360" w:lineRule="auto"/>
              <w:jc w:val="center"/>
              <w:rPr>
                <w:rFonts w:hint="eastAsia" w:ascii="宋体" w:hAnsi="宋体" w:eastAsia="宋体" w:cs="宋体"/>
                <w:color w:val="auto"/>
                <w:sz w:val="21"/>
                <w:szCs w:val="22"/>
                <w:highlight w:val="none"/>
              </w:rPr>
            </w:pPr>
          </w:p>
        </w:tc>
      </w:tr>
      <w:tr w14:paraId="3AFE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14:paraId="61982B41">
            <w:pPr>
              <w:spacing w:line="360" w:lineRule="auto"/>
              <w:jc w:val="center"/>
              <w:rPr>
                <w:rFonts w:hint="eastAsia" w:ascii="宋体" w:hAnsi="宋体" w:eastAsia="宋体" w:cs="宋体"/>
                <w:color w:val="auto"/>
                <w:sz w:val="21"/>
                <w:szCs w:val="22"/>
                <w:highlight w:val="none"/>
              </w:rPr>
            </w:pPr>
          </w:p>
        </w:tc>
        <w:tc>
          <w:tcPr>
            <w:tcW w:w="961" w:type="dxa"/>
            <w:vAlign w:val="center"/>
          </w:tcPr>
          <w:p w14:paraId="4510B1B1">
            <w:pPr>
              <w:spacing w:line="360" w:lineRule="auto"/>
              <w:jc w:val="center"/>
              <w:rPr>
                <w:rFonts w:hint="eastAsia" w:ascii="宋体" w:hAnsi="宋体" w:eastAsia="宋体" w:cs="宋体"/>
                <w:color w:val="auto"/>
                <w:sz w:val="21"/>
                <w:szCs w:val="22"/>
                <w:highlight w:val="none"/>
              </w:rPr>
            </w:pPr>
          </w:p>
        </w:tc>
        <w:tc>
          <w:tcPr>
            <w:tcW w:w="1257" w:type="dxa"/>
            <w:vAlign w:val="center"/>
          </w:tcPr>
          <w:p w14:paraId="07DAAA7F">
            <w:pPr>
              <w:spacing w:line="360" w:lineRule="auto"/>
              <w:jc w:val="center"/>
              <w:rPr>
                <w:rFonts w:hint="eastAsia" w:ascii="宋体" w:hAnsi="宋体" w:eastAsia="宋体" w:cs="宋体"/>
                <w:color w:val="auto"/>
                <w:sz w:val="21"/>
                <w:szCs w:val="22"/>
                <w:highlight w:val="none"/>
              </w:rPr>
            </w:pPr>
          </w:p>
        </w:tc>
        <w:tc>
          <w:tcPr>
            <w:tcW w:w="1258" w:type="dxa"/>
            <w:vAlign w:val="center"/>
          </w:tcPr>
          <w:p w14:paraId="0D8B9935">
            <w:pPr>
              <w:spacing w:line="360" w:lineRule="auto"/>
              <w:jc w:val="center"/>
              <w:rPr>
                <w:rFonts w:hint="eastAsia" w:ascii="宋体" w:hAnsi="宋体" w:eastAsia="宋体" w:cs="宋体"/>
                <w:color w:val="auto"/>
                <w:sz w:val="21"/>
                <w:szCs w:val="22"/>
                <w:highlight w:val="none"/>
              </w:rPr>
            </w:pPr>
          </w:p>
        </w:tc>
        <w:tc>
          <w:tcPr>
            <w:tcW w:w="1257" w:type="dxa"/>
            <w:vAlign w:val="center"/>
          </w:tcPr>
          <w:p w14:paraId="4D5C0E36">
            <w:pPr>
              <w:spacing w:line="360" w:lineRule="auto"/>
              <w:jc w:val="center"/>
              <w:rPr>
                <w:rFonts w:hint="eastAsia" w:ascii="宋体" w:hAnsi="宋体" w:eastAsia="宋体" w:cs="宋体"/>
                <w:color w:val="auto"/>
                <w:sz w:val="21"/>
                <w:szCs w:val="22"/>
                <w:highlight w:val="none"/>
              </w:rPr>
            </w:pPr>
          </w:p>
        </w:tc>
        <w:tc>
          <w:tcPr>
            <w:tcW w:w="1258" w:type="dxa"/>
            <w:vAlign w:val="center"/>
          </w:tcPr>
          <w:p w14:paraId="051B628C">
            <w:pPr>
              <w:spacing w:line="360" w:lineRule="auto"/>
              <w:jc w:val="center"/>
              <w:rPr>
                <w:rFonts w:hint="eastAsia" w:ascii="宋体" w:hAnsi="宋体" w:eastAsia="宋体" w:cs="宋体"/>
                <w:color w:val="auto"/>
                <w:sz w:val="21"/>
                <w:szCs w:val="22"/>
                <w:highlight w:val="none"/>
              </w:rPr>
            </w:pPr>
          </w:p>
        </w:tc>
        <w:tc>
          <w:tcPr>
            <w:tcW w:w="1257" w:type="dxa"/>
            <w:vAlign w:val="center"/>
          </w:tcPr>
          <w:p w14:paraId="45887F8B">
            <w:pPr>
              <w:spacing w:line="360" w:lineRule="auto"/>
              <w:jc w:val="center"/>
              <w:rPr>
                <w:rFonts w:hint="eastAsia" w:ascii="宋体" w:hAnsi="宋体" w:eastAsia="宋体" w:cs="宋体"/>
                <w:color w:val="auto"/>
                <w:sz w:val="21"/>
                <w:szCs w:val="22"/>
                <w:highlight w:val="none"/>
              </w:rPr>
            </w:pPr>
          </w:p>
        </w:tc>
        <w:tc>
          <w:tcPr>
            <w:tcW w:w="1258" w:type="dxa"/>
            <w:vAlign w:val="center"/>
          </w:tcPr>
          <w:p w14:paraId="53971723">
            <w:pPr>
              <w:spacing w:line="360" w:lineRule="auto"/>
              <w:jc w:val="center"/>
              <w:rPr>
                <w:rFonts w:hint="eastAsia" w:ascii="宋体" w:hAnsi="宋体" w:eastAsia="宋体" w:cs="宋体"/>
                <w:color w:val="auto"/>
                <w:sz w:val="21"/>
                <w:szCs w:val="22"/>
                <w:highlight w:val="none"/>
              </w:rPr>
            </w:pPr>
          </w:p>
        </w:tc>
      </w:tr>
      <w:tr w14:paraId="6ED7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A321035">
            <w:pPr>
              <w:spacing w:line="360" w:lineRule="auto"/>
              <w:jc w:val="center"/>
              <w:rPr>
                <w:rFonts w:hint="eastAsia" w:ascii="宋体" w:hAnsi="宋体" w:eastAsia="宋体" w:cs="宋体"/>
                <w:color w:val="auto"/>
                <w:sz w:val="21"/>
                <w:szCs w:val="22"/>
                <w:highlight w:val="none"/>
              </w:rPr>
            </w:pPr>
          </w:p>
        </w:tc>
        <w:tc>
          <w:tcPr>
            <w:tcW w:w="961" w:type="dxa"/>
            <w:vAlign w:val="center"/>
          </w:tcPr>
          <w:p w14:paraId="036A854E">
            <w:pPr>
              <w:spacing w:line="360" w:lineRule="auto"/>
              <w:jc w:val="center"/>
              <w:rPr>
                <w:rFonts w:hint="eastAsia" w:ascii="宋体" w:hAnsi="宋体" w:eastAsia="宋体" w:cs="宋体"/>
                <w:color w:val="auto"/>
                <w:sz w:val="21"/>
                <w:szCs w:val="22"/>
                <w:highlight w:val="none"/>
              </w:rPr>
            </w:pPr>
          </w:p>
        </w:tc>
        <w:tc>
          <w:tcPr>
            <w:tcW w:w="1257" w:type="dxa"/>
            <w:vAlign w:val="center"/>
          </w:tcPr>
          <w:p w14:paraId="40C53C61">
            <w:pPr>
              <w:spacing w:line="360" w:lineRule="auto"/>
              <w:jc w:val="center"/>
              <w:rPr>
                <w:rFonts w:hint="eastAsia" w:ascii="宋体" w:hAnsi="宋体" w:eastAsia="宋体" w:cs="宋体"/>
                <w:color w:val="auto"/>
                <w:sz w:val="21"/>
                <w:szCs w:val="22"/>
                <w:highlight w:val="none"/>
              </w:rPr>
            </w:pPr>
          </w:p>
        </w:tc>
        <w:tc>
          <w:tcPr>
            <w:tcW w:w="1258" w:type="dxa"/>
            <w:vAlign w:val="center"/>
          </w:tcPr>
          <w:p w14:paraId="4E59D50B">
            <w:pPr>
              <w:spacing w:line="360" w:lineRule="auto"/>
              <w:jc w:val="center"/>
              <w:rPr>
                <w:rFonts w:hint="eastAsia" w:ascii="宋体" w:hAnsi="宋体" w:eastAsia="宋体" w:cs="宋体"/>
                <w:color w:val="auto"/>
                <w:sz w:val="21"/>
                <w:szCs w:val="22"/>
                <w:highlight w:val="none"/>
              </w:rPr>
            </w:pPr>
          </w:p>
        </w:tc>
        <w:tc>
          <w:tcPr>
            <w:tcW w:w="1257" w:type="dxa"/>
            <w:vAlign w:val="center"/>
          </w:tcPr>
          <w:p w14:paraId="28B76B46">
            <w:pPr>
              <w:spacing w:line="360" w:lineRule="auto"/>
              <w:jc w:val="center"/>
              <w:rPr>
                <w:rFonts w:hint="eastAsia" w:ascii="宋体" w:hAnsi="宋体" w:eastAsia="宋体" w:cs="宋体"/>
                <w:color w:val="auto"/>
                <w:sz w:val="21"/>
                <w:szCs w:val="22"/>
                <w:highlight w:val="none"/>
              </w:rPr>
            </w:pPr>
          </w:p>
        </w:tc>
        <w:tc>
          <w:tcPr>
            <w:tcW w:w="1258" w:type="dxa"/>
            <w:vAlign w:val="center"/>
          </w:tcPr>
          <w:p w14:paraId="3116A7DD">
            <w:pPr>
              <w:spacing w:line="360" w:lineRule="auto"/>
              <w:jc w:val="center"/>
              <w:rPr>
                <w:rFonts w:hint="eastAsia" w:ascii="宋体" w:hAnsi="宋体" w:eastAsia="宋体" w:cs="宋体"/>
                <w:color w:val="auto"/>
                <w:sz w:val="21"/>
                <w:szCs w:val="22"/>
                <w:highlight w:val="none"/>
              </w:rPr>
            </w:pPr>
          </w:p>
        </w:tc>
        <w:tc>
          <w:tcPr>
            <w:tcW w:w="1257" w:type="dxa"/>
            <w:vAlign w:val="center"/>
          </w:tcPr>
          <w:p w14:paraId="6DF11681">
            <w:pPr>
              <w:spacing w:line="360" w:lineRule="auto"/>
              <w:jc w:val="center"/>
              <w:rPr>
                <w:rFonts w:hint="eastAsia" w:ascii="宋体" w:hAnsi="宋体" w:eastAsia="宋体" w:cs="宋体"/>
                <w:color w:val="auto"/>
                <w:sz w:val="21"/>
                <w:szCs w:val="22"/>
                <w:highlight w:val="none"/>
              </w:rPr>
            </w:pPr>
          </w:p>
        </w:tc>
        <w:tc>
          <w:tcPr>
            <w:tcW w:w="1258" w:type="dxa"/>
            <w:vAlign w:val="center"/>
          </w:tcPr>
          <w:p w14:paraId="1ABA64CC">
            <w:pPr>
              <w:spacing w:line="360" w:lineRule="auto"/>
              <w:jc w:val="center"/>
              <w:rPr>
                <w:rFonts w:hint="eastAsia" w:ascii="宋体" w:hAnsi="宋体" w:eastAsia="宋体" w:cs="宋体"/>
                <w:color w:val="auto"/>
                <w:sz w:val="21"/>
                <w:szCs w:val="22"/>
                <w:highlight w:val="none"/>
              </w:rPr>
            </w:pPr>
          </w:p>
        </w:tc>
      </w:tr>
      <w:tr w14:paraId="426F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CB8ABDE">
            <w:pPr>
              <w:spacing w:line="360" w:lineRule="auto"/>
              <w:jc w:val="center"/>
              <w:rPr>
                <w:rFonts w:hint="eastAsia" w:ascii="宋体" w:hAnsi="宋体" w:eastAsia="宋体" w:cs="宋体"/>
                <w:color w:val="auto"/>
                <w:sz w:val="21"/>
                <w:szCs w:val="22"/>
                <w:highlight w:val="none"/>
              </w:rPr>
            </w:pPr>
          </w:p>
        </w:tc>
        <w:tc>
          <w:tcPr>
            <w:tcW w:w="961" w:type="dxa"/>
            <w:vAlign w:val="center"/>
          </w:tcPr>
          <w:p w14:paraId="3A620EE8">
            <w:pPr>
              <w:spacing w:line="360" w:lineRule="auto"/>
              <w:jc w:val="center"/>
              <w:rPr>
                <w:rFonts w:hint="eastAsia" w:ascii="宋体" w:hAnsi="宋体" w:eastAsia="宋体" w:cs="宋体"/>
                <w:color w:val="auto"/>
                <w:sz w:val="21"/>
                <w:szCs w:val="22"/>
                <w:highlight w:val="none"/>
              </w:rPr>
            </w:pPr>
          </w:p>
        </w:tc>
        <w:tc>
          <w:tcPr>
            <w:tcW w:w="1257" w:type="dxa"/>
            <w:vAlign w:val="center"/>
          </w:tcPr>
          <w:p w14:paraId="7DC84DDD">
            <w:pPr>
              <w:spacing w:line="360" w:lineRule="auto"/>
              <w:jc w:val="center"/>
              <w:rPr>
                <w:rFonts w:hint="eastAsia" w:ascii="宋体" w:hAnsi="宋体" w:eastAsia="宋体" w:cs="宋体"/>
                <w:color w:val="auto"/>
                <w:sz w:val="21"/>
                <w:szCs w:val="22"/>
                <w:highlight w:val="none"/>
              </w:rPr>
            </w:pPr>
          </w:p>
        </w:tc>
        <w:tc>
          <w:tcPr>
            <w:tcW w:w="1258" w:type="dxa"/>
            <w:vAlign w:val="center"/>
          </w:tcPr>
          <w:p w14:paraId="6054570B">
            <w:pPr>
              <w:spacing w:line="360" w:lineRule="auto"/>
              <w:jc w:val="center"/>
              <w:rPr>
                <w:rFonts w:hint="eastAsia" w:ascii="宋体" w:hAnsi="宋体" w:eastAsia="宋体" w:cs="宋体"/>
                <w:color w:val="auto"/>
                <w:sz w:val="21"/>
                <w:szCs w:val="22"/>
                <w:highlight w:val="none"/>
              </w:rPr>
            </w:pPr>
          </w:p>
        </w:tc>
        <w:tc>
          <w:tcPr>
            <w:tcW w:w="1257" w:type="dxa"/>
            <w:vAlign w:val="center"/>
          </w:tcPr>
          <w:p w14:paraId="54705F77">
            <w:pPr>
              <w:spacing w:line="360" w:lineRule="auto"/>
              <w:jc w:val="center"/>
              <w:rPr>
                <w:rFonts w:hint="eastAsia" w:ascii="宋体" w:hAnsi="宋体" w:eastAsia="宋体" w:cs="宋体"/>
                <w:color w:val="auto"/>
                <w:sz w:val="21"/>
                <w:szCs w:val="22"/>
                <w:highlight w:val="none"/>
              </w:rPr>
            </w:pPr>
          </w:p>
        </w:tc>
        <w:tc>
          <w:tcPr>
            <w:tcW w:w="1258" w:type="dxa"/>
            <w:vAlign w:val="center"/>
          </w:tcPr>
          <w:p w14:paraId="50EF8A34">
            <w:pPr>
              <w:spacing w:line="360" w:lineRule="auto"/>
              <w:jc w:val="center"/>
              <w:rPr>
                <w:rFonts w:hint="eastAsia" w:ascii="宋体" w:hAnsi="宋体" w:eastAsia="宋体" w:cs="宋体"/>
                <w:color w:val="auto"/>
                <w:sz w:val="21"/>
                <w:szCs w:val="22"/>
                <w:highlight w:val="none"/>
              </w:rPr>
            </w:pPr>
          </w:p>
        </w:tc>
        <w:tc>
          <w:tcPr>
            <w:tcW w:w="1257" w:type="dxa"/>
            <w:vAlign w:val="center"/>
          </w:tcPr>
          <w:p w14:paraId="1F938173">
            <w:pPr>
              <w:spacing w:line="360" w:lineRule="auto"/>
              <w:jc w:val="center"/>
              <w:rPr>
                <w:rFonts w:hint="eastAsia" w:ascii="宋体" w:hAnsi="宋体" w:eastAsia="宋体" w:cs="宋体"/>
                <w:color w:val="auto"/>
                <w:sz w:val="21"/>
                <w:szCs w:val="22"/>
                <w:highlight w:val="none"/>
              </w:rPr>
            </w:pPr>
          </w:p>
        </w:tc>
        <w:tc>
          <w:tcPr>
            <w:tcW w:w="1258" w:type="dxa"/>
            <w:vAlign w:val="center"/>
          </w:tcPr>
          <w:p w14:paraId="5D3790B5">
            <w:pPr>
              <w:spacing w:line="360" w:lineRule="auto"/>
              <w:jc w:val="center"/>
              <w:rPr>
                <w:rFonts w:hint="eastAsia" w:ascii="宋体" w:hAnsi="宋体" w:eastAsia="宋体" w:cs="宋体"/>
                <w:color w:val="auto"/>
                <w:sz w:val="21"/>
                <w:szCs w:val="22"/>
                <w:highlight w:val="none"/>
              </w:rPr>
            </w:pPr>
          </w:p>
        </w:tc>
      </w:tr>
      <w:tr w14:paraId="73AC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D6C690F">
            <w:pPr>
              <w:spacing w:line="360" w:lineRule="auto"/>
              <w:jc w:val="center"/>
              <w:rPr>
                <w:rFonts w:hint="eastAsia" w:ascii="宋体" w:hAnsi="宋体" w:eastAsia="宋体" w:cs="宋体"/>
                <w:color w:val="auto"/>
                <w:sz w:val="21"/>
                <w:szCs w:val="22"/>
                <w:highlight w:val="none"/>
              </w:rPr>
            </w:pPr>
          </w:p>
        </w:tc>
        <w:tc>
          <w:tcPr>
            <w:tcW w:w="961" w:type="dxa"/>
            <w:vAlign w:val="center"/>
          </w:tcPr>
          <w:p w14:paraId="4D5FA8E6">
            <w:pPr>
              <w:spacing w:line="360" w:lineRule="auto"/>
              <w:jc w:val="center"/>
              <w:rPr>
                <w:rFonts w:hint="eastAsia" w:ascii="宋体" w:hAnsi="宋体" w:eastAsia="宋体" w:cs="宋体"/>
                <w:color w:val="auto"/>
                <w:sz w:val="21"/>
                <w:szCs w:val="22"/>
                <w:highlight w:val="none"/>
              </w:rPr>
            </w:pPr>
          </w:p>
        </w:tc>
        <w:tc>
          <w:tcPr>
            <w:tcW w:w="1257" w:type="dxa"/>
            <w:vAlign w:val="center"/>
          </w:tcPr>
          <w:p w14:paraId="40F78EB8">
            <w:pPr>
              <w:spacing w:line="360" w:lineRule="auto"/>
              <w:jc w:val="center"/>
              <w:rPr>
                <w:rFonts w:hint="eastAsia" w:ascii="宋体" w:hAnsi="宋体" w:eastAsia="宋体" w:cs="宋体"/>
                <w:color w:val="auto"/>
                <w:sz w:val="21"/>
                <w:szCs w:val="22"/>
                <w:highlight w:val="none"/>
              </w:rPr>
            </w:pPr>
          </w:p>
        </w:tc>
        <w:tc>
          <w:tcPr>
            <w:tcW w:w="1258" w:type="dxa"/>
            <w:vAlign w:val="center"/>
          </w:tcPr>
          <w:p w14:paraId="19A830B1">
            <w:pPr>
              <w:spacing w:line="360" w:lineRule="auto"/>
              <w:jc w:val="center"/>
              <w:rPr>
                <w:rFonts w:hint="eastAsia" w:ascii="宋体" w:hAnsi="宋体" w:eastAsia="宋体" w:cs="宋体"/>
                <w:color w:val="auto"/>
                <w:sz w:val="21"/>
                <w:szCs w:val="22"/>
                <w:highlight w:val="none"/>
              </w:rPr>
            </w:pPr>
          </w:p>
        </w:tc>
        <w:tc>
          <w:tcPr>
            <w:tcW w:w="1257" w:type="dxa"/>
            <w:vAlign w:val="center"/>
          </w:tcPr>
          <w:p w14:paraId="27860FE6">
            <w:pPr>
              <w:spacing w:line="360" w:lineRule="auto"/>
              <w:jc w:val="center"/>
              <w:rPr>
                <w:rFonts w:hint="eastAsia" w:ascii="宋体" w:hAnsi="宋体" w:eastAsia="宋体" w:cs="宋体"/>
                <w:color w:val="auto"/>
                <w:sz w:val="21"/>
                <w:szCs w:val="22"/>
                <w:highlight w:val="none"/>
              </w:rPr>
            </w:pPr>
          </w:p>
        </w:tc>
        <w:tc>
          <w:tcPr>
            <w:tcW w:w="1258" w:type="dxa"/>
            <w:vAlign w:val="center"/>
          </w:tcPr>
          <w:p w14:paraId="6CD24974">
            <w:pPr>
              <w:spacing w:line="360" w:lineRule="auto"/>
              <w:jc w:val="center"/>
              <w:rPr>
                <w:rFonts w:hint="eastAsia" w:ascii="宋体" w:hAnsi="宋体" w:eastAsia="宋体" w:cs="宋体"/>
                <w:color w:val="auto"/>
                <w:sz w:val="21"/>
                <w:szCs w:val="22"/>
                <w:highlight w:val="none"/>
              </w:rPr>
            </w:pPr>
          </w:p>
        </w:tc>
        <w:tc>
          <w:tcPr>
            <w:tcW w:w="1257" w:type="dxa"/>
            <w:vAlign w:val="center"/>
          </w:tcPr>
          <w:p w14:paraId="2FAF4D05">
            <w:pPr>
              <w:spacing w:line="360" w:lineRule="auto"/>
              <w:jc w:val="center"/>
              <w:rPr>
                <w:rFonts w:hint="eastAsia" w:ascii="宋体" w:hAnsi="宋体" w:eastAsia="宋体" w:cs="宋体"/>
                <w:color w:val="auto"/>
                <w:sz w:val="21"/>
                <w:szCs w:val="22"/>
                <w:highlight w:val="none"/>
              </w:rPr>
            </w:pPr>
          </w:p>
        </w:tc>
        <w:tc>
          <w:tcPr>
            <w:tcW w:w="1258" w:type="dxa"/>
            <w:vAlign w:val="center"/>
          </w:tcPr>
          <w:p w14:paraId="42814DDE">
            <w:pPr>
              <w:spacing w:line="360" w:lineRule="auto"/>
              <w:jc w:val="center"/>
              <w:rPr>
                <w:rFonts w:hint="eastAsia" w:ascii="宋体" w:hAnsi="宋体" w:eastAsia="宋体" w:cs="宋体"/>
                <w:color w:val="auto"/>
                <w:sz w:val="21"/>
                <w:szCs w:val="22"/>
                <w:highlight w:val="none"/>
              </w:rPr>
            </w:pPr>
          </w:p>
        </w:tc>
      </w:tr>
    </w:tbl>
    <w:p w14:paraId="4FE115FF">
      <w:pPr>
        <w:rPr>
          <w:rFonts w:hint="eastAsia" w:ascii="宋体" w:hAnsi="宋体" w:eastAsia="宋体" w:cs="宋体"/>
          <w:color w:val="auto"/>
          <w:sz w:val="21"/>
          <w:szCs w:val="21"/>
          <w:highlight w:val="none"/>
        </w:rPr>
      </w:pPr>
    </w:p>
    <w:p w14:paraId="3AE995B2">
      <w:pPr>
        <w:rPr>
          <w:rFonts w:hint="eastAsia" w:ascii="宋体" w:hAnsi="宋体" w:eastAsia="宋体" w:cs="宋体"/>
          <w:b/>
          <w:color w:val="auto"/>
          <w:sz w:val="21"/>
          <w:szCs w:val="21"/>
          <w:highlight w:val="none"/>
        </w:rPr>
      </w:pPr>
    </w:p>
    <w:p w14:paraId="00D8787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附表四：计划开、竣工日期和施工进度计划（网络图或横道图）</w:t>
      </w:r>
    </w:p>
    <w:p w14:paraId="10653B5E">
      <w:pPr>
        <w:spacing w:line="460" w:lineRule="exact"/>
        <w:ind w:left="-6"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磋商单位应提交施工进度计划，说明按招标文件要求的工期进行施工的各个关键日期。中标的磋商单位还应按合同条件有关条款的要求提交详细的施工进度计划。</w:t>
      </w:r>
    </w:p>
    <w:p w14:paraId="6DEC5BE9">
      <w:pPr>
        <w:spacing w:line="460" w:lineRule="exact"/>
        <w:ind w:left="-6"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施工进度计划可采用网络图（或横道图）表示，说明计划开工日期和各分项工程各阶段的完工日期。</w:t>
      </w:r>
    </w:p>
    <w:p w14:paraId="2B6F6276">
      <w:pPr>
        <w:spacing w:line="460" w:lineRule="exact"/>
        <w:ind w:left="-6"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施工进度计划应与施工组织设计相适应。</w:t>
      </w:r>
    </w:p>
    <w:p w14:paraId="38021A30">
      <w:pPr>
        <w:rPr>
          <w:rFonts w:hint="eastAsia" w:ascii="宋体" w:hAnsi="宋体" w:eastAsia="宋体" w:cs="宋体"/>
          <w:color w:val="auto"/>
          <w:sz w:val="21"/>
          <w:szCs w:val="21"/>
          <w:highlight w:val="none"/>
        </w:rPr>
      </w:pPr>
    </w:p>
    <w:p w14:paraId="1785A189">
      <w:pPr>
        <w:rPr>
          <w:rFonts w:hint="eastAsia" w:ascii="宋体" w:hAnsi="宋体" w:eastAsia="宋体" w:cs="宋体"/>
          <w:color w:val="auto"/>
          <w:sz w:val="21"/>
          <w:szCs w:val="21"/>
          <w:highlight w:val="none"/>
        </w:rPr>
      </w:pPr>
    </w:p>
    <w:p w14:paraId="29881D2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附表五：施工总平面图</w:t>
      </w:r>
    </w:p>
    <w:p w14:paraId="53752205">
      <w:pPr>
        <w:spacing w:line="46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磋商单位应递交一份施工总平面图，绘出现场临时设施布置图表并附文字说明，说明临时设施、加工车间、现场办公、设备及仓储、供电、供水、卫生、生活、道路、消防等设施的情况和布置。</w:t>
      </w:r>
    </w:p>
    <w:p w14:paraId="328862CC">
      <w:pPr>
        <w:rPr>
          <w:rFonts w:hint="eastAsia" w:ascii="宋体" w:hAnsi="宋体" w:eastAsia="宋体" w:cs="宋体"/>
          <w:color w:val="auto"/>
          <w:sz w:val="21"/>
          <w:szCs w:val="21"/>
          <w:highlight w:val="none"/>
        </w:rPr>
      </w:pPr>
    </w:p>
    <w:p w14:paraId="40FD2FA1">
      <w:pPr>
        <w:rPr>
          <w:rFonts w:hint="eastAsia" w:ascii="宋体" w:hAnsi="宋体" w:eastAsia="宋体" w:cs="宋体"/>
          <w:color w:val="auto"/>
          <w:sz w:val="21"/>
          <w:szCs w:val="21"/>
          <w:highlight w:val="none"/>
        </w:rPr>
      </w:pPr>
    </w:p>
    <w:p w14:paraId="2F636E6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附表六：临时用地表</w:t>
      </w:r>
    </w:p>
    <w:tbl>
      <w:tblPr>
        <w:tblStyle w:val="21"/>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60F1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6FCFCD0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2"/>
                <w:highlight w:val="none"/>
              </w:rPr>
              <w:t>用途</w:t>
            </w:r>
          </w:p>
        </w:tc>
        <w:tc>
          <w:tcPr>
            <w:tcW w:w="2357" w:type="dxa"/>
            <w:vAlign w:val="center"/>
          </w:tcPr>
          <w:p w14:paraId="351D4E2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2"/>
                <w:highlight w:val="none"/>
              </w:rPr>
              <w:t>面积（平方米）</w:t>
            </w:r>
          </w:p>
        </w:tc>
        <w:tc>
          <w:tcPr>
            <w:tcW w:w="2356" w:type="dxa"/>
            <w:vAlign w:val="center"/>
          </w:tcPr>
          <w:p w14:paraId="035DA2A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2"/>
                <w:highlight w:val="none"/>
              </w:rPr>
              <w:t>位置</w:t>
            </w:r>
          </w:p>
        </w:tc>
        <w:tc>
          <w:tcPr>
            <w:tcW w:w="2357" w:type="dxa"/>
            <w:vAlign w:val="center"/>
          </w:tcPr>
          <w:p w14:paraId="2476F4A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2"/>
                <w:highlight w:val="none"/>
              </w:rPr>
              <w:t>需用时间</w:t>
            </w:r>
          </w:p>
        </w:tc>
      </w:tr>
      <w:tr w14:paraId="3AD4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A257425">
            <w:pPr>
              <w:rPr>
                <w:rFonts w:hint="eastAsia" w:ascii="宋体" w:hAnsi="宋体" w:eastAsia="宋体" w:cs="宋体"/>
                <w:color w:val="auto"/>
                <w:sz w:val="21"/>
                <w:szCs w:val="21"/>
                <w:highlight w:val="none"/>
              </w:rPr>
            </w:pPr>
          </w:p>
        </w:tc>
        <w:tc>
          <w:tcPr>
            <w:tcW w:w="2357" w:type="dxa"/>
          </w:tcPr>
          <w:p w14:paraId="7E6991AC">
            <w:pPr>
              <w:rPr>
                <w:rFonts w:hint="eastAsia" w:ascii="宋体" w:hAnsi="宋体" w:eastAsia="宋体" w:cs="宋体"/>
                <w:color w:val="auto"/>
                <w:sz w:val="21"/>
                <w:szCs w:val="21"/>
                <w:highlight w:val="none"/>
              </w:rPr>
            </w:pPr>
          </w:p>
        </w:tc>
        <w:tc>
          <w:tcPr>
            <w:tcW w:w="2356" w:type="dxa"/>
          </w:tcPr>
          <w:p w14:paraId="26FC01D7">
            <w:pPr>
              <w:rPr>
                <w:rFonts w:hint="eastAsia" w:ascii="宋体" w:hAnsi="宋体" w:eastAsia="宋体" w:cs="宋体"/>
                <w:color w:val="auto"/>
                <w:sz w:val="21"/>
                <w:szCs w:val="21"/>
                <w:highlight w:val="none"/>
              </w:rPr>
            </w:pPr>
          </w:p>
        </w:tc>
        <w:tc>
          <w:tcPr>
            <w:tcW w:w="2357" w:type="dxa"/>
          </w:tcPr>
          <w:p w14:paraId="05B5C7A0">
            <w:pPr>
              <w:rPr>
                <w:rFonts w:hint="eastAsia" w:ascii="宋体" w:hAnsi="宋体" w:eastAsia="宋体" w:cs="宋体"/>
                <w:color w:val="auto"/>
                <w:sz w:val="21"/>
                <w:szCs w:val="21"/>
                <w:highlight w:val="none"/>
              </w:rPr>
            </w:pPr>
          </w:p>
        </w:tc>
      </w:tr>
      <w:tr w14:paraId="14AE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AC8EEA8">
            <w:pPr>
              <w:rPr>
                <w:rFonts w:hint="eastAsia" w:ascii="宋体" w:hAnsi="宋体" w:eastAsia="宋体" w:cs="宋体"/>
                <w:color w:val="auto"/>
                <w:sz w:val="21"/>
                <w:szCs w:val="21"/>
                <w:highlight w:val="none"/>
              </w:rPr>
            </w:pPr>
          </w:p>
        </w:tc>
        <w:tc>
          <w:tcPr>
            <w:tcW w:w="2357" w:type="dxa"/>
          </w:tcPr>
          <w:p w14:paraId="41DEB920">
            <w:pPr>
              <w:rPr>
                <w:rFonts w:hint="eastAsia" w:ascii="宋体" w:hAnsi="宋体" w:eastAsia="宋体" w:cs="宋体"/>
                <w:color w:val="auto"/>
                <w:sz w:val="21"/>
                <w:szCs w:val="21"/>
                <w:highlight w:val="none"/>
              </w:rPr>
            </w:pPr>
          </w:p>
        </w:tc>
        <w:tc>
          <w:tcPr>
            <w:tcW w:w="2356" w:type="dxa"/>
          </w:tcPr>
          <w:p w14:paraId="0045A0B4">
            <w:pPr>
              <w:rPr>
                <w:rFonts w:hint="eastAsia" w:ascii="宋体" w:hAnsi="宋体" w:eastAsia="宋体" w:cs="宋体"/>
                <w:color w:val="auto"/>
                <w:sz w:val="21"/>
                <w:szCs w:val="21"/>
                <w:highlight w:val="none"/>
              </w:rPr>
            </w:pPr>
          </w:p>
        </w:tc>
        <w:tc>
          <w:tcPr>
            <w:tcW w:w="2357" w:type="dxa"/>
          </w:tcPr>
          <w:p w14:paraId="1948CE91">
            <w:pPr>
              <w:rPr>
                <w:rFonts w:hint="eastAsia" w:ascii="宋体" w:hAnsi="宋体" w:eastAsia="宋体" w:cs="宋体"/>
                <w:color w:val="auto"/>
                <w:sz w:val="21"/>
                <w:szCs w:val="21"/>
                <w:highlight w:val="none"/>
              </w:rPr>
            </w:pPr>
          </w:p>
        </w:tc>
      </w:tr>
      <w:tr w14:paraId="4C61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41AA23CC">
            <w:pPr>
              <w:rPr>
                <w:rFonts w:hint="eastAsia" w:ascii="宋体" w:hAnsi="宋体" w:eastAsia="宋体" w:cs="宋体"/>
                <w:color w:val="auto"/>
                <w:sz w:val="21"/>
                <w:szCs w:val="21"/>
                <w:highlight w:val="none"/>
              </w:rPr>
            </w:pPr>
          </w:p>
        </w:tc>
        <w:tc>
          <w:tcPr>
            <w:tcW w:w="2357" w:type="dxa"/>
          </w:tcPr>
          <w:p w14:paraId="5FBF1CAF">
            <w:pPr>
              <w:rPr>
                <w:rFonts w:hint="eastAsia" w:ascii="宋体" w:hAnsi="宋体" w:eastAsia="宋体" w:cs="宋体"/>
                <w:color w:val="auto"/>
                <w:sz w:val="21"/>
                <w:szCs w:val="21"/>
                <w:highlight w:val="none"/>
              </w:rPr>
            </w:pPr>
          </w:p>
        </w:tc>
        <w:tc>
          <w:tcPr>
            <w:tcW w:w="2356" w:type="dxa"/>
          </w:tcPr>
          <w:p w14:paraId="7607BB13">
            <w:pPr>
              <w:rPr>
                <w:rFonts w:hint="eastAsia" w:ascii="宋体" w:hAnsi="宋体" w:eastAsia="宋体" w:cs="宋体"/>
                <w:color w:val="auto"/>
                <w:sz w:val="21"/>
                <w:szCs w:val="21"/>
                <w:highlight w:val="none"/>
              </w:rPr>
            </w:pPr>
          </w:p>
        </w:tc>
        <w:tc>
          <w:tcPr>
            <w:tcW w:w="2357" w:type="dxa"/>
          </w:tcPr>
          <w:p w14:paraId="62A8BCD2">
            <w:pPr>
              <w:rPr>
                <w:rFonts w:hint="eastAsia" w:ascii="宋体" w:hAnsi="宋体" w:eastAsia="宋体" w:cs="宋体"/>
                <w:color w:val="auto"/>
                <w:sz w:val="21"/>
                <w:szCs w:val="21"/>
                <w:highlight w:val="none"/>
              </w:rPr>
            </w:pPr>
          </w:p>
        </w:tc>
      </w:tr>
      <w:tr w14:paraId="70CB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B326FB8">
            <w:pPr>
              <w:rPr>
                <w:rFonts w:hint="eastAsia" w:ascii="宋体" w:hAnsi="宋体" w:eastAsia="宋体" w:cs="宋体"/>
                <w:color w:val="auto"/>
                <w:sz w:val="21"/>
                <w:szCs w:val="21"/>
                <w:highlight w:val="none"/>
              </w:rPr>
            </w:pPr>
          </w:p>
        </w:tc>
        <w:tc>
          <w:tcPr>
            <w:tcW w:w="2357" w:type="dxa"/>
          </w:tcPr>
          <w:p w14:paraId="613CDA45">
            <w:pPr>
              <w:rPr>
                <w:rFonts w:hint="eastAsia" w:ascii="宋体" w:hAnsi="宋体" w:eastAsia="宋体" w:cs="宋体"/>
                <w:color w:val="auto"/>
                <w:sz w:val="21"/>
                <w:szCs w:val="21"/>
                <w:highlight w:val="none"/>
              </w:rPr>
            </w:pPr>
          </w:p>
        </w:tc>
        <w:tc>
          <w:tcPr>
            <w:tcW w:w="2356" w:type="dxa"/>
          </w:tcPr>
          <w:p w14:paraId="3FE2A101">
            <w:pPr>
              <w:rPr>
                <w:rFonts w:hint="eastAsia" w:ascii="宋体" w:hAnsi="宋体" w:eastAsia="宋体" w:cs="宋体"/>
                <w:color w:val="auto"/>
                <w:sz w:val="21"/>
                <w:szCs w:val="21"/>
                <w:highlight w:val="none"/>
              </w:rPr>
            </w:pPr>
          </w:p>
        </w:tc>
        <w:tc>
          <w:tcPr>
            <w:tcW w:w="2357" w:type="dxa"/>
          </w:tcPr>
          <w:p w14:paraId="3F8F95B8">
            <w:pPr>
              <w:rPr>
                <w:rFonts w:hint="eastAsia" w:ascii="宋体" w:hAnsi="宋体" w:eastAsia="宋体" w:cs="宋体"/>
                <w:color w:val="auto"/>
                <w:sz w:val="21"/>
                <w:szCs w:val="21"/>
                <w:highlight w:val="none"/>
              </w:rPr>
            </w:pPr>
          </w:p>
        </w:tc>
      </w:tr>
    </w:tbl>
    <w:p w14:paraId="0AF24446">
      <w:pPr>
        <w:rPr>
          <w:rFonts w:hint="eastAsia" w:ascii="宋体" w:hAnsi="宋体" w:eastAsia="宋体" w:cs="宋体"/>
          <w:color w:val="auto"/>
          <w:sz w:val="21"/>
          <w:szCs w:val="21"/>
          <w:highlight w:val="none"/>
        </w:rPr>
      </w:pPr>
    </w:p>
    <w:p w14:paraId="3FB06D66">
      <w:pPr>
        <w:spacing w:beforeLines="50" w:afterLines="100" w:line="440" w:lineRule="exact"/>
        <w:ind w:right="420"/>
        <w:jc w:val="center"/>
        <w:outlineLvl w:val="0"/>
        <w:rPr>
          <w:rFonts w:hint="eastAsia" w:ascii="宋体" w:hAnsi="宋体" w:eastAsia="宋体" w:cs="宋体"/>
          <w:color w:val="auto"/>
          <w:sz w:val="32"/>
          <w:szCs w:val="32"/>
          <w:highlight w:val="none"/>
        </w:rPr>
        <w:sectPr>
          <w:pgSz w:w="11907" w:h="16840"/>
          <w:pgMar w:top="1440" w:right="1440" w:bottom="1440" w:left="1797" w:header="851" w:footer="851" w:gutter="0"/>
          <w:pgNumType w:fmt="decimal"/>
          <w:cols w:space="720" w:num="1"/>
          <w:docGrid w:linePitch="312" w:charSpace="0"/>
        </w:sectPr>
      </w:pPr>
    </w:p>
    <w:p w14:paraId="32AE2D04">
      <w:pPr>
        <w:pStyle w:val="31"/>
        <w:jc w:val="both"/>
        <w:rPr>
          <w:rFonts w:hint="eastAsia" w:ascii="宋体" w:hAnsi="宋体" w:eastAsia="宋体" w:cs="宋体"/>
          <w:b/>
          <w:bCs/>
          <w:color w:val="auto"/>
          <w:sz w:val="36"/>
          <w:szCs w:val="22"/>
          <w:highlight w:val="none"/>
        </w:rPr>
      </w:pPr>
      <w:r>
        <w:rPr>
          <w:rFonts w:hint="eastAsia" w:ascii="宋体" w:hAnsi="宋体" w:eastAsia="宋体" w:cs="宋体"/>
          <w:b/>
          <w:bCs/>
          <w:color w:val="auto"/>
          <w:sz w:val="36"/>
          <w:szCs w:val="22"/>
          <w:highlight w:val="none"/>
          <w:lang w:val="en-US" w:eastAsia="zh-CN"/>
        </w:rPr>
        <w:t>5、</w:t>
      </w:r>
      <w:r>
        <w:rPr>
          <w:rFonts w:hint="eastAsia" w:ascii="宋体" w:hAnsi="宋体" w:eastAsia="宋体" w:cs="宋体"/>
          <w:b/>
          <w:bCs/>
          <w:color w:val="auto"/>
          <w:sz w:val="36"/>
          <w:szCs w:val="22"/>
          <w:highlight w:val="none"/>
        </w:rPr>
        <w:t>项目管理机构</w:t>
      </w:r>
    </w:p>
    <w:p w14:paraId="65B13B14">
      <w:pPr>
        <w:pStyle w:val="31"/>
        <w:jc w:val="center"/>
        <w:rPr>
          <w:rFonts w:hint="eastAsia" w:ascii="宋体" w:hAnsi="宋体" w:eastAsia="宋体" w:cs="宋体"/>
          <w:b/>
          <w:color w:val="auto"/>
          <w:sz w:val="28"/>
          <w:szCs w:val="28"/>
          <w:highlight w:val="none"/>
        </w:rPr>
      </w:pPr>
      <w:bookmarkStart w:id="55" w:name="_Toc153274947"/>
      <w:bookmarkStart w:id="56" w:name="_Toc172364025"/>
      <w:bookmarkStart w:id="57" w:name="_Toc173579005"/>
      <w:bookmarkStart w:id="58" w:name="_Toc251052184"/>
      <w:r>
        <w:rPr>
          <w:rFonts w:hint="eastAsia" w:ascii="宋体" w:hAnsi="宋体" w:eastAsia="宋体" w:cs="宋体"/>
          <w:b/>
          <w:bCs/>
          <w:color w:val="auto"/>
          <w:sz w:val="24"/>
          <w:szCs w:val="21"/>
          <w:highlight w:val="none"/>
          <w:lang w:val="en-US" w:eastAsia="zh-CN"/>
        </w:rPr>
        <w:t>1）</w:t>
      </w:r>
      <w:r>
        <w:rPr>
          <w:rFonts w:hint="eastAsia" w:ascii="宋体" w:hAnsi="宋体" w:eastAsia="宋体" w:cs="宋体"/>
          <w:b/>
          <w:color w:val="auto"/>
          <w:sz w:val="24"/>
          <w:szCs w:val="21"/>
          <w:highlight w:val="none"/>
        </w:rPr>
        <w:t>项目管理机构配备情况表</w:t>
      </w:r>
      <w:bookmarkEnd w:id="55"/>
      <w:bookmarkEnd w:id="56"/>
      <w:bookmarkEnd w:id="57"/>
      <w:bookmarkEnd w:id="58"/>
    </w:p>
    <w:p w14:paraId="109828EA">
      <w:pPr>
        <w:pStyle w:val="31"/>
        <w:rPr>
          <w:rFonts w:hint="eastAsia" w:ascii="宋体" w:hAnsi="宋体" w:eastAsia="宋体" w:cs="宋体"/>
          <w:color w:val="auto"/>
          <w:sz w:val="22"/>
          <w:szCs w:val="22"/>
          <w:highlight w:val="none"/>
          <w:u w:val="single"/>
        </w:rPr>
      </w:pPr>
    </w:p>
    <w:p w14:paraId="225D4329">
      <w:pPr>
        <w:pStyle w:val="31"/>
        <w:rPr>
          <w:rFonts w:hint="eastAsia" w:ascii="宋体" w:hAnsi="宋体" w:eastAsia="宋体" w:cs="宋体"/>
          <w:color w:val="auto"/>
          <w:sz w:val="22"/>
          <w:szCs w:val="22"/>
          <w:highlight w:val="none"/>
        </w:rPr>
      </w:pPr>
      <w:bookmarkStart w:id="59" w:name="_Toc251052185"/>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 工程 </w:t>
      </w:r>
      <w:bookmarkEnd w:id="59"/>
    </w:p>
    <w:tbl>
      <w:tblPr>
        <w:tblStyle w:val="2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6152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7E8FB047">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拟在本项目工程任职</w:t>
            </w:r>
          </w:p>
        </w:tc>
        <w:tc>
          <w:tcPr>
            <w:tcW w:w="829" w:type="dxa"/>
            <w:vMerge w:val="restart"/>
            <w:vAlign w:val="center"/>
          </w:tcPr>
          <w:p w14:paraId="4D8852E3">
            <w:pPr>
              <w:ind w:left="223" w:hanging="222" w:hangingChars="106"/>
              <w:jc w:val="center"/>
              <w:rPr>
                <w:rFonts w:hint="eastAsia" w:ascii="宋体" w:hAnsi="宋体" w:eastAsia="宋体" w:cs="宋体"/>
                <w:color w:val="auto"/>
                <w:sz w:val="21"/>
                <w:szCs w:val="21"/>
                <w:highlight w:val="none"/>
              </w:rPr>
            </w:pPr>
            <w:bookmarkStart w:id="60" w:name="_Toc251052187"/>
            <w:r>
              <w:rPr>
                <w:rFonts w:hint="eastAsia" w:ascii="宋体" w:hAnsi="宋体" w:eastAsia="宋体" w:cs="宋体"/>
                <w:color w:val="auto"/>
                <w:sz w:val="21"/>
                <w:szCs w:val="21"/>
                <w:highlight w:val="none"/>
              </w:rPr>
              <w:t>姓名</w:t>
            </w:r>
            <w:bookmarkEnd w:id="60"/>
          </w:p>
        </w:tc>
        <w:tc>
          <w:tcPr>
            <w:tcW w:w="816" w:type="dxa"/>
            <w:vMerge w:val="restart"/>
            <w:vAlign w:val="center"/>
          </w:tcPr>
          <w:p w14:paraId="3E0EBCEC">
            <w:pPr>
              <w:ind w:left="223" w:hanging="222" w:hangingChars="106"/>
              <w:jc w:val="center"/>
              <w:rPr>
                <w:rFonts w:hint="eastAsia" w:ascii="宋体" w:hAnsi="宋体" w:eastAsia="宋体" w:cs="宋体"/>
                <w:color w:val="auto"/>
                <w:sz w:val="21"/>
                <w:szCs w:val="21"/>
                <w:highlight w:val="none"/>
              </w:rPr>
            </w:pPr>
            <w:bookmarkStart w:id="61" w:name="_Toc251052188"/>
            <w:r>
              <w:rPr>
                <w:rFonts w:hint="eastAsia" w:ascii="宋体" w:hAnsi="宋体" w:eastAsia="宋体" w:cs="宋体"/>
                <w:color w:val="auto"/>
                <w:sz w:val="21"/>
                <w:szCs w:val="21"/>
                <w:highlight w:val="none"/>
              </w:rPr>
              <w:t>职称</w:t>
            </w:r>
            <w:bookmarkEnd w:id="61"/>
          </w:p>
        </w:tc>
        <w:tc>
          <w:tcPr>
            <w:tcW w:w="4592" w:type="dxa"/>
            <w:gridSpan w:val="4"/>
            <w:vAlign w:val="center"/>
          </w:tcPr>
          <w:p w14:paraId="1DB72259">
            <w:pPr>
              <w:ind w:left="223" w:hanging="222" w:hangingChars="106"/>
              <w:jc w:val="center"/>
              <w:rPr>
                <w:rFonts w:hint="eastAsia" w:ascii="宋体" w:hAnsi="宋体" w:eastAsia="宋体" w:cs="宋体"/>
                <w:color w:val="auto"/>
                <w:sz w:val="21"/>
                <w:szCs w:val="21"/>
                <w:highlight w:val="none"/>
              </w:rPr>
            </w:pPr>
            <w:bookmarkStart w:id="62" w:name="_Toc251052189"/>
            <w:r>
              <w:rPr>
                <w:rFonts w:hint="eastAsia" w:ascii="宋体" w:hAnsi="宋体" w:eastAsia="宋体" w:cs="宋体"/>
                <w:color w:val="auto"/>
                <w:sz w:val="21"/>
                <w:szCs w:val="21"/>
                <w:highlight w:val="none"/>
              </w:rPr>
              <w:t>执业或职业资格证明</w:t>
            </w:r>
            <w:bookmarkEnd w:id="62"/>
          </w:p>
        </w:tc>
        <w:tc>
          <w:tcPr>
            <w:tcW w:w="2126" w:type="dxa"/>
            <w:gridSpan w:val="2"/>
            <w:vAlign w:val="center"/>
          </w:tcPr>
          <w:p w14:paraId="038E05A7">
            <w:pPr>
              <w:ind w:left="223" w:hanging="222" w:hangingChars="106"/>
              <w:jc w:val="center"/>
              <w:rPr>
                <w:rFonts w:hint="eastAsia" w:ascii="宋体" w:hAnsi="宋体" w:eastAsia="宋体" w:cs="宋体"/>
                <w:color w:val="auto"/>
                <w:sz w:val="21"/>
                <w:szCs w:val="21"/>
                <w:highlight w:val="none"/>
              </w:rPr>
            </w:pPr>
            <w:bookmarkStart w:id="63" w:name="_Toc251052190"/>
            <w:r>
              <w:rPr>
                <w:rFonts w:hint="eastAsia" w:ascii="宋体" w:hAnsi="宋体" w:eastAsia="宋体" w:cs="宋体"/>
                <w:color w:val="auto"/>
                <w:sz w:val="21"/>
                <w:szCs w:val="21"/>
                <w:highlight w:val="none"/>
              </w:rPr>
              <w:t>承担完工</w:t>
            </w:r>
            <w:bookmarkEnd w:id="63"/>
            <w:bookmarkStart w:id="64" w:name="_Toc251052191"/>
            <w:r>
              <w:rPr>
                <w:rFonts w:hint="eastAsia" w:ascii="宋体" w:hAnsi="宋体" w:eastAsia="宋体" w:cs="宋体"/>
                <w:color w:val="auto"/>
                <w:sz w:val="21"/>
                <w:szCs w:val="21"/>
                <w:highlight w:val="none"/>
              </w:rPr>
              <w:t>工程情况</w:t>
            </w:r>
            <w:bookmarkEnd w:id="64"/>
          </w:p>
        </w:tc>
      </w:tr>
      <w:tr w14:paraId="2F45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6C560465">
            <w:pPr>
              <w:ind w:left="223" w:hanging="222" w:hangingChars="106"/>
              <w:jc w:val="center"/>
              <w:rPr>
                <w:rFonts w:hint="eastAsia" w:ascii="宋体" w:hAnsi="宋体" w:eastAsia="宋体" w:cs="宋体"/>
                <w:color w:val="auto"/>
                <w:sz w:val="21"/>
                <w:szCs w:val="21"/>
                <w:highlight w:val="none"/>
              </w:rPr>
            </w:pPr>
          </w:p>
        </w:tc>
        <w:tc>
          <w:tcPr>
            <w:tcW w:w="829" w:type="dxa"/>
            <w:vMerge w:val="continue"/>
            <w:vAlign w:val="center"/>
          </w:tcPr>
          <w:p w14:paraId="7599527B">
            <w:pPr>
              <w:ind w:left="223" w:hanging="222" w:hangingChars="106"/>
              <w:jc w:val="center"/>
              <w:rPr>
                <w:rFonts w:hint="eastAsia" w:ascii="宋体" w:hAnsi="宋体" w:eastAsia="宋体" w:cs="宋体"/>
                <w:color w:val="auto"/>
                <w:sz w:val="21"/>
                <w:szCs w:val="21"/>
                <w:highlight w:val="none"/>
              </w:rPr>
            </w:pPr>
          </w:p>
        </w:tc>
        <w:tc>
          <w:tcPr>
            <w:tcW w:w="816" w:type="dxa"/>
            <w:vMerge w:val="continue"/>
            <w:vAlign w:val="center"/>
          </w:tcPr>
          <w:p w14:paraId="164076A8">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72B46715">
            <w:pPr>
              <w:ind w:left="223" w:hanging="222" w:hangingChars="106"/>
              <w:jc w:val="center"/>
              <w:rPr>
                <w:rFonts w:hint="eastAsia" w:ascii="宋体" w:hAnsi="宋体" w:eastAsia="宋体" w:cs="宋体"/>
                <w:color w:val="auto"/>
                <w:sz w:val="21"/>
                <w:szCs w:val="21"/>
                <w:highlight w:val="none"/>
              </w:rPr>
            </w:pPr>
            <w:bookmarkStart w:id="65" w:name="_Toc251052192"/>
            <w:r>
              <w:rPr>
                <w:rFonts w:hint="eastAsia" w:ascii="宋体" w:hAnsi="宋体" w:eastAsia="宋体" w:cs="宋体"/>
                <w:color w:val="auto"/>
                <w:sz w:val="21"/>
                <w:szCs w:val="21"/>
                <w:highlight w:val="none"/>
              </w:rPr>
              <w:t>证书名称</w:t>
            </w:r>
            <w:bookmarkEnd w:id="65"/>
          </w:p>
        </w:tc>
        <w:tc>
          <w:tcPr>
            <w:tcW w:w="1148" w:type="dxa"/>
            <w:vAlign w:val="center"/>
          </w:tcPr>
          <w:p w14:paraId="152144FA">
            <w:pPr>
              <w:ind w:left="223" w:hanging="222" w:hangingChars="106"/>
              <w:jc w:val="center"/>
              <w:rPr>
                <w:rFonts w:hint="eastAsia" w:ascii="宋体" w:hAnsi="宋体" w:eastAsia="宋体" w:cs="宋体"/>
                <w:color w:val="auto"/>
                <w:sz w:val="21"/>
                <w:szCs w:val="21"/>
                <w:highlight w:val="none"/>
              </w:rPr>
            </w:pPr>
            <w:bookmarkStart w:id="66" w:name="_Toc251052193"/>
            <w:r>
              <w:rPr>
                <w:rFonts w:hint="eastAsia" w:ascii="宋体" w:hAnsi="宋体" w:eastAsia="宋体" w:cs="宋体"/>
                <w:color w:val="auto"/>
                <w:sz w:val="21"/>
                <w:szCs w:val="21"/>
                <w:highlight w:val="none"/>
              </w:rPr>
              <w:t>级别</w:t>
            </w:r>
            <w:bookmarkEnd w:id="66"/>
          </w:p>
        </w:tc>
        <w:tc>
          <w:tcPr>
            <w:tcW w:w="1148" w:type="dxa"/>
            <w:vAlign w:val="center"/>
          </w:tcPr>
          <w:p w14:paraId="6B1F6163">
            <w:pPr>
              <w:ind w:left="223" w:hanging="222" w:hangingChars="106"/>
              <w:jc w:val="center"/>
              <w:rPr>
                <w:rFonts w:hint="eastAsia" w:ascii="宋体" w:hAnsi="宋体" w:eastAsia="宋体" w:cs="宋体"/>
                <w:color w:val="auto"/>
                <w:sz w:val="21"/>
                <w:szCs w:val="21"/>
                <w:highlight w:val="none"/>
              </w:rPr>
            </w:pPr>
            <w:bookmarkStart w:id="67" w:name="_Toc251052194"/>
            <w:r>
              <w:rPr>
                <w:rFonts w:hint="eastAsia" w:ascii="宋体" w:hAnsi="宋体" w:eastAsia="宋体" w:cs="宋体"/>
                <w:color w:val="auto"/>
                <w:sz w:val="21"/>
                <w:szCs w:val="21"/>
                <w:highlight w:val="none"/>
              </w:rPr>
              <w:t>证号</w:t>
            </w:r>
            <w:bookmarkEnd w:id="67"/>
          </w:p>
        </w:tc>
        <w:tc>
          <w:tcPr>
            <w:tcW w:w="1148" w:type="dxa"/>
            <w:vAlign w:val="center"/>
          </w:tcPr>
          <w:p w14:paraId="7DB138A1">
            <w:pPr>
              <w:ind w:left="223" w:hanging="222" w:hangingChars="106"/>
              <w:jc w:val="center"/>
              <w:rPr>
                <w:rFonts w:hint="eastAsia" w:ascii="宋体" w:hAnsi="宋体" w:eastAsia="宋体" w:cs="宋体"/>
                <w:color w:val="auto"/>
                <w:sz w:val="21"/>
                <w:szCs w:val="21"/>
                <w:highlight w:val="none"/>
              </w:rPr>
            </w:pPr>
            <w:bookmarkStart w:id="68" w:name="_Toc251052195"/>
            <w:r>
              <w:rPr>
                <w:rFonts w:hint="eastAsia" w:ascii="宋体" w:hAnsi="宋体" w:eastAsia="宋体" w:cs="宋体"/>
                <w:color w:val="auto"/>
                <w:sz w:val="21"/>
                <w:szCs w:val="21"/>
                <w:highlight w:val="none"/>
              </w:rPr>
              <w:t>专业</w:t>
            </w:r>
            <w:bookmarkEnd w:id="68"/>
          </w:p>
        </w:tc>
        <w:tc>
          <w:tcPr>
            <w:tcW w:w="850" w:type="dxa"/>
            <w:vAlign w:val="center"/>
          </w:tcPr>
          <w:p w14:paraId="0C27057C">
            <w:pPr>
              <w:ind w:left="223" w:hanging="222" w:hangingChars="106"/>
              <w:jc w:val="center"/>
              <w:rPr>
                <w:rFonts w:hint="eastAsia" w:ascii="宋体" w:hAnsi="宋体" w:eastAsia="宋体" w:cs="宋体"/>
                <w:color w:val="auto"/>
                <w:sz w:val="21"/>
                <w:szCs w:val="21"/>
                <w:highlight w:val="none"/>
              </w:rPr>
            </w:pPr>
            <w:bookmarkStart w:id="69" w:name="_Toc251052197"/>
            <w:r>
              <w:rPr>
                <w:rFonts w:hint="eastAsia" w:ascii="宋体" w:hAnsi="宋体" w:eastAsia="宋体" w:cs="宋体"/>
                <w:color w:val="auto"/>
                <w:sz w:val="21"/>
                <w:szCs w:val="21"/>
                <w:highlight w:val="none"/>
              </w:rPr>
              <w:t>项目数</w:t>
            </w:r>
            <w:bookmarkEnd w:id="69"/>
          </w:p>
        </w:tc>
        <w:tc>
          <w:tcPr>
            <w:tcW w:w="1276" w:type="dxa"/>
            <w:vAlign w:val="center"/>
          </w:tcPr>
          <w:p w14:paraId="0AA48CCF">
            <w:pPr>
              <w:ind w:left="223" w:hanging="222" w:hangingChars="106"/>
              <w:jc w:val="center"/>
              <w:rPr>
                <w:rFonts w:hint="eastAsia" w:ascii="宋体" w:hAnsi="宋体" w:eastAsia="宋体" w:cs="宋体"/>
                <w:color w:val="auto"/>
                <w:sz w:val="21"/>
                <w:szCs w:val="21"/>
                <w:highlight w:val="none"/>
              </w:rPr>
            </w:pPr>
            <w:bookmarkStart w:id="70" w:name="_Toc251052198"/>
            <w:r>
              <w:rPr>
                <w:rFonts w:hint="eastAsia" w:ascii="宋体" w:hAnsi="宋体" w:eastAsia="宋体" w:cs="宋体"/>
                <w:color w:val="auto"/>
                <w:sz w:val="21"/>
                <w:szCs w:val="21"/>
                <w:highlight w:val="none"/>
              </w:rPr>
              <w:t>主要项目</w:t>
            </w:r>
          </w:p>
          <w:p w14:paraId="3AF926BC">
            <w:pPr>
              <w:ind w:left="223" w:hanging="222" w:hangingChars="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bookmarkEnd w:id="70"/>
          </w:p>
        </w:tc>
      </w:tr>
      <w:tr w14:paraId="5CA0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BBADF0F">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项目经理</w:t>
            </w:r>
          </w:p>
        </w:tc>
        <w:tc>
          <w:tcPr>
            <w:tcW w:w="829" w:type="dxa"/>
            <w:vAlign w:val="center"/>
          </w:tcPr>
          <w:p w14:paraId="0A622C8F">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55F779DB">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4869E63F">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项目经理</w:t>
            </w:r>
          </w:p>
        </w:tc>
        <w:tc>
          <w:tcPr>
            <w:tcW w:w="1148" w:type="dxa"/>
            <w:vAlign w:val="center"/>
          </w:tcPr>
          <w:p w14:paraId="055FC058">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34A5FDC0">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1AE7C8A6">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20466758">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652DCBE8">
            <w:pPr>
              <w:ind w:left="223" w:hanging="222" w:hangingChars="106"/>
              <w:jc w:val="center"/>
              <w:rPr>
                <w:rFonts w:hint="eastAsia" w:ascii="宋体" w:hAnsi="宋体" w:eastAsia="宋体" w:cs="宋体"/>
                <w:color w:val="auto"/>
                <w:sz w:val="21"/>
                <w:szCs w:val="21"/>
                <w:highlight w:val="none"/>
              </w:rPr>
            </w:pPr>
          </w:p>
        </w:tc>
      </w:tr>
      <w:tr w14:paraId="15C0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0CDDB38">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技术负责人（工程类专业工程师）</w:t>
            </w:r>
          </w:p>
        </w:tc>
        <w:tc>
          <w:tcPr>
            <w:tcW w:w="829" w:type="dxa"/>
            <w:vAlign w:val="center"/>
          </w:tcPr>
          <w:p w14:paraId="0E22354E">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39CB6C9F">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78F9CB89">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项目总工</w:t>
            </w:r>
          </w:p>
        </w:tc>
        <w:tc>
          <w:tcPr>
            <w:tcW w:w="1148" w:type="dxa"/>
            <w:vAlign w:val="center"/>
          </w:tcPr>
          <w:p w14:paraId="7C08BB45">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4D08D9F7">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07A6D2FF">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26C5E85E">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787AC4AE">
            <w:pPr>
              <w:ind w:left="223" w:hanging="222" w:hangingChars="106"/>
              <w:jc w:val="center"/>
              <w:rPr>
                <w:rFonts w:hint="eastAsia" w:ascii="宋体" w:hAnsi="宋体" w:eastAsia="宋体" w:cs="宋体"/>
                <w:color w:val="auto"/>
                <w:sz w:val="21"/>
                <w:szCs w:val="21"/>
                <w:highlight w:val="none"/>
              </w:rPr>
            </w:pPr>
          </w:p>
        </w:tc>
      </w:tr>
      <w:tr w14:paraId="38A6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864E6D9">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专职安全员</w:t>
            </w:r>
          </w:p>
        </w:tc>
        <w:tc>
          <w:tcPr>
            <w:tcW w:w="829" w:type="dxa"/>
            <w:vAlign w:val="center"/>
          </w:tcPr>
          <w:p w14:paraId="5E20A21F">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57902DC6">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5953050B">
            <w:pPr>
              <w:widowControl/>
              <w:jc w:val="center"/>
              <w:rPr>
                <w:rFonts w:hint="eastAsia" w:ascii="宋体" w:hAnsi="宋体" w:eastAsia="宋体" w:cs="宋体"/>
                <w:color w:val="auto"/>
                <w:kern w:val="2"/>
                <w:sz w:val="22"/>
                <w:szCs w:val="22"/>
                <w:highlight w:val="none"/>
                <w:lang w:val="en-US" w:eastAsia="zh-CN" w:bidi="ar-SA"/>
              </w:rPr>
            </w:pPr>
          </w:p>
        </w:tc>
        <w:tc>
          <w:tcPr>
            <w:tcW w:w="1148" w:type="dxa"/>
            <w:vAlign w:val="center"/>
          </w:tcPr>
          <w:p w14:paraId="0001BEB7">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38BC9F12">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764928B8">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69076F49">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7F596DFC">
            <w:pPr>
              <w:ind w:left="223" w:hanging="222" w:hangingChars="106"/>
              <w:jc w:val="center"/>
              <w:rPr>
                <w:rFonts w:hint="eastAsia" w:ascii="宋体" w:hAnsi="宋体" w:eastAsia="宋体" w:cs="宋体"/>
                <w:color w:val="auto"/>
                <w:sz w:val="21"/>
                <w:szCs w:val="21"/>
                <w:highlight w:val="none"/>
              </w:rPr>
            </w:pPr>
          </w:p>
        </w:tc>
      </w:tr>
      <w:tr w14:paraId="607A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684BC37">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2"/>
                <w:szCs w:val="22"/>
                <w:highlight w:val="none"/>
                <w:lang w:eastAsia="zh-CN"/>
              </w:rPr>
              <w:t>材料员</w:t>
            </w:r>
          </w:p>
        </w:tc>
        <w:tc>
          <w:tcPr>
            <w:tcW w:w="829" w:type="dxa"/>
            <w:vAlign w:val="center"/>
          </w:tcPr>
          <w:p w14:paraId="294979E8">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1A42CB83">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5898139C">
            <w:pPr>
              <w:widowControl/>
              <w:jc w:val="center"/>
              <w:rPr>
                <w:rFonts w:hint="eastAsia" w:ascii="宋体" w:hAnsi="宋体" w:eastAsia="宋体" w:cs="宋体"/>
                <w:color w:val="auto"/>
                <w:kern w:val="2"/>
                <w:sz w:val="22"/>
                <w:szCs w:val="22"/>
                <w:highlight w:val="none"/>
                <w:lang w:val="en-US" w:eastAsia="zh-CN" w:bidi="ar-SA"/>
              </w:rPr>
            </w:pPr>
          </w:p>
        </w:tc>
        <w:tc>
          <w:tcPr>
            <w:tcW w:w="1148" w:type="dxa"/>
            <w:vAlign w:val="center"/>
          </w:tcPr>
          <w:p w14:paraId="19B525D0">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6D273899">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32B81043">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01293DB4">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2504C4AC">
            <w:pPr>
              <w:ind w:left="223" w:hanging="222" w:hangingChars="106"/>
              <w:jc w:val="center"/>
              <w:rPr>
                <w:rFonts w:hint="eastAsia" w:ascii="宋体" w:hAnsi="宋体" w:eastAsia="宋体" w:cs="宋体"/>
                <w:color w:val="auto"/>
                <w:sz w:val="21"/>
                <w:szCs w:val="21"/>
                <w:highlight w:val="none"/>
              </w:rPr>
            </w:pPr>
          </w:p>
        </w:tc>
      </w:tr>
      <w:tr w14:paraId="3A2A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shd w:val="clear" w:color="auto" w:fill="auto"/>
            <w:vAlign w:val="center"/>
          </w:tcPr>
          <w:p w14:paraId="6871F90A">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质量员</w:t>
            </w:r>
          </w:p>
        </w:tc>
        <w:tc>
          <w:tcPr>
            <w:tcW w:w="829" w:type="dxa"/>
            <w:vAlign w:val="center"/>
          </w:tcPr>
          <w:p w14:paraId="5B0E618B">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0FA9F0FF">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0CD16132">
            <w:pPr>
              <w:widowControl/>
              <w:jc w:val="center"/>
              <w:rPr>
                <w:rFonts w:hint="eastAsia" w:ascii="宋体" w:hAnsi="宋体" w:eastAsia="宋体" w:cs="宋体"/>
                <w:color w:val="auto"/>
                <w:kern w:val="2"/>
                <w:sz w:val="22"/>
                <w:szCs w:val="22"/>
                <w:highlight w:val="none"/>
                <w:lang w:val="en-US" w:eastAsia="zh-CN" w:bidi="ar-SA"/>
              </w:rPr>
            </w:pPr>
          </w:p>
        </w:tc>
        <w:tc>
          <w:tcPr>
            <w:tcW w:w="1148" w:type="dxa"/>
            <w:vAlign w:val="center"/>
          </w:tcPr>
          <w:p w14:paraId="6F0E2AF0">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3FEFBC57">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571112AE">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75003CB9">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07D6D605">
            <w:pPr>
              <w:ind w:left="223" w:hanging="222" w:hangingChars="106"/>
              <w:jc w:val="center"/>
              <w:rPr>
                <w:rFonts w:hint="eastAsia" w:ascii="宋体" w:hAnsi="宋体" w:eastAsia="宋体" w:cs="宋体"/>
                <w:color w:val="auto"/>
                <w:sz w:val="21"/>
                <w:szCs w:val="21"/>
                <w:highlight w:val="none"/>
              </w:rPr>
            </w:pPr>
          </w:p>
        </w:tc>
      </w:tr>
      <w:tr w14:paraId="076C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shd w:val="clear" w:color="auto" w:fill="auto"/>
            <w:vAlign w:val="center"/>
          </w:tcPr>
          <w:p w14:paraId="2679B152">
            <w:pPr>
              <w:pStyle w:val="28"/>
              <w:keepNext w:val="0"/>
              <w:keepLines w:val="0"/>
              <w:pageBreakBefore w:val="0"/>
              <w:kinsoku/>
              <w:wordWrap/>
              <w:overflowPunct/>
              <w:topLinePunct w:val="0"/>
              <w:bidi w:val="0"/>
              <w:adjustRightInd/>
              <w:snapToGrid/>
              <w:jc w:val="both"/>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施工员</w:t>
            </w:r>
          </w:p>
        </w:tc>
        <w:tc>
          <w:tcPr>
            <w:tcW w:w="829" w:type="dxa"/>
            <w:vAlign w:val="center"/>
          </w:tcPr>
          <w:p w14:paraId="521B0977">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570424EC">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4EF0E514">
            <w:pPr>
              <w:widowControl/>
              <w:jc w:val="center"/>
              <w:rPr>
                <w:rFonts w:hint="eastAsia" w:ascii="宋体" w:hAnsi="宋体" w:eastAsia="宋体" w:cs="宋体"/>
                <w:color w:val="auto"/>
                <w:kern w:val="2"/>
                <w:sz w:val="22"/>
                <w:szCs w:val="22"/>
                <w:highlight w:val="none"/>
                <w:lang w:val="en-US" w:eastAsia="zh-CN" w:bidi="ar-SA"/>
              </w:rPr>
            </w:pPr>
          </w:p>
        </w:tc>
        <w:tc>
          <w:tcPr>
            <w:tcW w:w="1148" w:type="dxa"/>
            <w:vAlign w:val="center"/>
          </w:tcPr>
          <w:p w14:paraId="440D5BFE">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5352DE68">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436E5E3D">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19909BEA">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673E5B8D">
            <w:pPr>
              <w:ind w:left="223" w:hanging="222" w:hangingChars="106"/>
              <w:jc w:val="center"/>
              <w:rPr>
                <w:rFonts w:hint="eastAsia" w:ascii="宋体" w:hAnsi="宋体" w:eastAsia="宋体" w:cs="宋体"/>
                <w:color w:val="auto"/>
                <w:sz w:val="21"/>
                <w:szCs w:val="21"/>
                <w:highlight w:val="none"/>
              </w:rPr>
            </w:pPr>
          </w:p>
        </w:tc>
      </w:tr>
      <w:tr w14:paraId="5A3C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shd w:val="clear" w:color="auto" w:fill="auto"/>
            <w:vAlign w:val="center"/>
          </w:tcPr>
          <w:p w14:paraId="31377B8D">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财务负责人</w:t>
            </w:r>
          </w:p>
        </w:tc>
        <w:tc>
          <w:tcPr>
            <w:tcW w:w="829" w:type="dxa"/>
            <w:vAlign w:val="center"/>
          </w:tcPr>
          <w:p w14:paraId="0CCAAC80">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3413D643">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191851C2">
            <w:pPr>
              <w:widowControl/>
              <w:jc w:val="center"/>
              <w:rPr>
                <w:rFonts w:hint="eastAsia" w:ascii="宋体" w:hAnsi="宋体" w:eastAsia="宋体" w:cs="宋体"/>
                <w:bCs/>
                <w:color w:val="auto"/>
                <w:sz w:val="22"/>
                <w:szCs w:val="22"/>
                <w:highlight w:val="none"/>
                <w:lang w:val="en-US" w:eastAsia="zh-CN"/>
              </w:rPr>
            </w:pPr>
          </w:p>
        </w:tc>
        <w:tc>
          <w:tcPr>
            <w:tcW w:w="1148" w:type="dxa"/>
            <w:vAlign w:val="center"/>
          </w:tcPr>
          <w:p w14:paraId="24076392">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3B1F82F5">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53EBE89A">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4A1A4D96">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345388C1">
            <w:pPr>
              <w:ind w:left="223" w:hanging="222" w:hangingChars="106"/>
              <w:jc w:val="center"/>
              <w:rPr>
                <w:rFonts w:hint="eastAsia" w:ascii="宋体" w:hAnsi="宋体" w:eastAsia="宋体" w:cs="宋体"/>
                <w:color w:val="auto"/>
                <w:sz w:val="21"/>
                <w:szCs w:val="21"/>
                <w:highlight w:val="none"/>
              </w:rPr>
            </w:pPr>
          </w:p>
        </w:tc>
      </w:tr>
      <w:tr w14:paraId="4C67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shd w:val="clear" w:color="auto" w:fill="auto"/>
            <w:vAlign w:val="center"/>
          </w:tcPr>
          <w:p w14:paraId="0C04E5E7">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造价员</w:t>
            </w:r>
          </w:p>
        </w:tc>
        <w:tc>
          <w:tcPr>
            <w:tcW w:w="829" w:type="dxa"/>
            <w:vAlign w:val="center"/>
          </w:tcPr>
          <w:p w14:paraId="6EED1B49">
            <w:pPr>
              <w:ind w:left="223" w:hanging="222" w:hangingChars="106"/>
              <w:jc w:val="center"/>
              <w:rPr>
                <w:rFonts w:hint="eastAsia" w:ascii="宋体" w:hAnsi="宋体" w:eastAsia="宋体" w:cs="宋体"/>
                <w:color w:val="auto"/>
                <w:sz w:val="21"/>
                <w:szCs w:val="21"/>
                <w:highlight w:val="none"/>
              </w:rPr>
            </w:pPr>
          </w:p>
        </w:tc>
        <w:tc>
          <w:tcPr>
            <w:tcW w:w="816" w:type="dxa"/>
            <w:vAlign w:val="center"/>
          </w:tcPr>
          <w:p w14:paraId="70BD21B9">
            <w:pPr>
              <w:ind w:left="223" w:hanging="222" w:hangingChars="106"/>
              <w:jc w:val="center"/>
              <w:rPr>
                <w:rFonts w:hint="eastAsia" w:ascii="宋体" w:hAnsi="宋体" w:eastAsia="宋体" w:cs="宋体"/>
                <w:color w:val="auto"/>
                <w:sz w:val="21"/>
                <w:szCs w:val="21"/>
                <w:highlight w:val="none"/>
              </w:rPr>
            </w:pPr>
          </w:p>
        </w:tc>
        <w:tc>
          <w:tcPr>
            <w:tcW w:w="1148" w:type="dxa"/>
            <w:shd w:val="clear" w:color="auto" w:fill="auto"/>
            <w:vAlign w:val="center"/>
          </w:tcPr>
          <w:p w14:paraId="53EED165">
            <w:pPr>
              <w:widowControl/>
              <w:jc w:val="center"/>
              <w:rPr>
                <w:rFonts w:hint="eastAsia" w:ascii="宋体" w:hAnsi="宋体" w:eastAsia="宋体" w:cs="宋体"/>
                <w:bCs/>
                <w:color w:val="auto"/>
                <w:sz w:val="22"/>
                <w:szCs w:val="22"/>
                <w:highlight w:val="none"/>
                <w:lang w:val="en-US" w:eastAsia="zh-CN"/>
              </w:rPr>
            </w:pPr>
          </w:p>
        </w:tc>
        <w:tc>
          <w:tcPr>
            <w:tcW w:w="1148" w:type="dxa"/>
            <w:vAlign w:val="center"/>
          </w:tcPr>
          <w:p w14:paraId="4442EE35">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11B16192">
            <w:pPr>
              <w:ind w:left="223" w:hanging="222" w:hangingChars="106"/>
              <w:jc w:val="center"/>
              <w:rPr>
                <w:rFonts w:hint="eastAsia" w:ascii="宋体" w:hAnsi="宋体" w:eastAsia="宋体" w:cs="宋体"/>
                <w:color w:val="auto"/>
                <w:sz w:val="21"/>
                <w:szCs w:val="21"/>
                <w:highlight w:val="none"/>
              </w:rPr>
            </w:pPr>
          </w:p>
        </w:tc>
        <w:tc>
          <w:tcPr>
            <w:tcW w:w="1148" w:type="dxa"/>
            <w:vAlign w:val="center"/>
          </w:tcPr>
          <w:p w14:paraId="098248CC">
            <w:pPr>
              <w:ind w:left="223" w:hanging="222" w:hangingChars="106"/>
              <w:jc w:val="center"/>
              <w:rPr>
                <w:rFonts w:hint="eastAsia" w:ascii="宋体" w:hAnsi="宋体" w:eastAsia="宋体" w:cs="宋体"/>
                <w:color w:val="auto"/>
                <w:sz w:val="21"/>
                <w:szCs w:val="21"/>
                <w:highlight w:val="none"/>
              </w:rPr>
            </w:pPr>
          </w:p>
        </w:tc>
        <w:tc>
          <w:tcPr>
            <w:tcW w:w="850" w:type="dxa"/>
            <w:vAlign w:val="center"/>
          </w:tcPr>
          <w:p w14:paraId="56BDF04E">
            <w:pPr>
              <w:ind w:left="223" w:hanging="222" w:hangingChars="106"/>
              <w:jc w:val="center"/>
              <w:rPr>
                <w:rFonts w:hint="eastAsia" w:ascii="宋体" w:hAnsi="宋体" w:eastAsia="宋体" w:cs="宋体"/>
                <w:color w:val="auto"/>
                <w:sz w:val="21"/>
                <w:szCs w:val="21"/>
                <w:highlight w:val="none"/>
              </w:rPr>
            </w:pPr>
          </w:p>
        </w:tc>
        <w:tc>
          <w:tcPr>
            <w:tcW w:w="1276" w:type="dxa"/>
            <w:vAlign w:val="center"/>
          </w:tcPr>
          <w:p w14:paraId="395C7249">
            <w:pPr>
              <w:ind w:left="223" w:hanging="222" w:hangingChars="106"/>
              <w:jc w:val="center"/>
              <w:rPr>
                <w:rFonts w:hint="eastAsia" w:ascii="宋体" w:hAnsi="宋体" w:eastAsia="宋体" w:cs="宋体"/>
                <w:color w:val="auto"/>
                <w:sz w:val="21"/>
                <w:szCs w:val="21"/>
                <w:highlight w:val="none"/>
              </w:rPr>
            </w:pPr>
          </w:p>
        </w:tc>
      </w:tr>
      <w:tr w14:paraId="15FB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1CF15465">
            <w:pPr>
              <w:spacing w:line="360" w:lineRule="auto"/>
              <w:rPr>
                <w:rFonts w:hint="eastAsia" w:ascii="宋体" w:hAnsi="宋体" w:eastAsia="宋体" w:cs="宋体"/>
                <w:color w:val="auto"/>
                <w:sz w:val="21"/>
                <w:szCs w:val="22"/>
                <w:highlight w:val="none"/>
              </w:rPr>
            </w:pPr>
            <w:bookmarkStart w:id="71" w:name="_Toc251052199"/>
            <w:r>
              <w:rPr>
                <w:rFonts w:hint="eastAsia" w:ascii="宋体" w:hAnsi="宋体" w:eastAsia="宋体" w:cs="宋体"/>
                <w:color w:val="auto"/>
                <w:sz w:val="21"/>
                <w:szCs w:val="22"/>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71"/>
          </w:p>
        </w:tc>
      </w:tr>
    </w:tbl>
    <w:p w14:paraId="466D65E0">
      <w:pPr>
        <w:tabs>
          <w:tab w:val="left" w:pos="0"/>
        </w:tabs>
        <w:spacing w:line="360" w:lineRule="auto"/>
        <w:ind w:right="-210"/>
        <w:rPr>
          <w:rFonts w:hint="eastAsia" w:ascii="宋体" w:hAnsi="宋体" w:eastAsia="宋体" w:cs="宋体"/>
          <w:color w:val="auto"/>
          <w:sz w:val="21"/>
          <w:szCs w:val="21"/>
          <w:highlight w:val="none"/>
        </w:rPr>
      </w:pPr>
    </w:p>
    <w:p w14:paraId="1E04C83D">
      <w:pPr>
        <w:spacing w:line="360" w:lineRule="auto"/>
        <w:rPr>
          <w:rFonts w:hint="eastAsia" w:ascii="宋体" w:hAnsi="宋体" w:eastAsia="宋体" w:cs="宋体"/>
          <w:color w:val="auto"/>
          <w:sz w:val="21"/>
          <w:szCs w:val="21"/>
          <w:highlight w:val="none"/>
        </w:rPr>
      </w:pPr>
    </w:p>
    <w:p w14:paraId="19A63ED1">
      <w:pPr>
        <w:tabs>
          <w:tab w:val="left" w:pos="0"/>
        </w:tabs>
        <w:spacing w:line="360" w:lineRule="auto"/>
        <w:ind w:right="-210"/>
        <w:rPr>
          <w:rFonts w:hint="eastAsia" w:ascii="宋体" w:hAnsi="宋体" w:eastAsia="宋体" w:cs="宋体"/>
          <w:color w:val="auto"/>
          <w:sz w:val="21"/>
          <w:szCs w:val="21"/>
          <w:highlight w:val="none"/>
        </w:rPr>
        <w:sectPr>
          <w:pgSz w:w="11907" w:h="16840"/>
          <w:pgMar w:top="1440" w:right="1440" w:bottom="1440" w:left="1797" w:header="851" w:footer="851" w:gutter="0"/>
          <w:pgNumType w:fmt="decimal"/>
          <w:cols w:space="720" w:num="1"/>
          <w:docGrid w:linePitch="312" w:charSpace="0"/>
        </w:sectPr>
      </w:pPr>
    </w:p>
    <w:p w14:paraId="2C8EDCF0">
      <w:pPr>
        <w:bidi w:val="0"/>
        <w:jc w:val="center"/>
        <w:rPr>
          <w:rFonts w:hint="eastAsia" w:ascii="宋体" w:hAnsi="宋体" w:eastAsia="宋体" w:cs="宋体"/>
          <w:b/>
          <w:bCs/>
          <w:color w:val="auto"/>
          <w:sz w:val="24"/>
          <w:szCs w:val="24"/>
          <w:highlight w:val="none"/>
        </w:rPr>
      </w:pPr>
      <w:bookmarkStart w:id="72" w:name="_Toc251052200"/>
      <w:bookmarkStart w:id="73" w:name="_Toc173579006"/>
      <w:bookmarkStart w:id="74" w:name="_Toc389065364"/>
      <w:bookmarkStart w:id="75" w:name="_Toc7001"/>
      <w:bookmarkStart w:id="76" w:name="_Toc153274948"/>
      <w:bookmarkStart w:id="77" w:name="_Toc172364026"/>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项目经理（注册建造师）简历表</w:t>
      </w:r>
      <w:bookmarkEnd w:id="72"/>
      <w:bookmarkEnd w:id="73"/>
      <w:bookmarkEnd w:id="74"/>
      <w:bookmarkEnd w:id="75"/>
      <w:bookmarkEnd w:id="76"/>
      <w:bookmarkEnd w:id="77"/>
    </w:p>
    <w:p w14:paraId="6985E60C">
      <w:pPr>
        <w:pStyle w:val="31"/>
        <w:rPr>
          <w:rFonts w:hint="eastAsia" w:ascii="宋体" w:hAnsi="宋体" w:eastAsia="宋体" w:cs="宋体"/>
          <w:color w:val="auto"/>
          <w:sz w:val="22"/>
          <w:szCs w:val="22"/>
          <w:highlight w:val="none"/>
          <w:u w:val="single"/>
        </w:rPr>
      </w:pPr>
    </w:p>
    <w:p w14:paraId="06F07DBA">
      <w:pPr>
        <w:pStyle w:val="3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（项目名称） 工程</w:t>
      </w:r>
    </w:p>
    <w:tbl>
      <w:tblPr>
        <w:tblStyle w:val="2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7B5C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5BE878D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340" w:type="dxa"/>
            <w:gridSpan w:val="3"/>
            <w:vAlign w:val="center"/>
          </w:tcPr>
          <w:p w14:paraId="1454F2AF">
            <w:pPr>
              <w:jc w:val="center"/>
              <w:rPr>
                <w:rFonts w:hint="eastAsia" w:ascii="宋体" w:hAnsi="宋体" w:eastAsia="宋体" w:cs="宋体"/>
                <w:color w:val="auto"/>
                <w:sz w:val="21"/>
                <w:szCs w:val="21"/>
                <w:highlight w:val="none"/>
              </w:rPr>
            </w:pPr>
          </w:p>
        </w:tc>
        <w:tc>
          <w:tcPr>
            <w:tcW w:w="1893" w:type="dxa"/>
            <w:gridSpan w:val="2"/>
            <w:vAlign w:val="center"/>
          </w:tcPr>
          <w:p w14:paraId="4CF7703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585" w:type="dxa"/>
            <w:gridSpan w:val="2"/>
            <w:vAlign w:val="center"/>
          </w:tcPr>
          <w:p w14:paraId="528D78CE">
            <w:pPr>
              <w:jc w:val="center"/>
              <w:rPr>
                <w:rFonts w:hint="eastAsia" w:ascii="宋体" w:hAnsi="宋体" w:eastAsia="宋体" w:cs="宋体"/>
                <w:color w:val="auto"/>
                <w:sz w:val="21"/>
                <w:szCs w:val="21"/>
                <w:highlight w:val="none"/>
              </w:rPr>
            </w:pPr>
          </w:p>
        </w:tc>
        <w:tc>
          <w:tcPr>
            <w:tcW w:w="1108" w:type="dxa"/>
            <w:gridSpan w:val="2"/>
            <w:vAlign w:val="center"/>
          </w:tcPr>
          <w:p w14:paraId="2A7807D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276" w:type="dxa"/>
            <w:vAlign w:val="center"/>
          </w:tcPr>
          <w:p w14:paraId="7C064E46">
            <w:pPr>
              <w:jc w:val="center"/>
              <w:rPr>
                <w:rFonts w:hint="eastAsia" w:ascii="宋体" w:hAnsi="宋体" w:eastAsia="宋体" w:cs="宋体"/>
                <w:color w:val="auto"/>
                <w:sz w:val="21"/>
                <w:szCs w:val="21"/>
                <w:highlight w:val="none"/>
              </w:rPr>
            </w:pPr>
          </w:p>
        </w:tc>
      </w:tr>
      <w:tr w14:paraId="5C03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10C31D8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340" w:type="dxa"/>
            <w:gridSpan w:val="3"/>
            <w:vAlign w:val="center"/>
          </w:tcPr>
          <w:p w14:paraId="3F8ECB84">
            <w:pPr>
              <w:jc w:val="center"/>
              <w:rPr>
                <w:rFonts w:hint="eastAsia" w:ascii="宋体" w:hAnsi="宋体" w:eastAsia="宋体" w:cs="宋体"/>
                <w:color w:val="auto"/>
                <w:sz w:val="21"/>
                <w:szCs w:val="21"/>
                <w:highlight w:val="none"/>
              </w:rPr>
            </w:pPr>
          </w:p>
        </w:tc>
        <w:tc>
          <w:tcPr>
            <w:tcW w:w="1893" w:type="dxa"/>
            <w:gridSpan w:val="2"/>
            <w:vAlign w:val="center"/>
          </w:tcPr>
          <w:p w14:paraId="3D0E7A3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585" w:type="dxa"/>
            <w:gridSpan w:val="2"/>
            <w:vAlign w:val="center"/>
          </w:tcPr>
          <w:p w14:paraId="0CCF4C26">
            <w:pPr>
              <w:jc w:val="center"/>
              <w:rPr>
                <w:rFonts w:hint="eastAsia" w:ascii="宋体" w:hAnsi="宋体" w:eastAsia="宋体" w:cs="宋体"/>
                <w:color w:val="auto"/>
                <w:sz w:val="21"/>
                <w:szCs w:val="21"/>
                <w:highlight w:val="none"/>
              </w:rPr>
            </w:pPr>
          </w:p>
        </w:tc>
        <w:tc>
          <w:tcPr>
            <w:tcW w:w="1108" w:type="dxa"/>
            <w:gridSpan w:val="2"/>
            <w:vAlign w:val="center"/>
          </w:tcPr>
          <w:p w14:paraId="796258F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276" w:type="dxa"/>
            <w:vAlign w:val="center"/>
          </w:tcPr>
          <w:p w14:paraId="09046F32">
            <w:pPr>
              <w:jc w:val="center"/>
              <w:rPr>
                <w:rFonts w:hint="eastAsia" w:ascii="宋体" w:hAnsi="宋体" w:eastAsia="宋体" w:cs="宋体"/>
                <w:color w:val="auto"/>
                <w:sz w:val="21"/>
                <w:szCs w:val="21"/>
                <w:highlight w:val="none"/>
              </w:rPr>
            </w:pPr>
          </w:p>
        </w:tc>
      </w:tr>
      <w:tr w14:paraId="10F3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0D934A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893" w:type="dxa"/>
            <w:gridSpan w:val="2"/>
            <w:vAlign w:val="center"/>
          </w:tcPr>
          <w:p w14:paraId="4FC03D98">
            <w:pPr>
              <w:jc w:val="center"/>
              <w:rPr>
                <w:rFonts w:hint="eastAsia" w:ascii="宋体" w:hAnsi="宋体" w:eastAsia="宋体" w:cs="宋体"/>
                <w:color w:val="auto"/>
                <w:sz w:val="21"/>
                <w:szCs w:val="21"/>
                <w:highlight w:val="none"/>
              </w:rPr>
            </w:pPr>
          </w:p>
        </w:tc>
        <w:tc>
          <w:tcPr>
            <w:tcW w:w="2693" w:type="dxa"/>
            <w:gridSpan w:val="4"/>
            <w:vAlign w:val="center"/>
          </w:tcPr>
          <w:p w14:paraId="55A06EB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担任项目经理年限</w:t>
            </w:r>
          </w:p>
        </w:tc>
        <w:tc>
          <w:tcPr>
            <w:tcW w:w="1276" w:type="dxa"/>
            <w:vAlign w:val="center"/>
          </w:tcPr>
          <w:p w14:paraId="5F203BA3">
            <w:pPr>
              <w:jc w:val="center"/>
              <w:rPr>
                <w:rFonts w:hint="eastAsia" w:ascii="宋体" w:hAnsi="宋体" w:eastAsia="宋体" w:cs="宋体"/>
                <w:color w:val="auto"/>
                <w:sz w:val="21"/>
                <w:szCs w:val="21"/>
                <w:highlight w:val="none"/>
              </w:rPr>
            </w:pPr>
          </w:p>
        </w:tc>
      </w:tr>
      <w:tr w14:paraId="045E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2057A43B">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建造师注册编号和安全生产考核合格证编号</w:t>
            </w:r>
          </w:p>
        </w:tc>
        <w:tc>
          <w:tcPr>
            <w:tcW w:w="5862" w:type="dxa"/>
            <w:gridSpan w:val="7"/>
            <w:vAlign w:val="center"/>
          </w:tcPr>
          <w:p w14:paraId="52A3A55D">
            <w:pPr>
              <w:jc w:val="center"/>
              <w:rPr>
                <w:rFonts w:hint="eastAsia" w:ascii="宋体" w:hAnsi="宋体" w:eastAsia="宋体" w:cs="宋体"/>
                <w:color w:val="auto"/>
                <w:sz w:val="21"/>
                <w:szCs w:val="21"/>
                <w:highlight w:val="none"/>
              </w:rPr>
            </w:pPr>
          </w:p>
        </w:tc>
      </w:tr>
      <w:tr w14:paraId="77F0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1E69712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在建和已完工程项目情况</w:t>
            </w:r>
          </w:p>
        </w:tc>
      </w:tr>
      <w:tr w14:paraId="099A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11737A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1548" w:type="dxa"/>
            <w:vAlign w:val="center"/>
          </w:tcPr>
          <w:p w14:paraId="477D31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47" w:type="dxa"/>
            <w:gridSpan w:val="2"/>
            <w:vAlign w:val="center"/>
          </w:tcPr>
          <w:p w14:paraId="7B7614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548" w:type="dxa"/>
            <w:gridSpan w:val="2"/>
            <w:vAlign w:val="center"/>
          </w:tcPr>
          <w:p w14:paraId="2B421F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开、竣工日期</w:t>
            </w:r>
          </w:p>
        </w:tc>
        <w:tc>
          <w:tcPr>
            <w:tcW w:w="1547" w:type="dxa"/>
            <w:gridSpan w:val="2"/>
            <w:vAlign w:val="center"/>
          </w:tcPr>
          <w:p w14:paraId="2DF8AA1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在建或已完</w:t>
            </w:r>
          </w:p>
        </w:tc>
        <w:tc>
          <w:tcPr>
            <w:tcW w:w="1548" w:type="dxa"/>
            <w:gridSpan w:val="2"/>
            <w:vAlign w:val="center"/>
          </w:tcPr>
          <w:p w14:paraId="1C04F6E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r>
      <w:tr w14:paraId="2A43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4262F874">
            <w:pPr>
              <w:jc w:val="center"/>
              <w:rPr>
                <w:rFonts w:hint="eastAsia" w:ascii="宋体" w:hAnsi="宋体" w:eastAsia="宋体" w:cs="宋体"/>
                <w:color w:val="auto"/>
                <w:sz w:val="21"/>
                <w:szCs w:val="21"/>
                <w:highlight w:val="none"/>
              </w:rPr>
            </w:pPr>
          </w:p>
        </w:tc>
        <w:tc>
          <w:tcPr>
            <w:tcW w:w="1548" w:type="dxa"/>
            <w:vAlign w:val="center"/>
          </w:tcPr>
          <w:p w14:paraId="612F8FCE">
            <w:pPr>
              <w:jc w:val="center"/>
              <w:rPr>
                <w:rFonts w:hint="eastAsia" w:ascii="宋体" w:hAnsi="宋体" w:eastAsia="宋体" w:cs="宋体"/>
                <w:color w:val="auto"/>
                <w:sz w:val="21"/>
                <w:szCs w:val="21"/>
                <w:highlight w:val="none"/>
              </w:rPr>
            </w:pPr>
          </w:p>
        </w:tc>
        <w:tc>
          <w:tcPr>
            <w:tcW w:w="1547" w:type="dxa"/>
            <w:gridSpan w:val="2"/>
            <w:vAlign w:val="center"/>
          </w:tcPr>
          <w:p w14:paraId="37DAC304">
            <w:pPr>
              <w:jc w:val="center"/>
              <w:rPr>
                <w:rFonts w:hint="eastAsia" w:ascii="宋体" w:hAnsi="宋体" w:eastAsia="宋体" w:cs="宋体"/>
                <w:color w:val="auto"/>
                <w:sz w:val="21"/>
                <w:szCs w:val="21"/>
                <w:highlight w:val="none"/>
              </w:rPr>
            </w:pPr>
          </w:p>
        </w:tc>
        <w:tc>
          <w:tcPr>
            <w:tcW w:w="1548" w:type="dxa"/>
            <w:gridSpan w:val="2"/>
            <w:vAlign w:val="center"/>
          </w:tcPr>
          <w:p w14:paraId="7179B5AF">
            <w:pPr>
              <w:jc w:val="center"/>
              <w:rPr>
                <w:rFonts w:hint="eastAsia" w:ascii="宋体" w:hAnsi="宋体" w:eastAsia="宋体" w:cs="宋体"/>
                <w:color w:val="auto"/>
                <w:sz w:val="21"/>
                <w:szCs w:val="21"/>
                <w:highlight w:val="none"/>
              </w:rPr>
            </w:pPr>
          </w:p>
        </w:tc>
        <w:tc>
          <w:tcPr>
            <w:tcW w:w="1547" w:type="dxa"/>
            <w:gridSpan w:val="2"/>
            <w:vAlign w:val="center"/>
          </w:tcPr>
          <w:p w14:paraId="591448DE">
            <w:pPr>
              <w:jc w:val="center"/>
              <w:rPr>
                <w:rFonts w:hint="eastAsia" w:ascii="宋体" w:hAnsi="宋体" w:eastAsia="宋体" w:cs="宋体"/>
                <w:color w:val="auto"/>
                <w:sz w:val="21"/>
                <w:szCs w:val="21"/>
                <w:highlight w:val="none"/>
              </w:rPr>
            </w:pPr>
          </w:p>
        </w:tc>
        <w:tc>
          <w:tcPr>
            <w:tcW w:w="1548" w:type="dxa"/>
            <w:gridSpan w:val="2"/>
            <w:vAlign w:val="center"/>
          </w:tcPr>
          <w:p w14:paraId="338C3614">
            <w:pPr>
              <w:jc w:val="center"/>
              <w:rPr>
                <w:rFonts w:hint="eastAsia" w:ascii="宋体" w:hAnsi="宋体" w:eastAsia="宋体" w:cs="宋体"/>
                <w:color w:val="auto"/>
                <w:sz w:val="21"/>
                <w:szCs w:val="21"/>
                <w:highlight w:val="none"/>
              </w:rPr>
            </w:pPr>
          </w:p>
        </w:tc>
      </w:tr>
      <w:tr w14:paraId="25FD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E2D593A">
            <w:pPr>
              <w:jc w:val="center"/>
              <w:rPr>
                <w:rFonts w:hint="eastAsia" w:ascii="宋体" w:hAnsi="宋体" w:eastAsia="宋体" w:cs="宋体"/>
                <w:color w:val="auto"/>
                <w:sz w:val="21"/>
                <w:szCs w:val="21"/>
                <w:highlight w:val="none"/>
              </w:rPr>
            </w:pPr>
          </w:p>
        </w:tc>
        <w:tc>
          <w:tcPr>
            <w:tcW w:w="1548" w:type="dxa"/>
            <w:vAlign w:val="center"/>
          </w:tcPr>
          <w:p w14:paraId="463F5EB3">
            <w:pPr>
              <w:jc w:val="center"/>
              <w:rPr>
                <w:rFonts w:hint="eastAsia" w:ascii="宋体" w:hAnsi="宋体" w:eastAsia="宋体" w:cs="宋体"/>
                <w:color w:val="auto"/>
                <w:sz w:val="21"/>
                <w:szCs w:val="21"/>
                <w:highlight w:val="none"/>
              </w:rPr>
            </w:pPr>
          </w:p>
        </w:tc>
        <w:tc>
          <w:tcPr>
            <w:tcW w:w="1547" w:type="dxa"/>
            <w:gridSpan w:val="2"/>
            <w:vAlign w:val="center"/>
          </w:tcPr>
          <w:p w14:paraId="46AAB417">
            <w:pPr>
              <w:jc w:val="center"/>
              <w:rPr>
                <w:rFonts w:hint="eastAsia" w:ascii="宋体" w:hAnsi="宋体" w:eastAsia="宋体" w:cs="宋体"/>
                <w:color w:val="auto"/>
                <w:sz w:val="21"/>
                <w:szCs w:val="21"/>
                <w:highlight w:val="none"/>
              </w:rPr>
            </w:pPr>
          </w:p>
        </w:tc>
        <w:tc>
          <w:tcPr>
            <w:tcW w:w="1548" w:type="dxa"/>
            <w:gridSpan w:val="2"/>
            <w:vAlign w:val="center"/>
          </w:tcPr>
          <w:p w14:paraId="36C0B4A9">
            <w:pPr>
              <w:jc w:val="center"/>
              <w:rPr>
                <w:rFonts w:hint="eastAsia" w:ascii="宋体" w:hAnsi="宋体" w:eastAsia="宋体" w:cs="宋体"/>
                <w:color w:val="auto"/>
                <w:sz w:val="21"/>
                <w:szCs w:val="21"/>
                <w:highlight w:val="none"/>
              </w:rPr>
            </w:pPr>
          </w:p>
        </w:tc>
        <w:tc>
          <w:tcPr>
            <w:tcW w:w="1547" w:type="dxa"/>
            <w:gridSpan w:val="2"/>
            <w:vAlign w:val="center"/>
          </w:tcPr>
          <w:p w14:paraId="3BFD7CE2">
            <w:pPr>
              <w:jc w:val="center"/>
              <w:rPr>
                <w:rFonts w:hint="eastAsia" w:ascii="宋体" w:hAnsi="宋体" w:eastAsia="宋体" w:cs="宋体"/>
                <w:color w:val="auto"/>
                <w:sz w:val="21"/>
                <w:szCs w:val="21"/>
                <w:highlight w:val="none"/>
              </w:rPr>
            </w:pPr>
          </w:p>
        </w:tc>
        <w:tc>
          <w:tcPr>
            <w:tcW w:w="1548" w:type="dxa"/>
            <w:gridSpan w:val="2"/>
            <w:vAlign w:val="center"/>
          </w:tcPr>
          <w:p w14:paraId="2CDD9D70">
            <w:pPr>
              <w:jc w:val="center"/>
              <w:rPr>
                <w:rFonts w:hint="eastAsia" w:ascii="宋体" w:hAnsi="宋体" w:eastAsia="宋体" w:cs="宋体"/>
                <w:color w:val="auto"/>
                <w:sz w:val="21"/>
                <w:szCs w:val="21"/>
                <w:highlight w:val="none"/>
              </w:rPr>
            </w:pPr>
          </w:p>
        </w:tc>
      </w:tr>
      <w:tr w14:paraId="1029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04BB92F">
            <w:pPr>
              <w:jc w:val="center"/>
              <w:rPr>
                <w:rFonts w:hint="eastAsia" w:ascii="宋体" w:hAnsi="宋体" w:eastAsia="宋体" w:cs="宋体"/>
                <w:color w:val="auto"/>
                <w:sz w:val="21"/>
                <w:szCs w:val="21"/>
                <w:highlight w:val="none"/>
              </w:rPr>
            </w:pPr>
          </w:p>
        </w:tc>
        <w:tc>
          <w:tcPr>
            <w:tcW w:w="1548" w:type="dxa"/>
            <w:vAlign w:val="center"/>
          </w:tcPr>
          <w:p w14:paraId="60E07EE1">
            <w:pPr>
              <w:jc w:val="center"/>
              <w:rPr>
                <w:rFonts w:hint="eastAsia" w:ascii="宋体" w:hAnsi="宋体" w:eastAsia="宋体" w:cs="宋体"/>
                <w:color w:val="auto"/>
                <w:sz w:val="21"/>
                <w:szCs w:val="21"/>
                <w:highlight w:val="none"/>
              </w:rPr>
            </w:pPr>
          </w:p>
        </w:tc>
        <w:tc>
          <w:tcPr>
            <w:tcW w:w="1547" w:type="dxa"/>
            <w:gridSpan w:val="2"/>
            <w:vAlign w:val="center"/>
          </w:tcPr>
          <w:p w14:paraId="0CFC7FAF">
            <w:pPr>
              <w:jc w:val="center"/>
              <w:rPr>
                <w:rFonts w:hint="eastAsia" w:ascii="宋体" w:hAnsi="宋体" w:eastAsia="宋体" w:cs="宋体"/>
                <w:color w:val="auto"/>
                <w:sz w:val="21"/>
                <w:szCs w:val="21"/>
                <w:highlight w:val="none"/>
              </w:rPr>
            </w:pPr>
          </w:p>
        </w:tc>
        <w:tc>
          <w:tcPr>
            <w:tcW w:w="1548" w:type="dxa"/>
            <w:gridSpan w:val="2"/>
            <w:vAlign w:val="center"/>
          </w:tcPr>
          <w:p w14:paraId="3C4F95B7">
            <w:pPr>
              <w:jc w:val="center"/>
              <w:rPr>
                <w:rFonts w:hint="eastAsia" w:ascii="宋体" w:hAnsi="宋体" w:eastAsia="宋体" w:cs="宋体"/>
                <w:color w:val="auto"/>
                <w:sz w:val="21"/>
                <w:szCs w:val="21"/>
                <w:highlight w:val="none"/>
              </w:rPr>
            </w:pPr>
          </w:p>
        </w:tc>
        <w:tc>
          <w:tcPr>
            <w:tcW w:w="1547" w:type="dxa"/>
            <w:gridSpan w:val="2"/>
            <w:vAlign w:val="center"/>
          </w:tcPr>
          <w:p w14:paraId="155F9DE5">
            <w:pPr>
              <w:jc w:val="center"/>
              <w:rPr>
                <w:rFonts w:hint="eastAsia" w:ascii="宋体" w:hAnsi="宋体" w:eastAsia="宋体" w:cs="宋体"/>
                <w:color w:val="auto"/>
                <w:sz w:val="21"/>
                <w:szCs w:val="21"/>
                <w:highlight w:val="none"/>
              </w:rPr>
            </w:pPr>
          </w:p>
        </w:tc>
        <w:tc>
          <w:tcPr>
            <w:tcW w:w="1548" w:type="dxa"/>
            <w:gridSpan w:val="2"/>
            <w:vAlign w:val="center"/>
          </w:tcPr>
          <w:p w14:paraId="0833CA76">
            <w:pPr>
              <w:jc w:val="center"/>
              <w:rPr>
                <w:rFonts w:hint="eastAsia" w:ascii="宋体" w:hAnsi="宋体" w:eastAsia="宋体" w:cs="宋体"/>
                <w:color w:val="auto"/>
                <w:sz w:val="21"/>
                <w:szCs w:val="21"/>
                <w:highlight w:val="none"/>
              </w:rPr>
            </w:pPr>
          </w:p>
        </w:tc>
      </w:tr>
      <w:tr w14:paraId="5BA3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3C73872E">
            <w:pPr>
              <w:jc w:val="center"/>
              <w:rPr>
                <w:rFonts w:hint="eastAsia" w:ascii="宋体" w:hAnsi="宋体" w:eastAsia="宋体" w:cs="宋体"/>
                <w:color w:val="auto"/>
                <w:sz w:val="21"/>
                <w:szCs w:val="21"/>
                <w:highlight w:val="none"/>
              </w:rPr>
            </w:pPr>
          </w:p>
        </w:tc>
        <w:tc>
          <w:tcPr>
            <w:tcW w:w="1548" w:type="dxa"/>
            <w:vAlign w:val="center"/>
          </w:tcPr>
          <w:p w14:paraId="75EEB5EE">
            <w:pPr>
              <w:jc w:val="center"/>
              <w:rPr>
                <w:rFonts w:hint="eastAsia" w:ascii="宋体" w:hAnsi="宋体" w:eastAsia="宋体" w:cs="宋体"/>
                <w:color w:val="auto"/>
                <w:sz w:val="21"/>
                <w:szCs w:val="21"/>
                <w:highlight w:val="none"/>
              </w:rPr>
            </w:pPr>
          </w:p>
        </w:tc>
        <w:tc>
          <w:tcPr>
            <w:tcW w:w="1547" w:type="dxa"/>
            <w:gridSpan w:val="2"/>
            <w:vAlign w:val="center"/>
          </w:tcPr>
          <w:p w14:paraId="61D4432A">
            <w:pPr>
              <w:jc w:val="center"/>
              <w:rPr>
                <w:rFonts w:hint="eastAsia" w:ascii="宋体" w:hAnsi="宋体" w:eastAsia="宋体" w:cs="宋体"/>
                <w:color w:val="auto"/>
                <w:sz w:val="21"/>
                <w:szCs w:val="21"/>
                <w:highlight w:val="none"/>
              </w:rPr>
            </w:pPr>
          </w:p>
        </w:tc>
        <w:tc>
          <w:tcPr>
            <w:tcW w:w="1548" w:type="dxa"/>
            <w:gridSpan w:val="2"/>
            <w:vAlign w:val="center"/>
          </w:tcPr>
          <w:p w14:paraId="00072657">
            <w:pPr>
              <w:jc w:val="center"/>
              <w:rPr>
                <w:rFonts w:hint="eastAsia" w:ascii="宋体" w:hAnsi="宋体" w:eastAsia="宋体" w:cs="宋体"/>
                <w:color w:val="auto"/>
                <w:sz w:val="21"/>
                <w:szCs w:val="21"/>
                <w:highlight w:val="none"/>
              </w:rPr>
            </w:pPr>
          </w:p>
        </w:tc>
        <w:tc>
          <w:tcPr>
            <w:tcW w:w="1547" w:type="dxa"/>
            <w:gridSpan w:val="2"/>
            <w:vAlign w:val="center"/>
          </w:tcPr>
          <w:p w14:paraId="139CED7B">
            <w:pPr>
              <w:jc w:val="center"/>
              <w:rPr>
                <w:rFonts w:hint="eastAsia" w:ascii="宋体" w:hAnsi="宋体" w:eastAsia="宋体" w:cs="宋体"/>
                <w:color w:val="auto"/>
                <w:sz w:val="21"/>
                <w:szCs w:val="21"/>
                <w:highlight w:val="none"/>
              </w:rPr>
            </w:pPr>
          </w:p>
        </w:tc>
        <w:tc>
          <w:tcPr>
            <w:tcW w:w="1548" w:type="dxa"/>
            <w:gridSpan w:val="2"/>
            <w:vAlign w:val="center"/>
          </w:tcPr>
          <w:p w14:paraId="1BE7C8F3">
            <w:pPr>
              <w:jc w:val="center"/>
              <w:rPr>
                <w:rFonts w:hint="eastAsia" w:ascii="宋体" w:hAnsi="宋体" w:eastAsia="宋体" w:cs="宋体"/>
                <w:color w:val="auto"/>
                <w:sz w:val="21"/>
                <w:szCs w:val="21"/>
                <w:highlight w:val="none"/>
              </w:rPr>
            </w:pPr>
          </w:p>
        </w:tc>
      </w:tr>
    </w:tbl>
    <w:p w14:paraId="230D2E7F">
      <w:pPr>
        <w:spacing w:line="360" w:lineRule="auto"/>
        <w:rPr>
          <w:rFonts w:hint="eastAsia" w:ascii="宋体" w:hAnsi="宋体" w:eastAsia="宋体" w:cs="宋体"/>
          <w:color w:val="auto"/>
          <w:sz w:val="21"/>
          <w:szCs w:val="22"/>
          <w:highlight w:val="none"/>
        </w:rPr>
      </w:pPr>
    </w:p>
    <w:p w14:paraId="61F002B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必须</w:t>
      </w: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eastAsia="zh-CN"/>
        </w:rPr>
        <w:t>上</w:t>
      </w:r>
      <w:r>
        <w:rPr>
          <w:rFonts w:hint="eastAsia" w:ascii="宋体" w:hAnsi="宋体" w:eastAsia="宋体" w:cs="宋体"/>
          <w:color w:val="auto"/>
          <w:sz w:val="21"/>
          <w:szCs w:val="21"/>
          <w:highlight w:val="none"/>
        </w:rPr>
        <w:t>项目经理资格证书和已完工程中标通知书（如有）、工程合同协议书的复印件（如有），以及</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认为需要增加的其他证明材料复印件，以上复印件均须加盖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w:t>
      </w:r>
    </w:p>
    <w:p w14:paraId="278517A9">
      <w:pPr>
        <w:spacing w:beforeLines="50"/>
        <w:ind w:firstLine="420" w:firstLineChars="200"/>
        <w:rPr>
          <w:rFonts w:hint="eastAsia" w:ascii="宋体" w:hAnsi="宋体" w:eastAsia="宋体" w:cs="宋体"/>
          <w:color w:val="auto"/>
          <w:sz w:val="21"/>
          <w:szCs w:val="21"/>
          <w:highlight w:val="none"/>
        </w:rPr>
      </w:pPr>
    </w:p>
    <w:p w14:paraId="50369B02">
      <w:pPr>
        <w:spacing w:line="360" w:lineRule="auto"/>
        <w:ind w:firstLine="525" w:firstLineChars="250"/>
        <w:rPr>
          <w:rFonts w:hint="eastAsia" w:ascii="宋体" w:hAnsi="宋体" w:eastAsia="宋体" w:cs="宋体"/>
          <w:color w:val="auto"/>
          <w:sz w:val="21"/>
          <w:szCs w:val="21"/>
          <w:highlight w:val="none"/>
        </w:rPr>
      </w:pPr>
    </w:p>
    <w:p w14:paraId="4A660F58">
      <w:pPr>
        <w:spacing w:line="360" w:lineRule="auto"/>
        <w:ind w:firstLine="525" w:firstLineChars="250"/>
        <w:rPr>
          <w:rFonts w:hint="eastAsia" w:ascii="宋体" w:hAnsi="宋体" w:eastAsia="宋体" w:cs="宋体"/>
          <w:color w:val="auto"/>
          <w:sz w:val="21"/>
          <w:szCs w:val="21"/>
          <w:highlight w:val="none"/>
        </w:rPr>
        <w:sectPr>
          <w:pgSz w:w="11907" w:h="16840"/>
          <w:pgMar w:top="1440" w:right="1440" w:bottom="1440" w:left="1797" w:header="851" w:footer="851" w:gutter="0"/>
          <w:pgNumType w:fmt="decimal"/>
          <w:cols w:space="720" w:num="1"/>
          <w:docGrid w:linePitch="312" w:charSpace="0"/>
        </w:sectPr>
      </w:pPr>
    </w:p>
    <w:p w14:paraId="6918EED1">
      <w:pPr>
        <w:bidi w:val="0"/>
        <w:jc w:val="center"/>
        <w:rPr>
          <w:rFonts w:hint="eastAsia" w:ascii="宋体" w:hAnsi="宋体" w:eastAsia="宋体" w:cs="宋体"/>
          <w:b/>
          <w:bCs/>
          <w:color w:val="auto"/>
          <w:sz w:val="24"/>
          <w:szCs w:val="24"/>
          <w:highlight w:val="none"/>
        </w:rPr>
      </w:pPr>
      <w:bookmarkStart w:id="78" w:name="_Toc172364027"/>
      <w:bookmarkStart w:id="79" w:name="_Toc153274949"/>
      <w:bookmarkStart w:id="80" w:name="_Toc251052219"/>
      <w:bookmarkStart w:id="81" w:name="_Toc8504"/>
      <w:bookmarkStart w:id="82" w:name="_Toc173579007"/>
      <w:bookmarkStart w:id="83" w:name="_Toc389065365"/>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项目技术负责人简历表</w:t>
      </w:r>
      <w:bookmarkEnd w:id="78"/>
      <w:bookmarkEnd w:id="79"/>
      <w:bookmarkEnd w:id="80"/>
      <w:bookmarkEnd w:id="81"/>
      <w:bookmarkEnd w:id="82"/>
      <w:bookmarkEnd w:id="83"/>
    </w:p>
    <w:p w14:paraId="0F9B70CF">
      <w:pPr>
        <w:pStyle w:val="31"/>
        <w:rPr>
          <w:rFonts w:hint="eastAsia" w:ascii="宋体" w:hAnsi="宋体" w:eastAsia="宋体" w:cs="宋体"/>
          <w:color w:val="auto"/>
          <w:highlight w:val="none"/>
          <w:u w:val="single"/>
        </w:rPr>
      </w:pPr>
    </w:p>
    <w:p w14:paraId="37FE2AC6">
      <w:pPr>
        <w:pStyle w:val="3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 工程</w:t>
      </w:r>
    </w:p>
    <w:tbl>
      <w:tblPr>
        <w:tblStyle w:val="2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1E78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3C67595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340" w:type="dxa"/>
            <w:gridSpan w:val="3"/>
            <w:vAlign w:val="center"/>
          </w:tcPr>
          <w:p w14:paraId="1D7D3D52">
            <w:pPr>
              <w:jc w:val="center"/>
              <w:rPr>
                <w:rFonts w:hint="eastAsia" w:ascii="宋体" w:hAnsi="宋体" w:eastAsia="宋体" w:cs="宋体"/>
                <w:color w:val="auto"/>
                <w:sz w:val="21"/>
                <w:szCs w:val="21"/>
                <w:highlight w:val="none"/>
              </w:rPr>
            </w:pPr>
          </w:p>
        </w:tc>
        <w:tc>
          <w:tcPr>
            <w:tcW w:w="1893" w:type="dxa"/>
            <w:gridSpan w:val="2"/>
            <w:vAlign w:val="center"/>
          </w:tcPr>
          <w:p w14:paraId="35BE3F2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585" w:type="dxa"/>
            <w:gridSpan w:val="2"/>
            <w:vAlign w:val="center"/>
          </w:tcPr>
          <w:p w14:paraId="777969E7">
            <w:pPr>
              <w:jc w:val="center"/>
              <w:rPr>
                <w:rFonts w:hint="eastAsia" w:ascii="宋体" w:hAnsi="宋体" w:eastAsia="宋体" w:cs="宋体"/>
                <w:color w:val="auto"/>
                <w:sz w:val="21"/>
                <w:szCs w:val="21"/>
                <w:highlight w:val="none"/>
              </w:rPr>
            </w:pPr>
          </w:p>
        </w:tc>
        <w:tc>
          <w:tcPr>
            <w:tcW w:w="1108" w:type="dxa"/>
            <w:gridSpan w:val="2"/>
            <w:vAlign w:val="center"/>
          </w:tcPr>
          <w:p w14:paraId="0309A97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276" w:type="dxa"/>
            <w:vAlign w:val="center"/>
          </w:tcPr>
          <w:p w14:paraId="73CC5C5E">
            <w:pPr>
              <w:jc w:val="center"/>
              <w:rPr>
                <w:rFonts w:hint="eastAsia" w:ascii="宋体" w:hAnsi="宋体" w:eastAsia="宋体" w:cs="宋体"/>
                <w:color w:val="auto"/>
                <w:sz w:val="21"/>
                <w:szCs w:val="21"/>
                <w:highlight w:val="none"/>
              </w:rPr>
            </w:pPr>
          </w:p>
        </w:tc>
      </w:tr>
      <w:tr w14:paraId="16B7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0BF78BA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340" w:type="dxa"/>
            <w:gridSpan w:val="3"/>
            <w:vAlign w:val="center"/>
          </w:tcPr>
          <w:p w14:paraId="2B8FB79E">
            <w:pPr>
              <w:jc w:val="center"/>
              <w:rPr>
                <w:rFonts w:hint="eastAsia" w:ascii="宋体" w:hAnsi="宋体" w:eastAsia="宋体" w:cs="宋体"/>
                <w:color w:val="auto"/>
                <w:sz w:val="21"/>
                <w:szCs w:val="21"/>
                <w:highlight w:val="none"/>
              </w:rPr>
            </w:pPr>
          </w:p>
        </w:tc>
        <w:tc>
          <w:tcPr>
            <w:tcW w:w="1893" w:type="dxa"/>
            <w:gridSpan w:val="2"/>
            <w:vAlign w:val="center"/>
          </w:tcPr>
          <w:p w14:paraId="1329967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585" w:type="dxa"/>
            <w:gridSpan w:val="2"/>
            <w:vAlign w:val="center"/>
          </w:tcPr>
          <w:p w14:paraId="1F9B3D20">
            <w:pPr>
              <w:jc w:val="center"/>
              <w:rPr>
                <w:rFonts w:hint="eastAsia" w:ascii="宋体" w:hAnsi="宋体" w:eastAsia="宋体" w:cs="宋体"/>
                <w:color w:val="auto"/>
                <w:sz w:val="21"/>
                <w:szCs w:val="21"/>
                <w:highlight w:val="none"/>
              </w:rPr>
            </w:pPr>
          </w:p>
        </w:tc>
        <w:tc>
          <w:tcPr>
            <w:tcW w:w="1108" w:type="dxa"/>
            <w:gridSpan w:val="2"/>
            <w:vAlign w:val="center"/>
          </w:tcPr>
          <w:p w14:paraId="3CE58D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276" w:type="dxa"/>
            <w:vAlign w:val="center"/>
          </w:tcPr>
          <w:p w14:paraId="54D5451C">
            <w:pPr>
              <w:jc w:val="center"/>
              <w:rPr>
                <w:rFonts w:hint="eastAsia" w:ascii="宋体" w:hAnsi="宋体" w:eastAsia="宋体" w:cs="宋体"/>
                <w:color w:val="auto"/>
                <w:sz w:val="21"/>
                <w:szCs w:val="21"/>
                <w:highlight w:val="none"/>
              </w:rPr>
            </w:pPr>
          </w:p>
        </w:tc>
      </w:tr>
      <w:tr w14:paraId="7D24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211F393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893" w:type="dxa"/>
            <w:gridSpan w:val="2"/>
            <w:vAlign w:val="center"/>
          </w:tcPr>
          <w:p w14:paraId="58AC8BD2">
            <w:pPr>
              <w:jc w:val="center"/>
              <w:rPr>
                <w:rFonts w:hint="eastAsia" w:ascii="宋体" w:hAnsi="宋体" w:eastAsia="宋体" w:cs="宋体"/>
                <w:color w:val="auto"/>
                <w:sz w:val="21"/>
                <w:szCs w:val="21"/>
                <w:highlight w:val="none"/>
              </w:rPr>
            </w:pPr>
          </w:p>
        </w:tc>
        <w:tc>
          <w:tcPr>
            <w:tcW w:w="2693" w:type="dxa"/>
            <w:gridSpan w:val="4"/>
            <w:vAlign w:val="center"/>
          </w:tcPr>
          <w:p w14:paraId="35309C8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担任技术负责人年限</w:t>
            </w:r>
          </w:p>
        </w:tc>
        <w:tc>
          <w:tcPr>
            <w:tcW w:w="1276" w:type="dxa"/>
            <w:vAlign w:val="center"/>
          </w:tcPr>
          <w:p w14:paraId="27251CC0">
            <w:pPr>
              <w:jc w:val="center"/>
              <w:rPr>
                <w:rFonts w:hint="eastAsia" w:ascii="宋体" w:hAnsi="宋体" w:eastAsia="宋体" w:cs="宋体"/>
                <w:color w:val="auto"/>
                <w:sz w:val="21"/>
                <w:szCs w:val="21"/>
                <w:highlight w:val="none"/>
              </w:rPr>
            </w:pPr>
          </w:p>
        </w:tc>
      </w:tr>
      <w:tr w14:paraId="37B0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4CEE4A6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在建和已完工程项目情况</w:t>
            </w:r>
          </w:p>
        </w:tc>
      </w:tr>
      <w:tr w14:paraId="3D0D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07D08C4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1548" w:type="dxa"/>
            <w:vAlign w:val="center"/>
          </w:tcPr>
          <w:p w14:paraId="07664EF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47" w:type="dxa"/>
            <w:gridSpan w:val="2"/>
            <w:vAlign w:val="center"/>
          </w:tcPr>
          <w:p w14:paraId="67F3216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548" w:type="dxa"/>
            <w:gridSpan w:val="2"/>
            <w:vAlign w:val="center"/>
          </w:tcPr>
          <w:p w14:paraId="64604A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开、竣工日期</w:t>
            </w:r>
          </w:p>
        </w:tc>
        <w:tc>
          <w:tcPr>
            <w:tcW w:w="1547" w:type="dxa"/>
            <w:gridSpan w:val="2"/>
            <w:vAlign w:val="center"/>
          </w:tcPr>
          <w:p w14:paraId="5757D86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在建或已完</w:t>
            </w:r>
          </w:p>
        </w:tc>
        <w:tc>
          <w:tcPr>
            <w:tcW w:w="1548" w:type="dxa"/>
            <w:gridSpan w:val="2"/>
            <w:vAlign w:val="center"/>
          </w:tcPr>
          <w:p w14:paraId="3EDCA25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r>
      <w:tr w14:paraId="215F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6321168A">
            <w:pPr>
              <w:jc w:val="center"/>
              <w:rPr>
                <w:rFonts w:hint="eastAsia" w:ascii="宋体" w:hAnsi="宋体" w:eastAsia="宋体" w:cs="宋体"/>
                <w:color w:val="auto"/>
                <w:sz w:val="21"/>
                <w:szCs w:val="21"/>
                <w:highlight w:val="none"/>
              </w:rPr>
            </w:pPr>
          </w:p>
        </w:tc>
        <w:tc>
          <w:tcPr>
            <w:tcW w:w="1548" w:type="dxa"/>
            <w:vAlign w:val="center"/>
          </w:tcPr>
          <w:p w14:paraId="1C28E46A">
            <w:pPr>
              <w:jc w:val="center"/>
              <w:rPr>
                <w:rFonts w:hint="eastAsia" w:ascii="宋体" w:hAnsi="宋体" w:eastAsia="宋体" w:cs="宋体"/>
                <w:color w:val="auto"/>
                <w:sz w:val="21"/>
                <w:szCs w:val="21"/>
                <w:highlight w:val="none"/>
              </w:rPr>
            </w:pPr>
          </w:p>
        </w:tc>
        <w:tc>
          <w:tcPr>
            <w:tcW w:w="1547" w:type="dxa"/>
            <w:gridSpan w:val="2"/>
            <w:vAlign w:val="center"/>
          </w:tcPr>
          <w:p w14:paraId="1BED825C">
            <w:pPr>
              <w:jc w:val="center"/>
              <w:rPr>
                <w:rFonts w:hint="eastAsia" w:ascii="宋体" w:hAnsi="宋体" w:eastAsia="宋体" w:cs="宋体"/>
                <w:color w:val="auto"/>
                <w:sz w:val="21"/>
                <w:szCs w:val="21"/>
                <w:highlight w:val="none"/>
              </w:rPr>
            </w:pPr>
          </w:p>
        </w:tc>
        <w:tc>
          <w:tcPr>
            <w:tcW w:w="1548" w:type="dxa"/>
            <w:gridSpan w:val="2"/>
            <w:vAlign w:val="center"/>
          </w:tcPr>
          <w:p w14:paraId="55489DC5">
            <w:pPr>
              <w:jc w:val="center"/>
              <w:rPr>
                <w:rFonts w:hint="eastAsia" w:ascii="宋体" w:hAnsi="宋体" w:eastAsia="宋体" w:cs="宋体"/>
                <w:color w:val="auto"/>
                <w:sz w:val="21"/>
                <w:szCs w:val="21"/>
                <w:highlight w:val="none"/>
              </w:rPr>
            </w:pPr>
          </w:p>
        </w:tc>
        <w:tc>
          <w:tcPr>
            <w:tcW w:w="1547" w:type="dxa"/>
            <w:gridSpan w:val="2"/>
            <w:vAlign w:val="center"/>
          </w:tcPr>
          <w:p w14:paraId="2377BC92">
            <w:pPr>
              <w:jc w:val="center"/>
              <w:rPr>
                <w:rFonts w:hint="eastAsia" w:ascii="宋体" w:hAnsi="宋体" w:eastAsia="宋体" w:cs="宋体"/>
                <w:color w:val="auto"/>
                <w:sz w:val="21"/>
                <w:szCs w:val="21"/>
                <w:highlight w:val="none"/>
              </w:rPr>
            </w:pPr>
          </w:p>
        </w:tc>
        <w:tc>
          <w:tcPr>
            <w:tcW w:w="1548" w:type="dxa"/>
            <w:gridSpan w:val="2"/>
            <w:vAlign w:val="center"/>
          </w:tcPr>
          <w:p w14:paraId="61C12F40">
            <w:pPr>
              <w:jc w:val="center"/>
              <w:rPr>
                <w:rFonts w:hint="eastAsia" w:ascii="宋体" w:hAnsi="宋体" w:eastAsia="宋体" w:cs="宋体"/>
                <w:color w:val="auto"/>
                <w:sz w:val="21"/>
                <w:szCs w:val="21"/>
                <w:highlight w:val="none"/>
              </w:rPr>
            </w:pPr>
          </w:p>
        </w:tc>
      </w:tr>
      <w:tr w14:paraId="537E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053FC4CD">
            <w:pPr>
              <w:jc w:val="center"/>
              <w:rPr>
                <w:rFonts w:hint="eastAsia" w:ascii="宋体" w:hAnsi="宋体" w:eastAsia="宋体" w:cs="宋体"/>
                <w:color w:val="auto"/>
                <w:sz w:val="21"/>
                <w:szCs w:val="21"/>
                <w:highlight w:val="none"/>
              </w:rPr>
            </w:pPr>
          </w:p>
        </w:tc>
        <w:tc>
          <w:tcPr>
            <w:tcW w:w="1548" w:type="dxa"/>
            <w:vAlign w:val="center"/>
          </w:tcPr>
          <w:p w14:paraId="67759F8E">
            <w:pPr>
              <w:jc w:val="center"/>
              <w:rPr>
                <w:rFonts w:hint="eastAsia" w:ascii="宋体" w:hAnsi="宋体" w:eastAsia="宋体" w:cs="宋体"/>
                <w:color w:val="auto"/>
                <w:sz w:val="21"/>
                <w:szCs w:val="21"/>
                <w:highlight w:val="none"/>
              </w:rPr>
            </w:pPr>
          </w:p>
        </w:tc>
        <w:tc>
          <w:tcPr>
            <w:tcW w:w="1547" w:type="dxa"/>
            <w:gridSpan w:val="2"/>
            <w:vAlign w:val="center"/>
          </w:tcPr>
          <w:p w14:paraId="51F549FB">
            <w:pPr>
              <w:jc w:val="center"/>
              <w:rPr>
                <w:rFonts w:hint="eastAsia" w:ascii="宋体" w:hAnsi="宋体" w:eastAsia="宋体" w:cs="宋体"/>
                <w:color w:val="auto"/>
                <w:sz w:val="21"/>
                <w:szCs w:val="21"/>
                <w:highlight w:val="none"/>
              </w:rPr>
            </w:pPr>
          </w:p>
        </w:tc>
        <w:tc>
          <w:tcPr>
            <w:tcW w:w="1548" w:type="dxa"/>
            <w:gridSpan w:val="2"/>
            <w:vAlign w:val="center"/>
          </w:tcPr>
          <w:p w14:paraId="7320DA5D">
            <w:pPr>
              <w:jc w:val="center"/>
              <w:rPr>
                <w:rFonts w:hint="eastAsia" w:ascii="宋体" w:hAnsi="宋体" w:eastAsia="宋体" w:cs="宋体"/>
                <w:color w:val="auto"/>
                <w:sz w:val="21"/>
                <w:szCs w:val="21"/>
                <w:highlight w:val="none"/>
              </w:rPr>
            </w:pPr>
          </w:p>
        </w:tc>
        <w:tc>
          <w:tcPr>
            <w:tcW w:w="1547" w:type="dxa"/>
            <w:gridSpan w:val="2"/>
            <w:vAlign w:val="center"/>
          </w:tcPr>
          <w:p w14:paraId="7F5837A8">
            <w:pPr>
              <w:jc w:val="center"/>
              <w:rPr>
                <w:rFonts w:hint="eastAsia" w:ascii="宋体" w:hAnsi="宋体" w:eastAsia="宋体" w:cs="宋体"/>
                <w:color w:val="auto"/>
                <w:sz w:val="21"/>
                <w:szCs w:val="21"/>
                <w:highlight w:val="none"/>
              </w:rPr>
            </w:pPr>
          </w:p>
        </w:tc>
        <w:tc>
          <w:tcPr>
            <w:tcW w:w="1548" w:type="dxa"/>
            <w:gridSpan w:val="2"/>
            <w:vAlign w:val="center"/>
          </w:tcPr>
          <w:p w14:paraId="4B72F71E">
            <w:pPr>
              <w:jc w:val="center"/>
              <w:rPr>
                <w:rFonts w:hint="eastAsia" w:ascii="宋体" w:hAnsi="宋体" w:eastAsia="宋体" w:cs="宋体"/>
                <w:color w:val="auto"/>
                <w:sz w:val="21"/>
                <w:szCs w:val="21"/>
                <w:highlight w:val="none"/>
              </w:rPr>
            </w:pPr>
          </w:p>
        </w:tc>
      </w:tr>
      <w:tr w14:paraId="1C16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1A997D5">
            <w:pPr>
              <w:jc w:val="center"/>
              <w:rPr>
                <w:rFonts w:hint="eastAsia" w:ascii="宋体" w:hAnsi="宋体" w:eastAsia="宋体" w:cs="宋体"/>
                <w:color w:val="auto"/>
                <w:sz w:val="21"/>
                <w:szCs w:val="21"/>
                <w:highlight w:val="none"/>
              </w:rPr>
            </w:pPr>
          </w:p>
        </w:tc>
        <w:tc>
          <w:tcPr>
            <w:tcW w:w="1548" w:type="dxa"/>
            <w:vAlign w:val="center"/>
          </w:tcPr>
          <w:p w14:paraId="2D88D127">
            <w:pPr>
              <w:jc w:val="center"/>
              <w:rPr>
                <w:rFonts w:hint="eastAsia" w:ascii="宋体" w:hAnsi="宋体" w:eastAsia="宋体" w:cs="宋体"/>
                <w:color w:val="auto"/>
                <w:sz w:val="21"/>
                <w:szCs w:val="21"/>
                <w:highlight w:val="none"/>
              </w:rPr>
            </w:pPr>
          </w:p>
        </w:tc>
        <w:tc>
          <w:tcPr>
            <w:tcW w:w="1547" w:type="dxa"/>
            <w:gridSpan w:val="2"/>
            <w:vAlign w:val="center"/>
          </w:tcPr>
          <w:p w14:paraId="5AB67AED">
            <w:pPr>
              <w:jc w:val="center"/>
              <w:rPr>
                <w:rFonts w:hint="eastAsia" w:ascii="宋体" w:hAnsi="宋体" w:eastAsia="宋体" w:cs="宋体"/>
                <w:color w:val="auto"/>
                <w:sz w:val="21"/>
                <w:szCs w:val="21"/>
                <w:highlight w:val="none"/>
              </w:rPr>
            </w:pPr>
          </w:p>
        </w:tc>
        <w:tc>
          <w:tcPr>
            <w:tcW w:w="1548" w:type="dxa"/>
            <w:gridSpan w:val="2"/>
            <w:vAlign w:val="center"/>
          </w:tcPr>
          <w:p w14:paraId="34C07AE6">
            <w:pPr>
              <w:jc w:val="center"/>
              <w:rPr>
                <w:rFonts w:hint="eastAsia" w:ascii="宋体" w:hAnsi="宋体" w:eastAsia="宋体" w:cs="宋体"/>
                <w:color w:val="auto"/>
                <w:sz w:val="21"/>
                <w:szCs w:val="21"/>
                <w:highlight w:val="none"/>
              </w:rPr>
            </w:pPr>
          </w:p>
        </w:tc>
        <w:tc>
          <w:tcPr>
            <w:tcW w:w="1547" w:type="dxa"/>
            <w:gridSpan w:val="2"/>
            <w:vAlign w:val="center"/>
          </w:tcPr>
          <w:p w14:paraId="5C8EFA1A">
            <w:pPr>
              <w:jc w:val="center"/>
              <w:rPr>
                <w:rFonts w:hint="eastAsia" w:ascii="宋体" w:hAnsi="宋体" w:eastAsia="宋体" w:cs="宋体"/>
                <w:color w:val="auto"/>
                <w:sz w:val="21"/>
                <w:szCs w:val="21"/>
                <w:highlight w:val="none"/>
              </w:rPr>
            </w:pPr>
          </w:p>
        </w:tc>
        <w:tc>
          <w:tcPr>
            <w:tcW w:w="1548" w:type="dxa"/>
            <w:gridSpan w:val="2"/>
            <w:vAlign w:val="center"/>
          </w:tcPr>
          <w:p w14:paraId="77C95625">
            <w:pPr>
              <w:jc w:val="center"/>
              <w:rPr>
                <w:rFonts w:hint="eastAsia" w:ascii="宋体" w:hAnsi="宋体" w:eastAsia="宋体" w:cs="宋体"/>
                <w:color w:val="auto"/>
                <w:sz w:val="21"/>
                <w:szCs w:val="21"/>
                <w:highlight w:val="none"/>
              </w:rPr>
            </w:pPr>
          </w:p>
        </w:tc>
      </w:tr>
      <w:tr w14:paraId="1BFB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407CC4B0">
            <w:pPr>
              <w:jc w:val="center"/>
              <w:rPr>
                <w:rFonts w:hint="eastAsia" w:ascii="宋体" w:hAnsi="宋体" w:eastAsia="宋体" w:cs="宋体"/>
                <w:color w:val="auto"/>
                <w:sz w:val="21"/>
                <w:szCs w:val="21"/>
                <w:highlight w:val="none"/>
              </w:rPr>
            </w:pPr>
          </w:p>
        </w:tc>
        <w:tc>
          <w:tcPr>
            <w:tcW w:w="1548" w:type="dxa"/>
            <w:vAlign w:val="center"/>
          </w:tcPr>
          <w:p w14:paraId="2B8A1F77">
            <w:pPr>
              <w:jc w:val="center"/>
              <w:rPr>
                <w:rFonts w:hint="eastAsia" w:ascii="宋体" w:hAnsi="宋体" w:eastAsia="宋体" w:cs="宋体"/>
                <w:color w:val="auto"/>
                <w:sz w:val="21"/>
                <w:szCs w:val="21"/>
                <w:highlight w:val="none"/>
              </w:rPr>
            </w:pPr>
          </w:p>
        </w:tc>
        <w:tc>
          <w:tcPr>
            <w:tcW w:w="1547" w:type="dxa"/>
            <w:gridSpan w:val="2"/>
            <w:vAlign w:val="center"/>
          </w:tcPr>
          <w:p w14:paraId="0EDFC07B">
            <w:pPr>
              <w:jc w:val="center"/>
              <w:rPr>
                <w:rFonts w:hint="eastAsia" w:ascii="宋体" w:hAnsi="宋体" w:eastAsia="宋体" w:cs="宋体"/>
                <w:color w:val="auto"/>
                <w:sz w:val="21"/>
                <w:szCs w:val="21"/>
                <w:highlight w:val="none"/>
              </w:rPr>
            </w:pPr>
          </w:p>
        </w:tc>
        <w:tc>
          <w:tcPr>
            <w:tcW w:w="1548" w:type="dxa"/>
            <w:gridSpan w:val="2"/>
            <w:vAlign w:val="center"/>
          </w:tcPr>
          <w:p w14:paraId="0D5B9554">
            <w:pPr>
              <w:jc w:val="center"/>
              <w:rPr>
                <w:rFonts w:hint="eastAsia" w:ascii="宋体" w:hAnsi="宋体" w:eastAsia="宋体" w:cs="宋体"/>
                <w:color w:val="auto"/>
                <w:sz w:val="21"/>
                <w:szCs w:val="21"/>
                <w:highlight w:val="none"/>
              </w:rPr>
            </w:pPr>
          </w:p>
        </w:tc>
        <w:tc>
          <w:tcPr>
            <w:tcW w:w="1547" w:type="dxa"/>
            <w:gridSpan w:val="2"/>
            <w:vAlign w:val="center"/>
          </w:tcPr>
          <w:p w14:paraId="13A6A64E">
            <w:pPr>
              <w:jc w:val="center"/>
              <w:rPr>
                <w:rFonts w:hint="eastAsia" w:ascii="宋体" w:hAnsi="宋体" w:eastAsia="宋体" w:cs="宋体"/>
                <w:color w:val="auto"/>
                <w:sz w:val="21"/>
                <w:szCs w:val="21"/>
                <w:highlight w:val="none"/>
              </w:rPr>
            </w:pPr>
          </w:p>
        </w:tc>
        <w:tc>
          <w:tcPr>
            <w:tcW w:w="1548" w:type="dxa"/>
            <w:gridSpan w:val="2"/>
            <w:vAlign w:val="center"/>
          </w:tcPr>
          <w:p w14:paraId="76055794">
            <w:pPr>
              <w:jc w:val="center"/>
              <w:rPr>
                <w:rFonts w:hint="eastAsia" w:ascii="宋体" w:hAnsi="宋体" w:eastAsia="宋体" w:cs="宋体"/>
                <w:color w:val="auto"/>
                <w:sz w:val="21"/>
                <w:szCs w:val="21"/>
                <w:highlight w:val="none"/>
              </w:rPr>
            </w:pPr>
          </w:p>
        </w:tc>
      </w:tr>
    </w:tbl>
    <w:p w14:paraId="39CA6429">
      <w:pPr>
        <w:spacing w:line="360" w:lineRule="auto"/>
        <w:rPr>
          <w:rFonts w:hint="eastAsia" w:ascii="宋体" w:hAnsi="宋体" w:eastAsia="宋体" w:cs="宋体"/>
          <w:color w:val="auto"/>
          <w:sz w:val="21"/>
          <w:szCs w:val="22"/>
          <w:highlight w:val="none"/>
        </w:rPr>
      </w:pPr>
    </w:p>
    <w:p w14:paraId="00566975">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1、拟派项目总工须具备工程师（或以上）职称（路桥类专业），“路桥类”专业是指职称证上的专业，为路桥、公路工程、桥梁工程、道路与桥梁工程、交通土建、交通工程、铁路、土木工程、隧道工程、市政桥梁工程等专业均可。</w:t>
      </w:r>
    </w:p>
    <w:p w14:paraId="2FE24613">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2、提供有效的职称证书复印件并加盖供应商公章。</w:t>
      </w:r>
    </w:p>
    <w:p w14:paraId="4F987051">
      <w:pPr>
        <w:rPr>
          <w:rFonts w:hint="eastAsia" w:ascii="宋体" w:hAnsi="宋体" w:eastAsia="宋体" w:cs="宋体"/>
          <w:color w:val="auto"/>
          <w:sz w:val="21"/>
          <w:szCs w:val="21"/>
          <w:highlight w:val="none"/>
        </w:rPr>
      </w:pPr>
    </w:p>
    <w:p w14:paraId="74C69E6F">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724E6DB">
      <w:pPr>
        <w:bidi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4）专职安全员</w:t>
      </w:r>
      <w:r>
        <w:rPr>
          <w:rFonts w:hint="eastAsia" w:ascii="宋体" w:hAnsi="宋体" w:eastAsia="宋体" w:cs="宋体"/>
          <w:b/>
          <w:bCs/>
          <w:color w:val="auto"/>
          <w:sz w:val="24"/>
          <w:szCs w:val="24"/>
          <w:highlight w:val="none"/>
        </w:rPr>
        <w:t>简历表</w:t>
      </w:r>
    </w:p>
    <w:p w14:paraId="14B0CAE8">
      <w:pPr>
        <w:pStyle w:val="31"/>
        <w:rPr>
          <w:rFonts w:hint="eastAsia" w:ascii="宋体" w:hAnsi="宋体" w:eastAsia="宋体" w:cs="宋体"/>
          <w:color w:val="auto"/>
          <w:sz w:val="22"/>
          <w:szCs w:val="22"/>
          <w:highlight w:val="none"/>
          <w:u w:val="single"/>
        </w:rPr>
      </w:pPr>
    </w:p>
    <w:p w14:paraId="2829C171">
      <w:pPr>
        <w:pStyle w:val="3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（项目名称） 工程</w:t>
      </w:r>
    </w:p>
    <w:tbl>
      <w:tblPr>
        <w:tblStyle w:val="21"/>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0C02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22BB29C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340" w:type="dxa"/>
            <w:gridSpan w:val="3"/>
            <w:vAlign w:val="center"/>
          </w:tcPr>
          <w:p w14:paraId="44464436">
            <w:pPr>
              <w:jc w:val="center"/>
              <w:rPr>
                <w:rFonts w:hint="eastAsia" w:ascii="宋体" w:hAnsi="宋体" w:eastAsia="宋体" w:cs="宋体"/>
                <w:color w:val="auto"/>
                <w:sz w:val="21"/>
                <w:szCs w:val="21"/>
                <w:highlight w:val="none"/>
              </w:rPr>
            </w:pPr>
          </w:p>
        </w:tc>
        <w:tc>
          <w:tcPr>
            <w:tcW w:w="1893" w:type="dxa"/>
            <w:gridSpan w:val="2"/>
            <w:vAlign w:val="center"/>
          </w:tcPr>
          <w:p w14:paraId="20E9DDB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585" w:type="dxa"/>
            <w:gridSpan w:val="2"/>
            <w:vAlign w:val="center"/>
          </w:tcPr>
          <w:p w14:paraId="2615DBF1">
            <w:pPr>
              <w:jc w:val="center"/>
              <w:rPr>
                <w:rFonts w:hint="eastAsia" w:ascii="宋体" w:hAnsi="宋体" w:eastAsia="宋体" w:cs="宋体"/>
                <w:color w:val="auto"/>
                <w:sz w:val="21"/>
                <w:szCs w:val="21"/>
                <w:highlight w:val="none"/>
              </w:rPr>
            </w:pPr>
          </w:p>
        </w:tc>
        <w:tc>
          <w:tcPr>
            <w:tcW w:w="1108" w:type="dxa"/>
            <w:gridSpan w:val="2"/>
            <w:vAlign w:val="center"/>
          </w:tcPr>
          <w:p w14:paraId="769674A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276" w:type="dxa"/>
            <w:vAlign w:val="center"/>
          </w:tcPr>
          <w:p w14:paraId="0C22A80B">
            <w:pPr>
              <w:jc w:val="center"/>
              <w:rPr>
                <w:rFonts w:hint="eastAsia" w:ascii="宋体" w:hAnsi="宋体" w:eastAsia="宋体" w:cs="宋体"/>
                <w:color w:val="auto"/>
                <w:sz w:val="21"/>
                <w:szCs w:val="21"/>
                <w:highlight w:val="none"/>
              </w:rPr>
            </w:pPr>
          </w:p>
        </w:tc>
      </w:tr>
      <w:tr w14:paraId="7749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19FE88F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340" w:type="dxa"/>
            <w:gridSpan w:val="3"/>
            <w:vAlign w:val="center"/>
          </w:tcPr>
          <w:p w14:paraId="408FD244">
            <w:pPr>
              <w:jc w:val="center"/>
              <w:rPr>
                <w:rFonts w:hint="eastAsia" w:ascii="宋体" w:hAnsi="宋体" w:eastAsia="宋体" w:cs="宋体"/>
                <w:color w:val="auto"/>
                <w:sz w:val="21"/>
                <w:szCs w:val="21"/>
                <w:highlight w:val="none"/>
              </w:rPr>
            </w:pPr>
          </w:p>
        </w:tc>
        <w:tc>
          <w:tcPr>
            <w:tcW w:w="1893" w:type="dxa"/>
            <w:gridSpan w:val="2"/>
            <w:vAlign w:val="center"/>
          </w:tcPr>
          <w:p w14:paraId="62B9000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585" w:type="dxa"/>
            <w:gridSpan w:val="2"/>
            <w:vAlign w:val="center"/>
          </w:tcPr>
          <w:p w14:paraId="27B26851">
            <w:pPr>
              <w:jc w:val="center"/>
              <w:rPr>
                <w:rFonts w:hint="eastAsia" w:ascii="宋体" w:hAnsi="宋体" w:eastAsia="宋体" w:cs="宋体"/>
                <w:color w:val="auto"/>
                <w:sz w:val="21"/>
                <w:szCs w:val="21"/>
                <w:highlight w:val="none"/>
              </w:rPr>
            </w:pPr>
          </w:p>
        </w:tc>
        <w:tc>
          <w:tcPr>
            <w:tcW w:w="1108" w:type="dxa"/>
            <w:gridSpan w:val="2"/>
            <w:vAlign w:val="center"/>
          </w:tcPr>
          <w:p w14:paraId="5F32584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276" w:type="dxa"/>
            <w:vAlign w:val="center"/>
          </w:tcPr>
          <w:p w14:paraId="1D55E923">
            <w:pPr>
              <w:jc w:val="center"/>
              <w:rPr>
                <w:rFonts w:hint="eastAsia" w:ascii="宋体" w:hAnsi="宋体" w:eastAsia="宋体" w:cs="宋体"/>
                <w:color w:val="auto"/>
                <w:sz w:val="21"/>
                <w:szCs w:val="21"/>
                <w:highlight w:val="none"/>
              </w:rPr>
            </w:pPr>
          </w:p>
        </w:tc>
      </w:tr>
      <w:tr w14:paraId="4915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4166E2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893" w:type="dxa"/>
            <w:gridSpan w:val="2"/>
            <w:vAlign w:val="center"/>
          </w:tcPr>
          <w:p w14:paraId="2E9561BF">
            <w:pPr>
              <w:jc w:val="center"/>
              <w:rPr>
                <w:rFonts w:hint="eastAsia" w:ascii="宋体" w:hAnsi="宋体" w:eastAsia="宋体" w:cs="宋体"/>
                <w:color w:val="auto"/>
                <w:sz w:val="21"/>
                <w:szCs w:val="21"/>
                <w:highlight w:val="none"/>
              </w:rPr>
            </w:pPr>
          </w:p>
        </w:tc>
        <w:tc>
          <w:tcPr>
            <w:tcW w:w="2693" w:type="dxa"/>
            <w:gridSpan w:val="4"/>
            <w:vAlign w:val="center"/>
          </w:tcPr>
          <w:p w14:paraId="080AB38F">
            <w:pPr>
              <w:pStyle w:val="18"/>
              <w:rPr>
                <w:rFonts w:hint="eastAsia"/>
                <w:color w:val="auto"/>
                <w:highlight w:val="none"/>
              </w:rPr>
            </w:pPr>
            <w:r>
              <w:rPr>
                <w:rFonts w:hint="eastAsia"/>
                <w:color w:val="auto"/>
                <w:highlight w:val="none"/>
              </w:rPr>
              <w:t>类似施工经验年限</w:t>
            </w:r>
          </w:p>
        </w:tc>
        <w:tc>
          <w:tcPr>
            <w:tcW w:w="1276" w:type="dxa"/>
            <w:vAlign w:val="center"/>
          </w:tcPr>
          <w:p w14:paraId="41C94518">
            <w:pPr>
              <w:jc w:val="center"/>
              <w:rPr>
                <w:rFonts w:hint="eastAsia" w:ascii="宋体" w:hAnsi="宋体" w:eastAsia="宋体" w:cs="宋体"/>
                <w:color w:val="auto"/>
                <w:sz w:val="21"/>
                <w:szCs w:val="21"/>
                <w:highlight w:val="none"/>
              </w:rPr>
            </w:pPr>
          </w:p>
        </w:tc>
      </w:tr>
      <w:tr w14:paraId="3492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05FB6FC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在建和已完工程项目情况</w:t>
            </w:r>
          </w:p>
        </w:tc>
      </w:tr>
      <w:tr w14:paraId="1020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3488785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1548" w:type="dxa"/>
            <w:vAlign w:val="center"/>
          </w:tcPr>
          <w:p w14:paraId="6A80FC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47" w:type="dxa"/>
            <w:gridSpan w:val="2"/>
            <w:vAlign w:val="center"/>
          </w:tcPr>
          <w:p w14:paraId="5F2D639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548" w:type="dxa"/>
            <w:gridSpan w:val="2"/>
            <w:vAlign w:val="center"/>
          </w:tcPr>
          <w:p w14:paraId="2E6E8A2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开、竣工日期</w:t>
            </w:r>
          </w:p>
        </w:tc>
        <w:tc>
          <w:tcPr>
            <w:tcW w:w="1547" w:type="dxa"/>
            <w:gridSpan w:val="2"/>
            <w:vAlign w:val="center"/>
          </w:tcPr>
          <w:p w14:paraId="405489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在建或已完</w:t>
            </w:r>
          </w:p>
        </w:tc>
        <w:tc>
          <w:tcPr>
            <w:tcW w:w="1548" w:type="dxa"/>
            <w:gridSpan w:val="2"/>
            <w:vAlign w:val="center"/>
          </w:tcPr>
          <w:p w14:paraId="58CF7DE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r>
      <w:tr w14:paraId="6039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07D1B30">
            <w:pPr>
              <w:jc w:val="center"/>
              <w:rPr>
                <w:rFonts w:hint="eastAsia" w:ascii="宋体" w:hAnsi="宋体" w:eastAsia="宋体" w:cs="宋体"/>
                <w:color w:val="auto"/>
                <w:sz w:val="21"/>
                <w:szCs w:val="21"/>
                <w:highlight w:val="none"/>
              </w:rPr>
            </w:pPr>
          </w:p>
        </w:tc>
        <w:tc>
          <w:tcPr>
            <w:tcW w:w="1548" w:type="dxa"/>
            <w:vAlign w:val="center"/>
          </w:tcPr>
          <w:p w14:paraId="461C8B39">
            <w:pPr>
              <w:jc w:val="center"/>
              <w:rPr>
                <w:rFonts w:hint="eastAsia" w:ascii="宋体" w:hAnsi="宋体" w:eastAsia="宋体" w:cs="宋体"/>
                <w:color w:val="auto"/>
                <w:sz w:val="21"/>
                <w:szCs w:val="21"/>
                <w:highlight w:val="none"/>
              </w:rPr>
            </w:pPr>
          </w:p>
        </w:tc>
        <w:tc>
          <w:tcPr>
            <w:tcW w:w="1547" w:type="dxa"/>
            <w:gridSpan w:val="2"/>
            <w:vAlign w:val="center"/>
          </w:tcPr>
          <w:p w14:paraId="6884707F">
            <w:pPr>
              <w:jc w:val="center"/>
              <w:rPr>
                <w:rFonts w:hint="eastAsia" w:ascii="宋体" w:hAnsi="宋体" w:eastAsia="宋体" w:cs="宋体"/>
                <w:color w:val="auto"/>
                <w:sz w:val="21"/>
                <w:szCs w:val="21"/>
                <w:highlight w:val="none"/>
              </w:rPr>
            </w:pPr>
          </w:p>
        </w:tc>
        <w:tc>
          <w:tcPr>
            <w:tcW w:w="1548" w:type="dxa"/>
            <w:gridSpan w:val="2"/>
            <w:vAlign w:val="center"/>
          </w:tcPr>
          <w:p w14:paraId="5D2EDA6A">
            <w:pPr>
              <w:jc w:val="center"/>
              <w:rPr>
                <w:rFonts w:hint="eastAsia" w:ascii="宋体" w:hAnsi="宋体" w:eastAsia="宋体" w:cs="宋体"/>
                <w:color w:val="auto"/>
                <w:sz w:val="21"/>
                <w:szCs w:val="21"/>
                <w:highlight w:val="none"/>
              </w:rPr>
            </w:pPr>
          </w:p>
        </w:tc>
        <w:tc>
          <w:tcPr>
            <w:tcW w:w="1547" w:type="dxa"/>
            <w:gridSpan w:val="2"/>
            <w:vAlign w:val="center"/>
          </w:tcPr>
          <w:p w14:paraId="2E414893">
            <w:pPr>
              <w:jc w:val="center"/>
              <w:rPr>
                <w:rFonts w:hint="eastAsia" w:ascii="宋体" w:hAnsi="宋体" w:eastAsia="宋体" w:cs="宋体"/>
                <w:color w:val="auto"/>
                <w:sz w:val="21"/>
                <w:szCs w:val="21"/>
                <w:highlight w:val="none"/>
              </w:rPr>
            </w:pPr>
          </w:p>
        </w:tc>
        <w:tc>
          <w:tcPr>
            <w:tcW w:w="1548" w:type="dxa"/>
            <w:gridSpan w:val="2"/>
            <w:vAlign w:val="center"/>
          </w:tcPr>
          <w:p w14:paraId="5FC552FE">
            <w:pPr>
              <w:jc w:val="center"/>
              <w:rPr>
                <w:rFonts w:hint="eastAsia" w:ascii="宋体" w:hAnsi="宋体" w:eastAsia="宋体" w:cs="宋体"/>
                <w:color w:val="auto"/>
                <w:sz w:val="21"/>
                <w:szCs w:val="21"/>
                <w:highlight w:val="none"/>
              </w:rPr>
            </w:pPr>
          </w:p>
        </w:tc>
      </w:tr>
      <w:tr w14:paraId="4FDE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6368188">
            <w:pPr>
              <w:jc w:val="center"/>
              <w:rPr>
                <w:rFonts w:hint="eastAsia" w:ascii="宋体" w:hAnsi="宋体" w:eastAsia="宋体" w:cs="宋体"/>
                <w:color w:val="auto"/>
                <w:sz w:val="21"/>
                <w:szCs w:val="21"/>
                <w:highlight w:val="none"/>
              </w:rPr>
            </w:pPr>
          </w:p>
        </w:tc>
        <w:tc>
          <w:tcPr>
            <w:tcW w:w="1548" w:type="dxa"/>
            <w:vAlign w:val="center"/>
          </w:tcPr>
          <w:p w14:paraId="3B48064E">
            <w:pPr>
              <w:jc w:val="center"/>
              <w:rPr>
                <w:rFonts w:hint="eastAsia" w:ascii="宋体" w:hAnsi="宋体" w:eastAsia="宋体" w:cs="宋体"/>
                <w:color w:val="auto"/>
                <w:sz w:val="21"/>
                <w:szCs w:val="21"/>
                <w:highlight w:val="none"/>
              </w:rPr>
            </w:pPr>
          </w:p>
        </w:tc>
        <w:tc>
          <w:tcPr>
            <w:tcW w:w="1547" w:type="dxa"/>
            <w:gridSpan w:val="2"/>
            <w:vAlign w:val="center"/>
          </w:tcPr>
          <w:p w14:paraId="0C014D55">
            <w:pPr>
              <w:jc w:val="center"/>
              <w:rPr>
                <w:rFonts w:hint="eastAsia" w:ascii="宋体" w:hAnsi="宋体" w:eastAsia="宋体" w:cs="宋体"/>
                <w:color w:val="auto"/>
                <w:sz w:val="21"/>
                <w:szCs w:val="21"/>
                <w:highlight w:val="none"/>
              </w:rPr>
            </w:pPr>
          </w:p>
        </w:tc>
        <w:tc>
          <w:tcPr>
            <w:tcW w:w="1548" w:type="dxa"/>
            <w:gridSpan w:val="2"/>
            <w:vAlign w:val="center"/>
          </w:tcPr>
          <w:p w14:paraId="23E5FE10">
            <w:pPr>
              <w:jc w:val="center"/>
              <w:rPr>
                <w:rFonts w:hint="eastAsia" w:ascii="宋体" w:hAnsi="宋体" w:eastAsia="宋体" w:cs="宋体"/>
                <w:color w:val="auto"/>
                <w:sz w:val="21"/>
                <w:szCs w:val="21"/>
                <w:highlight w:val="none"/>
              </w:rPr>
            </w:pPr>
          </w:p>
        </w:tc>
        <w:tc>
          <w:tcPr>
            <w:tcW w:w="1547" w:type="dxa"/>
            <w:gridSpan w:val="2"/>
            <w:vAlign w:val="center"/>
          </w:tcPr>
          <w:p w14:paraId="2AEF646D">
            <w:pPr>
              <w:jc w:val="center"/>
              <w:rPr>
                <w:rFonts w:hint="eastAsia" w:ascii="宋体" w:hAnsi="宋体" w:eastAsia="宋体" w:cs="宋体"/>
                <w:color w:val="auto"/>
                <w:sz w:val="21"/>
                <w:szCs w:val="21"/>
                <w:highlight w:val="none"/>
              </w:rPr>
            </w:pPr>
          </w:p>
        </w:tc>
        <w:tc>
          <w:tcPr>
            <w:tcW w:w="1548" w:type="dxa"/>
            <w:gridSpan w:val="2"/>
            <w:vAlign w:val="center"/>
          </w:tcPr>
          <w:p w14:paraId="32F74171">
            <w:pPr>
              <w:jc w:val="center"/>
              <w:rPr>
                <w:rFonts w:hint="eastAsia" w:ascii="宋体" w:hAnsi="宋体" w:eastAsia="宋体" w:cs="宋体"/>
                <w:color w:val="auto"/>
                <w:sz w:val="21"/>
                <w:szCs w:val="21"/>
                <w:highlight w:val="none"/>
              </w:rPr>
            </w:pPr>
          </w:p>
        </w:tc>
      </w:tr>
      <w:tr w14:paraId="113B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3EA23D5B">
            <w:pPr>
              <w:jc w:val="center"/>
              <w:rPr>
                <w:rFonts w:hint="eastAsia" w:ascii="宋体" w:hAnsi="宋体" w:eastAsia="宋体" w:cs="宋体"/>
                <w:color w:val="auto"/>
                <w:sz w:val="21"/>
                <w:szCs w:val="21"/>
                <w:highlight w:val="none"/>
              </w:rPr>
            </w:pPr>
          </w:p>
        </w:tc>
        <w:tc>
          <w:tcPr>
            <w:tcW w:w="1548" w:type="dxa"/>
            <w:vAlign w:val="center"/>
          </w:tcPr>
          <w:p w14:paraId="0258C6B7">
            <w:pPr>
              <w:jc w:val="center"/>
              <w:rPr>
                <w:rFonts w:hint="eastAsia" w:ascii="宋体" w:hAnsi="宋体" w:eastAsia="宋体" w:cs="宋体"/>
                <w:color w:val="auto"/>
                <w:sz w:val="21"/>
                <w:szCs w:val="21"/>
                <w:highlight w:val="none"/>
              </w:rPr>
            </w:pPr>
          </w:p>
        </w:tc>
        <w:tc>
          <w:tcPr>
            <w:tcW w:w="1547" w:type="dxa"/>
            <w:gridSpan w:val="2"/>
            <w:vAlign w:val="center"/>
          </w:tcPr>
          <w:p w14:paraId="45261810">
            <w:pPr>
              <w:jc w:val="center"/>
              <w:rPr>
                <w:rFonts w:hint="eastAsia" w:ascii="宋体" w:hAnsi="宋体" w:eastAsia="宋体" w:cs="宋体"/>
                <w:color w:val="auto"/>
                <w:sz w:val="21"/>
                <w:szCs w:val="21"/>
                <w:highlight w:val="none"/>
              </w:rPr>
            </w:pPr>
          </w:p>
        </w:tc>
        <w:tc>
          <w:tcPr>
            <w:tcW w:w="1548" w:type="dxa"/>
            <w:gridSpan w:val="2"/>
            <w:vAlign w:val="center"/>
          </w:tcPr>
          <w:p w14:paraId="1D8D5D28">
            <w:pPr>
              <w:jc w:val="center"/>
              <w:rPr>
                <w:rFonts w:hint="eastAsia" w:ascii="宋体" w:hAnsi="宋体" w:eastAsia="宋体" w:cs="宋体"/>
                <w:color w:val="auto"/>
                <w:sz w:val="21"/>
                <w:szCs w:val="21"/>
                <w:highlight w:val="none"/>
              </w:rPr>
            </w:pPr>
          </w:p>
        </w:tc>
        <w:tc>
          <w:tcPr>
            <w:tcW w:w="1547" w:type="dxa"/>
            <w:gridSpan w:val="2"/>
            <w:vAlign w:val="center"/>
          </w:tcPr>
          <w:p w14:paraId="7A6E3A9A">
            <w:pPr>
              <w:jc w:val="center"/>
              <w:rPr>
                <w:rFonts w:hint="eastAsia" w:ascii="宋体" w:hAnsi="宋体" w:eastAsia="宋体" w:cs="宋体"/>
                <w:color w:val="auto"/>
                <w:sz w:val="21"/>
                <w:szCs w:val="21"/>
                <w:highlight w:val="none"/>
              </w:rPr>
            </w:pPr>
          </w:p>
        </w:tc>
        <w:tc>
          <w:tcPr>
            <w:tcW w:w="1548" w:type="dxa"/>
            <w:gridSpan w:val="2"/>
            <w:vAlign w:val="center"/>
          </w:tcPr>
          <w:p w14:paraId="0C8F97A0">
            <w:pPr>
              <w:jc w:val="center"/>
              <w:rPr>
                <w:rFonts w:hint="eastAsia" w:ascii="宋体" w:hAnsi="宋体" w:eastAsia="宋体" w:cs="宋体"/>
                <w:color w:val="auto"/>
                <w:sz w:val="21"/>
                <w:szCs w:val="21"/>
                <w:highlight w:val="none"/>
              </w:rPr>
            </w:pPr>
          </w:p>
        </w:tc>
      </w:tr>
      <w:tr w14:paraId="085D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4C422684">
            <w:pPr>
              <w:jc w:val="center"/>
              <w:rPr>
                <w:rFonts w:hint="eastAsia" w:ascii="宋体" w:hAnsi="宋体" w:eastAsia="宋体" w:cs="宋体"/>
                <w:color w:val="auto"/>
                <w:sz w:val="21"/>
                <w:szCs w:val="21"/>
                <w:highlight w:val="none"/>
              </w:rPr>
            </w:pPr>
          </w:p>
        </w:tc>
        <w:tc>
          <w:tcPr>
            <w:tcW w:w="1548" w:type="dxa"/>
            <w:vAlign w:val="center"/>
          </w:tcPr>
          <w:p w14:paraId="1D040E76">
            <w:pPr>
              <w:jc w:val="center"/>
              <w:rPr>
                <w:rFonts w:hint="eastAsia" w:ascii="宋体" w:hAnsi="宋体" w:eastAsia="宋体" w:cs="宋体"/>
                <w:color w:val="auto"/>
                <w:sz w:val="21"/>
                <w:szCs w:val="21"/>
                <w:highlight w:val="none"/>
              </w:rPr>
            </w:pPr>
          </w:p>
        </w:tc>
        <w:tc>
          <w:tcPr>
            <w:tcW w:w="1547" w:type="dxa"/>
            <w:gridSpan w:val="2"/>
            <w:vAlign w:val="center"/>
          </w:tcPr>
          <w:p w14:paraId="1BACDA03">
            <w:pPr>
              <w:jc w:val="center"/>
              <w:rPr>
                <w:rFonts w:hint="eastAsia" w:ascii="宋体" w:hAnsi="宋体" w:eastAsia="宋体" w:cs="宋体"/>
                <w:color w:val="auto"/>
                <w:sz w:val="21"/>
                <w:szCs w:val="21"/>
                <w:highlight w:val="none"/>
              </w:rPr>
            </w:pPr>
          </w:p>
        </w:tc>
        <w:tc>
          <w:tcPr>
            <w:tcW w:w="1548" w:type="dxa"/>
            <w:gridSpan w:val="2"/>
            <w:vAlign w:val="center"/>
          </w:tcPr>
          <w:p w14:paraId="42756EFC">
            <w:pPr>
              <w:jc w:val="center"/>
              <w:rPr>
                <w:rFonts w:hint="eastAsia" w:ascii="宋体" w:hAnsi="宋体" w:eastAsia="宋体" w:cs="宋体"/>
                <w:color w:val="auto"/>
                <w:sz w:val="21"/>
                <w:szCs w:val="21"/>
                <w:highlight w:val="none"/>
              </w:rPr>
            </w:pPr>
          </w:p>
        </w:tc>
        <w:tc>
          <w:tcPr>
            <w:tcW w:w="1547" w:type="dxa"/>
            <w:gridSpan w:val="2"/>
            <w:vAlign w:val="center"/>
          </w:tcPr>
          <w:p w14:paraId="27165AB0">
            <w:pPr>
              <w:jc w:val="center"/>
              <w:rPr>
                <w:rFonts w:hint="eastAsia" w:ascii="宋体" w:hAnsi="宋体" w:eastAsia="宋体" w:cs="宋体"/>
                <w:color w:val="auto"/>
                <w:sz w:val="21"/>
                <w:szCs w:val="21"/>
                <w:highlight w:val="none"/>
              </w:rPr>
            </w:pPr>
          </w:p>
        </w:tc>
        <w:tc>
          <w:tcPr>
            <w:tcW w:w="1548" w:type="dxa"/>
            <w:gridSpan w:val="2"/>
            <w:vAlign w:val="center"/>
          </w:tcPr>
          <w:p w14:paraId="430CDF30">
            <w:pPr>
              <w:jc w:val="center"/>
              <w:rPr>
                <w:rFonts w:hint="eastAsia" w:ascii="宋体" w:hAnsi="宋体" w:eastAsia="宋体" w:cs="宋体"/>
                <w:color w:val="auto"/>
                <w:sz w:val="21"/>
                <w:szCs w:val="21"/>
                <w:highlight w:val="none"/>
              </w:rPr>
            </w:pPr>
          </w:p>
        </w:tc>
      </w:tr>
    </w:tbl>
    <w:p w14:paraId="14527CAD">
      <w:pPr>
        <w:rPr>
          <w:rFonts w:hint="eastAsia" w:ascii="宋体" w:hAnsi="宋体" w:eastAsia="宋体" w:cs="宋体"/>
          <w:color w:val="auto"/>
          <w:sz w:val="21"/>
          <w:szCs w:val="21"/>
          <w:highlight w:val="none"/>
        </w:rPr>
      </w:pPr>
    </w:p>
    <w:p w14:paraId="7B1AE9B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必须</w:t>
      </w: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专职安全员岗位</w:t>
      </w:r>
      <w:r>
        <w:rPr>
          <w:rFonts w:hint="eastAsia" w:ascii="宋体" w:hAnsi="宋体" w:eastAsia="宋体" w:cs="宋体"/>
          <w:color w:val="auto"/>
          <w:sz w:val="21"/>
          <w:szCs w:val="21"/>
          <w:highlight w:val="none"/>
        </w:rPr>
        <w:t>资格证书和已完工程中标通知书（如有）、工程合同协议书的复印件（如有），以及</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认为需要增加的其他证明材料复印件，以上复印件均须加盖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w:t>
      </w:r>
    </w:p>
    <w:p w14:paraId="32B79CB9">
      <w:pPr>
        <w:bidi w:val="0"/>
        <w:rPr>
          <w:rFonts w:hint="eastAsia"/>
          <w:color w:val="auto"/>
          <w:highlight w:val="none"/>
          <w:lang w:val="en-US" w:eastAsia="zh-CN"/>
        </w:rPr>
      </w:pPr>
    </w:p>
    <w:p w14:paraId="32E21035">
      <w:pPr>
        <w:pStyle w:val="31"/>
        <w:jc w:val="both"/>
        <w:rPr>
          <w:rFonts w:hint="eastAsia" w:ascii="宋体" w:hAnsi="宋体" w:eastAsia="宋体" w:cs="宋体"/>
          <w:b/>
          <w:bCs/>
          <w:color w:val="auto"/>
          <w:sz w:val="36"/>
          <w:szCs w:val="22"/>
          <w:highlight w:val="none"/>
          <w:lang w:val="en-US" w:eastAsia="zh-CN"/>
        </w:rPr>
      </w:pPr>
    </w:p>
    <w:p w14:paraId="5AF3FC0A">
      <w:pPr>
        <w:pStyle w:val="31"/>
        <w:jc w:val="both"/>
        <w:rPr>
          <w:rFonts w:hint="eastAsia" w:ascii="宋体" w:hAnsi="宋体" w:eastAsia="宋体" w:cs="宋体"/>
          <w:b/>
          <w:bCs/>
          <w:color w:val="auto"/>
          <w:sz w:val="36"/>
          <w:szCs w:val="22"/>
          <w:highlight w:val="none"/>
          <w:lang w:val="en-US" w:eastAsia="zh-CN"/>
        </w:rPr>
      </w:pPr>
    </w:p>
    <w:p w14:paraId="56BF658D">
      <w:pPr>
        <w:pStyle w:val="31"/>
        <w:jc w:val="both"/>
        <w:rPr>
          <w:rFonts w:hint="eastAsia" w:ascii="宋体" w:hAnsi="宋体" w:eastAsia="宋体" w:cs="宋体"/>
          <w:b/>
          <w:bCs/>
          <w:color w:val="auto"/>
          <w:sz w:val="36"/>
          <w:szCs w:val="22"/>
          <w:highlight w:val="none"/>
          <w:lang w:val="en-US" w:eastAsia="zh-CN"/>
        </w:rPr>
      </w:pPr>
      <w:r>
        <w:rPr>
          <w:rFonts w:hint="eastAsia" w:ascii="宋体" w:hAnsi="宋体" w:eastAsia="宋体" w:cs="宋体"/>
          <w:b/>
          <w:bCs/>
          <w:color w:val="auto"/>
          <w:sz w:val="36"/>
          <w:szCs w:val="22"/>
          <w:highlight w:val="none"/>
          <w:lang w:val="en-US" w:eastAsia="zh-CN"/>
        </w:rPr>
        <w:t>6、供应商认为有必要提供的声明及其他证明材料</w:t>
      </w:r>
    </w:p>
    <w:p w14:paraId="31C80A7E">
      <w:pPr>
        <w:rPr>
          <w:rFonts w:hint="eastAsia" w:ascii="宋体" w:hAnsi="宋体" w:eastAsia="宋体" w:cs="宋体"/>
          <w:color w:val="auto"/>
          <w:sz w:val="21"/>
          <w:szCs w:val="21"/>
          <w:highlight w:val="none"/>
        </w:rPr>
      </w:pPr>
    </w:p>
    <w:p w14:paraId="3D5B3BA8">
      <w:pPr>
        <w:rPr>
          <w:rFonts w:hint="eastAsia" w:ascii="宋体" w:hAnsi="宋体" w:eastAsia="宋体" w:cs="宋体"/>
          <w:color w:val="auto"/>
          <w:sz w:val="21"/>
          <w:szCs w:val="21"/>
          <w:highlight w:val="none"/>
        </w:rPr>
      </w:pPr>
    </w:p>
    <w:p w14:paraId="45E2EF0A">
      <w:pPr>
        <w:pStyle w:val="25"/>
        <w:spacing w:line="360" w:lineRule="auto"/>
        <w:rPr>
          <w:rFonts w:hint="eastAsia" w:ascii="宋体" w:hAnsi="宋体" w:eastAsia="宋体" w:cs="宋体"/>
          <w:b/>
          <w:color w:val="auto"/>
          <w:sz w:val="32"/>
          <w:szCs w:val="32"/>
          <w:highlight w:val="none"/>
        </w:rPr>
      </w:pPr>
    </w:p>
    <w:p w14:paraId="49D95D90">
      <w:pPr>
        <w:pStyle w:val="25"/>
        <w:spacing w:line="360" w:lineRule="auto"/>
        <w:jc w:val="center"/>
        <w:rPr>
          <w:rFonts w:hint="eastAsia" w:ascii="宋体" w:hAnsi="宋体" w:eastAsia="宋体" w:cs="宋体"/>
          <w:b/>
          <w:color w:val="auto"/>
          <w:sz w:val="32"/>
          <w:szCs w:val="32"/>
          <w:highlight w:val="none"/>
        </w:rPr>
      </w:pPr>
    </w:p>
    <w:p w14:paraId="306A9C36">
      <w:pPr>
        <w:pStyle w:val="10"/>
        <w:rPr>
          <w:rFonts w:hint="eastAsia" w:ascii="宋体" w:hAnsi="宋体" w:eastAsia="宋体" w:cs="宋体"/>
          <w:color w:val="auto"/>
          <w:highlight w:val="none"/>
        </w:rPr>
      </w:pPr>
    </w:p>
    <w:p w14:paraId="7AB11E6C">
      <w:pPr>
        <w:rPr>
          <w:rFonts w:hint="eastAsia" w:ascii="宋体" w:hAnsi="宋体" w:eastAsia="宋体" w:cs="宋体"/>
          <w:color w:val="auto"/>
          <w:sz w:val="32"/>
          <w:szCs w:val="32"/>
          <w:highlight w:val="none"/>
        </w:rPr>
      </w:pPr>
      <w:bookmarkStart w:id="84" w:name="_Toc26936"/>
      <w:bookmarkStart w:id="85" w:name="_Toc331"/>
      <w:r>
        <w:rPr>
          <w:rFonts w:hint="eastAsia" w:ascii="宋体" w:hAnsi="宋体" w:eastAsia="宋体" w:cs="宋体"/>
          <w:color w:val="auto"/>
          <w:sz w:val="32"/>
          <w:szCs w:val="32"/>
          <w:highlight w:val="none"/>
        </w:rPr>
        <w:br w:type="page"/>
      </w:r>
    </w:p>
    <w:p w14:paraId="78DCCDD8">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第五章  </w:t>
      </w:r>
      <w:bookmarkEnd w:id="84"/>
      <w:r>
        <w:rPr>
          <w:rFonts w:hint="eastAsia" w:ascii="宋体" w:hAnsi="宋体" w:eastAsia="宋体" w:cs="宋体"/>
          <w:color w:val="auto"/>
          <w:sz w:val="32"/>
          <w:szCs w:val="32"/>
          <w:highlight w:val="none"/>
          <w:lang w:eastAsia="zh-CN"/>
        </w:rPr>
        <w:t>拟签订的合同文本</w:t>
      </w:r>
      <w:bookmarkEnd w:id="85"/>
    </w:p>
    <w:p w14:paraId="6A18B599">
      <w:pPr>
        <w:spacing w:line="360" w:lineRule="auto"/>
        <w:jc w:val="center"/>
        <w:rPr>
          <w:rFonts w:hint="eastAsia" w:ascii="宋体" w:hAnsi="宋体" w:eastAsia="宋体" w:cs="宋体"/>
          <w:color w:val="auto"/>
          <w:highlight w:val="none"/>
        </w:rPr>
      </w:pPr>
    </w:p>
    <w:p w14:paraId="243641AD">
      <w:pPr>
        <w:rPr>
          <w:rFonts w:hint="eastAsia" w:ascii="宋体" w:hAnsi="宋体" w:eastAsia="宋体" w:cs="宋体"/>
          <w:color w:val="auto"/>
          <w:highlight w:val="none"/>
        </w:rPr>
      </w:pPr>
      <w:bookmarkStart w:id="86" w:name="_Toc511595186"/>
      <w:bookmarkStart w:id="87" w:name="_Toc517163145"/>
      <w:bookmarkStart w:id="88" w:name="_Toc2532"/>
      <w:bookmarkStart w:id="89" w:name="_Toc508779702"/>
      <w:bookmarkStart w:id="90" w:name="_Toc367270683"/>
      <w:bookmarkStart w:id="91" w:name="_Toc514759025"/>
      <w:bookmarkStart w:id="92" w:name="_Toc394929411"/>
      <w:bookmarkStart w:id="93" w:name="_Toc517163148"/>
      <w:bookmarkStart w:id="94" w:name="_Toc514759061"/>
    </w:p>
    <w:bookmarkEnd w:id="86"/>
    <w:bookmarkEnd w:id="87"/>
    <w:bookmarkEnd w:id="88"/>
    <w:bookmarkEnd w:id="89"/>
    <w:bookmarkEnd w:id="90"/>
    <w:bookmarkEnd w:id="91"/>
    <w:bookmarkEnd w:id="92"/>
    <w:p w14:paraId="72A195A4">
      <w:pPr>
        <w:spacing w:line="600" w:lineRule="auto"/>
        <w:jc w:val="center"/>
        <w:rPr>
          <w:rFonts w:hint="eastAsia" w:ascii="宋体" w:hAnsi="宋体" w:eastAsia="宋体" w:cs="宋体"/>
          <w:b/>
          <w:color w:val="auto"/>
          <w:w w:val="90"/>
          <w:sz w:val="44"/>
          <w:szCs w:val="44"/>
          <w:highlight w:val="none"/>
          <w:lang w:eastAsia="zh-CN"/>
        </w:rPr>
      </w:pPr>
      <w:bookmarkStart w:id="95" w:name="_Toc508779712"/>
      <w:bookmarkStart w:id="96" w:name="_Toc4646"/>
      <w:bookmarkStart w:id="97" w:name="_Toc511595196"/>
      <w:bookmarkStart w:id="98" w:name="_Toc394929419"/>
      <w:r>
        <w:rPr>
          <w:rFonts w:hint="eastAsia" w:ascii="宋体" w:hAnsi="宋体" w:cs="宋体"/>
          <w:b/>
          <w:color w:val="auto"/>
          <w:w w:val="90"/>
          <w:sz w:val="44"/>
          <w:szCs w:val="44"/>
          <w:highlight w:val="none"/>
          <w:lang w:eastAsia="zh-CN"/>
        </w:rPr>
        <w:t>天等县杨湾至龙茗公路(K75-K85.556)生命安全防护工程</w:t>
      </w:r>
      <w:r>
        <w:rPr>
          <w:rFonts w:hint="eastAsia" w:ascii="宋体" w:hAnsi="宋体" w:eastAsia="宋体" w:cs="宋体"/>
          <w:b/>
          <w:color w:val="auto"/>
          <w:w w:val="90"/>
          <w:sz w:val="44"/>
          <w:szCs w:val="44"/>
          <w:highlight w:val="none"/>
          <w:lang w:eastAsia="zh-CN"/>
        </w:rPr>
        <w:t xml:space="preserve">  </w:t>
      </w:r>
    </w:p>
    <w:p w14:paraId="120197C6">
      <w:pPr>
        <w:spacing w:line="600" w:lineRule="auto"/>
        <w:jc w:val="center"/>
        <w:rPr>
          <w:rFonts w:hint="eastAsia" w:ascii="宋体" w:hAnsi="宋体" w:eastAsia="宋体" w:cs="宋体"/>
          <w:b/>
          <w:color w:val="auto"/>
          <w:w w:val="90"/>
          <w:sz w:val="44"/>
          <w:szCs w:val="44"/>
          <w:highlight w:val="none"/>
        </w:rPr>
      </w:pPr>
      <w:r>
        <w:rPr>
          <w:rFonts w:hint="eastAsia" w:ascii="宋体" w:hAnsi="宋体" w:eastAsia="宋体" w:cs="宋体"/>
          <w:b/>
          <w:color w:val="auto"/>
          <w:w w:val="90"/>
          <w:sz w:val="44"/>
          <w:szCs w:val="44"/>
          <w:highlight w:val="none"/>
        </w:rPr>
        <w:t>施工合同</w:t>
      </w:r>
    </w:p>
    <w:p w14:paraId="009AB8B7">
      <w:pPr>
        <w:jc w:val="center"/>
        <w:rPr>
          <w:rFonts w:hint="eastAsia" w:ascii="宋体" w:hAnsi="宋体" w:eastAsia="宋体" w:cs="宋体"/>
          <w:color w:val="auto"/>
          <w:w w:val="90"/>
          <w:sz w:val="28"/>
          <w:szCs w:val="28"/>
          <w:highlight w:val="none"/>
        </w:rPr>
      </w:pPr>
    </w:p>
    <w:p w14:paraId="201E26E4">
      <w:pPr>
        <w:bidi w:val="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 xml:space="preserve">合同编号： </w:t>
      </w:r>
      <w:r>
        <w:rPr>
          <w:rFonts w:hint="eastAsia" w:ascii="宋体" w:hAnsi="宋体" w:cs="宋体"/>
          <w:color w:val="auto"/>
          <w:sz w:val="36"/>
          <w:szCs w:val="36"/>
          <w:highlight w:val="none"/>
          <w:lang w:eastAsia="zh-CN"/>
        </w:rPr>
        <w:t xml:space="preserve"> CZZC2025-C2-250194-GTZB</w:t>
      </w:r>
    </w:p>
    <w:p w14:paraId="12BE2BC4">
      <w:pPr>
        <w:jc w:val="center"/>
        <w:rPr>
          <w:rFonts w:hint="eastAsia" w:ascii="宋体" w:hAnsi="宋体" w:eastAsia="宋体" w:cs="宋体"/>
          <w:color w:val="auto"/>
          <w:w w:val="90"/>
          <w:sz w:val="36"/>
          <w:szCs w:val="36"/>
          <w:highlight w:val="none"/>
          <w:lang w:val="en-US" w:eastAsia="zh-CN"/>
        </w:rPr>
      </w:pPr>
      <w:r>
        <w:rPr>
          <w:rFonts w:hint="eastAsia" w:ascii="宋体" w:hAnsi="宋体" w:eastAsia="宋体" w:cs="宋体"/>
          <w:color w:val="auto"/>
          <w:w w:val="90"/>
          <w:sz w:val="36"/>
          <w:szCs w:val="36"/>
          <w:highlight w:val="none"/>
          <w:lang w:val="en-US" w:eastAsia="zh-CN"/>
        </w:rPr>
        <w:t xml:space="preserve"> </w:t>
      </w:r>
    </w:p>
    <w:p w14:paraId="66DC77DC">
      <w:pPr>
        <w:bidi w:val="0"/>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 本）</w:t>
      </w:r>
    </w:p>
    <w:p w14:paraId="50977E61">
      <w:pPr>
        <w:rPr>
          <w:rFonts w:hint="eastAsia" w:ascii="宋体" w:hAnsi="宋体" w:eastAsia="宋体" w:cs="宋体"/>
          <w:color w:val="auto"/>
          <w:w w:val="90"/>
          <w:sz w:val="36"/>
          <w:szCs w:val="36"/>
          <w:highlight w:val="none"/>
          <w:lang w:val="en-US" w:eastAsia="zh-CN"/>
        </w:rPr>
      </w:pPr>
    </w:p>
    <w:p w14:paraId="0AC25BE3">
      <w:pPr>
        <w:autoSpaceDE w:val="0"/>
        <w:autoSpaceDN w:val="0"/>
        <w:adjustRightInd w:val="0"/>
        <w:spacing w:line="360" w:lineRule="auto"/>
        <w:ind w:firstLine="594" w:firstLineChars="300"/>
        <w:jc w:val="both"/>
        <w:rPr>
          <w:rFonts w:hint="eastAsia" w:ascii="宋体" w:hAnsi="宋体" w:eastAsia="宋体" w:cs="宋体"/>
          <w:color w:val="auto"/>
          <w:w w:val="90"/>
          <w:sz w:val="22"/>
          <w:szCs w:val="22"/>
          <w:highlight w:val="none"/>
          <w:lang w:val="en-US" w:eastAsia="zh-CN"/>
        </w:rPr>
      </w:pPr>
    </w:p>
    <w:p w14:paraId="5ADA8C0A">
      <w:pPr>
        <w:autoSpaceDE w:val="0"/>
        <w:autoSpaceDN w:val="0"/>
        <w:adjustRightInd w:val="0"/>
        <w:spacing w:line="360" w:lineRule="auto"/>
        <w:ind w:firstLine="597" w:firstLineChars="300"/>
        <w:jc w:val="both"/>
        <w:rPr>
          <w:rFonts w:hint="eastAsia" w:ascii="宋体" w:hAnsi="宋体" w:eastAsia="宋体" w:cs="宋体"/>
          <w:b/>
          <w:bCs/>
          <w:color w:val="auto"/>
          <w:w w:val="90"/>
          <w:sz w:val="22"/>
          <w:szCs w:val="22"/>
          <w:highlight w:val="none"/>
          <w:lang w:val="en-US" w:eastAsia="zh-CN"/>
        </w:rPr>
      </w:pPr>
    </w:p>
    <w:p w14:paraId="1FF31295">
      <w:pPr>
        <w:autoSpaceDE w:val="0"/>
        <w:autoSpaceDN w:val="0"/>
        <w:adjustRightInd w:val="0"/>
        <w:spacing w:line="600" w:lineRule="auto"/>
        <w:ind w:firstLine="843" w:firstLineChars="300"/>
        <w:jc w:val="both"/>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项目名称：</w:t>
      </w:r>
      <w:r>
        <w:rPr>
          <w:rFonts w:hint="eastAsia" w:ascii="宋体" w:hAnsi="宋体" w:cs="宋体"/>
          <w:b/>
          <w:bCs/>
          <w:color w:val="auto"/>
          <w:kern w:val="0"/>
          <w:sz w:val="28"/>
          <w:szCs w:val="28"/>
          <w:highlight w:val="none"/>
          <w:lang w:eastAsia="zh-CN"/>
        </w:rPr>
        <w:t>天等县杨湾至龙茗公路(K75-K85.556)生命安全防护工程</w:t>
      </w:r>
      <w:r>
        <w:rPr>
          <w:rFonts w:hint="eastAsia" w:ascii="宋体" w:hAnsi="宋体" w:eastAsia="宋体" w:cs="宋体"/>
          <w:b/>
          <w:bCs/>
          <w:color w:val="auto"/>
          <w:kern w:val="0"/>
          <w:sz w:val="28"/>
          <w:szCs w:val="28"/>
          <w:highlight w:val="none"/>
          <w:lang w:eastAsia="zh-CN"/>
        </w:rPr>
        <w:t xml:space="preserve"> </w:t>
      </w:r>
    </w:p>
    <w:p w14:paraId="16E2174E">
      <w:pPr>
        <w:autoSpaceDE w:val="0"/>
        <w:autoSpaceDN w:val="0"/>
        <w:adjustRightInd w:val="0"/>
        <w:spacing w:line="600" w:lineRule="auto"/>
        <w:ind w:firstLine="843" w:firstLineChars="300"/>
        <w:jc w:val="both"/>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eastAsia="zh-CN"/>
        </w:rPr>
        <w:t>发</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包</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人：天等县交通运输局</w:t>
      </w:r>
    </w:p>
    <w:p w14:paraId="7075ECC0">
      <w:pPr>
        <w:autoSpaceDE w:val="0"/>
        <w:autoSpaceDN w:val="0"/>
        <w:adjustRightInd w:val="0"/>
        <w:spacing w:line="600" w:lineRule="auto"/>
        <w:ind w:firstLine="843" w:firstLineChars="300"/>
        <w:jc w:val="both"/>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eastAsia="zh-CN"/>
        </w:rPr>
        <w:t>承</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包</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人：</w:t>
      </w:r>
      <w:r>
        <w:rPr>
          <w:rFonts w:hint="eastAsia" w:ascii="宋体" w:hAnsi="宋体" w:eastAsia="宋体" w:cs="宋体"/>
          <w:b/>
          <w:bCs/>
          <w:color w:val="auto"/>
          <w:kern w:val="0"/>
          <w:sz w:val="28"/>
          <w:szCs w:val="28"/>
          <w:highlight w:val="none"/>
          <w:lang w:val="en-US" w:eastAsia="zh-CN"/>
        </w:rPr>
        <w:t xml:space="preserve"> </w:t>
      </w:r>
    </w:p>
    <w:p w14:paraId="61C5A40A">
      <w:pPr>
        <w:autoSpaceDE w:val="0"/>
        <w:autoSpaceDN w:val="0"/>
        <w:adjustRightInd w:val="0"/>
        <w:spacing w:line="600" w:lineRule="auto"/>
        <w:ind w:firstLine="843" w:firstLineChars="300"/>
        <w:jc w:val="both"/>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 xml:space="preserve">日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期：</w:t>
      </w:r>
      <w:r>
        <w:rPr>
          <w:rFonts w:hint="eastAsia" w:ascii="宋体" w:hAnsi="宋体" w:eastAsia="宋体" w:cs="宋体"/>
          <w:b/>
          <w:bCs/>
          <w:color w:val="auto"/>
          <w:kern w:val="0"/>
          <w:sz w:val="28"/>
          <w:szCs w:val="28"/>
          <w:highlight w:val="none"/>
          <w:lang w:val="en-US" w:eastAsia="zh-CN"/>
        </w:rPr>
        <w:t xml:space="preserve">2025年  </w:t>
      </w:r>
      <w:r>
        <w:rPr>
          <w:rFonts w:hint="eastAsia" w:ascii="宋体" w:hAnsi="宋体" w:eastAsia="宋体" w:cs="宋体"/>
          <w:b/>
          <w:bCs/>
          <w:color w:val="auto"/>
          <w:kern w:val="0"/>
          <w:sz w:val="28"/>
          <w:szCs w:val="28"/>
          <w:highlight w:val="none"/>
          <w:lang w:eastAsia="zh-CN"/>
        </w:rPr>
        <w:t>月</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lang w:eastAsia="zh-CN"/>
        </w:rPr>
        <w:t>日</w:t>
      </w:r>
    </w:p>
    <w:p w14:paraId="5355BC9E">
      <w:pPr>
        <w:autoSpaceDE w:val="0"/>
        <w:autoSpaceDN w:val="0"/>
        <w:adjustRightInd w:val="0"/>
        <w:spacing w:line="360" w:lineRule="auto"/>
        <w:ind w:firstLine="840" w:firstLineChars="300"/>
        <w:jc w:val="both"/>
        <w:rPr>
          <w:rFonts w:hint="eastAsia" w:ascii="宋体" w:hAnsi="宋体" w:eastAsia="宋体" w:cs="宋体"/>
          <w:b w:val="0"/>
          <w:bCs w:val="0"/>
          <w:color w:val="auto"/>
          <w:kern w:val="0"/>
          <w:sz w:val="28"/>
          <w:szCs w:val="21"/>
          <w:highlight w:val="none"/>
          <w:lang w:eastAsia="zh-CN"/>
        </w:rPr>
      </w:pPr>
    </w:p>
    <w:p w14:paraId="1EC72D55">
      <w:pPr>
        <w:jc w:val="center"/>
        <w:rPr>
          <w:rFonts w:hint="eastAsia" w:ascii="宋体" w:hAnsi="宋体" w:eastAsia="宋体" w:cs="宋体"/>
          <w:b/>
          <w:dstrike w:val="0"/>
          <w:color w:val="auto"/>
          <w:sz w:val="44"/>
          <w:szCs w:val="44"/>
          <w:highlight w:val="none"/>
        </w:rPr>
      </w:pPr>
    </w:p>
    <w:p w14:paraId="4E117CB7">
      <w:pPr>
        <w:jc w:val="center"/>
        <w:rPr>
          <w:rFonts w:hint="eastAsia" w:ascii="宋体" w:hAnsi="宋体" w:eastAsia="宋体" w:cs="宋体"/>
          <w:b/>
          <w:dstrike w:val="0"/>
          <w:color w:val="auto"/>
          <w:sz w:val="44"/>
          <w:szCs w:val="44"/>
          <w:highlight w:val="none"/>
        </w:rPr>
      </w:pPr>
    </w:p>
    <w:p w14:paraId="086AECC3">
      <w:pPr>
        <w:jc w:val="center"/>
        <w:rPr>
          <w:rFonts w:hint="eastAsia" w:ascii="宋体" w:hAnsi="宋体" w:eastAsia="宋体" w:cs="宋体"/>
          <w:b/>
          <w:dstrike w:val="0"/>
          <w:color w:val="auto"/>
          <w:sz w:val="44"/>
          <w:szCs w:val="44"/>
          <w:highlight w:val="none"/>
        </w:rPr>
      </w:pPr>
    </w:p>
    <w:p w14:paraId="2983359D">
      <w:pPr>
        <w:bidi w:val="0"/>
        <w:rPr>
          <w:rFonts w:hint="eastAsia" w:ascii="宋体" w:hAnsi="宋体" w:eastAsia="宋体" w:cs="宋体"/>
          <w:color w:val="auto"/>
          <w:highlight w:val="none"/>
        </w:rPr>
        <w:sectPr>
          <w:footerReference r:id="rId7" w:type="default"/>
          <w:pgSz w:w="11906" w:h="16838"/>
          <w:pgMar w:top="1134" w:right="1134" w:bottom="1134" w:left="1418" w:header="851" w:footer="992" w:gutter="0"/>
          <w:pgNumType w:fmt="decimal"/>
          <w:cols w:space="720" w:num="1"/>
          <w:docGrid w:type="lines" w:linePitch="312" w:charSpace="0"/>
        </w:sectPr>
      </w:pPr>
    </w:p>
    <w:p w14:paraId="53401411">
      <w:pPr>
        <w:jc w:val="center"/>
        <w:rPr>
          <w:rFonts w:hint="eastAsia" w:ascii="宋体" w:hAnsi="宋体" w:eastAsia="宋体" w:cs="宋体"/>
          <w:b/>
          <w:dstrike w:val="0"/>
          <w:color w:val="auto"/>
          <w:sz w:val="44"/>
          <w:szCs w:val="44"/>
          <w:highlight w:val="none"/>
        </w:rPr>
      </w:pPr>
      <w:r>
        <w:rPr>
          <w:rFonts w:hint="eastAsia" w:ascii="宋体" w:hAnsi="宋体" w:eastAsia="宋体" w:cs="宋体"/>
          <w:b/>
          <w:dstrike w:val="0"/>
          <w:color w:val="auto"/>
          <w:sz w:val="44"/>
          <w:szCs w:val="44"/>
          <w:highlight w:val="none"/>
        </w:rPr>
        <w:t>合同文件目录</w:t>
      </w:r>
    </w:p>
    <w:p w14:paraId="785C082E">
      <w:pPr>
        <w:rPr>
          <w:rFonts w:hint="eastAsia" w:ascii="宋体" w:hAnsi="宋体" w:eastAsia="宋体" w:cs="宋体"/>
          <w:dstrike w:val="0"/>
          <w:color w:val="auto"/>
          <w:sz w:val="32"/>
          <w:szCs w:val="32"/>
          <w:highlight w:val="none"/>
        </w:rPr>
      </w:pPr>
    </w:p>
    <w:p w14:paraId="2566724B">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rPr>
        <w:t>一、合同协议书</w:t>
      </w:r>
    </w:p>
    <w:p w14:paraId="5B1157F2">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rPr>
        <w:t>二、廉政合同</w:t>
      </w:r>
    </w:p>
    <w:p w14:paraId="4276B630">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rPr>
        <w:t>三、安全生产合同</w:t>
      </w:r>
    </w:p>
    <w:p w14:paraId="0A3D5DFE">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lang w:val="en-US" w:eastAsia="zh-CN"/>
        </w:rPr>
        <w:t>四</w:t>
      </w:r>
      <w:r>
        <w:rPr>
          <w:rFonts w:hint="eastAsia" w:ascii="宋体" w:hAnsi="宋体" w:eastAsia="宋体" w:cs="宋体"/>
          <w:dstrike w:val="0"/>
          <w:color w:val="auto"/>
          <w:sz w:val="28"/>
          <w:szCs w:val="28"/>
          <w:highlight w:val="none"/>
        </w:rPr>
        <w:t>、</w:t>
      </w:r>
      <w:r>
        <w:rPr>
          <w:rFonts w:hint="eastAsia" w:ascii="宋体" w:hAnsi="宋体" w:eastAsia="宋体" w:cs="宋体"/>
          <w:dstrike w:val="0"/>
          <w:color w:val="auto"/>
          <w:sz w:val="28"/>
          <w:szCs w:val="28"/>
          <w:highlight w:val="none"/>
          <w:lang w:val="en-US" w:eastAsia="zh-CN"/>
        </w:rPr>
        <w:t>成交</w:t>
      </w:r>
      <w:r>
        <w:rPr>
          <w:rFonts w:hint="eastAsia" w:ascii="宋体" w:hAnsi="宋体" w:eastAsia="宋体" w:cs="宋体"/>
          <w:dstrike w:val="0"/>
          <w:color w:val="auto"/>
          <w:sz w:val="28"/>
          <w:szCs w:val="28"/>
          <w:highlight w:val="none"/>
        </w:rPr>
        <w:t>通知书复印件</w:t>
      </w:r>
    </w:p>
    <w:p w14:paraId="33A520CB">
      <w:pPr>
        <w:spacing w:line="600" w:lineRule="auto"/>
        <w:rPr>
          <w:rFonts w:hint="eastAsia" w:ascii="宋体" w:hAnsi="宋体" w:eastAsia="宋体" w:cs="宋体"/>
          <w:dstrike w:val="0"/>
          <w:color w:val="auto"/>
          <w:sz w:val="28"/>
          <w:szCs w:val="28"/>
          <w:highlight w:val="none"/>
          <w:lang w:val="en-US" w:eastAsia="zh-CN"/>
        </w:rPr>
      </w:pPr>
      <w:r>
        <w:rPr>
          <w:rFonts w:hint="eastAsia" w:ascii="宋体" w:hAnsi="宋体" w:eastAsia="宋体" w:cs="宋体"/>
          <w:dstrike w:val="0"/>
          <w:color w:val="auto"/>
          <w:sz w:val="28"/>
          <w:szCs w:val="28"/>
          <w:highlight w:val="none"/>
          <w:lang w:val="en-US" w:eastAsia="zh-CN"/>
        </w:rPr>
        <w:t>五、工程量清单复印件</w:t>
      </w:r>
    </w:p>
    <w:p w14:paraId="724D0800">
      <w:pPr>
        <w:spacing w:line="600" w:lineRule="auto"/>
        <w:rPr>
          <w:rFonts w:hint="eastAsia" w:ascii="宋体" w:hAnsi="宋体" w:eastAsia="宋体" w:cs="宋体"/>
          <w:color w:val="auto"/>
          <w:highlight w:val="none"/>
        </w:rPr>
      </w:pPr>
      <w:r>
        <w:rPr>
          <w:rFonts w:hint="eastAsia" w:ascii="宋体" w:hAnsi="宋体" w:eastAsia="宋体" w:cs="宋体"/>
          <w:dstrike w:val="0"/>
          <w:color w:val="auto"/>
          <w:sz w:val="28"/>
          <w:szCs w:val="28"/>
          <w:highlight w:val="none"/>
        </w:rPr>
        <w:t>六、项目经理委任书</w:t>
      </w:r>
    </w:p>
    <w:p w14:paraId="29DDE4EA">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lang w:val="en-US" w:eastAsia="zh-CN"/>
        </w:rPr>
        <w:t>七</w:t>
      </w:r>
      <w:r>
        <w:rPr>
          <w:rFonts w:hint="eastAsia" w:ascii="宋体" w:hAnsi="宋体" w:eastAsia="宋体" w:cs="宋体"/>
          <w:dstrike w:val="0"/>
          <w:color w:val="auto"/>
          <w:sz w:val="28"/>
          <w:szCs w:val="28"/>
          <w:highlight w:val="none"/>
        </w:rPr>
        <w:t>、主要管理人员和技术人员</w:t>
      </w:r>
    </w:p>
    <w:p w14:paraId="3B7FA2AC">
      <w:pPr>
        <w:spacing w:line="600" w:lineRule="auto"/>
        <w:rPr>
          <w:rFonts w:hint="eastAsia" w:ascii="宋体" w:hAnsi="宋体" w:eastAsia="宋体" w:cs="宋体"/>
          <w:dstrike w:val="0"/>
          <w:color w:val="auto"/>
          <w:sz w:val="28"/>
          <w:szCs w:val="28"/>
          <w:highlight w:val="none"/>
        </w:rPr>
      </w:pPr>
      <w:r>
        <w:rPr>
          <w:rFonts w:hint="eastAsia" w:ascii="宋体" w:hAnsi="宋体" w:eastAsia="宋体" w:cs="宋体"/>
          <w:dstrike w:val="0"/>
          <w:color w:val="auto"/>
          <w:sz w:val="28"/>
          <w:szCs w:val="28"/>
          <w:highlight w:val="none"/>
          <w:lang w:val="en-US" w:eastAsia="zh-CN"/>
        </w:rPr>
        <w:t>八</w:t>
      </w:r>
      <w:r>
        <w:rPr>
          <w:rFonts w:hint="eastAsia" w:ascii="宋体" w:hAnsi="宋体" w:eastAsia="宋体" w:cs="宋体"/>
          <w:dstrike w:val="0"/>
          <w:color w:val="auto"/>
          <w:sz w:val="28"/>
          <w:szCs w:val="28"/>
          <w:highlight w:val="none"/>
        </w:rPr>
        <w:t>、主要机械设备和试验检测设备</w:t>
      </w:r>
    </w:p>
    <w:p w14:paraId="4CCC7175">
      <w:pPr>
        <w:spacing w:line="600" w:lineRule="auto"/>
        <w:rPr>
          <w:rFonts w:hint="eastAsia" w:ascii="宋体" w:hAnsi="宋体" w:eastAsia="宋体" w:cs="宋体"/>
          <w:b w:val="0"/>
          <w:bCs w:val="0"/>
          <w:dstrike w:val="0"/>
          <w:color w:val="auto"/>
          <w:kern w:val="0"/>
          <w:sz w:val="28"/>
          <w:szCs w:val="28"/>
          <w:highlight w:val="none"/>
          <w:lang w:val="en-US" w:eastAsia="zh-CN" w:bidi="hi-IN"/>
        </w:rPr>
      </w:pPr>
      <w:r>
        <w:rPr>
          <w:rFonts w:hint="eastAsia" w:ascii="宋体" w:hAnsi="宋体" w:eastAsia="宋体" w:cs="宋体"/>
          <w:b w:val="0"/>
          <w:bCs w:val="0"/>
          <w:dstrike w:val="0"/>
          <w:color w:val="auto"/>
          <w:kern w:val="0"/>
          <w:sz w:val="28"/>
          <w:szCs w:val="28"/>
          <w:highlight w:val="none"/>
          <w:lang w:val="en-US" w:eastAsia="zh-CN" w:bidi="hi-IN"/>
        </w:rPr>
        <w:t>九、第一节通用合同条款、第二节专用合同条款、项目专用合同条款</w:t>
      </w:r>
    </w:p>
    <w:p w14:paraId="0F20F106">
      <w:pPr>
        <w:rPr>
          <w:rFonts w:hint="eastAsia" w:ascii="宋体" w:hAnsi="宋体" w:eastAsia="宋体" w:cs="宋体"/>
          <w:b w:val="0"/>
          <w:bCs w:val="0"/>
          <w:dstrike w:val="0"/>
          <w:color w:val="auto"/>
          <w:kern w:val="0"/>
          <w:sz w:val="32"/>
          <w:szCs w:val="32"/>
          <w:highlight w:val="none"/>
          <w:lang w:val="en-US" w:eastAsia="zh-CN" w:bidi="hi-IN"/>
        </w:rPr>
      </w:pPr>
    </w:p>
    <w:p w14:paraId="77756CF8">
      <w:pPr>
        <w:rPr>
          <w:rFonts w:hint="eastAsia" w:ascii="宋体" w:hAnsi="宋体" w:eastAsia="宋体" w:cs="宋体"/>
          <w:dstrike w:val="0"/>
          <w:color w:val="auto"/>
          <w:sz w:val="32"/>
          <w:szCs w:val="32"/>
          <w:highlight w:val="none"/>
          <w:lang w:val="en-US" w:eastAsia="zh-CN"/>
        </w:rPr>
      </w:pPr>
    </w:p>
    <w:p w14:paraId="073A3804">
      <w:pPr>
        <w:jc w:val="center"/>
        <w:rPr>
          <w:rFonts w:hint="eastAsia" w:ascii="宋体" w:hAnsi="宋体" w:eastAsia="宋体" w:cs="宋体"/>
          <w:b/>
          <w:color w:val="auto"/>
          <w:w w:val="90"/>
          <w:sz w:val="32"/>
          <w:szCs w:val="32"/>
          <w:highlight w:val="none"/>
        </w:rPr>
        <w:sectPr>
          <w:footerReference r:id="rId8" w:type="default"/>
          <w:pgSz w:w="11906" w:h="16838"/>
          <w:pgMar w:top="1134" w:right="1134" w:bottom="1134" w:left="1418" w:header="851" w:footer="992" w:gutter="0"/>
          <w:pgNumType w:fmt="decimal"/>
          <w:cols w:space="720" w:num="1"/>
          <w:docGrid w:type="lines" w:linePitch="312" w:charSpace="0"/>
        </w:sectPr>
      </w:pPr>
    </w:p>
    <w:p w14:paraId="624834DA">
      <w:pPr>
        <w:bidi w:val="0"/>
        <w:rPr>
          <w:rFonts w:hint="eastAsia" w:ascii="宋体" w:hAnsi="宋体" w:eastAsia="宋体" w:cs="宋体"/>
          <w:b/>
          <w:bCs/>
          <w:color w:val="auto"/>
          <w:sz w:val="28"/>
          <w:szCs w:val="28"/>
          <w:highlight w:val="none"/>
        </w:rPr>
      </w:pPr>
      <w:bookmarkStart w:id="99" w:name="_Toc508779709"/>
      <w:bookmarkStart w:id="100" w:name="_Toc6469"/>
      <w:bookmarkStart w:id="101" w:name="_Toc511595193"/>
      <w:bookmarkStart w:id="102" w:name="_Toc394929416"/>
      <w:bookmarkStart w:id="103" w:name="_Toc514759053"/>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合同协议书</w:t>
      </w:r>
      <w:bookmarkEnd w:id="99"/>
      <w:bookmarkEnd w:id="100"/>
      <w:bookmarkEnd w:id="101"/>
      <w:bookmarkEnd w:id="102"/>
      <w:bookmarkEnd w:id="103"/>
    </w:p>
    <w:p w14:paraId="19DC6270">
      <w:pPr>
        <w:pStyle w:val="34"/>
        <w:keepNext/>
        <w:keepLines/>
        <w:shd w:val="clear" w:color="auto" w:fill="auto"/>
        <w:spacing w:after="408" w:line="240" w:lineRule="auto"/>
        <w:ind w:firstLine="562"/>
        <w:jc w:val="center"/>
        <w:outlineLvl w:val="9"/>
        <w:rPr>
          <w:rFonts w:hint="eastAsia" w:ascii="宋体" w:hAnsi="宋体" w:eastAsia="宋体" w:cs="宋体"/>
          <w:b/>
          <w:color w:val="auto"/>
          <w:sz w:val="21"/>
          <w:szCs w:val="21"/>
          <w:highlight w:val="none"/>
        </w:rPr>
      </w:pPr>
      <w:bookmarkStart w:id="104" w:name="_Toc514786907"/>
      <w:bookmarkStart w:id="105" w:name="bookmark186"/>
      <w:r>
        <w:rPr>
          <w:rStyle w:val="35"/>
          <w:rFonts w:hint="eastAsia" w:ascii="宋体" w:hAnsi="宋体" w:eastAsia="宋体" w:cs="宋体"/>
          <w:b/>
          <w:color w:val="auto"/>
          <w:spacing w:val="0"/>
          <w:sz w:val="21"/>
          <w:szCs w:val="21"/>
          <w:highlight w:val="none"/>
        </w:rPr>
        <w:t>合同协议书</w:t>
      </w:r>
      <w:bookmarkEnd w:id="104"/>
      <w:bookmarkEnd w:id="105"/>
    </w:p>
    <w:p w14:paraId="55DA1CC5">
      <w:pPr>
        <w:pStyle w:val="36"/>
        <w:shd w:val="clear" w:color="auto" w:fill="auto"/>
        <w:spacing w:before="0"/>
        <w:ind w:firstLine="630" w:firstLineChars="300"/>
        <w:jc w:val="both"/>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u w:val="single"/>
        </w:rPr>
        <w:t>天等县交通运输局</w:t>
      </w:r>
      <w:r>
        <w:rPr>
          <w:rStyle w:val="37"/>
          <w:rFonts w:hint="eastAsia" w:ascii="宋体" w:hAnsi="宋体" w:eastAsia="宋体" w:cs="宋体"/>
          <w:color w:val="auto"/>
          <w:sz w:val="21"/>
          <w:szCs w:val="21"/>
          <w:highlight w:val="none"/>
        </w:rPr>
        <w:t>(发包人名称，以下简称“发包人”）为实施</w:t>
      </w:r>
      <w:r>
        <w:rPr>
          <w:rStyle w:val="37"/>
          <w:rFonts w:hint="eastAsia" w:ascii="宋体" w:hAnsi="宋体" w:eastAsia="宋体" w:cs="宋体"/>
          <w:color w:val="auto"/>
          <w:sz w:val="21"/>
          <w:szCs w:val="21"/>
          <w:highlight w:val="none"/>
          <w:u w:val="single"/>
          <w:lang w:eastAsia="zh-CN"/>
        </w:rPr>
        <w:t xml:space="preserve">天等县杨湾至龙茗公路(K75-K85.556)生命安全防护工程 </w:t>
      </w:r>
      <w:r>
        <w:rPr>
          <w:rStyle w:val="37"/>
          <w:rFonts w:hint="eastAsia" w:ascii="宋体" w:hAnsi="宋体" w:eastAsia="宋体" w:cs="宋体"/>
          <w:color w:val="auto"/>
          <w:sz w:val="21"/>
          <w:szCs w:val="21"/>
          <w:highlight w:val="none"/>
          <w:u w:val="none"/>
        </w:rPr>
        <w:t>(项</w:t>
      </w:r>
      <w:r>
        <w:rPr>
          <w:rStyle w:val="37"/>
          <w:rFonts w:hint="eastAsia" w:ascii="宋体" w:hAnsi="宋体" w:eastAsia="宋体" w:cs="宋体"/>
          <w:color w:val="auto"/>
          <w:sz w:val="21"/>
          <w:szCs w:val="21"/>
          <w:highlight w:val="none"/>
        </w:rPr>
        <w:t>目名称)，己接受</w:t>
      </w:r>
      <w:r>
        <w:rPr>
          <w:rStyle w:val="37"/>
          <w:rFonts w:hint="eastAsia" w:ascii="宋体" w:hAnsi="宋体" w:eastAsia="宋体" w:cs="宋体"/>
          <w:color w:val="auto"/>
          <w:sz w:val="21"/>
          <w:szCs w:val="21"/>
          <w:highlight w:val="none"/>
          <w:u w:val="single"/>
        </w:rPr>
        <w:tab/>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(承包人名称，以下简称“承包人”）对该项目施工的投标。发包人和承包人共同达成如下协议。</w:t>
      </w:r>
    </w:p>
    <w:p w14:paraId="77C2B801">
      <w:pPr>
        <w:pStyle w:val="36"/>
        <w:keepNext w:val="0"/>
        <w:keepLines w:val="0"/>
        <w:pageBreakBefore w:val="0"/>
        <w:widowControl w:val="0"/>
        <w:shd w:val="clear" w:color="auto" w:fill="auto"/>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u w:val="single"/>
        </w:rPr>
      </w:pPr>
      <w:r>
        <w:rPr>
          <w:rStyle w:val="37"/>
          <w:rFonts w:hint="eastAsia" w:ascii="宋体" w:hAnsi="宋体" w:eastAsia="宋体" w:cs="宋体"/>
          <w:color w:val="auto"/>
          <w:sz w:val="21"/>
          <w:szCs w:val="21"/>
          <w:highlight w:val="none"/>
        </w:rPr>
        <w:t>1．建设内容：</w:t>
      </w:r>
      <w:r>
        <w:rPr>
          <w:rStyle w:val="37"/>
          <w:rFonts w:hint="eastAsia" w:ascii="宋体" w:hAnsi="宋体" w:eastAsia="宋体" w:cs="宋体"/>
          <w:color w:val="auto"/>
          <w:sz w:val="21"/>
          <w:szCs w:val="21"/>
          <w:highlight w:val="none"/>
          <w:u w:val="single"/>
        </w:rPr>
        <w:t>范围内容包括：水泥混凝土路面,及路肩挡土墙等</w:t>
      </w:r>
      <w:r>
        <w:rPr>
          <w:rStyle w:val="37"/>
          <w:rFonts w:hint="eastAsia" w:ascii="宋体" w:hAnsi="宋体" w:eastAsia="宋体" w:cs="宋体"/>
          <w:color w:val="auto"/>
          <w:sz w:val="21"/>
          <w:szCs w:val="21"/>
          <w:highlight w:val="none"/>
          <w:u w:val="single"/>
          <w:lang w:val="en-US" w:eastAsia="zh-CN"/>
        </w:rPr>
        <w:t>，具体内容详见工程量清单及</w:t>
      </w:r>
      <w:r>
        <w:rPr>
          <w:rStyle w:val="37"/>
          <w:rFonts w:hint="eastAsia" w:ascii="宋体" w:hAnsi="宋体" w:eastAsia="宋体" w:cs="宋体"/>
          <w:color w:val="auto"/>
          <w:sz w:val="21"/>
          <w:szCs w:val="21"/>
          <w:highlight w:val="none"/>
          <w:u w:val="single"/>
          <w:lang w:eastAsia="zh-CN"/>
        </w:rPr>
        <w:t>图纸。</w:t>
      </w:r>
    </w:p>
    <w:p w14:paraId="45F56CEC">
      <w:pPr>
        <w:pStyle w:val="36"/>
        <w:keepNext w:val="0"/>
        <w:keepLines w:val="0"/>
        <w:pageBreakBefore w:val="0"/>
        <w:widowControl w:val="0"/>
        <w:shd w:val="clear" w:color="auto" w:fill="auto"/>
        <w:tabs>
          <w:tab w:val="left" w:pos="1098"/>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2．下列文件应视为构成合同文件的组成部分：</w:t>
      </w:r>
    </w:p>
    <w:p w14:paraId="6E412BD0">
      <w:pPr>
        <w:pStyle w:val="36"/>
        <w:keepNext w:val="0"/>
        <w:keepLines w:val="0"/>
        <w:pageBreakBefore w:val="0"/>
        <w:widowControl w:val="0"/>
        <w:shd w:val="clear" w:color="auto" w:fill="auto"/>
        <w:tabs>
          <w:tab w:val="left" w:pos="1373"/>
        </w:tabs>
        <w:kinsoku/>
        <w:wordWrap/>
        <w:overflowPunct/>
        <w:topLinePunct w:val="0"/>
        <w:autoSpaceDE/>
        <w:autoSpaceDN/>
        <w:bidi w:val="0"/>
        <w:adjustRightInd/>
        <w:snapToGrid/>
        <w:spacing w:before="0"/>
        <w:ind w:firstLine="420" w:firstLineChars="200"/>
        <w:jc w:val="left"/>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（1）本协议书及各种合同附件（含评标期间和合同谈判过程中的澄清文件和补充资料）；</w:t>
      </w:r>
    </w:p>
    <w:p w14:paraId="5EF41DFD">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（2）成交通知书；</w:t>
      </w:r>
    </w:p>
    <w:p w14:paraId="653E8BFE">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（3）磋商函及磋商函；</w:t>
      </w:r>
    </w:p>
    <w:p w14:paraId="53DCE608">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（4）项目专用合同条款；</w:t>
      </w:r>
    </w:p>
    <w:p w14:paraId="09DB327A">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（5）公路工程专用合同条款；</w:t>
      </w:r>
    </w:p>
    <w:p w14:paraId="4AA85EE2">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（6）通用合同条款；</w:t>
      </w:r>
    </w:p>
    <w:p w14:paraId="69013AF1">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（7）工程量清单计量规则；</w:t>
      </w:r>
    </w:p>
    <w:p w14:paraId="449E921F">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（8）技术规范；</w:t>
      </w:r>
    </w:p>
    <w:p w14:paraId="56094447">
      <w:pPr>
        <w:pStyle w:val="36"/>
        <w:keepNext w:val="0"/>
        <w:keepLines w:val="0"/>
        <w:pageBreakBefore w:val="0"/>
        <w:widowControl w:val="0"/>
        <w:shd w:val="clear" w:color="auto" w:fill="auto"/>
        <w:tabs>
          <w:tab w:val="left" w:pos="138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（9）图纸；</w:t>
      </w:r>
    </w:p>
    <w:p w14:paraId="035532C3">
      <w:pPr>
        <w:pStyle w:val="36"/>
        <w:keepNext w:val="0"/>
        <w:keepLines w:val="0"/>
        <w:pageBreakBefore w:val="0"/>
        <w:widowControl w:val="0"/>
        <w:shd w:val="clear" w:color="auto" w:fill="auto"/>
        <w:tabs>
          <w:tab w:val="left" w:pos="1506"/>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（10）己标价工程量清单；</w:t>
      </w:r>
    </w:p>
    <w:p w14:paraId="61E493E8">
      <w:pPr>
        <w:pStyle w:val="36"/>
        <w:keepNext w:val="0"/>
        <w:keepLines w:val="0"/>
        <w:pageBreakBefore w:val="0"/>
        <w:widowControl w:val="0"/>
        <w:shd w:val="clear" w:color="auto" w:fill="auto"/>
        <w:tabs>
          <w:tab w:val="left" w:pos="1506"/>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（11）承包人有关人员、设备投入的承诺及投标文件中的施工组织设计；</w:t>
      </w:r>
    </w:p>
    <w:p w14:paraId="0AB5F893">
      <w:pPr>
        <w:pStyle w:val="36"/>
        <w:keepNext w:val="0"/>
        <w:keepLines w:val="0"/>
        <w:pageBreakBefore w:val="0"/>
        <w:widowControl w:val="0"/>
        <w:shd w:val="clear" w:color="auto" w:fill="auto"/>
        <w:tabs>
          <w:tab w:val="left" w:pos="1506"/>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（12）其他合同文件。</w:t>
      </w:r>
    </w:p>
    <w:p w14:paraId="37047188">
      <w:pPr>
        <w:pStyle w:val="36"/>
        <w:keepNext w:val="0"/>
        <w:keepLines w:val="0"/>
        <w:pageBreakBefore w:val="0"/>
        <w:widowControl w:val="0"/>
        <w:shd w:val="clear" w:color="auto" w:fill="auto"/>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上述合同文件互相补充和解释。如果合同文件之间存在矛盾或不一致之处，</w:t>
      </w:r>
    </w:p>
    <w:p w14:paraId="4E12F939">
      <w:pPr>
        <w:pStyle w:val="36"/>
        <w:keepNext w:val="0"/>
        <w:keepLines w:val="0"/>
        <w:pageBreakBefore w:val="0"/>
        <w:widowControl w:val="0"/>
        <w:shd w:val="clear" w:color="auto" w:fill="auto"/>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以上述文件的排列顺序在先者为准。</w:t>
      </w:r>
    </w:p>
    <w:p w14:paraId="33F67E49">
      <w:pPr>
        <w:pStyle w:val="36"/>
        <w:keepNext w:val="0"/>
        <w:keepLines w:val="0"/>
        <w:pageBreakBefore w:val="0"/>
        <w:widowControl w:val="0"/>
        <w:shd w:val="clear" w:color="auto" w:fill="auto"/>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3．根据工程量清单所列的数量和单价签约合同价：</w:t>
      </w:r>
      <w:r>
        <w:rPr>
          <w:rStyle w:val="37"/>
          <w:rFonts w:hint="eastAsia" w:ascii="宋体" w:hAnsi="宋体" w:eastAsia="宋体" w:cs="宋体"/>
          <w:b/>
          <w:bCs/>
          <w:color w:val="auto"/>
          <w:sz w:val="21"/>
          <w:szCs w:val="21"/>
          <w:highlight w:val="none"/>
          <w:u w:val="single"/>
        </w:rPr>
        <w:t>人民币（大写）</w:t>
      </w:r>
      <w:r>
        <w:rPr>
          <w:rStyle w:val="37"/>
          <w:rFonts w:hint="eastAsia" w:ascii="宋体" w:hAnsi="宋体" w:eastAsia="宋体" w:cs="宋体"/>
          <w:b/>
          <w:bCs/>
          <w:color w:val="auto"/>
          <w:sz w:val="21"/>
          <w:szCs w:val="21"/>
          <w:highlight w:val="none"/>
          <w:u w:val="single"/>
          <w:lang w:val="en-US"/>
        </w:rPr>
        <w:t xml:space="preserve">           </w:t>
      </w:r>
      <w:r>
        <w:rPr>
          <w:rStyle w:val="37"/>
          <w:rFonts w:hint="eastAsia" w:ascii="宋体" w:hAnsi="宋体" w:eastAsia="宋体" w:cs="宋体"/>
          <w:b/>
          <w:bCs/>
          <w:color w:val="auto"/>
          <w:sz w:val="21"/>
          <w:szCs w:val="21"/>
          <w:highlight w:val="none"/>
          <w:u w:val="single"/>
          <w:lang w:val="en-US" w:eastAsia="zh-CN"/>
        </w:rPr>
        <w:t xml:space="preserve"> </w:t>
      </w:r>
      <w:r>
        <w:rPr>
          <w:rStyle w:val="37"/>
          <w:rFonts w:hint="eastAsia" w:ascii="宋体" w:hAnsi="宋体" w:eastAsia="宋体" w:cs="宋体"/>
          <w:color w:val="auto"/>
          <w:sz w:val="21"/>
          <w:szCs w:val="21"/>
          <w:highlight w:val="none"/>
        </w:rPr>
        <w:t>。</w:t>
      </w:r>
    </w:p>
    <w:p w14:paraId="6F8CBF91">
      <w:pPr>
        <w:pStyle w:val="36"/>
        <w:keepNext w:val="0"/>
        <w:keepLines w:val="0"/>
        <w:pageBreakBefore w:val="0"/>
        <w:widowControl w:val="0"/>
        <w:shd w:val="clear" w:color="auto" w:fill="auto"/>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u w:val="single"/>
        </w:rPr>
      </w:pPr>
      <w:r>
        <w:rPr>
          <w:rStyle w:val="37"/>
          <w:rFonts w:hint="eastAsia" w:ascii="宋体" w:hAnsi="宋体" w:eastAsia="宋体" w:cs="宋体"/>
          <w:color w:val="auto"/>
          <w:sz w:val="21"/>
          <w:szCs w:val="21"/>
          <w:highlight w:val="none"/>
        </w:rPr>
        <w:t xml:space="preserve">4．承包人项目经理： </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u w:val="single"/>
        </w:rPr>
        <w:tab/>
      </w:r>
      <w:r>
        <w:rPr>
          <w:rStyle w:val="37"/>
          <w:rFonts w:hint="eastAsia" w:ascii="宋体" w:hAnsi="宋体" w:eastAsia="宋体" w:cs="宋体"/>
          <w:color w:val="auto"/>
          <w:sz w:val="21"/>
          <w:szCs w:val="21"/>
          <w:highlight w:val="none"/>
        </w:rPr>
        <w:t>。承包人项目总工</w:t>
      </w:r>
      <w:r>
        <w:rPr>
          <w:rStyle w:val="37"/>
          <w:rFonts w:hint="eastAsia" w:ascii="宋体" w:hAnsi="宋体" w:eastAsia="宋体" w:cs="宋体"/>
          <w:color w:val="auto"/>
          <w:sz w:val="21"/>
          <w:szCs w:val="21"/>
          <w:highlight w:val="none"/>
          <w:u w:val="none"/>
        </w:rPr>
        <w:t>：</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u w:val="single"/>
        </w:rPr>
        <w:tab/>
      </w:r>
      <w:r>
        <w:rPr>
          <w:rStyle w:val="37"/>
          <w:rFonts w:hint="eastAsia" w:ascii="宋体" w:hAnsi="宋体" w:eastAsia="宋体" w:cs="宋体"/>
          <w:color w:val="auto"/>
          <w:sz w:val="21"/>
          <w:szCs w:val="21"/>
          <w:highlight w:val="none"/>
          <w:u w:val="none"/>
        </w:rPr>
        <w:t>。</w:t>
      </w:r>
    </w:p>
    <w:p w14:paraId="4502742F">
      <w:pPr>
        <w:pStyle w:val="36"/>
        <w:keepNext w:val="0"/>
        <w:keepLines w:val="0"/>
        <w:pageBreakBefore w:val="0"/>
        <w:widowControl w:val="0"/>
        <w:shd w:val="clear" w:color="auto" w:fill="auto"/>
        <w:tabs>
          <w:tab w:val="left" w:pos="1098"/>
        </w:tabs>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5．工程质量符合</w:t>
      </w:r>
      <w:r>
        <w:rPr>
          <w:rStyle w:val="37"/>
          <w:rFonts w:hint="eastAsia" w:ascii="宋体" w:hAnsi="宋体" w:eastAsia="宋体" w:cs="宋体"/>
          <w:color w:val="auto"/>
          <w:sz w:val="21"/>
          <w:szCs w:val="21"/>
          <w:highlight w:val="none"/>
          <w:lang w:val="en-US" w:eastAsia="zh-CN"/>
        </w:rPr>
        <w:t>现行国家竣工验收规范的合格标准</w:t>
      </w:r>
      <w:r>
        <w:rPr>
          <w:rStyle w:val="37"/>
          <w:rFonts w:hint="eastAsia" w:ascii="宋体" w:hAnsi="宋体" w:eastAsia="宋体" w:cs="宋体"/>
          <w:color w:val="auto"/>
          <w:sz w:val="21"/>
          <w:szCs w:val="21"/>
          <w:highlight w:val="none"/>
        </w:rPr>
        <w:t>。工程安全目标</w:t>
      </w:r>
      <w:r>
        <w:rPr>
          <w:rStyle w:val="37"/>
          <w:rFonts w:hint="eastAsia" w:ascii="宋体" w:hAnsi="宋体" w:eastAsia="宋体" w:cs="宋体"/>
          <w:color w:val="auto"/>
          <w:sz w:val="21"/>
          <w:szCs w:val="21"/>
          <w:highlight w:val="none"/>
          <w:u w:val="none"/>
        </w:rPr>
        <w:t>：</w:t>
      </w:r>
      <w:r>
        <w:rPr>
          <w:rStyle w:val="37"/>
          <w:rFonts w:hint="eastAsia" w:ascii="宋体" w:hAnsi="宋体" w:eastAsia="宋体" w:cs="宋体"/>
          <w:color w:val="auto"/>
          <w:sz w:val="21"/>
          <w:szCs w:val="21"/>
          <w:highlight w:val="none"/>
          <w:lang w:val="en-US" w:eastAsia="zh-CN"/>
        </w:rPr>
        <w:t>无安全生产事故</w:t>
      </w:r>
      <w:r>
        <w:rPr>
          <w:rStyle w:val="37"/>
          <w:rFonts w:hint="eastAsia" w:ascii="宋体" w:hAnsi="宋体" w:eastAsia="宋体" w:cs="宋体"/>
          <w:color w:val="auto"/>
          <w:sz w:val="21"/>
          <w:szCs w:val="21"/>
          <w:highlight w:val="none"/>
        </w:rPr>
        <w:t>。</w:t>
      </w:r>
    </w:p>
    <w:p w14:paraId="63DB4B15">
      <w:pPr>
        <w:pStyle w:val="36"/>
        <w:keepNext w:val="0"/>
        <w:keepLines w:val="0"/>
        <w:pageBreakBefore w:val="0"/>
        <w:widowControl w:val="0"/>
        <w:shd w:val="clear" w:color="auto" w:fill="auto"/>
        <w:tabs>
          <w:tab w:val="left" w:pos="1098"/>
        </w:tabs>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lang w:val="en-US"/>
        </w:rPr>
      </w:pPr>
      <w:r>
        <w:rPr>
          <w:rStyle w:val="37"/>
          <w:rFonts w:hint="eastAsia" w:ascii="宋体" w:hAnsi="宋体" w:eastAsia="宋体" w:cs="宋体"/>
          <w:color w:val="auto"/>
          <w:sz w:val="21"/>
          <w:szCs w:val="21"/>
          <w:highlight w:val="none"/>
          <w:lang w:val="en-US"/>
        </w:rPr>
        <w:t>工程结算方式：</w:t>
      </w:r>
      <w:r>
        <w:rPr>
          <w:rStyle w:val="37"/>
          <w:rFonts w:hint="eastAsia" w:ascii="宋体" w:hAnsi="宋体" w:eastAsia="宋体" w:cs="宋体"/>
          <w:color w:val="auto"/>
          <w:sz w:val="21"/>
          <w:szCs w:val="21"/>
          <w:highlight w:val="none"/>
          <w:u w:val="single"/>
          <w:lang w:val="en-US"/>
        </w:rPr>
        <w:t>本合同价采用固定综合单价方式确定</w:t>
      </w:r>
      <w:r>
        <w:rPr>
          <w:rStyle w:val="37"/>
          <w:rFonts w:hint="eastAsia" w:ascii="宋体" w:hAnsi="宋体" w:eastAsia="宋体" w:cs="宋体"/>
          <w:color w:val="auto"/>
          <w:sz w:val="21"/>
          <w:szCs w:val="21"/>
          <w:highlight w:val="none"/>
          <w:lang w:val="en-US"/>
        </w:rPr>
        <w:t>。</w:t>
      </w:r>
    </w:p>
    <w:p w14:paraId="39E57226">
      <w:pPr>
        <w:pStyle w:val="36"/>
        <w:keepNext w:val="0"/>
        <w:keepLines w:val="0"/>
        <w:pageBreakBefore w:val="0"/>
        <w:widowControl w:val="0"/>
        <w:shd w:val="clear" w:color="auto" w:fill="auto"/>
        <w:tabs>
          <w:tab w:val="left" w:pos="1101"/>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6．承包人承诺按合同约定承担工程的实施、完成及缺陷修复。</w:t>
      </w:r>
    </w:p>
    <w:p w14:paraId="3575EF07">
      <w:pPr>
        <w:pStyle w:val="36"/>
        <w:keepNext w:val="0"/>
        <w:keepLines w:val="0"/>
        <w:pageBreakBefore w:val="0"/>
        <w:widowControl w:val="0"/>
        <w:shd w:val="clear" w:color="auto" w:fill="auto"/>
        <w:tabs>
          <w:tab w:val="left" w:pos="1101"/>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7．发包人</w:t>
      </w:r>
      <w:r>
        <w:rPr>
          <w:rStyle w:val="37"/>
          <w:rFonts w:hint="eastAsia" w:ascii="宋体" w:hAnsi="宋体" w:eastAsia="宋体" w:cs="宋体"/>
          <w:color w:val="auto"/>
          <w:sz w:val="21"/>
          <w:szCs w:val="21"/>
          <w:highlight w:val="none"/>
          <w:lang w:val="en-US"/>
        </w:rPr>
        <w:t>应</w:t>
      </w:r>
      <w:r>
        <w:rPr>
          <w:rStyle w:val="37"/>
          <w:rFonts w:hint="eastAsia" w:ascii="宋体" w:hAnsi="宋体" w:eastAsia="宋体" w:cs="宋体"/>
          <w:color w:val="auto"/>
          <w:sz w:val="21"/>
          <w:szCs w:val="21"/>
          <w:highlight w:val="none"/>
        </w:rPr>
        <w:t>按合同约定的条件、时间和方式向承包人支付合同价款。</w:t>
      </w:r>
    </w:p>
    <w:p w14:paraId="76FEE9B2">
      <w:pPr>
        <w:pStyle w:val="36"/>
        <w:keepNext w:val="0"/>
        <w:keepLines w:val="0"/>
        <w:pageBreakBefore w:val="0"/>
        <w:widowControl w:val="0"/>
        <w:shd w:val="clear" w:color="auto" w:fill="auto"/>
        <w:tabs>
          <w:tab w:val="left" w:pos="1109"/>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8．承包人应按照发包人指示开工，工期为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b/>
          <w:bCs/>
          <w:color w:val="auto"/>
          <w:sz w:val="21"/>
          <w:szCs w:val="21"/>
          <w:highlight w:val="none"/>
          <w:u w:val="single"/>
          <w:lang w:val="en-US"/>
        </w:rPr>
        <w:t>365</w:t>
      </w:r>
      <w:r>
        <w:rPr>
          <w:rStyle w:val="37"/>
          <w:rFonts w:hint="eastAsia" w:ascii="宋体" w:hAnsi="宋体" w:eastAsia="宋体" w:cs="宋体"/>
          <w:color w:val="auto"/>
          <w:sz w:val="21"/>
          <w:szCs w:val="21"/>
          <w:highlight w:val="none"/>
          <w:u w:val="single"/>
          <w:lang w:val="en-US"/>
        </w:rPr>
        <w:t>日历天</w:t>
      </w:r>
      <w:r>
        <w:rPr>
          <w:rStyle w:val="37"/>
          <w:rFonts w:hint="eastAsia" w:ascii="宋体" w:hAnsi="宋体" w:eastAsia="宋体" w:cs="宋体"/>
          <w:color w:val="auto"/>
          <w:sz w:val="21"/>
          <w:szCs w:val="21"/>
          <w:highlight w:val="none"/>
        </w:rPr>
        <w:t>。</w:t>
      </w:r>
    </w:p>
    <w:p w14:paraId="08A6EC6C">
      <w:pPr>
        <w:pStyle w:val="36"/>
        <w:keepNext w:val="0"/>
        <w:keepLines w:val="0"/>
        <w:pageBreakBefore w:val="0"/>
        <w:widowControl w:val="0"/>
        <w:shd w:val="clear" w:color="auto" w:fill="auto"/>
        <w:tabs>
          <w:tab w:val="left" w:pos="1043"/>
        </w:tabs>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9．本协议书在承包人</w:t>
      </w:r>
      <w:r>
        <w:rPr>
          <w:rStyle w:val="37"/>
          <w:rFonts w:hint="eastAsia" w:ascii="宋体" w:hAnsi="宋体" w:eastAsia="宋体" w:cs="宋体"/>
          <w:color w:val="auto"/>
          <w:sz w:val="21"/>
          <w:szCs w:val="21"/>
          <w:highlight w:val="none"/>
          <w:lang w:val="en-US"/>
        </w:rPr>
        <w:t>以保函（有效期至合同失效为止）的形式缴纳</w:t>
      </w:r>
      <w:r>
        <w:rPr>
          <w:rStyle w:val="37"/>
          <w:rFonts w:hint="eastAsia" w:ascii="宋体" w:hAnsi="宋体" w:eastAsia="宋体" w:cs="宋体"/>
          <w:color w:val="auto"/>
          <w:sz w:val="21"/>
          <w:szCs w:val="21"/>
          <w:highlight w:val="none"/>
        </w:rPr>
        <w:t>履约保证金后，由双方法定代表人或其委托代理人签署并加盖单位章后生效。全部工程完工后经交工验收合格、缺陷责任期满签发缺 陷责任终止证书后失效。</w:t>
      </w:r>
    </w:p>
    <w:p w14:paraId="0FC3E7FB">
      <w:pPr>
        <w:pStyle w:val="36"/>
        <w:keepNext w:val="0"/>
        <w:keepLines w:val="0"/>
        <w:pageBreakBefore w:val="0"/>
        <w:widowControl w:val="0"/>
        <w:shd w:val="clear" w:color="auto" w:fill="auto"/>
        <w:tabs>
          <w:tab w:val="left" w:pos="1043"/>
        </w:tabs>
        <w:kinsoku/>
        <w:wordWrap/>
        <w:overflowPunct/>
        <w:topLinePunct w:val="0"/>
        <w:autoSpaceDE/>
        <w:autoSpaceDN/>
        <w:bidi w:val="0"/>
        <w:adjustRightInd/>
        <w:snapToGrid/>
        <w:spacing w:before="0"/>
        <w:ind w:firstLine="420" w:firstLineChars="200"/>
        <w:jc w:val="both"/>
        <w:textAlignment w:val="auto"/>
        <w:rPr>
          <w:rStyle w:val="37"/>
          <w:rFonts w:hint="eastAsia" w:ascii="宋体" w:hAnsi="宋体" w:eastAsia="宋体" w:cs="宋体"/>
          <w:color w:val="auto"/>
          <w:sz w:val="21"/>
          <w:szCs w:val="21"/>
          <w:highlight w:val="none"/>
          <w:lang w:val="en-US"/>
        </w:rPr>
      </w:pPr>
      <w:r>
        <w:rPr>
          <w:rStyle w:val="37"/>
          <w:rFonts w:hint="eastAsia" w:ascii="宋体" w:hAnsi="宋体" w:eastAsia="宋体" w:cs="宋体"/>
          <w:color w:val="auto"/>
          <w:sz w:val="21"/>
          <w:szCs w:val="21"/>
          <w:highlight w:val="none"/>
          <w:lang w:val="en-US"/>
        </w:rPr>
        <w:t>10.除符合《桂人社规[2021]16号》文件规定免于存储工资保证金情况之外，承包人需与建设单位签订的工程施工合同在经办银行开立工资保证金专用账号，存储工资保证金。</w:t>
      </w:r>
    </w:p>
    <w:p w14:paraId="427D262E">
      <w:pPr>
        <w:pStyle w:val="36"/>
        <w:keepNext w:val="0"/>
        <w:keepLines w:val="0"/>
        <w:pageBreakBefore w:val="0"/>
        <w:widowControl w:val="0"/>
        <w:shd w:val="clear" w:color="auto" w:fill="auto"/>
        <w:tabs>
          <w:tab w:val="left" w:leader="underscore" w:pos="4168"/>
          <w:tab w:val="left" w:leader="underscore" w:pos="8283"/>
        </w:tabs>
        <w:kinsoku/>
        <w:wordWrap/>
        <w:overflowPunct/>
        <w:topLinePunct w:val="0"/>
        <w:autoSpaceDE/>
        <w:autoSpaceDN/>
        <w:bidi w:val="0"/>
        <w:adjustRightInd/>
        <w:snapToGrid/>
        <w:spacing w:before="0"/>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．本协议书正本二份、副本</w:t>
      </w:r>
      <w:r>
        <w:rPr>
          <w:rStyle w:val="37"/>
          <w:rFonts w:hint="eastAsia" w:ascii="宋体" w:hAnsi="宋体" w:eastAsia="宋体" w:cs="宋体"/>
          <w:color w:val="auto"/>
          <w:sz w:val="21"/>
          <w:szCs w:val="21"/>
          <w:highlight w:val="none"/>
          <w:lang w:val="en-US"/>
        </w:rPr>
        <w:t>四</w:t>
      </w:r>
      <w:r>
        <w:rPr>
          <w:rStyle w:val="37"/>
          <w:rFonts w:hint="eastAsia" w:ascii="宋体" w:hAnsi="宋体" w:eastAsia="宋体" w:cs="宋体"/>
          <w:color w:val="auto"/>
          <w:sz w:val="21"/>
          <w:szCs w:val="21"/>
          <w:highlight w:val="none"/>
        </w:rPr>
        <w:t>份，合同双方各执正本一份，副本</w:t>
      </w:r>
      <w:r>
        <w:rPr>
          <w:rStyle w:val="37"/>
          <w:rFonts w:hint="eastAsia" w:ascii="宋体" w:hAnsi="宋体" w:eastAsia="宋体" w:cs="宋体"/>
          <w:color w:val="auto"/>
          <w:sz w:val="21"/>
          <w:szCs w:val="21"/>
          <w:highlight w:val="none"/>
          <w:lang w:val="en-US"/>
        </w:rPr>
        <w:t>贰</w:t>
      </w:r>
      <w:r>
        <w:rPr>
          <w:rStyle w:val="37"/>
          <w:rFonts w:hint="eastAsia" w:ascii="宋体" w:hAnsi="宋体" w:eastAsia="宋体" w:cs="宋体"/>
          <w:color w:val="auto"/>
          <w:sz w:val="21"/>
          <w:szCs w:val="21"/>
          <w:highlight w:val="none"/>
        </w:rPr>
        <w:t>份，当正本与副本的内容不一致时，以正本为准。</w:t>
      </w:r>
    </w:p>
    <w:p w14:paraId="581FC29F">
      <w:pPr>
        <w:pStyle w:val="36"/>
        <w:keepNext w:val="0"/>
        <w:keepLines w:val="0"/>
        <w:pageBreakBefore w:val="0"/>
        <w:widowControl w:val="0"/>
        <w:shd w:val="clear" w:color="auto" w:fill="auto"/>
        <w:tabs>
          <w:tab w:val="left" w:pos="1214"/>
        </w:tabs>
        <w:kinsoku/>
        <w:wordWrap/>
        <w:overflowPunct/>
        <w:topLinePunct w:val="0"/>
        <w:autoSpaceDE/>
        <w:autoSpaceDN/>
        <w:bidi w:val="0"/>
        <w:adjustRightInd/>
        <w:snapToGrid/>
        <w:spacing w:before="0" w:after="418"/>
        <w:ind w:firstLine="420" w:firstLineChars="200"/>
        <w:jc w:val="both"/>
        <w:textAlignment w:val="auto"/>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w:t>
      </w:r>
      <w:r>
        <w:rPr>
          <w:rStyle w:val="37"/>
          <w:rFonts w:hint="eastAsia" w:ascii="宋体" w:hAnsi="宋体" w:eastAsia="宋体" w:cs="宋体"/>
          <w:color w:val="auto"/>
          <w:sz w:val="21"/>
          <w:szCs w:val="21"/>
          <w:highlight w:val="none"/>
          <w:lang w:val="en-US"/>
        </w:rPr>
        <w:t>2</w:t>
      </w:r>
      <w:r>
        <w:rPr>
          <w:rStyle w:val="37"/>
          <w:rFonts w:hint="eastAsia" w:ascii="宋体" w:hAnsi="宋体" w:eastAsia="宋体" w:cs="宋体"/>
          <w:color w:val="auto"/>
          <w:sz w:val="21"/>
          <w:szCs w:val="21"/>
          <w:highlight w:val="none"/>
        </w:rPr>
        <w:t>．合同未尽事宜，双方另行签订补充协议。补充协议是合同的组成部分。</w:t>
      </w:r>
    </w:p>
    <w:tbl>
      <w:tblPr>
        <w:tblStyle w:val="22"/>
        <w:tblW w:w="9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1"/>
        <w:gridCol w:w="4668"/>
      </w:tblGrid>
      <w:tr w14:paraId="1477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4691" w:type="dxa"/>
            <w:noWrap w:val="0"/>
            <w:vAlign w:val="top"/>
          </w:tcPr>
          <w:p w14:paraId="0F051C71">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8"/>
                <w:rFonts w:hint="eastAsia" w:ascii="宋体" w:hAnsi="宋体" w:eastAsia="宋体" w:cs="宋体"/>
                <w:i w:val="0"/>
                <w:color w:val="auto"/>
                <w:spacing w:val="0"/>
                <w:sz w:val="21"/>
                <w:szCs w:val="21"/>
                <w:highlight w:val="none"/>
              </w:rPr>
              <w:t>发包人:</w:t>
            </w:r>
            <w:r>
              <w:rPr>
                <w:rStyle w:val="38"/>
                <w:rFonts w:hint="eastAsia" w:ascii="宋体" w:hAnsi="宋体" w:eastAsia="宋体" w:cs="宋体"/>
                <w:i w:val="0"/>
                <w:color w:val="auto"/>
                <w:spacing w:val="0"/>
                <w:sz w:val="21"/>
                <w:szCs w:val="21"/>
                <w:highlight w:val="none"/>
                <w:u w:val="single"/>
              </w:rPr>
              <w:t>天等县</w:t>
            </w:r>
            <w:r>
              <w:rPr>
                <w:rStyle w:val="38"/>
                <w:rFonts w:hint="eastAsia" w:ascii="宋体" w:hAnsi="宋体" w:eastAsia="宋体" w:cs="宋体"/>
                <w:i w:val="0"/>
                <w:color w:val="auto"/>
                <w:spacing w:val="0"/>
                <w:sz w:val="21"/>
                <w:szCs w:val="21"/>
                <w:highlight w:val="none"/>
                <w:u w:val="single"/>
                <w:lang w:eastAsia="zh-CN"/>
              </w:rPr>
              <w:t>交通运输局</w:t>
            </w:r>
            <w:r>
              <w:rPr>
                <w:rStyle w:val="37"/>
                <w:rFonts w:hint="eastAsia" w:ascii="宋体" w:hAnsi="宋体" w:eastAsia="宋体" w:cs="宋体"/>
                <w:color w:val="auto"/>
                <w:sz w:val="21"/>
                <w:szCs w:val="21"/>
                <w:highlight w:val="none"/>
              </w:rPr>
              <w:t xml:space="preserve"> (盖</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章）</w:t>
            </w:r>
          </w:p>
        </w:tc>
        <w:tc>
          <w:tcPr>
            <w:tcW w:w="4668" w:type="dxa"/>
            <w:noWrap w:val="0"/>
            <w:vAlign w:val="top"/>
          </w:tcPr>
          <w:p w14:paraId="18E3F95A">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7"/>
                <w:rFonts w:hint="eastAsia" w:ascii="宋体" w:hAnsi="宋体" w:eastAsia="宋体" w:cs="宋体"/>
                <w:color w:val="auto"/>
                <w:sz w:val="21"/>
                <w:szCs w:val="21"/>
                <w:highlight w:val="none"/>
              </w:rPr>
              <w:t>承包人：</w:t>
            </w:r>
            <w:r>
              <w:rPr>
                <w:rStyle w:val="37"/>
                <w:rFonts w:hint="eastAsia" w:ascii="宋体" w:hAnsi="宋体" w:eastAsia="宋体" w:cs="宋体"/>
                <w:color w:val="auto"/>
                <w:sz w:val="21"/>
                <w:szCs w:val="21"/>
                <w:highlight w:val="none"/>
                <w:u w:val="single"/>
              </w:rPr>
              <w:t xml:space="preserve"> </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(盖章)</w:t>
            </w:r>
          </w:p>
        </w:tc>
      </w:tr>
      <w:tr w14:paraId="6F27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4691" w:type="dxa"/>
            <w:noWrap w:val="0"/>
            <w:vAlign w:val="top"/>
          </w:tcPr>
          <w:p w14:paraId="7D6B74C2">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7"/>
                <w:rFonts w:hint="eastAsia" w:ascii="宋体" w:hAnsi="宋体" w:eastAsia="宋体" w:cs="宋体"/>
                <w:color w:val="auto"/>
                <w:sz w:val="21"/>
                <w:szCs w:val="21"/>
                <w:highlight w:val="none"/>
              </w:rPr>
              <w:t>法定代表人或其委托代理人：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(签字）</w:t>
            </w:r>
          </w:p>
        </w:tc>
        <w:tc>
          <w:tcPr>
            <w:tcW w:w="4668" w:type="dxa"/>
            <w:noWrap w:val="0"/>
            <w:vAlign w:val="top"/>
          </w:tcPr>
          <w:p w14:paraId="462BCCB2">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7"/>
                <w:rFonts w:hint="eastAsia" w:ascii="宋体" w:hAnsi="宋体" w:eastAsia="宋体" w:cs="宋体"/>
                <w:color w:val="auto"/>
                <w:sz w:val="21"/>
                <w:szCs w:val="21"/>
                <w:highlight w:val="none"/>
              </w:rPr>
              <w:t>法定代表人或其委托代理人：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(签字）</w:t>
            </w:r>
          </w:p>
        </w:tc>
      </w:tr>
      <w:tr w14:paraId="5519B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trPr>
        <w:tc>
          <w:tcPr>
            <w:tcW w:w="4691" w:type="dxa"/>
            <w:noWrap w:val="0"/>
            <w:vAlign w:val="top"/>
          </w:tcPr>
          <w:p w14:paraId="7FE354F2">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7"/>
                <w:rFonts w:hint="eastAsia" w:ascii="宋体" w:hAnsi="宋体" w:eastAsia="宋体" w:cs="宋体"/>
                <w:color w:val="auto"/>
                <w:sz w:val="21"/>
                <w:szCs w:val="21"/>
                <w:highlight w:val="none"/>
                <w:lang w:val="en-US"/>
              </w:rPr>
              <w:t>签订日期：2025年10月31日</w:t>
            </w:r>
          </w:p>
        </w:tc>
        <w:tc>
          <w:tcPr>
            <w:tcW w:w="4668" w:type="dxa"/>
            <w:noWrap w:val="0"/>
            <w:vAlign w:val="top"/>
          </w:tcPr>
          <w:p w14:paraId="3B17A554">
            <w:pPr>
              <w:pStyle w:val="36"/>
              <w:shd w:val="clear" w:color="auto" w:fill="auto"/>
              <w:tabs>
                <w:tab w:val="left" w:leader="underscore" w:pos="2742"/>
                <w:tab w:val="left" w:leader="underscore" w:pos="7397"/>
              </w:tabs>
              <w:spacing w:before="0" w:line="442" w:lineRule="exact"/>
              <w:jc w:val="both"/>
              <w:rPr>
                <w:rStyle w:val="38"/>
                <w:rFonts w:hint="eastAsia" w:ascii="宋体" w:hAnsi="宋体" w:eastAsia="宋体" w:cs="宋体"/>
                <w:i w:val="0"/>
                <w:color w:val="auto"/>
                <w:spacing w:val="0"/>
                <w:sz w:val="21"/>
                <w:szCs w:val="21"/>
                <w:highlight w:val="none"/>
                <w:vertAlign w:val="baseline"/>
              </w:rPr>
            </w:pPr>
            <w:r>
              <w:rPr>
                <w:rStyle w:val="37"/>
                <w:rFonts w:hint="eastAsia" w:ascii="宋体" w:hAnsi="宋体" w:eastAsia="宋体" w:cs="宋体"/>
                <w:color w:val="auto"/>
                <w:sz w:val="21"/>
                <w:szCs w:val="21"/>
                <w:highlight w:val="none"/>
                <w:lang w:val="en-US"/>
              </w:rPr>
              <w:t>签订日期：2025年10月31日</w:t>
            </w:r>
          </w:p>
        </w:tc>
      </w:tr>
    </w:tbl>
    <w:p w14:paraId="3E6F1593">
      <w:pPr>
        <w:ind w:firstLine="480"/>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 xml:space="preserve">  </w:t>
      </w:r>
    </w:p>
    <w:p w14:paraId="593FCB5E">
      <w:pPr>
        <w:ind w:firstLine="480"/>
        <w:rPr>
          <w:rStyle w:val="37"/>
          <w:rFonts w:hint="eastAsia" w:ascii="宋体" w:hAnsi="宋体" w:eastAsia="宋体" w:cs="宋体"/>
          <w:color w:val="auto"/>
          <w:sz w:val="24"/>
          <w:szCs w:val="24"/>
          <w:highlight w:val="none"/>
        </w:rPr>
      </w:pPr>
    </w:p>
    <w:p w14:paraId="4F7C77AF">
      <w:pPr>
        <w:ind w:firstLine="480"/>
        <w:rPr>
          <w:rStyle w:val="37"/>
          <w:rFonts w:hint="eastAsia" w:ascii="宋体" w:hAnsi="宋体" w:eastAsia="宋体" w:cs="宋体"/>
          <w:color w:val="auto"/>
          <w:sz w:val="24"/>
          <w:szCs w:val="24"/>
          <w:highlight w:val="none"/>
        </w:rPr>
      </w:pPr>
    </w:p>
    <w:p w14:paraId="339AB526">
      <w:pPr>
        <w:ind w:firstLine="480"/>
        <w:rPr>
          <w:rStyle w:val="37"/>
          <w:rFonts w:hint="eastAsia" w:ascii="宋体" w:hAnsi="宋体" w:eastAsia="宋体" w:cs="宋体"/>
          <w:color w:val="auto"/>
          <w:sz w:val="24"/>
          <w:szCs w:val="24"/>
          <w:highlight w:val="none"/>
        </w:rPr>
      </w:pPr>
    </w:p>
    <w:p w14:paraId="43EC9329">
      <w:pPr>
        <w:ind w:firstLine="480"/>
        <w:rPr>
          <w:rStyle w:val="37"/>
          <w:rFonts w:hint="eastAsia" w:ascii="宋体" w:hAnsi="宋体" w:eastAsia="宋体" w:cs="宋体"/>
          <w:color w:val="auto"/>
          <w:sz w:val="24"/>
          <w:szCs w:val="24"/>
          <w:highlight w:val="none"/>
        </w:rPr>
      </w:pPr>
    </w:p>
    <w:p w14:paraId="3E651B93">
      <w:pPr>
        <w:ind w:firstLine="480"/>
        <w:rPr>
          <w:rStyle w:val="37"/>
          <w:rFonts w:hint="eastAsia" w:ascii="宋体" w:hAnsi="宋体" w:eastAsia="宋体" w:cs="宋体"/>
          <w:color w:val="auto"/>
          <w:sz w:val="24"/>
          <w:szCs w:val="24"/>
          <w:highlight w:val="none"/>
        </w:rPr>
      </w:pPr>
    </w:p>
    <w:p w14:paraId="22F975D8">
      <w:pPr>
        <w:ind w:firstLine="480"/>
        <w:rPr>
          <w:rStyle w:val="37"/>
          <w:rFonts w:hint="eastAsia" w:ascii="宋体" w:hAnsi="宋体" w:eastAsia="宋体" w:cs="宋体"/>
          <w:color w:val="auto"/>
          <w:sz w:val="24"/>
          <w:szCs w:val="24"/>
          <w:highlight w:val="none"/>
        </w:rPr>
      </w:pPr>
    </w:p>
    <w:p w14:paraId="0C46E40F">
      <w:pPr>
        <w:ind w:firstLine="480"/>
        <w:rPr>
          <w:rStyle w:val="37"/>
          <w:rFonts w:hint="eastAsia" w:ascii="宋体" w:hAnsi="宋体" w:eastAsia="宋体" w:cs="宋体"/>
          <w:color w:val="auto"/>
          <w:sz w:val="24"/>
          <w:szCs w:val="24"/>
          <w:highlight w:val="none"/>
        </w:rPr>
      </w:pPr>
    </w:p>
    <w:p w14:paraId="2C834E7A">
      <w:pPr>
        <w:ind w:firstLine="480"/>
        <w:rPr>
          <w:rStyle w:val="37"/>
          <w:rFonts w:hint="eastAsia" w:ascii="宋体" w:hAnsi="宋体" w:eastAsia="宋体" w:cs="宋体"/>
          <w:color w:val="auto"/>
          <w:sz w:val="24"/>
          <w:szCs w:val="24"/>
          <w:highlight w:val="none"/>
        </w:rPr>
      </w:pPr>
    </w:p>
    <w:p w14:paraId="4FF33C66">
      <w:pPr>
        <w:ind w:firstLine="480"/>
        <w:rPr>
          <w:rStyle w:val="37"/>
          <w:rFonts w:hint="eastAsia" w:ascii="宋体" w:hAnsi="宋体" w:eastAsia="宋体" w:cs="宋体"/>
          <w:color w:val="auto"/>
          <w:sz w:val="24"/>
          <w:szCs w:val="24"/>
          <w:highlight w:val="none"/>
        </w:rPr>
      </w:pPr>
    </w:p>
    <w:p w14:paraId="27604283">
      <w:pPr>
        <w:ind w:firstLine="480"/>
        <w:rPr>
          <w:rStyle w:val="37"/>
          <w:rFonts w:hint="eastAsia" w:ascii="宋体" w:hAnsi="宋体" w:eastAsia="宋体" w:cs="宋体"/>
          <w:color w:val="auto"/>
          <w:sz w:val="24"/>
          <w:szCs w:val="24"/>
          <w:highlight w:val="none"/>
        </w:rPr>
      </w:pPr>
    </w:p>
    <w:p w14:paraId="273EA29C">
      <w:pPr>
        <w:ind w:firstLine="480"/>
        <w:rPr>
          <w:rStyle w:val="37"/>
          <w:rFonts w:hint="eastAsia" w:ascii="宋体" w:hAnsi="宋体" w:eastAsia="宋体" w:cs="宋体"/>
          <w:color w:val="auto"/>
          <w:sz w:val="24"/>
          <w:szCs w:val="24"/>
          <w:highlight w:val="none"/>
        </w:rPr>
      </w:pPr>
    </w:p>
    <w:p w14:paraId="7F8C8F59">
      <w:pPr>
        <w:ind w:firstLine="480"/>
        <w:rPr>
          <w:rFonts w:hint="eastAsia" w:ascii="宋体" w:hAnsi="宋体" w:eastAsia="宋体" w:cs="宋体"/>
          <w:color w:val="auto"/>
          <w:szCs w:val="24"/>
          <w:highlight w:val="none"/>
        </w:rPr>
      </w:pPr>
    </w:p>
    <w:p w14:paraId="35BEEBC4">
      <w:pPr>
        <w:pStyle w:val="5"/>
        <w:rPr>
          <w:rFonts w:hint="eastAsia" w:ascii="宋体" w:hAnsi="宋体" w:eastAsia="宋体" w:cs="宋体"/>
          <w:color w:val="auto"/>
          <w:highlight w:val="none"/>
        </w:rPr>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pPr>
      <w:bookmarkStart w:id="106" w:name="_Toc28168"/>
      <w:bookmarkStart w:id="107" w:name="_Toc508779710"/>
      <w:bookmarkStart w:id="108" w:name="_Toc514759054"/>
      <w:bookmarkStart w:id="109" w:name="_Toc511595194"/>
      <w:bookmarkStart w:id="110" w:name="_Toc394929417"/>
    </w:p>
    <w:p w14:paraId="651D6D23">
      <w:pPr>
        <w:bidi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廉政合同</w:t>
      </w:r>
      <w:bookmarkEnd w:id="106"/>
      <w:bookmarkEnd w:id="107"/>
      <w:bookmarkEnd w:id="108"/>
      <w:bookmarkEnd w:id="109"/>
      <w:bookmarkEnd w:id="110"/>
    </w:p>
    <w:p w14:paraId="3F4E47A8">
      <w:pPr>
        <w:jc w:val="center"/>
        <w:rPr>
          <w:rFonts w:hint="eastAsia" w:ascii="宋体" w:hAnsi="宋体" w:eastAsia="宋体" w:cs="宋体"/>
          <w:b/>
          <w:bCs/>
          <w:color w:val="auto"/>
          <w:sz w:val="24"/>
          <w:szCs w:val="24"/>
          <w:highlight w:val="none"/>
        </w:rPr>
      </w:pPr>
      <w:bookmarkStart w:id="111" w:name="_Toc394929418"/>
      <w:r>
        <w:rPr>
          <w:rFonts w:hint="eastAsia" w:ascii="宋体" w:hAnsi="宋体" w:eastAsia="宋体" w:cs="宋体"/>
          <w:b/>
          <w:bCs/>
          <w:color w:val="auto"/>
          <w:sz w:val="24"/>
          <w:szCs w:val="24"/>
          <w:highlight w:val="none"/>
        </w:rPr>
        <w:t>廉政合同</w:t>
      </w:r>
    </w:p>
    <w:p w14:paraId="75C79FDF">
      <w:pPr>
        <w:pStyle w:val="36"/>
        <w:shd w:val="clear" w:color="auto" w:fill="auto"/>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Style w:val="37"/>
          <w:rFonts w:hint="eastAsia" w:ascii="宋体" w:hAnsi="宋体" w:eastAsia="宋体" w:cs="宋体"/>
          <w:color w:val="auto"/>
          <w:sz w:val="21"/>
          <w:szCs w:val="21"/>
          <w:highlight w:val="none"/>
          <w:u w:val="single"/>
          <w:lang w:eastAsia="zh-CN"/>
        </w:rPr>
        <w:t xml:space="preserve">天等县杨湾至龙茗公路(K75-K85.556)生命安全防护工程  </w:t>
      </w:r>
      <w:r>
        <w:rPr>
          <w:rStyle w:val="37"/>
          <w:rFonts w:hint="eastAsia" w:ascii="宋体" w:hAnsi="宋体" w:eastAsia="宋体" w:cs="宋体"/>
          <w:color w:val="auto"/>
          <w:sz w:val="21"/>
          <w:szCs w:val="21"/>
          <w:highlight w:val="none"/>
        </w:rPr>
        <w:t>的项目法人</w:t>
      </w:r>
      <w:r>
        <w:rPr>
          <w:rStyle w:val="37"/>
          <w:rFonts w:hint="eastAsia" w:ascii="宋体" w:hAnsi="宋体" w:eastAsia="宋体" w:cs="宋体"/>
          <w:color w:val="auto"/>
          <w:sz w:val="21"/>
          <w:szCs w:val="21"/>
          <w:highlight w:val="none"/>
          <w:u w:val="single"/>
        </w:rPr>
        <w:t>天等县交通运输局</w:t>
      </w:r>
      <w:r>
        <w:rPr>
          <w:rStyle w:val="37"/>
          <w:rFonts w:hint="eastAsia" w:ascii="宋体" w:hAnsi="宋体" w:eastAsia="宋体" w:cs="宋体"/>
          <w:color w:val="auto"/>
          <w:sz w:val="21"/>
          <w:szCs w:val="21"/>
          <w:highlight w:val="none"/>
        </w:rPr>
        <w:t>(项目法人名称，以下简称“发包人”）与该项目标段的施工单位</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u w:val="single"/>
        </w:rPr>
        <w:t>(施工单位名称，以下简称“承包人”)</w:t>
      </w:r>
      <w:r>
        <w:rPr>
          <w:rStyle w:val="37"/>
          <w:rFonts w:hint="eastAsia" w:ascii="宋体" w:hAnsi="宋体" w:eastAsia="宋体" w:cs="宋体"/>
          <w:color w:val="auto"/>
          <w:sz w:val="21"/>
          <w:szCs w:val="21"/>
          <w:highlight w:val="none"/>
        </w:rPr>
        <w:t>，特订立如下合同。</w:t>
      </w:r>
    </w:p>
    <w:p w14:paraId="68EEDFA6">
      <w:pPr>
        <w:pStyle w:val="39"/>
        <w:keepNext/>
        <w:keepLines/>
        <w:shd w:val="clear" w:color="auto" w:fill="auto"/>
        <w:tabs>
          <w:tab w:val="left" w:pos="1178"/>
        </w:tabs>
        <w:spacing w:before="0" w:after="0" w:line="398" w:lineRule="exact"/>
        <w:ind w:firstLine="422" w:firstLineChars="200"/>
        <w:jc w:val="both"/>
        <w:outlineLvl w:val="9"/>
        <w:rPr>
          <w:rFonts w:hint="eastAsia" w:ascii="宋体" w:hAnsi="宋体" w:eastAsia="宋体" w:cs="宋体"/>
          <w:color w:val="auto"/>
          <w:spacing w:val="0"/>
          <w:sz w:val="21"/>
          <w:szCs w:val="21"/>
          <w:highlight w:val="none"/>
        </w:rPr>
      </w:pPr>
      <w:bookmarkStart w:id="112" w:name="bookmark188"/>
      <w:bookmarkStart w:id="113" w:name="_Toc514786909"/>
      <w:r>
        <w:rPr>
          <w:rStyle w:val="40"/>
          <w:rFonts w:hint="eastAsia" w:ascii="宋体" w:hAnsi="宋体" w:eastAsia="宋体" w:cs="宋体"/>
          <w:b/>
          <w:bCs/>
          <w:color w:val="auto"/>
          <w:sz w:val="21"/>
          <w:szCs w:val="21"/>
          <w:highlight w:val="none"/>
        </w:rPr>
        <w:t>1．发包人和承包人双方的权利和义务</w:t>
      </w:r>
      <w:bookmarkEnd w:id="112"/>
      <w:bookmarkEnd w:id="113"/>
    </w:p>
    <w:p w14:paraId="35CAB4C2">
      <w:pPr>
        <w:pStyle w:val="36"/>
        <w:numPr>
          <w:ilvl w:val="0"/>
          <w:numId w:val="0"/>
        </w:numPr>
        <w:shd w:val="clear" w:color="auto" w:fill="auto"/>
        <w:tabs>
          <w:tab w:val="left" w:pos="1386"/>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）严格遵守党的政策规定和国家有关法律法规及交通运输部的有关规定。</w:t>
      </w:r>
    </w:p>
    <w:p w14:paraId="6194FFBB">
      <w:pPr>
        <w:pStyle w:val="36"/>
        <w:numPr>
          <w:ilvl w:val="0"/>
          <w:numId w:val="0"/>
        </w:numPr>
        <w:shd w:val="clear" w:color="auto" w:fill="auto"/>
        <w:tabs>
          <w:tab w:val="left" w:leader="underscore" w:pos="3406"/>
          <w:tab w:val="left" w:leader="underscore" w:pos="5420"/>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u w:val="none"/>
          <w:lang w:val="en-US"/>
        </w:rPr>
        <w:t>（2）</w:t>
      </w:r>
      <w:r>
        <w:rPr>
          <w:rStyle w:val="37"/>
          <w:rFonts w:hint="eastAsia" w:ascii="宋体" w:hAnsi="宋体" w:eastAsia="宋体" w:cs="宋体"/>
          <w:color w:val="auto"/>
          <w:sz w:val="21"/>
          <w:szCs w:val="21"/>
          <w:highlight w:val="none"/>
          <w:u w:val="single"/>
          <w:lang w:val="en-US"/>
        </w:rPr>
        <w:t>承包人</w:t>
      </w:r>
      <w:r>
        <w:rPr>
          <w:rStyle w:val="37"/>
          <w:rFonts w:hint="eastAsia" w:ascii="宋体" w:hAnsi="宋体" w:eastAsia="宋体" w:cs="宋体"/>
          <w:color w:val="auto"/>
          <w:sz w:val="21"/>
          <w:szCs w:val="21"/>
          <w:highlight w:val="none"/>
        </w:rPr>
        <w:t xml:space="preserve"> 严格执行</w:t>
      </w:r>
      <w:r>
        <w:rPr>
          <w:rStyle w:val="37"/>
          <w:rFonts w:hint="eastAsia" w:ascii="宋体" w:hAnsi="宋体" w:eastAsia="宋体" w:cs="宋体"/>
          <w:color w:val="auto"/>
          <w:sz w:val="21"/>
          <w:szCs w:val="21"/>
          <w:highlight w:val="none"/>
          <w:u w:val="single"/>
          <w:lang w:eastAsia="zh-CN"/>
        </w:rPr>
        <w:t xml:space="preserve">天等县杨湾至龙茗公路(K75-K85.556)生命安全防护工程 </w:t>
      </w:r>
      <w:r>
        <w:rPr>
          <w:rStyle w:val="37"/>
          <w:rFonts w:hint="eastAsia" w:ascii="宋体" w:hAnsi="宋体" w:eastAsia="宋体" w:cs="宋体"/>
          <w:color w:val="auto"/>
          <w:sz w:val="21"/>
          <w:szCs w:val="21"/>
          <w:highlight w:val="none"/>
        </w:rPr>
        <w:t>施工合同文件，自觉按合同办事。</w:t>
      </w:r>
    </w:p>
    <w:p w14:paraId="21A9A47F">
      <w:pPr>
        <w:pStyle w:val="36"/>
        <w:numPr>
          <w:ilvl w:val="0"/>
          <w:numId w:val="0"/>
        </w:numPr>
        <w:shd w:val="clear" w:color="auto" w:fill="auto"/>
        <w:tabs>
          <w:tab w:val="left" w:pos="1273"/>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3</w:t>
      </w:r>
      <w:r>
        <w:rPr>
          <w:rStyle w:val="37"/>
          <w:rFonts w:hint="eastAsia" w:ascii="宋体" w:hAnsi="宋体" w:eastAsia="宋体" w:cs="宋体"/>
          <w:color w:val="auto"/>
          <w:sz w:val="21"/>
          <w:szCs w:val="21"/>
          <w:highlight w:val="none"/>
        </w:rPr>
        <w:t>）双方的业务活动坚持公开、公正、诚信、透明的原则（法律认定的商业秘密和合同文件另有规定除外），不得损害国家和集体利益，不得违反工程建设管理规章制度。</w:t>
      </w:r>
    </w:p>
    <w:p w14:paraId="7DCD16FA">
      <w:pPr>
        <w:pStyle w:val="36"/>
        <w:numPr>
          <w:ilvl w:val="0"/>
          <w:numId w:val="0"/>
        </w:numPr>
        <w:shd w:val="clear" w:color="auto" w:fill="auto"/>
        <w:tabs>
          <w:tab w:val="left" w:pos="1270"/>
        </w:tabs>
        <w:spacing w:before="0" w:line="398"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4</w:t>
      </w:r>
      <w:r>
        <w:rPr>
          <w:rStyle w:val="37"/>
          <w:rFonts w:hint="eastAsia" w:ascii="宋体" w:hAnsi="宋体" w:eastAsia="宋体" w:cs="宋体"/>
          <w:color w:val="auto"/>
          <w:sz w:val="21"/>
          <w:szCs w:val="21"/>
          <w:highlight w:val="none"/>
        </w:rPr>
        <w:t>）建立健全廉政制度，开展廉政教育，设立廉政告示牌，公布举报电话，监督并认真查处违法违纪行为。</w:t>
      </w:r>
    </w:p>
    <w:p w14:paraId="6C3303E6">
      <w:pPr>
        <w:pStyle w:val="36"/>
        <w:numPr>
          <w:ilvl w:val="0"/>
          <w:numId w:val="0"/>
        </w:numPr>
        <w:shd w:val="clear" w:color="auto" w:fill="auto"/>
        <w:tabs>
          <w:tab w:val="left" w:pos="1273"/>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5</w:t>
      </w:r>
      <w:r>
        <w:rPr>
          <w:rStyle w:val="37"/>
          <w:rFonts w:hint="eastAsia" w:ascii="宋体" w:hAnsi="宋体" w:eastAsia="宋体" w:cs="宋体"/>
          <w:color w:val="auto"/>
          <w:sz w:val="21"/>
          <w:szCs w:val="21"/>
          <w:highlight w:val="none"/>
        </w:rPr>
        <w:t>）发现对方在业务活动中有违反廉政规定的行为，有及时提醒对方纠正的权利和义务。</w:t>
      </w:r>
    </w:p>
    <w:p w14:paraId="59F84D5A">
      <w:pPr>
        <w:pStyle w:val="36"/>
        <w:numPr>
          <w:ilvl w:val="0"/>
          <w:numId w:val="0"/>
        </w:numPr>
        <w:shd w:val="clear" w:color="auto" w:fill="auto"/>
        <w:tabs>
          <w:tab w:val="left" w:pos="1270"/>
        </w:tabs>
        <w:spacing w:before="0" w:line="398"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6</w:t>
      </w:r>
      <w:r>
        <w:rPr>
          <w:rStyle w:val="37"/>
          <w:rFonts w:hint="eastAsia" w:ascii="宋体" w:hAnsi="宋体" w:eastAsia="宋体" w:cs="宋体"/>
          <w:color w:val="auto"/>
          <w:sz w:val="21"/>
          <w:szCs w:val="21"/>
          <w:highlight w:val="none"/>
        </w:rPr>
        <w:t>）发现对方严重违反本合同义务条款的行为，有向其上级有关部门举报、建议给予处理并要求告知处理结果的权利。</w:t>
      </w:r>
    </w:p>
    <w:p w14:paraId="465544CB">
      <w:pPr>
        <w:pStyle w:val="39"/>
        <w:keepNext/>
        <w:keepLines/>
        <w:shd w:val="clear" w:color="auto" w:fill="auto"/>
        <w:tabs>
          <w:tab w:val="left" w:pos="1178"/>
        </w:tabs>
        <w:spacing w:before="0" w:after="0" w:line="398" w:lineRule="exact"/>
        <w:ind w:firstLine="422" w:firstLineChars="200"/>
        <w:jc w:val="both"/>
        <w:outlineLvl w:val="9"/>
        <w:rPr>
          <w:rFonts w:hint="eastAsia" w:ascii="宋体" w:hAnsi="宋体" w:eastAsia="宋体" w:cs="宋体"/>
          <w:color w:val="auto"/>
          <w:spacing w:val="0"/>
          <w:sz w:val="21"/>
          <w:szCs w:val="21"/>
          <w:highlight w:val="none"/>
        </w:rPr>
      </w:pPr>
      <w:bookmarkStart w:id="114" w:name="_Toc514786910"/>
      <w:bookmarkStart w:id="115" w:name="bookmark189"/>
      <w:r>
        <w:rPr>
          <w:rStyle w:val="40"/>
          <w:rFonts w:hint="eastAsia" w:ascii="宋体" w:hAnsi="宋体" w:eastAsia="宋体" w:cs="宋体"/>
          <w:b/>
          <w:bCs/>
          <w:color w:val="auto"/>
          <w:sz w:val="21"/>
          <w:szCs w:val="21"/>
          <w:highlight w:val="none"/>
        </w:rPr>
        <w:t>2．发包人的义务</w:t>
      </w:r>
      <w:bookmarkEnd w:id="114"/>
      <w:bookmarkEnd w:id="115"/>
    </w:p>
    <w:p w14:paraId="576C5CBD">
      <w:pPr>
        <w:pStyle w:val="36"/>
        <w:shd w:val="clear" w:color="auto" w:fill="auto"/>
        <w:tabs>
          <w:tab w:val="left" w:pos="1251"/>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）发包人及其工作人员不得索要或接受承包人的礼金、有价证券和贵重物品，不得让承包人报销任何应由发包人或发包人工作人员个人支付的费用等。</w:t>
      </w:r>
    </w:p>
    <w:p w14:paraId="6BEC7CD3">
      <w:pPr>
        <w:pStyle w:val="36"/>
        <w:shd w:val="clear" w:color="auto" w:fill="auto"/>
        <w:tabs>
          <w:tab w:val="left" w:pos="1266"/>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（2）发包人工作人员不得参加承包人安排的超标准宴请和娱乐活动；不得接受承包人提供的通讯工具、交通工具和高档办公用品等。</w:t>
      </w:r>
    </w:p>
    <w:p w14:paraId="0B611ACC">
      <w:pPr>
        <w:pStyle w:val="36"/>
        <w:shd w:val="clear" w:color="auto" w:fill="auto"/>
        <w:tabs>
          <w:tab w:val="left" w:pos="1268"/>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（3）发包人及其工作人员不得要求或者接受承包人为其住房装修、婚丧嫁娶活动、配偶子女的工作安排以及出国出境、旅游等提供方便等。</w:t>
      </w:r>
    </w:p>
    <w:p w14:paraId="5169AB82">
      <w:pPr>
        <w:pStyle w:val="36"/>
        <w:shd w:val="clear" w:color="auto" w:fill="auto"/>
        <w:tabs>
          <w:tab w:val="left" w:pos="1270"/>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（4）发包人工作人员及其配偶、子女不得从事与发包人工程有关的材料设备供应、工程分包、劳务等经济活动等。</w:t>
      </w:r>
    </w:p>
    <w:p w14:paraId="37D346AE">
      <w:pPr>
        <w:pStyle w:val="36"/>
        <w:shd w:val="clear" w:color="auto" w:fill="auto"/>
        <w:tabs>
          <w:tab w:val="left" w:pos="1268"/>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（5）发包人及其工作人员不得以任何理由向承包人推荐分包单位或推销材料， 不得要求承包人购买合同规定外的材料和设备。</w:t>
      </w:r>
    </w:p>
    <w:p w14:paraId="6DC72F5E">
      <w:pPr>
        <w:pStyle w:val="36"/>
        <w:shd w:val="clear" w:color="auto" w:fill="auto"/>
        <w:tabs>
          <w:tab w:val="left" w:pos="1268"/>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（6）发包人工作人员要秉公办事，不准营私舞弊，不准利用职权从事各种个人有偿中介活动和安排个人施工队伍。</w:t>
      </w:r>
    </w:p>
    <w:p w14:paraId="0371DFFF">
      <w:pPr>
        <w:pStyle w:val="36"/>
        <w:shd w:val="clear" w:color="auto" w:fill="auto"/>
        <w:tabs>
          <w:tab w:val="left" w:pos="1268"/>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41"/>
          <w:rFonts w:hint="eastAsia" w:ascii="宋体" w:hAnsi="宋体" w:eastAsia="宋体" w:cs="宋体"/>
          <w:b w:val="0"/>
          <w:bCs w:val="0"/>
          <w:color w:val="auto"/>
          <w:sz w:val="21"/>
          <w:szCs w:val="21"/>
          <w:highlight w:val="none"/>
        </w:rPr>
        <w:t>3．承包人的义务</w:t>
      </w:r>
    </w:p>
    <w:p w14:paraId="348B9382">
      <w:pPr>
        <w:pStyle w:val="36"/>
        <w:numPr>
          <w:ilvl w:val="0"/>
          <w:numId w:val="0"/>
        </w:numPr>
        <w:shd w:val="clear" w:color="auto" w:fill="auto"/>
        <w:tabs>
          <w:tab w:val="left" w:pos="1275"/>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）承包人不得以任何理由向发包人及其工作人员行贿或馈赠礼金、有价证券、贵重礼品。</w:t>
      </w:r>
    </w:p>
    <w:p w14:paraId="690E0114">
      <w:pPr>
        <w:pStyle w:val="36"/>
        <w:numPr>
          <w:ilvl w:val="0"/>
          <w:numId w:val="0"/>
        </w:numPr>
        <w:shd w:val="clear" w:color="auto" w:fill="auto"/>
        <w:tabs>
          <w:tab w:val="left" w:pos="1270"/>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2</w:t>
      </w:r>
      <w:r>
        <w:rPr>
          <w:rStyle w:val="37"/>
          <w:rFonts w:hint="eastAsia" w:ascii="宋体" w:hAnsi="宋体" w:eastAsia="宋体" w:cs="宋体"/>
          <w:color w:val="auto"/>
          <w:sz w:val="21"/>
          <w:szCs w:val="21"/>
          <w:highlight w:val="none"/>
        </w:rPr>
        <w:t>）承包人不得以任何名义为发包人及其工作人员报销应由发包人单位或个人支付的任何费用。</w:t>
      </w:r>
    </w:p>
    <w:p w14:paraId="6948B15D">
      <w:pPr>
        <w:pStyle w:val="36"/>
        <w:numPr>
          <w:ilvl w:val="0"/>
          <w:numId w:val="0"/>
        </w:numPr>
        <w:shd w:val="clear" w:color="auto" w:fill="auto"/>
        <w:tabs>
          <w:tab w:val="left" w:pos="1389"/>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3</w:t>
      </w:r>
      <w:r>
        <w:rPr>
          <w:rStyle w:val="37"/>
          <w:rFonts w:hint="eastAsia" w:ascii="宋体" w:hAnsi="宋体" w:eastAsia="宋体" w:cs="宋体"/>
          <w:color w:val="auto"/>
          <w:sz w:val="21"/>
          <w:szCs w:val="21"/>
          <w:highlight w:val="none"/>
        </w:rPr>
        <w:t>）承包人不得以任何理由安排发包人工作人员参加超标准宴请及娱乐活动。</w:t>
      </w:r>
    </w:p>
    <w:p w14:paraId="3CF46143">
      <w:pPr>
        <w:pStyle w:val="36"/>
        <w:numPr>
          <w:ilvl w:val="0"/>
          <w:numId w:val="0"/>
        </w:numPr>
        <w:shd w:val="clear" w:color="auto" w:fill="auto"/>
        <w:tabs>
          <w:tab w:val="left" w:pos="1266"/>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4</w:t>
      </w:r>
      <w:r>
        <w:rPr>
          <w:rStyle w:val="37"/>
          <w:rFonts w:hint="eastAsia" w:ascii="宋体" w:hAnsi="宋体" w:eastAsia="宋体" w:cs="宋体"/>
          <w:color w:val="auto"/>
          <w:sz w:val="21"/>
          <w:szCs w:val="21"/>
          <w:highlight w:val="none"/>
        </w:rPr>
        <w:t>）承包人不得为发包人单位和个人购置或提供通信工具、交通工具和高档办公用品等。</w:t>
      </w:r>
    </w:p>
    <w:p w14:paraId="5FB49AC1">
      <w:pPr>
        <w:pStyle w:val="42"/>
        <w:shd w:val="clear" w:color="auto" w:fill="auto"/>
        <w:tabs>
          <w:tab w:val="left" w:pos="1154"/>
        </w:tabs>
        <w:spacing w:line="398" w:lineRule="exact"/>
        <w:ind w:firstLine="422" w:firstLineChars="200"/>
        <w:jc w:val="both"/>
        <w:rPr>
          <w:rFonts w:hint="eastAsia" w:ascii="宋体" w:hAnsi="宋体" w:eastAsia="宋体" w:cs="宋体"/>
          <w:color w:val="auto"/>
          <w:spacing w:val="0"/>
          <w:sz w:val="21"/>
          <w:szCs w:val="21"/>
          <w:highlight w:val="none"/>
        </w:rPr>
      </w:pPr>
      <w:r>
        <w:rPr>
          <w:rStyle w:val="41"/>
          <w:rFonts w:hint="eastAsia" w:ascii="宋体" w:hAnsi="宋体" w:eastAsia="宋体" w:cs="宋体"/>
          <w:b/>
          <w:bCs/>
          <w:color w:val="auto"/>
          <w:sz w:val="21"/>
          <w:szCs w:val="21"/>
          <w:highlight w:val="none"/>
        </w:rPr>
        <w:t>4．违约责任</w:t>
      </w:r>
    </w:p>
    <w:p w14:paraId="07E74C6C">
      <w:pPr>
        <w:pStyle w:val="36"/>
        <w:shd w:val="clear" w:color="auto" w:fill="auto"/>
        <w:tabs>
          <w:tab w:val="left" w:pos="1270"/>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（1）发包人及其工作人员违反本合同第1、2条，按管理权限，依据有关规定给予党纪、政纪或组织处理；涉嫌犯罪的，移交司法机关追究刑事责任；给承包人单位造成经济损失的，应予以赔偿。</w:t>
      </w:r>
    </w:p>
    <w:p w14:paraId="1E8D064F">
      <w:pPr>
        <w:pStyle w:val="36"/>
        <w:shd w:val="clear" w:color="auto" w:fill="auto"/>
        <w:tabs>
          <w:tab w:val="left" w:pos="1270"/>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 建设市场的处罚。</w:t>
      </w:r>
    </w:p>
    <w:p w14:paraId="5C36E736">
      <w:pPr>
        <w:pStyle w:val="36"/>
        <w:shd w:val="clear" w:color="auto" w:fill="auto"/>
        <w:tabs>
          <w:tab w:val="left" w:pos="975"/>
        </w:tabs>
        <w:spacing w:before="0" w:line="398"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6463742C">
      <w:pPr>
        <w:pStyle w:val="36"/>
        <w:shd w:val="clear" w:color="auto" w:fill="auto"/>
        <w:tabs>
          <w:tab w:val="left" w:pos="1154"/>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6．本合同有效期为发包人和承包人签署之日起至该工程项目竣工验收后止。</w:t>
      </w:r>
    </w:p>
    <w:p w14:paraId="347253E9">
      <w:pPr>
        <w:pStyle w:val="36"/>
        <w:shd w:val="clear" w:color="auto" w:fill="auto"/>
        <w:tabs>
          <w:tab w:val="left" w:leader="underscore" w:pos="3373"/>
          <w:tab w:val="left" w:leader="underscore" w:pos="5307"/>
        </w:tabs>
        <w:spacing w:before="0" w:line="398"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7． 本合同作为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u w:val="single"/>
          <w:lang w:eastAsia="zh-CN"/>
        </w:rPr>
        <w:t xml:space="preserve">天等县杨湾至龙茗公路(K75-K85.556)生命安全防护工程 </w:t>
      </w:r>
      <w:r>
        <w:rPr>
          <w:rStyle w:val="37"/>
          <w:rFonts w:hint="eastAsia" w:ascii="宋体" w:hAnsi="宋体" w:eastAsia="宋体" w:cs="宋体"/>
          <w:color w:val="auto"/>
          <w:sz w:val="21"/>
          <w:szCs w:val="21"/>
          <w:highlight w:val="none"/>
        </w:rPr>
        <w:t>施工合同的附件，与工程施工合同具有同等的法律效力，经合同双方签署后立即生效。</w:t>
      </w:r>
    </w:p>
    <w:p w14:paraId="548C7986">
      <w:pPr>
        <w:pStyle w:val="36"/>
        <w:shd w:val="clear" w:color="auto" w:fill="auto"/>
        <w:tabs>
          <w:tab w:val="left" w:pos="978"/>
        </w:tabs>
        <w:spacing w:before="0" w:line="398" w:lineRule="exact"/>
        <w:jc w:val="left"/>
        <w:rPr>
          <w:rFonts w:hint="eastAsia" w:ascii="宋体" w:hAnsi="宋体" w:eastAsia="宋体" w:cs="宋体"/>
          <w:color w:val="auto"/>
          <w:spacing w:val="0"/>
          <w:sz w:val="21"/>
          <w:szCs w:val="21"/>
          <w:highlight w:val="none"/>
        </w:rPr>
      </w:pPr>
    </w:p>
    <w:p w14:paraId="35CED3D3">
      <w:pPr>
        <w:pStyle w:val="36"/>
        <w:shd w:val="clear" w:color="auto" w:fill="auto"/>
        <w:tabs>
          <w:tab w:val="left" w:pos="978"/>
        </w:tabs>
        <w:spacing w:before="0" w:line="398" w:lineRule="exact"/>
        <w:jc w:val="left"/>
        <w:rPr>
          <w:rFonts w:hint="eastAsia" w:ascii="宋体" w:hAnsi="宋体" w:eastAsia="宋体" w:cs="宋体"/>
          <w:color w:val="auto"/>
          <w:spacing w:val="0"/>
          <w:sz w:val="21"/>
          <w:szCs w:val="21"/>
          <w:highlight w:val="none"/>
        </w:rPr>
      </w:pPr>
    </w:p>
    <w:p w14:paraId="19EC07C2">
      <w:pPr>
        <w:pStyle w:val="36"/>
        <w:shd w:val="clear" w:color="auto" w:fill="auto"/>
        <w:tabs>
          <w:tab w:val="left" w:leader="underscore" w:pos="2860"/>
        </w:tabs>
        <w:spacing w:before="0" w:line="600" w:lineRule="auto"/>
        <w:ind w:left="4760" w:hanging="4760" w:hangingChars="2800"/>
        <w:jc w:val="both"/>
        <w:rPr>
          <w:rFonts w:hint="eastAsia" w:ascii="宋体" w:hAnsi="宋体" w:eastAsia="宋体" w:cs="宋体"/>
          <w:color w:val="auto"/>
          <w:sz w:val="21"/>
          <w:szCs w:val="21"/>
          <w:highlight w:val="none"/>
        </w:rPr>
      </w:pPr>
      <w:r>
        <w:rPr>
          <w:rStyle w:val="43"/>
          <w:rFonts w:hint="eastAsia" w:ascii="宋体" w:hAnsi="宋体" w:eastAsia="宋体" w:cs="宋体"/>
          <w:i w:val="0"/>
          <w:color w:val="auto"/>
          <w:sz w:val="21"/>
          <w:szCs w:val="21"/>
          <w:highlight w:val="none"/>
        </w:rPr>
        <w:t>发包人：</w:t>
      </w:r>
      <w:r>
        <w:rPr>
          <w:rStyle w:val="44"/>
          <w:rFonts w:hint="eastAsia" w:ascii="宋体" w:hAnsi="宋体" w:eastAsia="宋体" w:cs="宋体"/>
          <w:i/>
          <w:color w:val="auto"/>
          <w:sz w:val="21"/>
          <w:szCs w:val="21"/>
          <w:highlight w:val="none"/>
          <w:u w:val="single"/>
        </w:rPr>
        <w:t xml:space="preserve"> </w:t>
      </w:r>
      <w:r>
        <w:rPr>
          <w:rStyle w:val="44"/>
          <w:rFonts w:hint="eastAsia" w:ascii="宋体" w:hAnsi="宋体" w:eastAsia="宋体" w:cs="宋体"/>
          <w:color w:val="auto"/>
          <w:sz w:val="21"/>
          <w:szCs w:val="21"/>
          <w:highlight w:val="none"/>
          <w:u w:val="single"/>
          <w:lang w:val="en-US"/>
        </w:rPr>
        <w:t>天等县交通运输局</w:t>
      </w:r>
      <w:r>
        <w:rPr>
          <w:rStyle w:val="44"/>
          <w:rFonts w:hint="eastAsia" w:ascii="宋体" w:hAnsi="宋体" w:eastAsia="宋体" w:cs="宋体"/>
          <w:color w:val="auto"/>
          <w:sz w:val="21"/>
          <w:szCs w:val="21"/>
          <w:highlight w:val="none"/>
          <w:u w:val="single"/>
        </w:rPr>
        <w:t xml:space="preserve"> </w:t>
      </w:r>
      <w:r>
        <w:rPr>
          <w:rStyle w:val="44"/>
          <w:rFonts w:hint="eastAsia" w:ascii="宋体" w:hAnsi="宋体" w:eastAsia="宋体" w:cs="宋体"/>
          <w:color w:val="auto"/>
          <w:sz w:val="21"/>
          <w:szCs w:val="21"/>
          <w:highlight w:val="none"/>
          <w:u w:val="single"/>
          <w:lang w:val="en-US"/>
        </w:rPr>
        <w:t xml:space="preserve"> </w:t>
      </w:r>
      <w:r>
        <w:rPr>
          <w:rStyle w:val="43"/>
          <w:rFonts w:hint="eastAsia" w:ascii="宋体" w:hAnsi="宋体" w:eastAsia="宋体" w:cs="宋体"/>
          <w:i w:val="0"/>
          <w:color w:val="auto"/>
          <w:sz w:val="21"/>
          <w:szCs w:val="21"/>
          <w:highlight w:val="none"/>
          <w:u w:val="single"/>
          <w:lang w:val="en-US"/>
        </w:rPr>
        <w:t xml:space="preserve"> </w:t>
      </w:r>
      <w:r>
        <w:rPr>
          <w:rStyle w:val="44"/>
          <w:rFonts w:hint="eastAsia" w:ascii="宋体" w:hAnsi="宋体" w:eastAsia="宋体" w:cs="宋体"/>
          <w:color w:val="auto"/>
          <w:sz w:val="21"/>
          <w:szCs w:val="21"/>
          <w:highlight w:val="none"/>
        </w:rPr>
        <w:t>(盖章）     承包人：</w:t>
      </w:r>
      <w:r>
        <w:rPr>
          <w:rStyle w:val="37"/>
          <w:rFonts w:hint="eastAsia" w:ascii="宋体" w:hAnsi="宋体" w:eastAsia="宋体" w:cs="宋体"/>
          <w:color w:val="auto"/>
          <w:sz w:val="21"/>
          <w:szCs w:val="21"/>
          <w:highlight w:val="none"/>
          <w:u w:val="single"/>
          <w:lang w:val="en-US"/>
        </w:rPr>
        <w:t xml:space="preserve">                   </w:t>
      </w:r>
      <w:r>
        <w:rPr>
          <w:rStyle w:val="44"/>
          <w:rFonts w:hint="eastAsia" w:ascii="宋体" w:hAnsi="宋体" w:eastAsia="宋体" w:cs="宋体"/>
          <w:color w:val="auto"/>
          <w:sz w:val="21"/>
          <w:szCs w:val="21"/>
          <w:highlight w:val="none"/>
        </w:rPr>
        <w:t>(盖章）</w:t>
      </w:r>
    </w:p>
    <w:p w14:paraId="366E6003">
      <w:pPr>
        <w:pStyle w:val="36"/>
        <w:shd w:val="clear" w:color="auto" w:fill="auto"/>
        <w:tabs>
          <w:tab w:val="left" w:leader="underscore" w:pos="2153"/>
          <w:tab w:val="left" w:leader="underscore" w:pos="2993"/>
          <w:tab w:val="left" w:leader="underscore" w:pos="3833"/>
        </w:tabs>
        <w:spacing w:before="0" w:line="600" w:lineRule="auto"/>
        <w:jc w:val="left"/>
        <w:rPr>
          <w:rStyle w:val="44"/>
          <w:rFonts w:hint="eastAsia" w:ascii="宋体" w:hAnsi="宋体" w:eastAsia="宋体" w:cs="宋体"/>
          <w:color w:val="auto"/>
          <w:sz w:val="21"/>
          <w:szCs w:val="21"/>
          <w:highlight w:val="none"/>
        </w:rPr>
      </w:pPr>
      <w:r>
        <w:rPr>
          <w:rStyle w:val="44"/>
          <w:rFonts w:hint="eastAsia" w:ascii="宋体" w:hAnsi="宋体" w:eastAsia="宋体" w:cs="宋体"/>
          <w:color w:val="auto"/>
          <w:sz w:val="21"/>
          <w:szCs w:val="21"/>
          <w:highlight w:val="none"/>
        </w:rPr>
        <w:t>法定代表人或其委托代理人：</w:t>
      </w:r>
      <w:r>
        <w:rPr>
          <w:rStyle w:val="44"/>
          <w:rFonts w:hint="eastAsia" w:ascii="宋体" w:hAnsi="宋体" w:eastAsia="宋体" w:cs="宋体"/>
          <w:color w:val="auto"/>
          <w:sz w:val="21"/>
          <w:szCs w:val="21"/>
          <w:highlight w:val="none"/>
          <w:u w:val="single"/>
        </w:rPr>
        <w:t xml:space="preserve">   </w:t>
      </w:r>
      <w:r>
        <w:rPr>
          <w:rStyle w:val="44"/>
          <w:rFonts w:hint="eastAsia" w:ascii="宋体" w:hAnsi="宋体" w:eastAsia="宋体" w:cs="宋体"/>
          <w:color w:val="auto"/>
          <w:sz w:val="21"/>
          <w:szCs w:val="21"/>
          <w:highlight w:val="none"/>
          <w:u w:val="single"/>
          <w:lang w:val="en-US"/>
        </w:rPr>
        <w:t xml:space="preserve">   </w:t>
      </w:r>
      <w:r>
        <w:rPr>
          <w:rStyle w:val="44"/>
          <w:rFonts w:hint="eastAsia" w:ascii="宋体" w:hAnsi="宋体" w:eastAsia="宋体" w:cs="宋体"/>
          <w:color w:val="auto"/>
          <w:sz w:val="21"/>
          <w:szCs w:val="21"/>
          <w:highlight w:val="none"/>
          <w:u w:val="single"/>
        </w:rPr>
        <w:t xml:space="preserve"> </w:t>
      </w:r>
      <w:r>
        <w:rPr>
          <w:rStyle w:val="44"/>
          <w:rFonts w:hint="eastAsia" w:ascii="宋体" w:hAnsi="宋体" w:eastAsia="宋体" w:cs="宋体"/>
          <w:color w:val="auto"/>
          <w:sz w:val="21"/>
          <w:szCs w:val="21"/>
          <w:highlight w:val="none"/>
          <w:u w:val="single"/>
          <w:lang w:val="en-US"/>
        </w:rPr>
        <w:t xml:space="preserve"> </w:t>
      </w:r>
      <w:r>
        <w:rPr>
          <w:rStyle w:val="44"/>
          <w:rFonts w:hint="eastAsia" w:ascii="宋体" w:hAnsi="宋体" w:eastAsia="宋体" w:cs="宋体"/>
          <w:color w:val="auto"/>
          <w:sz w:val="21"/>
          <w:szCs w:val="21"/>
          <w:highlight w:val="none"/>
        </w:rPr>
        <w:t>(签字) 法定代表人或其委托代理人：</w:t>
      </w:r>
      <w:r>
        <w:rPr>
          <w:rStyle w:val="44"/>
          <w:rFonts w:hint="eastAsia" w:ascii="宋体" w:hAnsi="宋体" w:eastAsia="宋体" w:cs="宋体"/>
          <w:color w:val="auto"/>
          <w:sz w:val="21"/>
          <w:szCs w:val="21"/>
          <w:highlight w:val="none"/>
          <w:u w:val="single"/>
        </w:rPr>
        <w:t xml:space="preserve">   </w:t>
      </w:r>
      <w:r>
        <w:rPr>
          <w:rStyle w:val="44"/>
          <w:rFonts w:hint="eastAsia" w:ascii="宋体" w:hAnsi="宋体" w:eastAsia="宋体" w:cs="宋体"/>
          <w:color w:val="auto"/>
          <w:sz w:val="21"/>
          <w:szCs w:val="21"/>
          <w:highlight w:val="none"/>
          <w:u w:val="single"/>
          <w:lang w:val="en-US"/>
        </w:rPr>
        <w:t xml:space="preserve">    </w:t>
      </w:r>
      <w:r>
        <w:rPr>
          <w:rStyle w:val="44"/>
          <w:rFonts w:hint="eastAsia" w:ascii="宋体" w:hAnsi="宋体" w:eastAsia="宋体" w:cs="宋体"/>
          <w:color w:val="auto"/>
          <w:sz w:val="21"/>
          <w:szCs w:val="21"/>
          <w:highlight w:val="none"/>
          <w:u w:val="single"/>
        </w:rPr>
        <w:t xml:space="preserve"> </w:t>
      </w:r>
      <w:r>
        <w:rPr>
          <w:rStyle w:val="44"/>
          <w:rFonts w:hint="eastAsia" w:ascii="宋体" w:hAnsi="宋体" w:eastAsia="宋体" w:cs="宋体"/>
          <w:color w:val="auto"/>
          <w:sz w:val="21"/>
          <w:szCs w:val="21"/>
          <w:highlight w:val="none"/>
        </w:rPr>
        <w:t>(签字)</w:t>
      </w:r>
    </w:p>
    <w:p w14:paraId="5AA198C4">
      <w:pPr>
        <w:pStyle w:val="36"/>
        <w:shd w:val="clear" w:color="auto" w:fill="auto"/>
        <w:tabs>
          <w:tab w:val="left" w:leader="underscore" w:pos="2153"/>
          <w:tab w:val="left" w:leader="underscore" w:pos="2993"/>
          <w:tab w:val="left" w:leader="underscore" w:pos="3833"/>
        </w:tabs>
        <w:spacing w:before="0" w:line="600" w:lineRule="auto"/>
        <w:ind w:right="660" w:firstLine="210" w:firstLineChars="100"/>
        <w:jc w:val="left"/>
        <w:rPr>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lang w:val="en-US"/>
        </w:rPr>
        <w:t>2025年10月31日</w:t>
      </w:r>
      <w:r>
        <w:rPr>
          <w:rStyle w:val="44"/>
          <w:rFonts w:hint="eastAsia" w:ascii="宋体" w:hAnsi="宋体" w:eastAsia="宋体" w:cs="宋体"/>
          <w:color w:val="auto"/>
          <w:spacing w:val="20"/>
          <w:sz w:val="21"/>
          <w:szCs w:val="21"/>
          <w:highlight w:val="none"/>
        </w:rPr>
        <w:t xml:space="preserve">               </w:t>
      </w:r>
      <w:r>
        <w:rPr>
          <w:rStyle w:val="44"/>
          <w:rFonts w:hint="eastAsia" w:ascii="宋体" w:hAnsi="宋体" w:eastAsia="宋体" w:cs="宋体"/>
          <w:color w:val="auto"/>
          <w:spacing w:val="20"/>
          <w:sz w:val="21"/>
          <w:szCs w:val="21"/>
          <w:highlight w:val="none"/>
          <w:lang w:val="en-US"/>
        </w:rPr>
        <w:t xml:space="preserve">  </w:t>
      </w:r>
      <w:r>
        <w:rPr>
          <w:rStyle w:val="37"/>
          <w:rFonts w:hint="eastAsia" w:ascii="宋体" w:hAnsi="宋体" w:eastAsia="宋体" w:cs="宋体"/>
          <w:color w:val="auto"/>
          <w:sz w:val="21"/>
          <w:szCs w:val="21"/>
          <w:highlight w:val="none"/>
          <w:lang w:val="en-US"/>
        </w:rPr>
        <w:t>2025年10月31日</w:t>
      </w:r>
    </w:p>
    <w:p w14:paraId="0B39D237">
      <w:pPr>
        <w:bidi w:val="0"/>
        <w:rPr>
          <w:rFonts w:hint="eastAsia" w:ascii="宋体" w:hAnsi="宋体" w:eastAsia="宋体" w:cs="宋体"/>
          <w:color w:val="auto"/>
          <w:sz w:val="24"/>
          <w:szCs w:val="24"/>
          <w:highlight w:val="none"/>
        </w:rPr>
      </w:pPr>
      <w:bookmarkStart w:id="116" w:name="_Toc511595195"/>
      <w:bookmarkStart w:id="117" w:name="_Toc428"/>
      <w:bookmarkStart w:id="118" w:name="_Toc508779711"/>
      <w:r>
        <w:rPr>
          <w:rFonts w:hint="eastAsia" w:ascii="宋体" w:hAnsi="宋体" w:eastAsia="宋体" w:cs="宋体"/>
          <w:color w:val="auto"/>
          <w:sz w:val="21"/>
          <w:szCs w:val="21"/>
          <w:highlight w:val="none"/>
        </w:rPr>
        <w:br w:type="page"/>
      </w:r>
      <w:bookmarkStart w:id="119" w:name="_Toc514759055"/>
      <w:r>
        <w:rPr>
          <w:rFonts w:hint="eastAsia" w:ascii="宋体" w:hAnsi="宋体" w:eastAsia="宋体" w:cs="宋体"/>
          <w:b/>
          <w:bCs/>
          <w:color w:val="auto"/>
          <w:sz w:val="28"/>
          <w:szCs w:val="28"/>
          <w:highlight w:val="none"/>
        </w:rPr>
        <w:t>三</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安全生产合同</w:t>
      </w:r>
      <w:bookmarkEnd w:id="111"/>
      <w:bookmarkEnd w:id="116"/>
      <w:bookmarkEnd w:id="117"/>
      <w:bookmarkEnd w:id="118"/>
      <w:bookmarkEnd w:id="119"/>
    </w:p>
    <w:p w14:paraId="17C556F3">
      <w:pPr>
        <w:pStyle w:val="45"/>
        <w:keepNext/>
        <w:keepLines/>
        <w:shd w:val="clear" w:color="auto" w:fill="auto"/>
        <w:spacing w:before="0" w:after="388" w:line="260" w:lineRule="exact"/>
        <w:ind w:firstLine="420"/>
        <w:outlineLvl w:val="9"/>
        <w:rPr>
          <w:rFonts w:hint="eastAsia" w:ascii="宋体" w:hAnsi="宋体" w:eastAsia="宋体" w:cs="宋体"/>
          <w:b/>
          <w:bCs/>
          <w:color w:val="auto"/>
          <w:spacing w:val="0"/>
          <w:highlight w:val="none"/>
        </w:rPr>
      </w:pPr>
      <w:bookmarkStart w:id="120" w:name="_Toc514786912"/>
      <w:bookmarkStart w:id="121" w:name="bookmark191"/>
      <w:r>
        <w:rPr>
          <w:rStyle w:val="46"/>
          <w:rFonts w:hint="eastAsia" w:ascii="宋体" w:hAnsi="宋体" w:eastAsia="宋体" w:cs="宋体"/>
          <w:b/>
          <w:bCs/>
          <w:color w:val="auto"/>
          <w:spacing w:val="0"/>
          <w:highlight w:val="none"/>
        </w:rPr>
        <w:t>安全生产合同</w:t>
      </w:r>
      <w:bookmarkEnd w:id="120"/>
      <w:bookmarkEnd w:id="121"/>
    </w:p>
    <w:p w14:paraId="16CE9ACF">
      <w:pPr>
        <w:pStyle w:val="36"/>
        <w:shd w:val="clear" w:color="auto" w:fill="auto"/>
        <w:tabs>
          <w:tab w:val="left" w:leader="underscore" w:pos="2726"/>
          <w:tab w:val="left" w:leader="underscore" w:pos="4730"/>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为在</w:t>
      </w:r>
      <w:r>
        <w:rPr>
          <w:rStyle w:val="37"/>
          <w:rFonts w:hint="eastAsia" w:ascii="宋体" w:hAnsi="宋体" w:eastAsia="宋体" w:cs="宋体"/>
          <w:color w:val="auto"/>
          <w:sz w:val="21"/>
          <w:szCs w:val="21"/>
          <w:highlight w:val="none"/>
          <w:u w:val="single"/>
          <w:lang w:eastAsia="zh-CN"/>
        </w:rPr>
        <w:t>天等县杨湾至龙茗公路(K75-K85.556)生命安全防护工程</w:t>
      </w:r>
      <w:r>
        <w:rPr>
          <w:rStyle w:val="37"/>
          <w:rFonts w:hint="eastAsia" w:ascii="宋体" w:hAnsi="宋体" w:eastAsia="宋体" w:cs="宋体"/>
          <w:color w:val="auto"/>
          <w:sz w:val="21"/>
          <w:szCs w:val="21"/>
          <w:highlight w:val="none"/>
        </w:rPr>
        <w:t>施工合同的实施过程中创造安全、高效的施工环境，切实搞好本项目的安全管理工作，本项目发包人</w:t>
      </w:r>
      <w:r>
        <w:rPr>
          <w:rStyle w:val="37"/>
          <w:rFonts w:hint="eastAsia" w:ascii="宋体" w:hAnsi="宋体" w:eastAsia="宋体" w:cs="宋体"/>
          <w:color w:val="auto"/>
          <w:sz w:val="21"/>
          <w:szCs w:val="21"/>
          <w:highlight w:val="none"/>
          <w:u w:val="single"/>
        </w:rPr>
        <w:t>天等县交通运输局</w:t>
      </w:r>
      <w:r>
        <w:rPr>
          <w:rStyle w:val="37"/>
          <w:rFonts w:hint="eastAsia" w:ascii="宋体" w:hAnsi="宋体" w:eastAsia="宋体" w:cs="宋体"/>
          <w:color w:val="auto"/>
          <w:sz w:val="21"/>
          <w:szCs w:val="21"/>
          <w:highlight w:val="none"/>
        </w:rPr>
        <w:t>(发包人名称，以下简称“发包人”）与承包人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(承包人名称，以下简称“承包人”）特此签订安全生产合同：</w:t>
      </w:r>
    </w:p>
    <w:p w14:paraId="28D0CEAC">
      <w:pPr>
        <w:pStyle w:val="39"/>
        <w:keepNext/>
        <w:keepLines/>
        <w:shd w:val="clear" w:color="auto" w:fill="auto"/>
        <w:tabs>
          <w:tab w:val="left" w:pos="994"/>
        </w:tabs>
        <w:spacing w:before="0" w:after="0" w:line="389" w:lineRule="exact"/>
        <w:ind w:firstLine="422" w:firstLineChars="200"/>
        <w:jc w:val="both"/>
        <w:outlineLvl w:val="9"/>
        <w:rPr>
          <w:rFonts w:hint="eastAsia" w:ascii="宋体" w:hAnsi="宋体" w:eastAsia="宋体" w:cs="宋体"/>
          <w:color w:val="auto"/>
          <w:spacing w:val="0"/>
          <w:sz w:val="21"/>
          <w:szCs w:val="21"/>
          <w:highlight w:val="none"/>
        </w:rPr>
      </w:pPr>
      <w:bookmarkStart w:id="122" w:name="_Toc514786913"/>
      <w:bookmarkStart w:id="123" w:name="bookmark192"/>
      <w:r>
        <w:rPr>
          <w:rStyle w:val="40"/>
          <w:rFonts w:hint="eastAsia" w:ascii="宋体" w:hAnsi="宋体" w:eastAsia="宋体" w:cs="宋体"/>
          <w:b/>
          <w:bCs/>
          <w:color w:val="auto"/>
          <w:sz w:val="21"/>
          <w:szCs w:val="21"/>
          <w:highlight w:val="none"/>
        </w:rPr>
        <w:t>1．发包人职责</w:t>
      </w:r>
      <w:bookmarkEnd w:id="122"/>
      <w:bookmarkEnd w:id="123"/>
    </w:p>
    <w:p w14:paraId="113D9C3D">
      <w:pPr>
        <w:pStyle w:val="36"/>
        <w:numPr>
          <w:ilvl w:val="0"/>
          <w:numId w:val="0"/>
        </w:numPr>
        <w:shd w:val="clear" w:color="auto" w:fill="auto"/>
        <w:tabs>
          <w:tab w:val="left" w:pos="1268"/>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）严格遵守国家有关安全生产的法律法规，认真执行工程承包合同中的有关安全要求。</w:t>
      </w:r>
    </w:p>
    <w:p w14:paraId="689BA7FF">
      <w:pPr>
        <w:pStyle w:val="36"/>
        <w:numPr>
          <w:ilvl w:val="0"/>
          <w:numId w:val="0"/>
        </w:numPr>
        <w:shd w:val="clear" w:color="auto" w:fill="auto"/>
        <w:tabs>
          <w:tab w:val="left" w:pos="1273"/>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2</w:t>
      </w:r>
      <w:r>
        <w:rPr>
          <w:rStyle w:val="37"/>
          <w:rFonts w:hint="eastAsia" w:ascii="宋体" w:hAnsi="宋体" w:eastAsia="宋体" w:cs="宋体"/>
          <w:color w:val="auto"/>
          <w:sz w:val="21"/>
          <w:szCs w:val="21"/>
          <w:highlight w:val="none"/>
        </w:rPr>
        <w:t>）按照“安全第一、预防为主”和坚持“管生产必须管安全”的原则进行安全生产管理，做到生产与安全工作同时计划、布置、检查、总结和评比。</w:t>
      </w:r>
    </w:p>
    <w:p w14:paraId="0FCE3A44">
      <w:pPr>
        <w:pStyle w:val="36"/>
        <w:numPr>
          <w:ilvl w:val="0"/>
          <w:numId w:val="0"/>
        </w:numPr>
        <w:shd w:val="clear" w:color="auto" w:fill="auto"/>
        <w:tabs>
          <w:tab w:val="left" w:pos="1263"/>
        </w:tabs>
        <w:spacing w:before="0" w:line="389"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3</w:t>
      </w:r>
      <w:r>
        <w:rPr>
          <w:rStyle w:val="37"/>
          <w:rFonts w:hint="eastAsia" w:ascii="宋体" w:hAnsi="宋体" w:eastAsia="宋体" w:cs="宋体"/>
          <w:color w:val="auto"/>
          <w:sz w:val="21"/>
          <w:szCs w:val="21"/>
          <w:highlight w:val="none"/>
        </w:rPr>
        <w:t>）重要的安全设施必须坚持与主体工程“三同时”的原则：同时设计、审批，同时施工，同时验收，投入使用。</w:t>
      </w:r>
    </w:p>
    <w:p w14:paraId="03B74BB4">
      <w:pPr>
        <w:pStyle w:val="36"/>
        <w:numPr>
          <w:ilvl w:val="0"/>
          <w:numId w:val="0"/>
        </w:numPr>
        <w:shd w:val="clear" w:color="auto" w:fill="auto"/>
        <w:tabs>
          <w:tab w:val="left" w:pos="1311"/>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4</w:t>
      </w:r>
      <w:r>
        <w:rPr>
          <w:rStyle w:val="37"/>
          <w:rFonts w:hint="eastAsia" w:ascii="宋体" w:hAnsi="宋体" w:eastAsia="宋体" w:cs="宋体"/>
          <w:color w:val="auto"/>
          <w:sz w:val="21"/>
          <w:szCs w:val="21"/>
          <w:highlight w:val="none"/>
        </w:rPr>
        <w:t>）定期召开安全生产调度会，及时传达中央及地方有关安全生产的精神。</w:t>
      </w:r>
    </w:p>
    <w:p w14:paraId="39AB6031">
      <w:pPr>
        <w:pStyle w:val="36"/>
        <w:numPr>
          <w:ilvl w:val="0"/>
          <w:numId w:val="0"/>
        </w:numPr>
        <w:shd w:val="clear" w:color="auto" w:fill="auto"/>
        <w:tabs>
          <w:tab w:val="left" w:pos="1273"/>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5</w:t>
      </w:r>
      <w:r>
        <w:rPr>
          <w:rStyle w:val="37"/>
          <w:rFonts w:hint="eastAsia" w:ascii="宋体" w:hAnsi="宋体" w:eastAsia="宋体" w:cs="宋体"/>
          <w:color w:val="auto"/>
          <w:sz w:val="21"/>
          <w:szCs w:val="21"/>
          <w:highlight w:val="none"/>
        </w:rPr>
        <w:t>）组织对承包人施工现场进行安全生产检查，监督承包人及时处理发现的各种安全隐患。</w:t>
      </w:r>
    </w:p>
    <w:p w14:paraId="3E99D198">
      <w:pPr>
        <w:pStyle w:val="39"/>
        <w:keepNext/>
        <w:keepLines/>
        <w:shd w:val="clear" w:color="auto" w:fill="auto"/>
        <w:tabs>
          <w:tab w:val="left" w:pos="1018"/>
        </w:tabs>
        <w:spacing w:before="0" w:after="0" w:line="389" w:lineRule="exact"/>
        <w:ind w:firstLine="422" w:firstLineChars="200"/>
        <w:jc w:val="both"/>
        <w:outlineLvl w:val="9"/>
        <w:rPr>
          <w:rFonts w:hint="eastAsia" w:ascii="宋体" w:hAnsi="宋体" w:eastAsia="宋体" w:cs="宋体"/>
          <w:color w:val="auto"/>
          <w:spacing w:val="0"/>
          <w:sz w:val="21"/>
          <w:szCs w:val="21"/>
          <w:highlight w:val="none"/>
        </w:rPr>
      </w:pPr>
      <w:bookmarkStart w:id="124" w:name="bookmark193"/>
      <w:bookmarkStart w:id="125" w:name="_Toc514786914"/>
      <w:r>
        <w:rPr>
          <w:rStyle w:val="40"/>
          <w:rFonts w:hint="eastAsia" w:ascii="宋体" w:hAnsi="宋体" w:eastAsia="宋体" w:cs="宋体"/>
          <w:b/>
          <w:bCs/>
          <w:color w:val="auto"/>
          <w:sz w:val="21"/>
          <w:szCs w:val="21"/>
          <w:highlight w:val="none"/>
        </w:rPr>
        <w:t>2．承包人职责</w:t>
      </w:r>
      <w:bookmarkEnd w:id="124"/>
      <w:bookmarkEnd w:id="125"/>
    </w:p>
    <w:p w14:paraId="447AC761">
      <w:pPr>
        <w:pStyle w:val="36"/>
        <w:numPr>
          <w:ilvl w:val="0"/>
          <w:numId w:val="0"/>
        </w:numPr>
        <w:shd w:val="clear" w:color="auto" w:fill="auto"/>
        <w:tabs>
          <w:tab w:val="left" w:pos="1270"/>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w:t>
      </w:r>
      <w:r>
        <w:rPr>
          <w:rStyle w:val="37"/>
          <w:rFonts w:hint="eastAsia" w:ascii="宋体" w:hAnsi="宋体" w:eastAsia="宋体" w:cs="宋体"/>
          <w:color w:val="auto"/>
          <w:sz w:val="21"/>
          <w:szCs w:val="21"/>
          <w:highlight w:val="none"/>
        </w:rPr>
        <w:t>）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25F0B955">
      <w:pPr>
        <w:pStyle w:val="36"/>
        <w:numPr>
          <w:ilvl w:val="0"/>
          <w:numId w:val="0"/>
        </w:numPr>
        <w:shd w:val="clear" w:color="auto" w:fill="auto"/>
        <w:tabs>
          <w:tab w:val="left" w:pos="1275"/>
        </w:tabs>
        <w:spacing w:before="0" w:line="389"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2</w:t>
      </w:r>
      <w:r>
        <w:rPr>
          <w:rStyle w:val="37"/>
          <w:rFonts w:hint="eastAsia" w:ascii="宋体" w:hAnsi="宋体" w:eastAsia="宋体" w:cs="宋体"/>
          <w:color w:val="auto"/>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167D325">
      <w:pPr>
        <w:pStyle w:val="36"/>
        <w:numPr>
          <w:ilvl w:val="0"/>
          <w:numId w:val="0"/>
        </w:numPr>
        <w:shd w:val="clear" w:color="auto" w:fill="auto"/>
        <w:tabs>
          <w:tab w:val="left" w:pos="1275"/>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3</w:t>
      </w:r>
      <w:r>
        <w:rPr>
          <w:rStyle w:val="37"/>
          <w:rFonts w:hint="eastAsia" w:ascii="宋体" w:hAnsi="宋体" w:eastAsia="宋体" w:cs="宋体"/>
          <w:color w:val="auto"/>
          <w:sz w:val="21"/>
          <w:szCs w:val="21"/>
          <w:highlight w:val="none"/>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 护性措施防止事故发生。</w:t>
      </w:r>
    </w:p>
    <w:p w14:paraId="71F0FC81">
      <w:pPr>
        <w:pStyle w:val="36"/>
        <w:numPr>
          <w:ilvl w:val="0"/>
          <w:numId w:val="0"/>
        </w:numPr>
        <w:shd w:val="clear" w:color="auto" w:fill="auto"/>
        <w:tabs>
          <w:tab w:val="left" w:pos="531"/>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5</w:t>
      </w:r>
      <w:r>
        <w:rPr>
          <w:rStyle w:val="37"/>
          <w:rFonts w:hint="eastAsia" w:ascii="宋体" w:hAnsi="宋体" w:eastAsia="宋体" w:cs="宋体"/>
          <w:color w:val="auto"/>
          <w:sz w:val="21"/>
          <w:szCs w:val="21"/>
          <w:highlight w:val="none"/>
        </w:rPr>
        <w:t>）承包人在任何时候都应采取各种合理的预防措施，防止其员工发生任何违法、违禁、暴力或妨碍治安的行为。</w:t>
      </w:r>
    </w:p>
    <w:p w14:paraId="11E050A5">
      <w:pPr>
        <w:pStyle w:val="36"/>
        <w:numPr>
          <w:ilvl w:val="0"/>
          <w:numId w:val="0"/>
        </w:numPr>
        <w:shd w:val="clear" w:color="auto" w:fill="auto"/>
        <w:tabs>
          <w:tab w:val="left" w:pos="1273"/>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6</w:t>
      </w:r>
      <w:r>
        <w:rPr>
          <w:rStyle w:val="37"/>
          <w:rFonts w:hint="eastAsia" w:ascii="宋体" w:hAnsi="宋体" w:eastAsia="宋体" w:cs="宋体"/>
          <w:color w:val="auto"/>
          <w:sz w:val="21"/>
          <w:szCs w:val="21"/>
          <w:highlight w:val="none"/>
        </w:rPr>
        <w:t>）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24C75F7">
      <w:pPr>
        <w:pStyle w:val="36"/>
        <w:numPr>
          <w:ilvl w:val="0"/>
          <w:numId w:val="0"/>
        </w:numPr>
        <w:shd w:val="clear" w:color="auto" w:fill="auto"/>
        <w:tabs>
          <w:tab w:val="left" w:pos="1273"/>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7</w:t>
      </w:r>
      <w:r>
        <w:rPr>
          <w:rStyle w:val="37"/>
          <w:rFonts w:hint="eastAsia" w:ascii="宋体" w:hAnsi="宋体" w:eastAsia="宋体" w:cs="宋体"/>
          <w:color w:val="auto"/>
          <w:sz w:val="21"/>
          <w:szCs w:val="21"/>
          <w:highlight w:val="none"/>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7AD3A53">
      <w:pPr>
        <w:pStyle w:val="36"/>
        <w:numPr>
          <w:ilvl w:val="0"/>
          <w:numId w:val="0"/>
        </w:numPr>
        <w:shd w:val="clear" w:color="auto" w:fill="auto"/>
        <w:tabs>
          <w:tab w:val="left" w:pos="1261"/>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8</w:t>
      </w:r>
      <w:r>
        <w:rPr>
          <w:rStyle w:val="37"/>
          <w:rFonts w:hint="eastAsia" w:ascii="宋体" w:hAnsi="宋体" w:eastAsia="宋体" w:cs="宋体"/>
          <w:color w:val="auto"/>
          <w:sz w:val="21"/>
          <w:szCs w:val="21"/>
          <w:highlight w:val="none"/>
        </w:rPr>
        <w:t>）操作人员上岗，必须按规定穿戴防护用品。施工负责人和安全检查员应随时检查劳动防护用品的穿戴情况，不按规定穿戴防护用品的人员不得上岗。</w:t>
      </w:r>
    </w:p>
    <w:p w14:paraId="1F8753AB">
      <w:pPr>
        <w:pStyle w:val="36"/>
        <w:numPr>
          <w:ilvl w:val="0"/>
          <w:numId w:val="0"/>
        </w:numPr>
        <w:shd w:val="clear" w:color="auto" w:fill="auto"/>
        <w:tabs>
          <w:tab w:val="left" w:pos="1273"/>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9</w:t>
      </w:r>
      <w:r>
        <w:rPr>
          <w:rStyle w:val="37"/>
          <w:rFonts w:hint="eastAsia" w:ascii="宋体" w:hAnsi="宋体" w:eastAsia="宋体" w:cs="宋体"/>
          <w:color w:val="auto"/>
          <w:sz w:val="21"/>
          <w:szCs w:val="21"/>
          <w:highlight w:val="none"/>
        </w:rPr>
        <w:t>）所有施工机具设备和高空作业的设备均应定期检查，并有安全员的签字记录，保证其经常处于完好状态；不合格的机具、设备和劳动保护用品严禁使用。</w:t>
      </w:r>
    </w:p>
    <w:p w14:paraId="3929A740">
      <w:pPr>
        <w:pStyle w:val="36"/>
        <w:numPr>
          <w:ilvl w:val="0"/>
          <w:numId w:val="0"/>
        </w:numPr>
        <w:shd w:val="clear" w:color="auto" w:fill="auto"/>
        <w:tabs>
          <w:tab w:val="left" w:pos="1270"/>
        </w:tabs>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10</w:t>
      </w:r>
      <w:r>
        <w:rPr>
          <w:rStyle w:val="37"/>
          <w:rFonts w:hint="eastAsia" w:ascii="宋体" w:hAnsi="宋体" w:eastAsia="宋体" w:cs="宋体"/>
          <w:color w:val="auto"/>
          <w:sz w:val="21"/>
          <w:szCs w:val="21"/>
          <w:highlight w:val="none"/>
        </w:rPr>
        <w:t>）施工中采用新技术、新工艺、新设备、新材料时，必须制定相应的安全技术措施，施工现场必须具有相关的安全标志牌。</w:t>
      </w:r>
    </w:p>
    <w:p w14:paraId="2560F877">
      <w:pPr>
        <w:pStyle w:val="36"/>
        <w:numPr>
          <w:ilvl w:val="0"/>
          <w:numId w:val="0"/>
        </w:numPr>
        <w:shd w:val="clear" w:color="auto" w:fill="auto"/>
        <w:tabs>
          <w:tab w:val="left" w:pos="1390"/>
        </w:tabs>
        <w:spacing w:before="0" w:line="389" w:lineRule="exact"/>
        <w:ind w:firstLine="420" w:firstLineChars="200"/>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11</w:t>
      </w:r>
      <w:r>
        <w:rPr>
          <w:rStyle w:val="37"/>
          <w:rFonts w:hint="eastAsia" w:ascii="宋体" w:hAnsi="宋体" w:eastAsia="宋体" w:cs="宋体"/>
          <w:color w:val="auto"/>
          <w:sz w:val="21"/>
          <w:szCs w:val="21"/>
          <w:highlight w:val="none"/>
        </w:rPr>
        <w:t>）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 严肃处理相关责任人。</w:t>
      </w:r>
    </w:p>
    <w:p w14:paraId="349E86F9">
      <w:pPr>
        <w:pStyle w:val="36"/>
        <w:numPr>
          <w:ilvl w:val="0"/>
          <w:numId w:val="0"/>
        </w:numPr>
        <w:shd w:val="clear" w:color="auto" w:fill="auto"/>
        <w:tabs>
          <w:tab w:val="left" w:pos="1390"/>
        </w:tabs>
        <w:spacing w:before="0" w:line="389" w:lineRule="exact"/>
        <w:ind w:firstLine="420" w:firstLineChars="200"/>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w:t>
      </w:r>
      <w:r>
        <w:rPr>
          <w:rStyle w:val="37"/>
          <w:rFonts w:hint="eastAsia" w:ascii="宋体" w:hAnsi="宋体" w:eastAsia="宋体" w:cs="宋体"/>
          <w:color w:val="auto"/>
          <w:sz w:val="21"/>
          <w:szCs w:val="21"/>
          <w:highlight w:val="none"/>
          <w:lang w:val="en-US"/>
        </w:rPr>
        <w:t>12</w:t>
      </w:r>
      <w:r>
        <w:rPr>
          <w:rStyle w:val="37"/>
          <w:rFonts w:hint="eastAsia" w:ascii="宋体" w:hAnsi="宋体" w:eastAsia="宋体" w:cs="宋体"/>
          <w:color w:val="auto"/>
          <w:sz w:val="21"/>
          <w:szCs w:val="21"/>
          <w:highlight w:val="none"/>
        </w:rPr>
        <w:t>）安全生产费用按照《公路水运工程安全生产监督管理办法》的相关规定使用和管理。</w:t>
      </w:r>
    </w:p>
    <w:p w14:paraId="594F263D">
      <w:pPr>
        <w:pStyle w:val="42"/>
        <w:shd w:val="clear" w:color="auto" w:fill="auto"/>
        <w:tabs>
          <w:tab w:val="left" w:pos="994"/>
        </w:tabs>
        <w:spacing w:line="389" w:lineRule="exact"/>
        <w:ind w:firstLine="422" w:firstLineChars="200"/>
        <w:jc w:val="both"/>
        <w:rPr>
          <w:rFonts w:hint="eastAsia" w:ascii="宋体" w:hAnsi="宋体" w:eastAsia="宋体" w:cs="宋体"/>
          <w:color w:val="auto"/>
          <w:spacing w:val="0"/>
          <w:sz w:val="21"/>
          <w:szCs w:val="21"/>
          <w:highlight w:val="none"/>
        </w:rPr>
      </w:pPr>
      <w:r>
        <w:rPr>
          <w:rStyle w:val="41"/>
          <w:rFonts w:hint="eastAsia" w:ascii="宋体" w:hAnsi="宋体" w:eastAsia="宋体" w:cs="宋体"/>
          <w:b/>
          <w:bCs/>
          <w:color w:val="auto"/>
          <w:sz w:val="21"/>
          <w:szCs w:val="21"/>
          <w:highlight w:val="none"/>
        </w:rPr>
        <w:t>3．违约责任</w:t>
      </w:r>
    </w:p>
    <w:p w14:paraId="45B4C4D8">
      <w:pPr>
        <w:pStyle w:val="36"/>
        <w:shd w:val="clear" w:color="auto" w:fill="auto"/>
        <w:spacing w:before="0" w:line="389" w:lineRule="exact"/>
        <w:ind w:firstLine="420" w:firstLineChars="200"/>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如因发包人或承包人违约造成安全事故，将依法追究责任。</w:t>
      </w:r>
    </w:p>
    <w:p w14:paraId="2AFEB089">
      <w:pPr>
        <w:pStyle w:val="36"/>
        <w:shd w:val="clear" w:color="auto" w:fill="auto"/>
        <w:tabs>
          <w:tab w:val="left" w:pos="966"/>
        </w:tabs>
        <w:spacing w:before="0" w:line="389" w:lineRule="exact"/>
        <w:ind w:firstLine="420" w:firstLineChars="200"/>
        <w:jc w:val="left"/>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4．本合同由双方法定代表人或其授权的代理人签署并加盖单位章后生效，全部工程竣工验收后失效。</w:t>
      </w:r>
    </w:p>
    <w:p w14:paraId="21C885D7">
      <w:pPr>
        <w:pStyle w:val="36"/>
        <w:shd w:val="clear" w:color="auto" w:fill="auto"/>
        <w:tabs>
          <w:tab w:val="left" w:leader="underscore" w:pos="2747"/>
          <w:tab w:val="left" w:pos="4634"/>
          <w:tab w:val="left" w:leader="underscore" w:pos="7408"/>
        </w:tabs>
        <w:spacing w:before="0" w:line="720" w:lineRule="auto"/>
        <w:jc w:val="both"/>
        <w:rPr>
          <w:rStyle w:val="38"/>
          <w:rFonts w:hint="eastAsia" w:ascii="宋体" w:hAnsi="宋体" w:eastAsia="宋体" w:cs="宋体"/>
          <w:i w:val="0"/>
          <w:color w:val="auto"/>
          <w:spacing w:val="0"/>
          <w:sz w:val="21"/>
          <w:szCs w:val="21"/>
          <w:highlight w:val="none"/>
        </w:rPr>
      </w:pPr>
    </w:p>
    <w:p w14:paraId="08417FD3">
      <w:pPr>
        <w:pStyle w:val="36"/>
        <w:shd w:val="clear" w:color="auto" w:fill="auto"/>
        <w:tabs>
          <w:tab w:val="left" w:leader="underscore" w:pos="2747"/>
          <w:tab w:val="left" w:pos="4634"/>
          <w:tab w:val="left" w:leader="underscore" w:pos="7408"/>
        </w:tabs>
        <w:spacing w:before="0" w:line="720" w:lineRule="auto"/>
        <w:ind w:left="4620" w:hanging="4620" w:hangingChars="2200"/>
        <w:jc w:val="both"/>
        <w:rPr>
          <w:rFonts w:hint="eastAsia" w:ascii="宋体" w:hAnsi="宋体" w:eastAsia="宋体" w:cs="宋体"/>
          <w:color w:val="auto"/>
          <w:spacing w:val="0"/>
          <w:sz w:val="21"/>
          <w:szCs w:val="21"/>
          <w:highlight w:val="none"/>
        </w:rPr>
      </w:pPr>
      <w:r>
        <w:rPr>
          <w:rStyle w:val="38"/>
          <w:rFonts w:hint="eastAsia" w:ascii="宋体" w:hAnsi="宋体" w:eastAsia="宋体" w:cs="宋体"/>
          <w:i w:val="0"/>
          <w:color w:val="auto"/>
          <w:spacing w:val="0"/>
          <w:sz w:val="21"/>
          <w:szCs w:val="21"/>
          <w:highlight w:val="none"/>
        </w:rPr>
        <w:t>发包人</w:t>
      </w:r>
      <w:r>
        <w:rPr>
          <w:rStyle w:val="38"/>
          <w:rFonts w:hint="eastAsia" w:ascii="宋体" w:hAnsi="宋体" w:eastAsia="宋体" w:cs="宋体"/>
          <w:color w:val="auto"/>
          <w:spacing w:val="0"/>
          <w:sz w:val="21"/>
          <w:szCs w:val="21"/>
          <w:highlight w:val="none"/>
        </w:rPr>
        <w:t>:</w:t>
      </w:r>
      <w:r>
        <w:rPr>
          <w:rStyle w:val="38"/>
          <w:rFonts w:hint="eastAsia" w:ascii="宋体" w:hAnsi="宋体" w:eastAsia="宋体" w:cs="宋体"/>
          <w:color w:val="auto"/>
          <w:spacing w:val="0"/>
          <w:sz w:val="21"/>
          <w:szCs w:val="21"/>
          <w:highlight w:val="none"/>
          <w:lang w:val="en-US"/>
        </w:rPr>
        <w:t xml:space="preserve"> </w:t>
      </w:r>
      <w:r>
        <w:rPr>
          <w:rStyle w:val="37"/>
          <w:rFonts w:hint="eastAsia" w:ascii="宋体" w:hAnsi="宋体" w:eastAsia="宋体" w:cs="宋体"/>
          <w:color w:val="auto"/>
          <w:sz w:val="21"/>
          <w:szCs w:val="21"/>
          <w:highlight w:val="none"/>
          <w:u w:val="single"/>
          <w:lang w:val="en-US"/>
        </w:rPr>
        <w:t xml:space="preserve">天等县交通运输局 </w:t>
      </w:r>
      <w:r>
        <w:rPr>
          <w:rStyle w:val="37"/>
          <w:rFonts w:hint="eastAsia" w:ascii="宋体" w:hAnsi="宋体" w:eastAsia="宋体" w:cs="宋体"/>
          <w:color w:val="auto"/>
          <w:sz w:val="21"/>
          <w:szCs w:val="21"/>
          <w:highlight w:val="none"/>
        </w:rPr>
        <w:t xml:space="preserve"> (盖章）</w:t>
      </w:r>
      <w:r>
        <w:rPr>
          <w:rStyle w:val="37"/>
          <w:rFonts w:hint="eastAsia" w:ascii="宋体" w:hAnsi="宋体" w:eastAsia="宋体" w:cs="宋体"/>
          <w:color w:val="auto"/>
          <w:sz w:val="21"/>
          <w:szCs w:val="21"/>
          <w:highlight w:val="none"/>
          <w:lang w:val="en-US"/>
        </w:rPr>
        <w:t xml:space="preserve"> </w:t>
      </w:r>
      <w:r>
        <w:rPr>
          <w:rStyle w:val="37"/>
          <w:rFonts w:hint="eastAsia" w:ascii="宋体" w:hAnsi="宋体" w:eastAsia="宋体" w:cs="宋体"/>
          <w:color w:val="auto"/>
          <w:sz w:val="21"/>
          <w:szCs w:val="21"/>
          <w:highlight w:val="none"/>
        </w:rPr>
        <w:t>承包人：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(盖章)</w:t>
      </w:r>
    </w:p>
    <w:p w14:paraId="229580C4">
      <w:pPr>
        <w:pStyle w:val="36"/>
        <w:shd w:val="clear" w:color="auto" w:fill="auto"/>
        <w:tabs>
          <w:tab w:val="left" w:leader="underscore" w:pos="1913"/>
          <w:tab w:val="left" w:leader="underscore" w:pos="2747"/>
          <w:tab w:val="left" w:leader="underscore" w:pos="3679"/>
          <w:tab w:val="left" w:pos="5508"/>
          <w:tab w:val="left" w:leader="underscore" w:pos="6593"/>
          <w:tab w:val="left" w:leader="underscore" w:pos="7408"/>
          <w:tab w:val="left" w:leader="underscore" w:pos="8273"/>
        </w:tabs>
        <w:spacing w:before="0" w:line="720" w:lineRule="auto"/>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rPr>
        <w:t>法定代表人或其委托代理人：</w:t>
      </w:r>
      <w:r>
        <w:rPr>
          <w:rStyle w:val="37"/>
          <w:rFonts w:hint="eastAsia" w:ascii="宋体" w:hAnsi="宋体" w:eastAsia="宋体" w:cs="宋体"/>
          <w:color w:val="auto"/>
          <w:sz w:val="21"/>
          <w:szCs w:val="21"/>
          <w:highlight w:val="none"/>
          <w:u w:val="single"/>
        </w:rPr>
        <w:t xml:space="preserve">  </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u w:val="single"/>
        </w:rPr>
        <w:t>（</w:t>
      </w:r>
      <w:r>
        <w:rPr>
          <w:rStyle w:val="37"/>
          <w:rFonts w:hint="eastAsia" w:ascii="宋体" w:hAnsi="宋体" w:eastAsia="宋体" w:cs="宋体"/>
          <w:color w:val="auto"/>
          <w:sz w:val="21"/>
          <w:szCs w:val="21"/>
          <w:highlight w:val="none"/>
        </w:rPr>
        <w:t>签字）    法定代表人或其委托代理人：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 xml:space="preserve">(签字) </w:t>
      </w:r>
    </w:p>
    <w:p w14:paraId="0A075884">
      <w:pPr>
        <w:pStyle w:val="36"/>
        <w:shd w:val="clear" w:color="auto" w:fill="auto"/>
        <w:tabs>
          <w:tab w:val="left" w:leader="underscore" w:pos="1913"/>
          <w:tab w:val="left" w:leader="underscore" w:pos="2747"/>
          <w:tab w:val="left" w:leader="underscore" w:pos="3679"/>
          <w:tab w:val="left" w:pos="5508"/>
          <w:tab w:val="left" w:leader="underscore" w:pos="6593"/>
          <w:tab w:val="left" w:leader="underscore" w:pos="7408"/>
          <w:tab w:val="left" w:leader="underscore" w:pos="8273"/>
        </w:tabs>
        <w:spacing w:before="0" w:line="720" w:lineRule="auto"/>
        <w:ind w:firstLine="884" w:firstLineChars="421"/>
        <w:jc w:val="left"/>
        <w:rPr>
          <w:rStyle w:val="37"/>
          <w:rFonts w:hint="eastAsia" w:ascii="宋体" w:hAnsi="宋体" w:eastAsia="宋体" w:cs="宋体"/>
          <w:color w:val="auto"/>
          <w:sz w:val="21"/>
          <w:szCs w:val="21"/>
          <w:highlight w:val="none"/>
        </w:rPr>
      </w:pPr>
      <w:r>
        <w:rPr>
          <w:rStyle w:val="37"/>
          <w:rFonts w:hint="eastAsia" w:ascii="宋体" w:hAnsi="宋体" w:eastAsia="宋体" w:cs="宋体"/>
          <w:color w:val="auto"/>
          <w:sz w:val="21"/>
          <w:szCs w:val="21"/>
          <w:highlight w:val="none"/>
          <w:lang w:val="en-US"/>
        </w:rPr>
        <w:t>2025年10月31日                          2025年10月31日</w:t>
      </w:r>
    </w:p>
    <w:p w14:paraId="780B0522">
      <w:pPr>
        <w:widowControl w:val="0"/>
        <w:numPr>
          <w:ilvl w:val="0"/>
          <w:numId w:val="0"/>
        </w:numPr>
        <w:jc w:val="both"/>
        <w:rPr>
          <w:rFonts w:hint="eastAsia" w:ascii="宋体" w:hAnsi="宋体" w:eastAsia="宋体" w:cs="宋体"/>
          <w:b/>
          <w:bCs/>
          <w:color w:val="auto"/>
          <w:highlight w:val="none"/>
          <w:lang w:val="en-US" w:eastAsia="zh-CN"/>
        </w:rPr>
      </w:pPr>
    </w:p>
    <w:p w14:paraId="4D651CDE">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07281026">
      <w:pPr>
        <w:widowControl w:val="0"/>
        <w:numPr>
          <w:ilvl w:val="0"/>
          <w:numId w:val="0"/>
        </w:numPr>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四、成交通知书复印件</w:t>
      </w:r>
    </w:p>
    <w:p w14:paraId="7A58A92C">
      <w:pPr>
        <w:bidi w:val="0"/>
        <w:rPr>
          <w:rFonts w:hint="eastAsia" w:ascii="宋体" w:hAnsi="宋体" w:eastAsia="宋体" w:cs="宋体"/>
          <w:color w:val="auto"/>
          <w:highlight w:val="none"/>
          <w:lang w:val="en-US" w:eastAsia="zh-CN"/>
        </w:rPr>
      </w:pPr>
    </w:p>
    <w:p w14:paraId="4EEDD160">
      <w:pPr>
        <w:bidi w:val="0"/>
        <w:rPr>
          <w:rFonts w:hint="eastAsia" w:ascii="宋体" w:hAnsi="宋体" w:eastAsia="宋体" w:cs="宋体"/>
          <w:color w:val="auto"/>
          <w:highlight w:val="none"/>
        </w:rPr>
      </w:pPr>
    </w:p>
    <w:p w14:paraId="108DDDD2">
      <w:pPr>
        <w:bidi w:val="0"/>
        <w:rPr>
          <w:rFonts w:hint="eastAsia" w:ascii="宋体" w:hAnsi="宋体" w:eastAsia="宋体" w:cs="宋体"/>
          <w:color w:val="auto"/>
          <w:highlight w:val="none"/>
        </w:rPr>
      </w:pPr>
    </w:p>
    <w:p w14:paraId="182EDAE4">
      <w:pPr>
        <w:widowControl w:val="0"/>
        <w:numPr>
          <w:ilvl w:val="0"/>
          <w:numId w:val="0"/>
        </w:numPr>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五、工程量清单复印件</w:t>
      </w:r>
    </w:p>
    <w:p w14:paraId="0E0A949D">
      <w:pPr>
        <w:rPr>
          <w:rFonts w:hint="eastAsia" w:ascii="宋体" w:hAnsi="宋体" w:eastAsia="宋体" w:cs="宋体"/>
          <w:color w:val="auto"/>
          <w:sz w:val="21"/>
          <w:szCs w:val="21"/>
          <w:highlight w:val="none"/>
          <w:lang w:val="en-US" w:eastAsia="zh-CN"/>
        </w:rPr>
      </w:pPr>
    </w:p>
    <w:p w14:paraId="7E55359A">
      <w:pPr>
        <w:bidi w:val="0"/>
        <w:rPr>
          <w:rFonts w:hint="eastAsia" w:ascii="宋体" w:hAnsi="宋体" w:eastAsia="宋体" w:cs="宋体"/>
          <w:color w:val="auto"/>
          <w:highlight w:val="none"/>
          <w:lang w:val="en-US" w:eastAsia="zh-CN"/>
        </w:rPr>
      </w:pPr>
    </w:p>
    <w:p w14:paraId="70A91CF5">
      <w:pPr>
        <w:rPr>
          <w:rFonts w:hint="eastAsia" w:ascii="宋体" w:hAnsi="宋体" w:eastAsia="宋体" w:cs="宋体"/>
          <w:color w:val="auto"/>
          <w:sz w:val="21"/>
          <w:szCs w:val="21"/>
          <w:highlight w:val="none"/>
          <w:lang w:val="en-US" w:eastAsia="zh-CN"/>
        </w:rPr>
      </w:pPr>
    </w:p>
    <w:p w14:paraId="5217A9C0">
      <w:pPr>
        <w:widowControl w:val="0"/>
        <w:numPr>
          <w:ilvl w:val="0"/>
          <w:numId w:val="0"/>
        </w:numPr>
        <w:jc w:val="both"/>
        <w:rPr>
          <w:rFonts w:hint="eastAsia" w:ascii="宋体" w:hAnsi="宋体" w:eastAsia="宋体" w:cs="宋体"/>
          <w:b/>
          <w:bCs/>
          <w:color w:val="auto"/>
          <w:sz w:val="28"/>
          <w:szCs w:val="28"/>
          <w:highlight w:val="none"/>
          <w:lang w:val="en-US" w:eastAsia="zh-CN"/>
        </w:rPr>
      </w:pPr>
      <w:bookmarkStart w:id="126" w:name="_Toc514759058"/>
      <w:bookmarkStart w:id="127" w:name="_Toc508779714"/>
      <w:bookmarkStart w:id="128" w:name="_Toc511595198"/>
      <w:bookmarkStart w:id="129" w:name="_Toc394929421"/>
      <w:bookmarkStart w:id="130" w:name="_Toc15459"/>
      <w:bookmarkStart w:id="131" w:name="_Toc514759056"/>
      <w:r>
        <w:rPr>
          <w:rFonts w:hint="eastAsia" w:ascii="宋体" w:hAnsi="宋体" w:eastAsia="宋体" w:cs="宋体"/>
          <w:b/>
          <w:bCs/>
          <w:color w:val="auto"/>
          <w:sz w:val="28"/>
          <w:szCs w:val="28"/>
          <w:highlight w:val="none"/>
          <w:lang w:val="en-US" w:eastAsia="zh-CN"/>
        </w:rPr>
        <w:t>六、项目经理委任书</w:t>
      </w:r>
      <w:bookmarkEnd w:id="126"/>
      <w:bookmarkEnd w:id="127"/>
      <w:bookmarkEnd w:id="128"/>
      <w:bookmarkEnd w:id="129"/>
      <w:bookmarkEnd w:id="130"/>
    </w:p>
    <w:p w14:paraId="5BB8AD3A">
      <w:pPr>
        <w:bidi w:val="0"/>
        <w:rPr>
          <w:rFonts w:hint="eastAsia" w:ascii="宋体" w:hAnsi="宋体" w:eastAsia="宋体" w:cs="宋体"/>
          <w:color w:val="auto"/>
          <w:highlight w:val="none"/>
          <w:lang w:val="en-US" w:eastAsia="zh-CN"/>
        </w:rPr>
      </w:pPr>
      <w:bookmarkStart w:id="132" w:name="_Toc514786919"/>
      <w:bookmarkStart w:id="133" w:name="bookmark198"/>
    </w:p>
    <w:p w14:paraId="053093AE">
      <w:pPr>
        <w:bidi w:val="0"/>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天等县杨湾至龙茗公路(K75-K85.556)生命安全防护工程</w:t>
      </w:r>
      <w:r>
        <w:rPr>
          <w:rFonts w:hint="eastAsia" w:ascii="宋体" w:hAnsi="宋体" w:eastAsia="宋体" w:cs="宋体"/>
          <w:b/>
          <w:bCs/>
          <w:color w:val="auto"/>
          <w:sz w:val="28"/>
          <w:szCs w:val="28"/>
          <w:highlight w:val="none"/>
        </w:rPr>
        <w:t>项目经理委任书</w:t>
      </w:r>
      <w:bookmarkEnd w:id="132"/>
      <w:bookmarkEnd w:id="133"/>
    </w:p>
    <w:p w14:paraId="02F0A21E">
      <w:pPr>
        <w:pStyle w:val="36"/>
        <w:shd w:val="clear" w:color="auto" w:fill="auto"/>
        <w:spacing w:before="0" w:line="600" w:lineRule="auto"/>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致：</w:t>
      </w:r>
      <w:r>
        <w:rPr>
          <w:rStyle w:val="47"/>
          <w:rFonts w:hint="eastAsia" w:ascii="宋体" w:hAnsi="宋体" w:eastAsia="宋体" w:cs="宋体"/>
          <w:color w:val="auto"/>
          <w:sz w:val="21"/>
          <w:szCs w:val="21"/>
          <w:highlight w:val="none"/>
        </w:rPr>
        <w:t>天等县交通运输局</w:t>
      </w:r>
    </w:p>
    <w:p w14:paraId="57FF8C6A">
      <w:pPr>
        <w:pStyle w:val="36"/>
        <w:shd w:val="clear" w:color="auto" w:fill="auto"/>
        <w:spacing w:before="0" w:after="360" w:line="600" w:lineRule="auto"/>
        <w:ind w:firstLine="630" w:firstLineChars="300"/>
        <w:jc w:val="both"/>
        <w:rPr>
          <w:rFonts w:hint="eastAsia" w:ascii="宋体" w:hAnsi="宋体" w:eastAsia="宋体" w:cs="宋体"/>
          <w:color w:val="auto"/>
          <w:spacing w:val="0"/>
          <w:sz w:val="21"/>
          <w:szCs w:val="21"/>
          <w:highlight w:val="none"/>
        </w:rPr>
      </w:pPr>
      <w:r>
        <w:rPr>
          <w:rStyle w:val="47"/>
          <w:rFonts w:hint="eastAsia" w:ascii="宋体" w:hAnsi="宋体" w:eastAsia="宋体" w:cs="宋体"/>
          <w:color w:val="auto"/>
          <w:sz w:val="21"/>
          <w:szCs w:val="21"/>
          <w:highlight w:val="none"/>
          <w:lang w:val="en-US"/>
        </w:rPr>
        <w:t xml:space="preserve"> （成交供应商 ）</w:t>
      </w:r>
      <w:r>
        <w:rPr>
          <w:rStyle w:val="37"/>
          <w:rFonts w:hint="eastAsia" w:ascii="宋体" w:hAnsi="宋体" w:eastAsia="宋体" w:cs="宋体"/>
          <w:color w:val="auto"/>
          <w:sz w:val="21"/>
          <w:szCs w:val="21"/>
          <w:highlight w:val="none"/>
        </w:rPr>
        <w:t>法定代表人</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代表本单位委任</w:t>
      </w:r>
      <w:r>
        <w:rPr>
          <w:rStyle w:val="37"/>
          <w:rFonts w:hint="eastAsia" w:ascii="宋体" w:hAnsi="宋体" w:eastAsia="宋体" w:cs="宋体"/>
          <w:color w:val="auto"/>
          <w:sz w:val="21"/>
          <w:szCs w:val="21"/>
          <w:highlight w:val="none"/>
          <w:u w:val="single"/>
          <w:lang w:val="en-US"/>
        </w:rPr>
        <w:t xml:space="preserve">          </w:t>
      </w:r>
      <w:r>
        <w:rPr>
          <w:rStyle w:val="47"/>
          <w:rFonts w:hint="eastAsia" w:ascii="宋体" w:hAnsi="宋体" w:eastAsia="宋体" w:cs="宋体"/>
          <w:color w:val="auto"/>
          <w:sz w:val="21"/>
          <w:szCs w:val="21"/>
          <w:highlight w:val="none"/>
          <w:u w:val="none"/>
        </w:rPr>
        <w:t>（</w:t>
      </w:r>
      <w:r>
        <w:rPr>
          <w:rStyle w:val="37"/>
          <w:rFonts w:hint="eastAsia" w:ascii="宋体" w:hAnsi="宋体" w:eastAsia="宋体" w:cs="宋体"/>
          <w:color w:val="auto"/>
          <w:sz w:val="21"/>
          <w:szCs w:val="21"/>
          <w:highlight w:val="none"/>
        </w:rPr>
        <w:t>为</w:t>
      </w:r>
      <w:r>
        <w:rPr>
          <w:rStyle w:val="37"/>
          <w:rFonts w:hint="eastAsia" w:ascii="宋体" w:hAnsi="宋体" w:eastAsia="宋体" w:cs="宋体"/>
          <w:color w:val="auto"/>
          <w:sz w:val="21"/>
          <w:szCs w:val="21"/>
          <w:highlight w:val="none"/>
          <w:u w:val="single"/>
          <w:lang w:eastAsia="zh-CN"/>
        </w:rPr>
        <w:t>天等县杨湾至龙茗公路(K75-K85.556)生命安全防护工程</w:t>
      </w:r>
      <w:r>
        <w:rPr>
          <w:rStyle w:val="37"/>
          <w:rFonts w:hint="eastAsia" w:ascii="宋体" w:hAnsi="宋体" w:eastAsia="宋体" w:cs="宋体"/>
          <w:color w:val="auto"/>
          <w:sz w:val="21"/>
          <w:szCs w:val="21"/>
          <w:highlight w:val="none"/>
        </w:rPr>
        <w:t>的项目经理。凡本合同执行中的有关技术、工程进度、现场管理、质量检验、结算与支付等方面工作，由</w:t>
      </w:r>
      <w:r>
        <w:rPr>
          <w:rStyle w:val="37"/>
          <w:rFonts w:hint="eastAsia" w:ascii="宋体" w:hAnsi="宋体" w:eastAsia="宋体" w:cs="宋体"/>
          <w:color w:val="auto"/>
          <w:sz w:val="21"/>
          <w:szCs w:val="21"/>
          <w:highlight w:val="none"/>
          <w:u w:val="single"/>
          <w:lang w:val="en-US"/>
        </w:rPr>
        <w:t xml:space="preserve">          </w:t>
      </w:r>
      <w:r>
        <w:rPr>
          <w:rStyle w:val="37"/>
          <w:rFonts w:hint="eastAsia" w:ascii="宋体" w:hAnsi="宋体" w:eastAsia="宋体" w:cs="宋体"/>
          <w:color w:val="auto"/>
          <w:sz w:val="21"/>
          <w:szCs w:val="21"/>
          <w:highlight w:val="none"/>
        </w:rPr>
        <w:t>代表本单位全面负责。</w:t>
      </w:r>
    </w:p>
    <w:p w14:paraId="65E06F91">
      <w:pPr>
        <w:pStyle w:val="36"/>
        <w:shd w:val="clear" w:color="auto" w:fill="auto"/>
        <w:tabs>
          <w:tab w:val="left" w:leader="underscore" w:pos="7348"/>
        </w:tabs>
        <w:spacing w:before="0" w:line="600" w:lineRule="auto"/>
        <w:jc w:val="both"/>
        <w:rPr>
          <w:rFonts w:hint="eastAsia" w:ascii="宋体" w:hAnsi="宋体" w:eastAsia="宋体" w:cs="宋体"/>
          <w:color w:val="auto"/>
          <w:spacing w:val="0"/>
          <w:sz w:val="21"/>
          <w:szCs w:val="21"/>
          <w:highlight w:val="none"/>
        </w:rPr>
      </w:pPr>
      <w:r>
        <w:rPr>
          <w:rStyle w:val="37"/>
          <w:rFonts w:hint="eastAsia" w:ascii="宋体" w:hAnsi="宋体" w:eastAsia="宋体" w:cs="宋体"/>
          <w:color w:val="auto"/>
          <w:sz w:val="21"/>
          <w:szCs w:val="21"/>
          <w:highlight w:val="none"/>
        </w:rPr>
        <w:t>承包人：(盖单位章）</w:t>
      </w:r>
    </w:p>
    <w:p w14:paraId="3064BB64">
      <w:pPr>
        <w:pStyle w:val="36"/>
        <w:shd w:val="clear" w:color="auto" w:fill="auto"/>
        <w:tabs>
          <w:tab w:val="center" w:pos="7411"/>
        </w:tabs>
        <w:spacing w:before="0" w:line="600" w:lineRule="auto"/>
        <w:jc w:val="both"/>
        <w:rPr>
          <w:rFonts w:hint="eastAsia" w:ascii="宋体" w:hAnsi="宋体" w:eastAsia="宋体" w:cs="宋体"/>
          <w:color w:val="auto"/>
          <w:spacing w:val="0"/>
          <w:sz w:val="21"/>
          <w:szCs w:val="21"/>
          <w:highlight w:val="none"/>
          <w:lang w:val="en-US"/>
        </w:rPr>
      </w:pPr>
      <w:r>
        <w:rPr>
          <w:rStyle w:val="37"/>
          <w:rFonts w:hint="eastAsia" w:ascii="宋体" w:hAnsi="宋体" w:eastAsia="宋体" w:cs="宋体"/>
          <w:color w:val="auto"/>
          <w:sz w:val="21"/>
          <w:szCs w:val="21"/>
          <w:highlight w:val="none"/>
        </w:rPr>
        <w:t>法定代表人：</w:t>
      </w:r>
      <w:r>
        <w:rPr>
          <w:rStyle w:val="47"/>
          <w:rFonts w:hint="eastAsia" w:ascii="宋体" w:hAnsi="宋体" w:eastAsia="宋体" w:cs="宋体"/>
          <w:color w:val="auto"/>
          <w:sz w:val="21"/>
          <w:szCs w:val="21"/>
          <w:highlight w:val="none"/>
          <w:lang w:val="en-US"/>
        </w:rPr>
        <w:t xml:space="preserve">                   </w:t>
      </w:r>
    </w:p>
    <w:p w14:paraId="4D29FB10">
      <w:pPr>
        <w:pStyle w:val="36"/>
        <w:shd w:val="clear" w:color="auto" w:fill="auto"/>
        <w:tabs>
          <w:tab w:val="left" w:leader="underscore" w:pos="6502"/>
          <w:tab w:val="left" w:leader="underscore" w:pos="7348"/>
          <w:tab w:val="left" w:leader="underscore" w:pos="8182"/>
        </w:tabs>
        <w:spacing w:before="0" w:after="1283" w:line="600" w:lineRule="auto"/>
        <w:ind w:firstLine="1488" w:firstLineChars="709"/>
        <w:jc w:val="both"/>
        <w:rPr>
          <w:rStyle w:val="37"/>
          <w:rFonts w:hint="eastAsia" w:ascii="宋体" w:hAnsi="宋体" w:eastAsia="宋体" w:cs="宋体"/>
          <w:color w:val="auto"/>
          <w:sz w:val="21"/>
          <w:szCs w:val="21"/>
          <w:highlight w:val="none"/>
        </w:rPr>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pPr>
      <w:r>
        <w:rPr>
          <w:rStyle w:val="37"/>
          <w:rFonts w:hint="eastAsia" w:ascii="宋体" w:hAnsi="宋体" w:eastAsia="宋体" w:cs="宋体"/>
          <w:color w:val="auto"/>
          <w:sz w:val="21"/>
          <w:szCs w:val="21"/>
          <w:highlight w:val="none"/>
          <w:lang w:val="en-US"/>
        </w:rPr>
        <w:t>2025年10月31日</w:t>
      </w:r>
    </w:p>
    <w:p w14:paraId="1AC148A5">
      <w:pPr>
        <w:widowControl w:val="0"/>
        <w:numPr>
          <w:ilvl w:val="0"/>
          <w:numId w:val="0"/>
        </w:numPr>
        <w:jc w:val="both"/>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七、其他主要管理人员和技术人员</w:t>
      </w:r>
      <w:bookmarkEnd w:id="95"/>
      <w:bookmarkEnd w:id="96"/>
      <w:bookmarkEnd w:id="97"/>
      <w:bookmarkEnd w:id="98"/>
      <w:bookmarkEnd w:id="131"/>
      <w:r>
        <w:rPr>
          <w:rFonts w:hint="eastAsia" w:ascii="宋体" w:hAnsi="宋体" w:eastAsia="宋体" w:cs="宋体"/>
          <w:b/>
          <w:bCs/>
          <w:color w:val="auto"/>
          <w:sz w:val="28"/>
          <w:szCs w:val="28"/>
          <w:highlight w:val="none"/>
          <w:lang w:val="en-US" w:eastAsia="zh-CN"/>
        </w:rPr>
        <w:t>投入情况</w:t>
      </w:r>
    </w:p>
    <w:tbl>
      <w:tblPr>
        <w:tblStyle w:val="21"/>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700"/>
        <w:gridCol w:w="7410"/>
      </w:tblGrid>
      <w:tr w14:paraId="2B3B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tcBorders>
              <w:top w:val="single" w:color="auto" w:sz="4" w:space="0"/>
            </w:tcBorders>
            <w:noWrap w:val="0"/>
            <w:vAlign w:val="center"/>
          </w:tcPr>
          <w:p w14:paraId="1CF5863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  员</w:t>
            </w:r>
          </w:p>
        </w:tc>
        <w:tc>
          <w:tcPr>
            <w:tcW w:w="700" w:type="dxa"/>
            <w:tcBorders>
              <w:top w:val="single" w:color="auto" w:sz="4" w:space="0"/>
              <w:right w:val="nil"/>
            </w:tcBorders>
            <w:noWrap w:val="0"/>
            <w:vAlign w:val="center"/>
          </w:tcPr>
          <w:p w14:paraId="3563985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7410" w:type="dxa"/>
            <w:tcBorders>
              <w:top w:val="single" w:color="auto" w:sz="4" w:space="0"/>
              <w:right w:val="single" w:color="auto" w:sz="4" w:space="0"/>
            </w:tcBorders>
            <w:noWrap w:val="0"/>
            <w:vAlign w:val="center"/>
          </w:tcPr>
          <w:p w14:paraId="156A738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r>
      <w:tr w14:paraId="4C0D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noWrap w:val="0"/>
            <w:vAlign w:val="center"/>
          </w:tcPr>
          <w:p w14:paraId="58B1BF67">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项目经理</w:t>
            </w:r>
          </w:p>
        </w:tc>
        <w:tc>
          <w:tcPr>
            <w:tcW w:w="700" w:type="dxa"/>
            <w:noWrap w:val="0"/>
            <w:vAlign w:val="center"/>
          </w:tcPr>
          <w:p w14:paraId="3CCB23EC">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65817AB1">
            <w:pPr>
              <w:rPr>
                <w:rFonts w:hint="eastAsia" w:ascii="宋体" w:hAnsi="宋体" w:eastAsia="宋体" w:cs="宋体"/>
                <w:color w:val="auto"/>
                <w:sz w:val="22"/>
                <w:szCs w:val="22"/>
                <w:highlight w:val="none"/>
                <w:lang w:val="en-US" w:eastAsia="zh-CN"/>
              </w:rPr>
            </w:pPr>
          </w:p>
        </w:tc>
      </w:tr>
      <w:tr w14:paraId="11D2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noWrap w:val="0"/>
            <w:vAlign w:val="center"/>
          </w:tcPr>
          <w:p w14:paraId="7CDA21DA">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总工</w:t>
            </w:r>
          </w:p>
        </w:tc>
        <w:tc>
          <w:tcPr>
            <w:tcW w:w="700" w:type="dxa"/>
            <w:noWrap w:val="0"/>
            <w:vAlign w:val="center"/>
          </w:tcPr>
          <w:p w14:paraId="0C113CD5">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7F7B8F13">
            <w:pPr>
              <w:rPr>
                <w:rFonts w:hint="eastAsia" w:ascii="宋体" w:hAnsi="宋体" w:eastAsia="宋体" w:cs="宋体"/>
                <w:color w:val="auto"/>
                <w:kern w:val="2"/>
                <w:sz w:val="22"/>
                <w:szCs w:val="22"/>
                <w:highlight w:val="none"/>
                <w:lang w:val="en-US" w:eastAsia="zh-CN" w:bidi="ar-SA"/>
              </w:rPr>
            </w:pPr>
          </w:p>
        </w:tc>
      </w:tr>
      <w:tr w14:paraId="2267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18F7336C">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专职安全员</w:t>
            </w:r>
          </w:p>
        </w:tc>
        <w:tc>
          <w:tcPr>
            <w:tcW w:w="700" w:type="dxa"/>
            <w:noWrap w:val="0"/>
            <w:vAlign w:val="center"/>
          </w:tcPr>
          <w:p w14:paraId="56F90B1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4CC2AA72">
            <w:pPr>
              <w:rPr>
                <w:rFonts w:hint="eastAsia" w:ascii="宋体" w:hAnsi="宋体" w:eastAsia="宋体" w:cs="宋体"/>
                <w:color w:val="auto"/>
                <w:kern w:val="2"/>
                <w:sz w:val="22"/>
                <w:szCs w:val="22"/>
                <w:highlight w:val="none"/>
                <w:lang w:val="en-US" w:eastAsia="zh-CN" w:bidi="ar-SA"/>
              </w:rPr>
            </w:pPr>
          </w:p>
        </w:tc>
      </w:tr>
      <w:tr w14:paraId="112B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6EE4E079">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2"/>
                <w:szCs w:val="22"/>
                <w:highlight w:val="none"/>
                <w:lang w:eastAsia="zh-CN"/>
              </w:rPr>
              <w:t>材料员</w:t>
            </w:r>
          </w:p>
        </w:tc>
        <w:tc>
          <w:tcPr>
            <w:tcW w:w="700" w:type="dxa"/>
            <w:noWrap w:val="0"/>
            <w:vAlign w:val="center"/>
          </w:tcPr>
          <w:p w14:paraId="33A4946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4BB0A35C">
            <w:pPr>
              <w:rPr>
                <w:rFonts w:hint="eastAsia" w:ascii="宋体" w:hAnsi="宋体" w:eastAsia="宋体" w:cs="宋体"/>
                <w:color w:val="auto"/>
                <w:kern w:val="2"/>
                <w:sz w:val="22"/>
                <w:szCs w:val="22"/>
                <w:highlight w:val="none"/>
                <w:lang w:val="en-US" w:eastAsia="zh-CN" w:bidi="ar-SA"/>
              </w:rPr>
            </w:pPr>
          </w:p>
        </w:tc>
      </w:tr>
      <w:tr w14:paraId="3C26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731DBD95">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质量员</w:t>
            </w:r>
          </w:p>
        </w:tc>
        <w:tc>
          <w:tcPr>
            <w:tcW w:w="700" w:type="dxa"/>
            <w:noWrap w:val="0"/>
            <w:vAlign w:val="center"/>
          </w:tcPr>
          <w:p w14:paraId="3D5888E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006B066F">
            <w:pPr>
              <w:rPr>
                <w:rFonts w:hint="eastAsia" w:ascii="宋体" w:hAnsi="宋体" w:eastAsia="宋体" w:cs="宋体"/>
                <w:color w:val="auto"/>
                <w:kern w:val="2"/>
                <w:sz w:val="22"/>
                <w:szCs w:val="22"/>
                <w:highlight w:val="none"/>
                <w:lang w:val="en-US" w:eastAsia="zh-CN" w:bidi="ar-SA"/>
              </w:rPr>
            </w:pPr>
          </w:p>
        </w:tc>
      </w:tr>
      <w:tr w14:paraId="2D74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1772A02C">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施工员</w:t>
            </w:r>
          </w:p>
        </w:tc>
        <w:tc>
          <w:tcPr>
            <w:tcW w:w="700" w:type="dxa"/>
            <w:noWrap w:val="0"/>
            <w:vAlign w:val="center"/>
          </w:tcPr>
          <w:p w14:paraId="120520A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67F4B02D">
            <w:pPr>
              <w:rPr>
                <w:rFonts w:hint="eastAsia" w:ascii="宋体" w:hAnsi="宋体" w:eastAsia="宋体" w:cs="宋体"/>
                <w:color w:val="auto"/>
                <w:kern w:val="2"/>
                <w:sz w:val="22"/>
                <w:szCs w:val="22"/>
                <w:highlight w:val="none"/>
                <w:lang w:val="en-US" w:eastAsia="zh-CN" w:bidi="ar-SA"/>
              </w:rPr>
            </w:pPr>
          </w:p>
        </w:tc>
      </w:tr>
      <w:tr w14:paraId="1FA7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5216BDD2">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财务负责人</w:t>
            </w:r>
          </w:p>
        </w:tc>
        <w:tc>
          <w:tcPr>
            <w:tcW w:w="700" w:type="dxa"/>
            <w:noWrap w:val="0"/>
            <w:vAlign w:val="center"/>
          </w:tcPr>
          <w:p w14:paraId="60A75B8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68EABAB8">
            <w:pPr>
              <w:rPr>
                <w:rFonts w:hint="eastAsia" w:ascii="宋体" w:hAnsi="宋体" w:eastAsia="宋体" w:cs="宋体"/>
                <w:color w:val="auto"/>
                <w:kern w:val="2"/>
                <w:sz w:val="22"/>
                <w:szCs w:val="22"/>
                <w:highlight w:val="none"/>
                <w:lang w:val="en-US" w:eastAsia="zh-CN" w:bidi="ar-SA"/>
              </w:rPr>
            </w:pPr>
          </w:p>
        </w:tc>
      </w:tr>
      <w:tr w14:paraId="425B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60" w:type="dxa"/>
            <w:shd w:val="clear" w:color="auto" w:fill="auto"/>
            <w:noWrap w:val="0"/>
            <w:vAlign w:val="center"/>
          </w:tcPr>
          <w:p w14:paraId="76496BB8">
            <w:pPr>
              <w:pStyle w:val="28"/>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造价员</w:t>
            </w:r>
          </w:p>
        </w:tc>
        <w:tc>
          <w:tcPr>
            <w:tcW w:w="700" w:type="dxa"/>
            <w:noWrap w:val="0"/>
            <w:vAlign w:val="center"/>
          </w:tcPr>
          <w:p w14:paraId="4DB8E0D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410" w:type="dxa"/>
            <w:noWrap w:val="0"/>
            <w:vAlign w:val="center"/>
          </w:tcPr>
          <w:p w14:paraId="377D61B5">
            <w:pPr>
              <w:rPr>
                <w:rFonts w:hint="eastAsia" w:ascii="宋体" w:hAnsi="宋体" w:eastAsia="宋体" w:cs="宋体"/>
                <w:color w:val="auto"/>
                <w:kern w:val="2"/>
                <w:sz w:val="22"/>
                <w:szCs w:val="22"/>
                <w:highlight w:val="none"/>
                <w:lang w:val="en-US" w:eastAsia="zh-CN" w:bidi="ar-SA"/>
              </w:rPr>
            </w:pPr>
          </w:p>
        </w:tc>
      </w:tr>
    </w:tbl>
    <w:p w14:paraId="191C792A">
      <w:pPr>
        <w:rPr>
          <w:rFonts w:hint="eastAsia" w:ascii="宋体" w:hAnsi="宋体" w:eastAsia="宋体" w:cs="宋体"/>
          <w:color w:val="auto"/>
          <w:sz w:val="21"/>
          <w:szCs w:val="21"/>
          <w:highlight w:val="none"/>
        </w:rPr>
      </w:pPr>
    </w:p>
    <w:p w14:paraId="06F8BEA1">
      <w:pPr>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发包</w:t>
      </w:r>
      <w:r>
        <w:rPr>
          <w:rFonts w:hint="eastAsia" w:ascii="宋体" w:hAnsi="宋体" w:eastAsia="宋体" w:cs="宋体"/>
          <w:color w:val="auto"/>
          <w:sz w:val="21"/>
          <w:szCs w:val="21"/>
          <w:highlight w:val="none"/>
        </w:rPr>
        <w:t>人将在发出成交通知书之前要求成交人按照本表填报派驻本标段的其他主要管理人员和技术人员，在经</w:t>
      </w:r>
      <w:r>
        <w:rPr>
          <w:rFonts w:hint="eastAsia" w:ascii="宋体" w:hAnsi="宋体" w:eastAsia="宋体" w:cs="宋体"/>
          <w:color w:val="auto"/>
          <w:sz w:val="21"/>
          <w:szCs w:val="21"/>
          <w:highlight w:val="none"/>
          <w:lang w:val="en-US" w:eastAsia="zh-CN"/>
        </w:rPr>
        <w:t>发包</w:t>
      </w:r>
      <w:r>
        <w:rPr>
          <w:rFonts w:hint="eastAsia" w:ascii="宋体" w:hAnsi="宋体" w:eastAsia="宋体" w:cs="宋体"/>
          <w:color w:val="auto"/>
          <w:sz w:val="21"/>
          <w:szCs w:val="21"/>
          <w:highlight w:val="none"/>
        </w:rPr>
        <w:t>人审批后，作为派驻本标段的项目管理机构主要人员且不允许更换。</w:t>
      </w:r>
    </w:p>
    <w:p w14:paraId="4F32BBAA">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br w:type="page"/>
      </w:r>
    </w:p>
    <w:p w14:paraId="09B66E26">
      <w:pPr>
        <w:pStyle w:val="27"/>
        <w:ind w:left="0" w:leftChars="0" w:firstLine="0" w:firstLineChars="0"/>
        <w:jc w:val="center"/>
        <w:rPr>
          <w:rFonts w:hint="eastAsia" w:ascii="宋体" w:hAnsi="宋体" w:eastAsia="宋体" w:cs="宋体"/>
          <w:b/>
          <w:bCs/>
          <w:color w:val="auto"/>
          <w:sz w:val="28"/>
          <w:szCs w:val="28"/>
          <w:highlight w:val="none"/>
          <w:lang w:val="en-US" w:eastAsia="zh-CN"/>
        </w:rPr>
        <w:sectPr>
          <w:footerReference r:id="rId13" w:type="default"/>
          <w:pgSz w:w="11906" w:h="16838"/>
          <w:pgMar w:top="1100" w:right="1488" w:bottom="919" w:left="1298" w:header="851" w:footer="851" w:gutter="0"/>
          <w:pgNumType w:fmt="decimal"/>
          <w:cols w:space="720" w:num="1"/>
          <w:docGrid w:linePitch="312" w:charSpace="0"/>
        </w:sectPr>
      </w:pPr>
    </w:p>
    <w:p w14:paraId="22D3BEF5">
      <w:pPr>
        <w:widowControl w:val="0"/>
        <w:numPr>
          <w:ilvl w:val="0"/>
          <w:numId w:val="0"/>
        </w:numPr>
        <w:jc w:val="both"/>
        <w:rPr>
          <w:rFonts w:hint="eastAsia" w:ascii="宋体" w:hAnsi="宋体" w:eastAsia="宋体" w:cs="宋体"/>
          <w:b/>
          <w:bCs/>
          <w:color w:val="auto"/>
          <w:sz w:val="28"/>
          <w:szCs w:val="28"/>
          <w:highlight w:val="none"/>
          <w:lang w:val="en-US" w:eastAsia="zh-CN"/>
        </w:rPr>
      </w:pPr>
      <w:bookmarkStart w:id="134" w:name="_Toc514759057"/>
      <w:bookmarkStart w:id="135" w:name="_Toc508779713"/>
      <w:bookmarkStart w:id="136" w:name="_Toc394929420"/>
      <w:bookmarkStart w:id="137" w:name="_Toc15099"/>
      <w:bookmarkStart w:id="138" w:name="_Toc511595197"/>
      <w:r>
        <w:rPr>
          <w:rFonts w:hint="eastAsia" w:ascii="宋体" w:hAnsi="宋体" w:eastAsia="宋体" w:cs="宋体"/>
          <w:b/>
          <w:bCs/>
          <w:color w:val="auto"/>
          <w:sz w:val="28"/>
          <w:szCs w:val="28"/>
          <w:highlight w:val="none"/>
          <w:lang w:val="en-US" w:eastAsia="zh-CN"/>
        </w:rPr>
        <w:t>八、主要机械设备和试验检测设备</w:t>
      </w:r>
      <w:bookmarkEnd w:id="134"/>
      <w:bookmarkEnd w:id="135"/>
      <w:bookmarkEnd w:id="136"/>
      <w:bookmarkEnd w:id="137"/>
      <w:bookmarkEnd w:id="138"/>
      <w:r>
        <w:rPr>
          <w:rFonts w:hint="eastAsia" w:ascii="宋体" w:hAnsi="宋体" w:eastAsia="宋体" w:cs="宋体"/>
          <w:b/>
          <w:bCs/>
          <w:color w:val="auto"/>
          <w:sz w:val="28"/>
          <w:szCs w:val="28"/>
          <w:highlight w:val="none"/>
          <w:lang w:val="en-US" w:eastAsia="zh-CN"/>
        </w:rPr>
        <w:t>投入情况</w:t>
      </w:r>
    </w:p>
    <w:tbl>
      <w:tblPr>
        <w:tblStyle w:val="21"/>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897"/>
        <w:gridCol w:w="1227"/>
        <w:gridCol w:w="694"/>
        <w:gridCol w:w="695"/>
        <w:gridCol w:w="1114"/>
        <w:gridCol w:w="1252"/>
        <w:gridCol w:w="1114"/>
        <w:gridCol w:w="1530"/>
      </w:tblGrid>
      <w:tr w14:paraId="02BA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306A4DB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897" w:type="dxa"/>
            <w:noWrap w:val="0"/>
            <w:vAlign w:val="center"/>
          </w:tcPr>
          <w:p w14:paraId="74069B5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仪器设备名称</w:t>
            </w:r>
          </w:p>
        </w:tc>
        <w:tc>
          <w:tcPr>
            <w:tcW w:w="1227" w:type="dxa"/>
            <w:noWrap w:val="0"/>
            <w:vAlign w:val="center"/>
          </w:tcPr>
          <w:p w14:paraId="633C433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w:t>
            </w:r>
          </w:p>
          <w:p w14:paraId="0C407A6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规格</w:t>
            </w:r>
          </w:p>
        </w:tc>
        <w:tc>
          <w:tcPr>
            <w:tcW w:w="694" w:type="dxa"/>
            <w:noWrap w:val="0"/>
            <w:vAlign w:val="center"/>
          </w:tcPr>
          <w:p w14:paraId="1302760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695" w:type="dxa"/>
            <w:noWrap w:val="0"/>
            <w:vAlign w:val="center"/>
          </w:tcPr>
          <w:p w14:paraId="0CC405D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国别</w:t>
            </w:r>
          </w:p>
          <w:p w14:paraId="416F657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产地</w:t>
            </w:r>
          </w:p>
        </w:tc>
        <w:tc>
          <w:tcPr>
            <w:tcW w:w="1114" w:type="dxa"/>
            <w:noWrap w:val="0"/>
            <w:vAlign w:val="center"/>
          </w:tcPr>
          <w:p w14:paraId="18E142B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制造年份</w:t>
            </w:r>
          </w:p>
        </w:tc>
        <w:tc>
          <w:tcPr>
            <w:tcW w:w="1252" w:type="dxa"/>
            <w:noWrap w:val="0"/>
            <w:vAlign w:val="center"/>
          </w:tcPr>
          <w:p w14:paraId="412A2C8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已使用</w:t>
            </w:r>
          </w:p>
          <w:p w14:paraId="7AF5B7E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台时数</w:t>
            </w:r>
          </w:p>
        </w:tc>
        <w:tc>
          <w:tcPr>
            <w:tcW w:w="1114" w:type="dxa"/>
            <w:noWrap w:val="0"/>
            <w:vAlign w:val="center"/>
          </w:tcPr>
          <w:p w14:paraId="158AD5C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用途</w:t>
            </w:r>
          </w:p>
        </w:tc>
        <w:tc>
          <w:tcPr>
            <w:tcW w:w="1530" w:type="dxa"/>
            <w:noWrap w:val="0"/>
            <w:vAlign w:val="center"/>
          </w:tcPr>
          <w:p w14:paraId="6A3E3BB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3752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004E5BEA">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1</w:t>
            </w:r>
          </w:p>
        </w:tc>
        <w:tc>
          <w:tcPr>
            <w:tcW w:w="1897" w:type="dxa"/>
            <w:noWrap w:val="0"/>
            <w:vAlign w:val="center"/>
          </w:tcPr>
          <w:p w14:paraId="70BD7769">
            <w:pPr>
              <w:jc w:val="center"/>
              <w:rPr>
                <w:rFonts w:hint="eastAsia" w:ascii="宋体" w:hAnsi="宋体" w:eastAsia="宋体" w:cs="宋体"/>
                <w:color w:val="auto"/>
                <w:sz w:val="22"/>
                <w:szCs w:val="22"/>
                <w:highlight w:val="none"/>
              </w:rPr>
            </w:pPr>
          </w:p>
        </w:tc>
        <w:tc>
          <w:tcPr>
            <w:tcW w:w="1227" w:type="dxa"/>
            <w:noWrap w:val="0"/>
            <w:vAlign w:val="center"/>
          </w:tcPr>
          <w:p w14:paraId="51101666">
            <w:pPr>
              <w:jc w:val="center"/>
              <w:rPr>
                <w:rFonts w:hint="eastAsia" w:ascii="宋体" w:hAnsi="宋体" w:eastAsia="宋体" w:cs="宋体"/>
                <w:color w:val="auto"/>
                <w:sz w:val="22"/>
                <w:szCs w:val="22"/>
                <w:highlight w:val="none"/>
              </w:rPr>
            </w:pPr>
          </w:p>
        </w:tc>
        <w:tc>
          <w:tcPr>
            <w:tcW w:w="694" w:type="dxa"/>
            <w:noWrap w:val="0"/>
            <w:vAlign w:val="center"/>
          </w:tcPr>
          <w:p w14:paraId="4C67F28B">
            <w:pPr>
              <w:jc w:val="center"/>
              <w:rPr>
                <w:rFonts w:hint="eastAsia" w:ascii="宋体" w:hAnsi="宋体" w:eastAsia="宋体" w:cs="宋体"/>
                <w:color w:val="auto"/>
                <w:sz w:val="22"/>
                <w:szCs w:val="22"/>
                <w:highlight w:val="none"/>
                <w:lang w:eastAsia="zh-CN"/>
              </w:rPr>
            </w:pPr>
          </w:p>
        </w:tc>
        <w:tc>
          <w:tcPr>
            <w:tcW w:w="695" w:type="dxa"/>
            <w:noWrap w:val="0"/>
            <w:vAlign w:val="center"/>
          </w:tcPr>
          <w:p w14:paraId="79B9C903">
            <w:pPr>
              <w:jc w:val="center"/>
              <w:rPr>
                <w:rFonts w:hint="eastAsia" w:ascii="宋体" w:hAnsi="宋体" w:eastAsia="宋体" w:cs="宋体"/>
                <w:color w:val="auto"/>
                <w:sz w:val="22"/>
                <w:szCs w:val="22"/>
                <w:highlight w:val="none"/>
              </w:rPr>
            </w:pPr>
          </w:p>
        </w:tc>
        <w:tc>
          <w:tcPr>
            <w:tcW w:w="1114" w:type="dxa"/>
            <w:noWrap w:val="0"/>
            <w:vAlign w:val="center"/>
          </w:tcPr>
          <w:p w14:paraId="47B9F042">
            <w:pPr>
              <w:jc w:val="center"/>
              <w:rPr>
                <w:rFonts w:hint="eastAsia" w:ascii="宋体" w:hAnsi="宋体" w:eastAsia="宋体" w:cs="宋体"/>
                <w:color w:val="auto"/>
                <w:sz w:val="22"/>
                <w:szCs w:val="22"/>
                <w:highlight w:val="none"/>
              </w:rPr>
            </w:pPr>
          </w:p>
        </w:tc>
        <w:tc>
          <w:tcPr>
            <w:tcW w:w="1252" w:type="dxa"/>
            <w:noWrap w:val="0"/>
            <w:vAlign w:val="center"/>
          </w:tcPr>
          <w:p w14:paraId="5369B3BE">
            <w:pPr>
              <w:jc w:val="center"/>
              <w:rPr>
                <w:rFonts w:hint="eastAsia" w:ascii="宋体" w:hAnsi="宋体" w:eastAsia="宋体" w:cs="宋体"/>
                <w:color w:val="auto"/>
                <w:sz w:val="22"/>
                <w:szCs w:val="22"/>
                <w:highlight w:val="none"/>
              </w:rPr>
            </w:pPr>
          </w:p>
        </w:tc>
        <w:tc>
          <w:tcPr>
            <w:tcW w:w="1114" w:type="dxa"/>
            <w:noWrap w:val="0"/>
            <w:vAlign w:val="center"/>
          </w:tcPr>
          <w:p w14:paraId="44B531E3">
            <w:pPr>
              <w:jc w:val="center"/>
              <w:rPr>
                <w:rFonts w:hint="eastAsia" w:ascii="宋体" w:hAnsi="宋体" w:eastAsia="宋体" w:cs="宋体"/>
                <w:color w:val="auto"/>
                <w:sz w:val="22"/>
                <w:szCs w:val="22"/>
                <w:highlight w:val="none"/>
              </w:rPr>
            </w:pPr>
          </w:p>
        </w:tc>
        <w:tc>
          <w:tcPr>
            <w:tcW w:w="1530" w:type="dxa"/>
            <w:noWrap w:val="0"/>
            <w:vAlign w:val="center"/>
          </w:tcPr>
          <w:p w14:paraId="6C8571F6">
            <w:pPr>
              <w:jc w:val="center"/>
              <w:rPr>
                <w:rFonts w:hint="eastAsia" w:ascii="宋体" w:hAnsi="宋体" w:eastAsia="宋体" w:cs="宋体"/>
                <w:color w:val="auto"/>
                <w:sz w:val="22"/>
                <w:szCs w:val="22"/>
                <w:highlight w:val="none"/>
              </w:rPr>
            </w:pPr>
          </w:p>
        </w:tc>
      </w:tr>
      <w:tr w14:paraId="4E67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65F76764">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2</w:t>
            </w:r>
          </w:p>
        </w:tc>
        <w:tc>
          <w:tcPr>
            <w:tcW w:w="1897" w:type="dxa"/>
            <w:noWrap w:val="0"/>
            <w:vAlign w:val="center"/>
          </w:tcPr>
          <w:p w14:paraId="46F44361">
            <w:pPr>
              <w:jc w:val="center"/>
              <w:rPr>
                <w:rFonts w:hint="eastAsia" w:ascii="宋体" w:hAnsi="宋体" w:eastAsia="宋体" w:cs="宋体"/>
                <w:color w:val="auto"/>
                <w:sz w:val="22"/>
                <w:szCs w:val="22"/>
                <w:highlight w:val="none"/>
              </w:rPr>
            </w:pPr>
          </w:p>
        </w:tc>
        <w:tc>
          <w:tcPr>
            <w:tcW w:w="1227" w:type="dxa"/>
            <w:noWrap w:val="0"/>
            <w:vAlign w:val="center"/>
          </w:tcPr>
          <w:p w14:paraId="1A39FBA7">
            <w:pPr>
              <w:jc w:val="center"/>
              <w:rPr>
                <w:rFonts w:hint="eastAsia" w:ascii="宋体" w:hAnsi="宋体" w:eastAsia="宋体" w:cs="宋体"/>
                <w:color w:val="auto"/>
                <w:sz w:val="22"/>
                <w:szCs w:val="22"/>
                <w:highlight w:val="none"/>
              </w:rPr>
            </w:pPr>
          </w:p>
        </w:tc>
        <w:tc>
          <w:tcPr>
            <w:tcW w:w="694" w:type="dxa"/>
            <w:noWrap w:val="0"/>
            <w:vAlign w:val="center"/>
          </w:tcPr>
          <w:p w14:paraId="1131FADD">
            <w:pPr>
              <w:jc w:val="center"/>
              <w:rPr>
                <w:rFonts w:hint="eastAsia" w:ascii="宋体" w:hAnsi="宋体" w:eastAsia="宋体" w:cs="宋体"/>
                <w:color w:val="auto"/>
                <w:sz w:val="22"/>
                <w:szCs w:val="22"/>
                <w:highlight w:val="none"/>
                <w:lang w:eastAsia="zh-CN"/>
              </w:rPr>
            </w:pPr>
          </w:p>
        </w:tc>
        <w:tc>
          <w:tcPr>
            <w:tcW w:w="695" w:type="dxa"/>
            <w:noWrap w:val="0"/>
            <w:vAlign w:val="center"/>
          </w:tcPr>
          <w:p w14:paraId="113DAD1B">
            <w:pPr>
              <w:jc w:val="center"/>
              <w:rPr>
                <w:rFonts w:hint="eastAsia" w:ascii="宋体" w:hAnsi="宋体" w:eastAsia="宋体" w:cs="宋体"/>
                <w:color w:val="auto"/>
                <w:sz w:val="22"/>
                <w:szCs w:val="22"/>
                <w:highlight w:val="none"/>
              </w:rPr>
            </w:pPr>
          </w:p>
        </w:tc>
        <w:tc>
          <w:tcPr>
            <w:tcW w:w="1114" w:type="dxa"/>
            <w:noWrap w:val="0"/>
            <w:vAlign w:val="center"/>
          </w:tcPr>
          <w:p w14:paraId="643ECCC5">
            <w:pPr>
              <w:jc w:val="center"/>
              <w:rPr>
                <w:rFonts w:hint="eastAsia" w:ascii="宋体" w:hAnsi="宋体" w:eastAsia="宋体" w:cs="宋体"/>
                <w:color w:val="auto"/>
                <w:sz w:val="22"/>
                <w:szCs w:val="22"/>
                <w:highlight w:val="none"/>
              </w:rPr>
            </w:pPr>
          </w:p>
        </w:tc>
        <w:tc>
          <w:tcPr>
            <w:tcW w:w="1252" w:type="dxa"/>
            <w:noWrap w:val="0"/>
            <w:vAlign w:val="center"/>
          </w:tcPr>
          <w:p w14:paraId="56FB0EF7">
            <w:pPr>
              <w:jc w:val="center"/>
              <w:rPr>
                <w:rFonts w:hint="eastAsia" w:ascii="宋体" w:hAnsi="宋体" w:eastAsia="宋体" w:cs="宋体"/>
                <w:color w:val="auto"/>
                <w:sz w:val="22"/>
                <w:szCs w:val="22"/>
                <w:highlight w:val="none"/>
              </w:rPr>
            </w:pPr>
          </w:p>
        </w:tc>
        <w:tc>
          <w:tcPr>
            <w:tcW w:w="1114" w:type="dxa"/>
            <w:noWrap w:val="0"/>
            <w:vAlign w:val="center"/>
          </w:tcPr>
          <w:p w14:paraId="2530765F">
            <w:pPr>
              <w:jc w:val="center"/>
              <w:rPr>
                <w:rFonts w:hint="eastAsia" w:ascii="宋体" w:hAnsi="宋体" w:eastAsia="宋体" w:cs="宋体"/>
                <w:color w:val="auto"/>
                <w:sz w:val="22"/>
                <w:szCs w:val="22"/>
                <w:highlight w:val="none"/>
              </w:rPr>
            </w:pPr>
          </w:p>
        </w:tc>
        <w:tc>
          <w:tcPr>
            <w:tcW w:w="1530" w:type="dxa"/>
            <w:noWrap w:val="0"/>
            <w:vAlign w:val="center"/>
          </w:tcPr>
          <w:p w14:paraId="4423C407">
            <w:pPr>
              <w:jc w:val="center"/>
              <w:rPr>
                <w:rFonts w:hint="eastAsia" w:ascii="宋体" w:hAnsi="宋体" w:eastAsia="宋体" w:cs="宋体"/>
                <w:color w:val="auto"/>
                <w:sz w:val="22"/>
                <w:szCs w:val="22"/>
                <w:highlight w:val="none"/>
              </w:rPr>
            </w:pPr>
          </w:p>
        </w:tc>
      </w:tr>
      <w:tr w14:paraId="6D09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5A7A31EC">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3</w:t>
            </w:r>
          </w:p>
        </w:tc>
        <w:tc>
          <w:tcPr>
            <w:tcW w:w="1897" w:type="dxa"/>
            <w:noWrap w:val="0"/>
            <w:vAlign w:val="center"/>
          </w:tcPr>
          <w:p w14:paraId="0491901A">
            <w:pPr>
              <w:jc w:val="center"/>
              <w:rPr>
                <w:rFonts w:hint="eastAsia" w:ascii="宋体" w:hAnsi="宋体" w:eastAsia="宋体" w:cs="宋体"/>
                <w:color w:val="auto"/>
                <w:sz w:val="22"/>
                <w:szCs w:val="22"/>
                <w:highlight w:val="none"/>
              </w:rPr>
            </w:pPr>
          </w:p>
        </w:tc>
        <w:tc>
          <w:tcPr>
            <w:tcW w:w="1227" w:type="dxa"/>
            <w:noWrap w:val="0"/>
            <w:vAlign w:val="center"/>
          </w:tcPr>
          <w:p w14:paraId="3187D00A">
            <w:pPr>
              <w:jc w:val="center"/>
              <w:rPr>
                <w:rFonts w:hint="eastAsia" w:ascii="宋体" w:hAnsi="宋体" w:eastAsia="宋体" w:cs="宋体"/>
                <w:color w:val="auto"/>
                <w:sz w:val="22"/>
                <w:szCs w:val="22"/>
                <w:highlight w:val="none"/>
              </w:rPr>
            </w:pPr>
          </w:p>
        </w:tc>
        <w:tc>
          <w:tcPr>
            <w:tcW w:w="694" w:type="dxa"/>
            <w:noWrap w:val="0"/>
            <w:vAlign w:val="center"/>
          </w:tcPr>
          <w:p w14:paraId="31E16600">
            <w:pPr>
              <w:jc w:val="center"/>
              <w:rPr>
                <w:rFonts w:hint="eastAsia" w:ascii="宋体" w:hAnsi="宋体" w:eastAsia="宋体" w:cs="宋体"/>
                <w:color w:val="auto"/>
                <w:sz w:val="22"/>
                <w:szCs w:val="22"/>
                <w:highlight w:val="none"/>
                <w:lang w:eastAsia="zh-CN"/>
              </w:rPr>
            </w:pPr>
          </w:p>
        </w:tc>
        <w:tc>
          <w:tcPr>
            <w:tcW w:w="695" w:type="dxa"/>
            <w:noWrap w:val="0"/>
            <w:vAlign w:val="center"/>
          </w:tcPr>
          <w:p w14:paraId="4DE4D98B">
            <w:pPr>
              <w:jc w:val="center"/>
              <w:rPr>
                <w:rFonts w:hint="eastAsia" w:ascii="宋体" w:hAnsi="宋体" w:eastAsia="宋体" w:cs="宋体"/>
                <w:color w:val="auto"/>
                <w:sz w:val="22"/>
                <w:szCs w:val="22"/>
                <w:highlight w:val="none"/>
              </w:rPr>
            </w:pPr>
          </w:p>
        </w:tc>
        <w:tc>
          <w:tcPr>
            <w:tcW w:w="1114" w:type="dxa"/>
            <w:noWrap w:val="0"/>
            <w:vAlign w:val="center"/>
          </w:tcPr>
          <w:p w14:paraId="14C2C9BA">
            <w:pPr>
              <w:jc w:val="center"/>
              <w:rPr>
                <w:rFonts w:hint="eastAsia" w:ascii="宋体" w:hAnsi="宋体" w:eastAsia="宋体" w:cs="宋体"/>
                <w:color w:val="auto"/>
                <w:sz w:val="22"/>
                <w:szCs w:val="22"/>
                <w:highlight w:val="none"/>
              </w:rPr>
            </w:pPr>
          </w:p>
        </w:tc>
        <w:tc>
          <w:tcPr>
            <w:tcW w:w="1252" w:type="dxa"/>
            <w:noWrap w:val="0"/>
            <w:vAlign w:val="center"/>
          </w:tcPr>
          <w:p w14:paraId="0CAB4935">
            <w:pPr>
              <w:jc w:val="center"/>
              <w:rPr>
                <w:rFonts w:hint="eastAsia" w:ascii="宋体" w:hAnsi="宋体" w:eastAsia="宋体" w:cs="宋体"/>
                <w:color w:val="auto"/>
                <w:sz w:val="22"/>
                <w:szCs w:val="22"/>
                <w:highlight w:val="none"/>
              </w:rPr>
            </w:pPr>
          </w:p>
        </w:tc>
        <w:tc>
          <w:tcPr>
            <w:tcW w:w="1114" w:type="dxa"/>
            <w:noWrap w:val="0"/>
            <w:vAlign w:val="center"/>
          </w:tcPr>
          <w:p w14:paraId="59702833">
            <w:pPr>
              <w:jc w:val="center"/>
              <w:rPr>
                <w:rFonts w:hint="eastAsia" w:ascii="宋体" w:hAnsi="宋体" w:eastAsia="宋体" w:cs="宋体"/>
                <w:color w:val="auto"/>
                <w:sz w:val="22"/>
                <w:szCs w:val="22"/>
                <w:highlight w:val="none"/>
              </w:rPr>
            </w:pPr>
          </w:p>
        </w:tc>
        <w:tc>
          <w:tcPr>
            <w:tcW w:w="1530" w:type="dxa"/>
            <w:noWrap w:val="0"/>
            <w:vAlign w:val="center"/>
          </w:tcPr>
          <w:p w14:paraId="68C5BAC6">
            <w:pPr>
              <w:jc w:val="center"/>
              <w:rPr>
                <w:rFonts w:hint="eastAsia" w:ascii="宋体" w:hAnsi="宋体" w:eastAsia="宋体" w:cs="宋体"/>
                <w:color w:val="auto"/>
                <w:sz w:val="22"/>
                <w:szCs w:val="22"/>
                <w:highlight w:val="none"/>
              </w:rPr>
            </w:pPr>
          </w:p>
        </w:tc>
      </w:tr>
      <w:tr w14:paraId="4103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0002159E">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4</w:t>
            </w:r>
          </w:p>
        </w:tc>
        <w:tc>
          <w:tcPr>
            <w:tcW w:w="1897" w:type="dxa"/>
            <w:noWrap w:val="0"/>
            <w:vAlign w:val="center"/>
          </w:tcPr>
          <w:p w14:paraId="2ABC7850">
            <w:pPr>
              <w:jc w:val="center"/>
              <w:rPr>
                <w:rFonts w:hint="eastAsia" w:ascii="宋体" w:hAnsi="宋体" w:eastAsia="宋体" w:cs="宋体"/>
                <w:color w:val="auto"/>
                <w:sz w:val="22"/>
                <w:szCs w:val="22"/>
                <w:highlight w:val="none"/>
              </w:rPr>
            </w:pPr>
          </w:p>
        </w:tc>
        <w:tc>
          <w:tcPr>
            <w:tcW w:w="1227" w:type="dxa"/>
            <w:noWrap w:val="0"/>
            <w:vAlign w:val="center"/>
          </w:tcPr>
          <w:p w14:paraId="39B47617">
            <w:pPr>
              <w:jc w:val="center"/>
              <w:rPr>
                <w:rFonts w:hint="eastAsia" w:ascii="宋体" w:hAnsi="宋体" w:eastAsia="宋体" w:cs="宋体"/>
                <w:color w:val="auto"/>
                <w:sz w:val="22"/>
                <w:szCs w:val="22"/>
                <w:highlight w:val="none"/>
              </w:rPr>
            </w:pPr>
          </w:p>
        </w:tc>
        <w:tc>
          <w:tcPr>
            <w:tcW w:w="694" w:type="dxa"/>
            <w:noWrap w:val="0"/>
            <w:vAlign w:val="center"/>
          </w:tcPr>
          <w:p w14:paraId="745137A2">
            <w:pPr>
              <w:jc w:val="center"/>
              <w:rPr>
                <w:rFonts w:hint="eastAsia" w:ascii="宋体" w:hAnsi="宋体" w:eastAsia="宋体" w:cs="宋体"/>
                <w:color w:val="auto"/>
                <w:sz w:val="22"/>
                <w:szCs w:val="22"/>
                <w:highlight w:val="none"/>
                <w:lang w:eastAsia="zh-CN"/>
              </w:rPr>
            </w:pPr>
          </w:p>
        </w:tc>
        <w:tc>
          <w:tcPr>
            <w:tcW w:w="695" w:type="dxa"/>
            <w:noWrap w:val="0"/>
            <w:vAlign w:val="center"/>
          </w:tcPr>
          <w:p w14:paraId="09E64B92">
            <w:pPr>
              <w:jc w:val="center"/>
              <w:rPr>
                <w:rFonts w:hint="eastAsia" w:ascii="宋体" w:hAnsi="宋体" w:eastAsia="宋体" w:cs="宋体"/>
                <w:color w:val="auto"/>
                <w:sz w:val="22"/>
                <w:szCs w:val="22"/>
                <w:highlight w:val="none"/>
              </w:rPr>
            </w:pPr>
          </w:p>
        </w:tc>
        <w:tc>
          <w:tcPr>
            <w:tcW w:w="1114" w:type="dxa"/>
            <w:noWrap w:val="0"/>
            <w:vAlign w:val="center"/>
          </w:tcPr>
          <w:p w14:paraId="60D421D0">
            <w:pPr>
              <w:jc w:val="center"/>
              <w:rPr>
                <w:rFonts w:hint="eastAsia" w:ascii="宋体" w:hAnsi="宋体" w:eastAsia="宋体" w:cs="宋体"/>
                <w:color w:val="auto"/>
                <w:sz w:val="22"/>
                <w:szCs w:val="22"/>
                <w:highlight w:val="none"/>
              </w:rPr>
            </w:pPr>
          </w:p>
        </w:tc>
        <w:tc>
          <w:tcPr>
            <w:tcW w:w="1252" w:type="dxa"/>
            <w:noWrap w:val="0"/>
            <w:vAlign w:val="center"/>
          </w:tcPr>
          <w:p w14:paraId="6B6C391F">
            <w:pPr>
              <w:jc w:val="center"/>
              <w:rPr>
                <w:rFonts w:hint="eastAsia" w:ascii="宋体" w:hAnsi="宋体" w:eastAsia="宋体" w:cs="宋体"/>
                <w:color w:val="auto"/>
                <w:sz w:val="22"/>
                <w:szCs w:val="22"/>
                <w:highlight w:val="none"/>
              </w:rPr>
            </w:pPr>
          </w:p>
        </w:tc>
        <w:tc>
          <w:tcPr>
            <w:tcW w:w="1114" w:type="dxa"/>
            <w:noWrap w:val="0"/>
            <w:vAlign w:val="center"/>
          </w:tcPr>
          <w:p w14:paraId="1861BB38">
            <w:pPr>
              <w:jc w:val="center"/>
              <w:rPr>
                <w:rFonts w:hint="eastAsia" w:ascii="宋体" w:hAnsi="宋体" w:eastAsia="宋体" w:cs="宋体"/>
                <w:color w:val="auto"/>
                <w:sz w:val="22"/>
                <w:szCs w:val="22"/>
                <w:highlight w:val="none"/>
              </w:rPr>
            </w:pPr>
          </w:p>
        </w:tc>
        <w:tc>
          <w:tcPr>
            <w:tcW w:w="1530" w:type="dxa"/>
            <w:noWrap w:val="0"/>
            <w:vAlign w:val="center"/>
          </w:tcPr>
          <w:p w14:paraId="5EB143F2">
            <w:pPr>
              <w:jc w:val="center"/>
              <w:rPr>
                <w:rFonts w:hint="eastAsia" w:ascii="宋体" w:hAnsi="宋体" w:eastAsia="宋体" w:cs="宋体"/>
                <w:color w:val="auto"/>
                <w:sz w:val="22"/>
                <w:szCs w:val="22"/>
                <w:highlight w:val="none"/>
              </w:rPr>
            </w:pPr>
          </w:p>
        </w:tc>
      </w:tr>
      <w:tr w14:paraId="49E2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88" w:type="dxa"/>
            <w:noWrap w:val="0"/>
            <w:vAlign w:val="center"/>
          </w:tcPr>
          <w:p w14:paraId="084202B8">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5</w:t>
            </w:r>
          </w:p>
        </w:tc>
        <w:tc>
          <w:tcPr>
            <w:tcW w:w="1897" w:type="dxa"/>
            <w:noWrap w:val="0"/>
            <w:vAlign w:val="center"/>
          </w:tcPr>
          <w:p w14:paraId="575D13FD">
            <w:pPr>
              <w:jc w:val="center"/>
              <w:rPr>
                <w:rFonts w:hint="eastAsia" w:ascii="宋体" w:hAnsi="宋体" w:eastAsia="宋体" w:cs="宋体"/>
                <w:color w:val="auto"/>
                <w:sz w:val="22"/>
                <w:szCs w:val="22"/>
                <w:highlight w:val="none"/>
              </w:rPr>
            </w:pPr>
          </w:p>
        </w:tc>
        <w:tc>
          <w:tcPr>
            <w:tcW w:w="1227" w:type="dxa"/>
            <w:noWrap w:val="0"/>
            <w:vAlign w:val="center"/>
          </w:tcPr>
          <w:p w14:paraId="5343415F">
            <w:pPr>
              <w:jc w:val="center"/>
              <w:rPr>
                <w:rFonts w:hint="eastAsia" w:ascii="宋体" w:hAnsi="宋体" w:eastAsia="宋体" w:cs="宋体"/>
                <w:color w:val="auto"/>
                <w:sz w:val="22"/>
                <w:szCs w:val="22"/>
                <w:highlight w:val="none"/>
              </w:rPr>
            </w:pPr>
          </w:p>
        </w:tc>
        <w:tc>
          <w:tcPr>
            <w:tcW w:w="694" w:type="dxa"/>
            <w:noWrap w:val="0"/>
            <w:vAlign w:val="center"/>
          </w:tcPr>
          <w:p w14:paraId="2CD28803">
            <w:pPr>
              <w:jc w:val="center"/>
              <w:rPr>
                <w:rFonts w:hint="eastAsia" w:ascii="宋体" w:hAnsi="宋体" w:eastAsia="宋体" w:cs="宋体"/>
                <w:color w:val="auto"/>
                <w:sz w:val="22"/>
                <w:szCs w:val="22"/>
                <w:highlight w:val="none"/>
                <w:lang w:eastAsia="zh-CN"/>
              </w:rPr>
            </w:pPr>
          </w:p>
        </w:tc>
        <w:tc>
          <w:tcPr>
            <w:tcW w:w="695" w:type="dxa"/>
            <w:noWrap w:val="0"/>
            <w:vAlign w:val="center"/>
          </w:tcPr>
          <w:p w14:paraId="505B0BE4">
            <w:pPr>
              <w:jc w:val="center"/>
              <w:rPr>
                <w:rFonts w:hint="eastAsia" w:ascii="宋体" w:hAnsi="宋体" w:eastAsia="宋体" w:cs="宋体"/>
                <w:color w:val="auto"/>
                <w:sz w:val="22"/>
                <w:szCs w:val="22"/>
                <w:highlight w:val="none"/>
              </w:rPr>
            </w:pPr>
          </w:p>
        </w:tc>
        <w:tc>
          <w:tcPr>
            <w:tcW w:w="1114" w:type="dxa"/>
            <w:noWrap w:val="0"/>
            <w:vAlign w:val="center"/>
          </w:tcPr>
          <w:p w14:paraId="5DA0C3ED">
            <w:pPr>
              <w:jc w:val="center"/>
              <w:rPr>
                <w:rFonts w:hint="eastAsia" w:ascii="宋体" w:hAnsi="宋体" w:eastAsia="宋体" w:cs="宋体"/>
                <w:color w:val="auto"/>
                <w:sz w:val="22"/>
                <w:szCs w:val="22"/>
                <w:highlight w:val="none"/>
              </w:rPr>
            </w:pPr>
          </w:p>
        </w:tc>
        <w:tc>
          <w:tcPr>
            <w:tcW w:w="1252" w:type="dxa"/>
            <w:noWrap w:val="0"/>
            <w:vAlign w:val="center"/>
          </w:tcPr>
          <w:p w14:paraId="011C2882">
            <w:pPr>
              <w:jc w:val="center"/>
              <w:rPr>
                <w:rFonts w:hint="eastAsia" w:ascii="宋体" w:hAnsi="宋体" w:eastAsia="宋体" w:cs="宋体"/>
                <w:color w:val="auto"/>
                <w:sz w:val="22"/>
                <w:szCs w:val="22"/>
                <w:highlight w:val="none"/>
              </w:rPr>
            </w:pPr>
          </w:p>
        </w:tc>
        <w:tc>
          <w:tcPr>
            <w:tcW w:w="1114" w:type="dxa"/>
            <w:noWrap w:val="0"/>
            <w:vAlign w:val="center"/>
          </w:tcPr>
          <w:p w14:paraId="5AC180DA">
            <w:pPr>
              <w:jc w:val="center"/>
              <w:rPr>
                <w:rFonts w:hint="eastAsia" w:ascii="宋体" w:hAnsi="宋体" w:eastAsia="宋体" w:cs="宋体"/>
                <w:color w:val="auto"/>
                <w:sz w:val="22"/>
                <w:szCs w:val="22"/>
                <w:highlight w:val="none"/>
              </w:rPr>
            </w:pPr>
          </w:p>
        </w:tc>
        <w:tc>
          <w:tcPr>
            <w:tcW w:w="1530" w:type="dxa"/>
            <w:noWrap w:val="0"/>
            <w:vAlign w:val="center"/>
          </w:tcPr>
          <w:p w14:paraId="1F3BAB1F">
            <w:pPr>
              <w:jc w:val="center"/>
              <w:rPr>
                <w:rFonts w:hint="eastAsia" w:ascii="宋体" w:hAnsi="宋体" w:eastAsia="宋体" w:cs="宋体"/>
                <w:color w:val="auto"/>
                <w:sz w:val="22"/>
                <w:szCs w:val="22"/>
                <w:highlight w:val="none"/>
              </w:rPr>
            </w:pPr>
          </w:p>
        </w:tc>
      </w:tr>
      <w:tr w14:paraId="3594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88" w:type="dxa"/>
            <w:noWrap w:val="0"/>
            <w:vAlign w:val="center"/>
          </w:tcPr>
          <w:p w14:paraId="73EC8748">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6</w:t>
            </w:r>
          </w:p>
        </w:tc>
        <w:tc>
          <w:tcPr>
            <w:tcW w:w="1897" w:type="dxa"/>
            <w:noWrap w:val="0"/>
            <w:vAlign w:val="center"/>
          </w:tcPr>
          <w:p w14:paraId="3AB23FFB">
            <w:pPr>
              <w:jc w:val="center"/>
              <w:rPr>
                <w:rFonts w:hint="eastAsia" w:ascii="宋体" w:hAnsi="宋体" w:eastAsia="宋体" w:cs="宋体"/>
                <w:color w:val="auto"/>
                <w:sz w:val="22"/>
                <w:szCs w:val="22"/>
                <w:highlight w:val="none"/>
              </w:rPr>
            </w:pPr>
          </w:p>
        </w:tc>
        <w:tc>
          <w:tcPr>
            <w:tcW w:w="1227" w:type="dxa"/>
            <w:noWrap w:val="0"/>
            <w:vAlign w:val="center"/>
          </w:tcPr>
          <w:p w14:paraId="56DCE9FC">
            <w:pPr>
              <w:jc w:val="center"/>
              <w:rPr>
                <w:rFonts w:hint="eastAsia" w:ascii="宋体" w:hAnsi="宋体" w:eastAsia="宋体" w:cs="宋体"/>
                <w:color w:val="auto"/>
                <w:sz w:val="22"/>
                <w:szCs w:val="22"/>
                <w:highlight w:val="none"/>
              </w:rPr>
            </w:pPr>
          </w:p>
        </w:tc>
        <w:tc>
          <w:tcPr>
            <w:tcW w:w="694" w:type="dxa"/>
            <w:noWrap w:val="0"/>
            <w:vAlign w:val="center"/>
          </w:tcPr>
          <w:p w14:paraId="69A930BC">
            <w:pPr>
              <w:jc w:val="center"/>
              <w:rPr>
                <w:rFonts w:hint="eastAsia" w:ascii="宋体" w:hAnsi="宋体" w:eastAsia="宋体" w:cs="宋体"/>
                <w:color w:val="auto"/>
                <w:sz w:val="22"/>
                <w:szCs w:val="22"/>
                <w:highlight w:val="none"/>
              </w:rPr>
            </w:pPr>
          </w:p>
        </w:tc>
        <w:tc>
          <w:tcPr>
            <w:tcW w:w="695" w:type="dxa"/>
            <w:noWrap w:val="0"/>
            <w:vAlign w:val="center"/>
          </w:tcPr>
          <w:p w14:paraId="775299DB">
            <w:pPr>
              <w:jc w:val="center"/>
              <w:rPr>
                <w:rFonts w:hint="eastAsia" w:ascii="宋体" w:hAnsi="宋体" w:eastAsia="宋体" w:cs="宋体"/>
                <w:color w:val="auto"/>
                <w:sz w:val="22"/>
                <w:szCs w:val="22"/>
                <w:highlight w:val="none"/>
              </w:rPr>
            </w:pPr>
          </w:p>
        </w:tc>
        <w:tc>
          <w:tcPr>
            <w:tcW w:w="1114" w:type="dxa"/>
            <w:noWrap w:val="0"/>
            <w:vAlign w:val="center"/>
          </w:tcPr>
          <w:p w14:paraId="1484A416">
            <w:pPr>
              <w:jc w:val="center"/>
              <w:rPr>
                <w:rFonts w:hint="eastAsia" w:ascii="宋体" w:hAnsi="宋体" w:eastAsia="宋体" w:cs="宋体"/>
                <w:color w:val="auto"/>
                <w:sz w:val="22"/>
                <w:szCs w:val="22"/>
                <w:highlight w:val="none"/>
              </w:rPr>
            </w:pPr>
          </w:p>
        </w:tc>
        <w:tc>
          <w:tcPr>
            <w:tcW w:w="1252" w:type="dxa"/>
            <w:noWrap w:val="0"/>
            <w:vAlign w:val="center"/>
          </w:tcPr>
          <w:p w14:paraId="03867FD4">
            <w:pPr>
              <w:jc w:val="center"/>
              <w:rPr>
                <w:rFonts w:hint="eastAsia" w:ascii="宋体" w:hAnsi="宋体" w:eastAsia="宋体" w:cs="宋体"/>
                <w:color w:val="auto"/>
                <w:sz w:val="22"/>
                <w:szCs w:val="22"/>
                <w:highlight w:val="none"/>
              </w:rPr>
            </w:pPr>
          </w:p>
        </w:tc>
        <w:tc>
          <w:tcPr>
            <w:tcW w:w="1114" w:type="dxa"/>
            <w:noWrap w:val="0"/>
            <w:vAlign w:val="center"/>
          </w:tcPr>
          <w:p w14:paraId="36397FE1">
            <w:pPr>
              <w:jc w:val="center"/>
              <w:rPr>
                <w:rFonts w:hint="eastAsia" w:ascii="宋体" w:hAnsi="宋体" w:eastAsia="宋体" w:cs="宋体"/>
                <w:color w:val="auto"/>
                <w:sz w:val="22"/>
                <w:szCs w:val="22"/>
                <w:highlight w:val="none"/>
              </w:rPr>
            </w:pPr>
          </w:p>
        </w:tc>
        <w:tc>
          <w:tcPr>
            <w:tcW w:w="1530" w:type="dxa"/>
            <w:noWrap w:val="0"/>
            <w:vAlign w:val="center"/>
          </w:tcPr>
          <w:p w14:paraId="10B55625">
            <w:pPr>
              <w:jc w:val="center"/>
              <w:rPr>
                <w:rFonts w:hint="eastAsia" w:ascii="宋体" w:hAnsi="宋体" w:eastAsia="宋体" w:cs="宋体"/>
                <w:color w:val="auto"/>
                <w:sz w:val="22"/>
                <w:szCs w:val="22"/>
                <w:highlight w:val="none"/>
              </w:rPr>
            </w:pPr>
          </w:p>
        </w:tc>
      </w:tr>
      <w:tr w14:paraId="08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88" w:type="dxa"/>
            <w:noWrap w:val="0"/>
            <w:vAlign w:val="center"/>
          </w:tcPr>
          <w:p w14:paraId="41C9666C">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4"/>
                <w:szCs w:val="20"/>
                <w:highlight w:val="none"/>
              </w:rPr>
              <w:t>7</w:t>
            </w:r>
          </w:p>
        </w:tc>
        <w:tc>
          <w:tcPr>
            <w:tcW w:w="1897" w:type="dxa"/>
            <w:noWrap w:val="0"/>
            <w:vAlign w:val="center"/>
          </w:tcPr>
          <w:p w14:paraId="37BB251C">
            <w:pPr>
              <w:jc w:val="center"/>
              <w:rPr>
                <w:rFonts w:hint="eastAsia" w:ascii="宋体" w:hAnsi="宋体" w:eastAsia="宋体" w:cs="宋体"/>
                <w:color w:val="auto"/>
                <w:sz w:val="22"/>
                <w:szCs w:val="22"/>
                <w:highlight w:val="none"/>
              </w:rPr>
            </w:pPr>
          </w:p>
        </w:tc>
        <w:tc>
          <w:tcPr>
            <w:tcW w:w="1227" w:type="dxa"/>
            <w:noWrap w:val="0"/>
            <w:vAlign w:val="center"/>
          </w:tcPr>
          <w:p w14:paraId="1F1F0639">
            <w:pPr>
              <w:jc w:val="center"/>
              <w:rPr>
                <w:rFonts w:hint="eastAsia" w:ascii="宋体" w:hAnsi="宋体" w:eastAsia="宋体" w:cs="宋体"/>
                <w:color w:val="auto"/>
                <w:sz w:val="22"/>
                <w:szCs w:val="22"/>
                <w:highlight w:val="none"/>
              </w:rPr>
            </w:pPr>
          </w:p>
        </w:tc>
        <w:tc>
          <w:tcPr>
            <w:tcW w:w="694" w:type="dxa"/>
            <w:noWrap w:val="0"/>
            <w:vAlign w:val="center"/>
          </w:tcPr>
          <w:p w14:paraId="5C773537">
            <w:pPr>
              <w:jc w:val="center"/>
              <w:rPr>
                <w:rFonts w:hint="eastAsia" w:ascii="宋体" w:hAnsi="宋体" w:eastAsia="宋体" w:cs="宋体"/>
                <w:color w:val="auto"/>
                <w:sz w:val="22"/>
                <w:szCs w:val="22"/>
                <w:highlight w:val="none"/>
              </w:rPr>
            </w:pPr>
          </w:p>
        </w:tc>
        <w:tc>
          <w:tcPr>
            <w:tcW w:w="695" w:type="dxa"/>
            <w:noWrap w:val="0"/>
            <w:vAlign w:val="center"/>
          </w:tcPr>
          <w:p w14:paraId="0665CE79">
            <w:pPr>
              <w:jc w:val="center"/>
              <w:rPr>
                <w:rFonts w:hint="eastAsia" w:ascii="宋体" w:hAnsi="宋体" w:eastAsia="宋体" w:cs="宋体"/>
                <w:color w:val="auto"/>
                <w:sz w:val="22"/>
                <w:szCs w:val="22"/>
                <w:highlight w:val="none"/>
              </w:rPr>
            </w:pPr>
          </w:p>
        </w:tc>
        <w:tc>
          <w:tcPr>
            <w:tcW w:w="1114" w:type="dxa"/>
            <w:noWrap w:val="0"/>
            <w:vAlign w:val="center"/>
          </w:tcPr>
          <w:p w14:paraId="0564F1F4">
            <w:pPr>
              <w:jc w:val="center"/>
              <w:rPr>
                <w:rFonts w:hint="eastAsia" w:ascii="宋体" w:hAnsi="宋体" w:eastAsia="宋体" w:cs="宋体"/>
                <w:color w:val="auto"/>
                <w:sz w:val="22"/>
                <w:szCs w:val="22"/>
                <w:highlight w:val="none"/>
              </w:rPr>
            </w:pPr>
          </w:p>
        </w:tc>
        <w:tc>
          <w:tcPr>
            <w:tcW w:w="1252" w:type="dxa"/>
            <w:noWrap w:val="0"/>
            <w:vAlign w:val="center"/>
          </w:tcPr>
          <w:p w14:paraId="2C8AFD77">
            <w:pPr>
              <w:jc w:val="center"/>
              <w:rPr>
                <w:rFonts w:hint="eastAsia" w:ascii="宋体" w:hAnsi="宋体" w:eastAsia="宋体" w:cs="宋体"/>
                <w:color w:val="auto"/>
                <w:sz w:val="22"/>
                <w:szCs w:val="22"/>
                <w:highlight w:val="none"/>
              </w:rPr>
            </w:pPr>
          </w:p>
        </w:tc>
        <w:tc>
          <w:tcPr>
            <w:tcW w:w="1114" w:type="dxa"/>
            <w:noWrap w:val="0"/>
            <w:vAlign w:val="center"/>
          </w:tcPr>
          <w:p w14:paraId="43C13A5E">
            <w:pPr>
              <w:jc w:val="center"/>
              <w:rPr>
                <w:rFonts w:hint="eastAsia" w:ascii="宋体" w:hAnsi="宋体" w:eastAsia="宋体" w:cs="宋体"/>
                <w:color w:val="auto"/>
                <w:sz w:val="22"/>
                <w:szCs w:val="22"/>
                <w:highlight w:val="none"/>
              </w:rPr>
            </w:pPr>
          </w:p>
        </w:tc>
        <w:tc>
          <w:tcPr>
            <w:tcW w:w="1530" w:type="dxa"/>
            <w:noWrap w:val="0"/>
            <w:vAlign w:val="center"/>
          </w:tcPr>
          <w:p w14:paraId="58EC6D81">
            <w:pPr>
              <w:jc w:val="center"/>
              <w:rPr>
                <w:rFonts w:hint="eastAsia" w:ascii="宋体" w:hAnsi="宋体" w:eastAsia="宋体" w:cs="宋体"/>
                <w:color w:val="auto"/>
                <w:sz w:val="22"/>
                <w:szCs w:val="22"/>
                <w:highlight w:val="none"/>
              </w:rPr>
            </w:pPr>
          </w:p>
        </w:tc>
      </w:tr>
      <w:tr w14:paraId="215E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88" w:type="dxa"/>
            <w:noWrap w:val="0"/>
            <w:vAlign w:val="center"/>
          </w:tcPr>
          <w:p w14:paraId="58D4AA6E">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1897" w:type="dxa"/>
            <w:noWrap w:val="0"/>
            <w:vAlign w:val="center"/>
          </w:tcPr>
          <w:p w14:paraId="67439CB3">
            <w:pPr>
              <w:jc w:val="center"/>
              <w:rPr>
                <w:rFonts w:hint="eastAsia" w:ascii="宋体" w:hAnsi="宋体" w:eastAsia="宋体" w:cs="宋体"/>
                <w:color w:val="auto"/>
                <w:sz w:val="22"/>
                <w:szCs w:val="22"/>
                <w:highlight w:val="none"/>
              </w:rPr>
            </w:pPr>
          </w:p>
        </w:tc>
        <w:tc>
          <w:tcPr>
            <w:tcW w:w="1227" w:type="dxa"/>
            <w:noWrap w:val="0"/>
            <w:vAlign w:val="center"/>
          </w:tcPr>
          <w:p w14:paraId="538CEA78">
            <w:pPr>
              <w:jc w:val="center"/>
              <w:rPr>
                <w:rFonts w:hint="eastAsia" w:ascii="宋体" w:hAnsi="宋体" w:eastAsia="宋体" w:cs="宋体"/>
                <w:color w:val="auto"/>
                <w:sz w:val="22"/>
                <w:szCs w:val="22"/>
                <w:highlight w:val="none"/>
              </w:rPr>
            </w:pPr>
          </w:p>
        </w:tc>
        <w:tc>
          <w:tcPr>
            <w:tcW w:w="694" w:type="dxa"/>
            <w:noWrap w:val="0"/>
            <w:vAlign w:val="center"/>
          </w:tcPr>
          <w:p w14:paraId="5FC72C28">
            <w:pPr>
              <w:jc w:val="center"/>
              <w:rPr>
                <w:rFonts w:hint="eastAsia" w:ascii="宋体" w:hAnsi="宋体" w:eastAsia="宋体" w:cs="宋体"/>
                <w:color w:val="auto"/>
                <w:sz w:val="22"/>
                <w:szCs w:val="22"/>
                <w:highlight w:val="none"/>
              </w:rPr>
            </w:pPr>
          </w:p>
        </w:tc>
        <w:tc>
          <w:tcPr>
            <w:tcW w:w="695" w:type="dxa"/>
            <w:noWrap w:val="0"/>
            <w:vAlign w:val="center"/>
          </w:tcPr>
          <w:p w14:paraId="05A45A2D">
            <w:pPr>
              <w:jc w:val="center"/>
              <w:rPr>
                <w:rFonts w:hint="eastAsia" w:ascii="宋体" w:hAnsi="宋体" w:eastAsia="宋体" w:cs="宋体"/>
                <w:color w:val="auto"/>
                <w:sz w:val="22"/>
                <w:szCs w:val="22"/>
                <w:highlight w:val="none"/>
              </w:rPr>
            </w:pPr>
          </w:p>
        </w:tc>
        <w:tc>
          <w:tcPr>
            <w:tcW w:w="1114" w:type="dxa"/>
            <w:noWrap w:val="0"/>
            <w:vAlign w:val="center"/>
          </w:tcPr>
          <w:p w14:paraId="0F8F08B4">
            <w:pPr>
              <w:jc w:val="center"/>
              <w:rPr>
                <w:rFonts w:hint="eastAsia" w:ascii="宋体" w:hAnsi="宋体" w:eastAsia="宋体" w:cs="宋体"/>
                <w:color w:val="auto"/>
                <w:sz w:val="22"/>
                <w:szCs w:val="22"/>
                <w:highlight w:val="none"/>
              </w:rPr>
            </w:pPr>
          </w:p>
        </w:tc>
        <w:tc>
          <w:tcPr>
            <w:tcW w:w="1252" w:type="dxa"/>
            <w:noWrap w:val="0"/>
            <w:vAlign w:val="center"/>
          </w:tcPr>
          <w:p w14:paraId="74D733D1">
            <w:pPr>
              <w:jc w:val="center"/>
              <w:rPr>
                <w:rFonts w:hint="eastAsia" w:ascii="宋体" w:hAnsi="宋体" w:eastAsia="宋体" w:cs="宋体"/>
                <w:color w:val="auto"/>
                <w:sz w:val="22"/>
                <w:szCs w:val="22"/>
                <w:highlight w:val="none"/>
              </w:rPr>
            </w:pPr>
          </w:p>
        </w:tc>
        <w:tc>
          <w:tcPr>
            <w:tcW w:w="1114" w:type="dxa"/>
            <w:noWrap w:val="0"/>
            <w:vAlign w:val="center"/>
          </w:tcPr>
          <w:p w14:paraId="74FF0261">
            <w:pPr>
              <w:jc w:val="center"/>
              <w:rPr>
                <w:rFonts w:hint="eastAsia" w:ascii="宋体" w:hAnsi="宋体" w:eastAsia="宋体" w:cs="宋体"/>
                <w:color w:val="auto"/>
                <w:sz w:val="22"/>
                <w:szCs w:val="22"/>
                <w:highlight w:val="none"/>
              </w:rPr>
            </w:pPr>
          </w:p>
        </w:tc>
        <w:tc>
          <w:tcPr>
            <w:tcW w:w="1530" w:type="dxa"/>
            <w:noWrap w:val="0"/>
            <w:vAlign w:val="center"/>
          </w:tcPr>
          <w:p w14:paraId="7B09657D">
            <w:pPr>
              <w:jc w:val="center"/>
              <w:rPr>
                <w:rFonts w:hint="eastAsia" w:ascii="宋体" w:hAnsi="宋体" w:eastAsia="宋体" w:cs="宋体"/>
                <w:color w:val="auto"/>
                <w:sz w:val="22"/>
                <w:szCs w:val="22"/>
                <w:highlight w:val="none"/>
              </w:rPr>
            </w:pPr>
          </w:p>
        </w:tc>
      </w:tr>
    </w:tbl>
    <w:p w14:paraId="09E85521">
      <w:pPr>
        <w:ind w:firstLine="420"/>
        <w:rPr>
          <w:rFonts w:hint="eastAsia" w:ascii="宋体" w:hAnsi="宋体" w:eastAsia="宋体" w:cs="宋体"/>
          <w:color w:val="auto"/>
          <w:sz w:val="21"/>
          <w:szCs w:val="21"/>
          <w:highlight w:val="none"/>
        </w:rPr>
      </w:pPr>
    </w:p>
    <w:p w14:paraId="78F9A24B">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发包</w:t>
      </w:r>
      <w:r>
        <w:rPr>
          <w:rFonts w:hint="eastAsia" w:ascii="宋体" w:hAnsi="宋体" w:eastAsia="宋体" w:cs="宋体"/>
          <w:color w:val="auto"/>
          <w:sz w:val="21"/>
          <w:szCs w:val="21"/>
          <w:highlight w:val="none"/>
        </w:rPr>
        <w:t>人将在发出成交通知书之前要求成交人按照本表填报为本标段配备的主要设备，在经</w:t>
      </w:r>
      <w:r>
        <w:rPr>
          <w:rFonts w:hint="eastAsia" w:ascii="宋体" w:hAnsi="宋体" w:eastAsia="宋体" w:cs="宋体"/>
          <w:color w:val="auto"/>
          <w:sz w:val="21"/>
          <w:szCs w:val="21"/>
          <w:highlight w:val="none"/>
          <w:lang w:val="en-US" w:eastAsia="zh-CN"/>
        </w:rPr>
        <w:t>发包</w:t>
      </w:r>
      <w:r>
        <w:rPr>
          <w:rFonts w:hint="eastAsia" w:ascii="宋体" w:hAnsi="宋体" w:eastAsia="宋体" w:cs="宋体"/>
          <w:color w:val="auto"/>
          <w:sz w:val="21"/>
          <w:szCs w:val="21"/>
          <w:highlight w:val="none"/>
        </w:rPr>
        <w:t>人审批后作为投入本标段的主要设备且不允许更换。</w:t>
      </w:r>
    </w:p>
    <w:p w14:paraId="53177A20">
      <w:pPr>
        <w:ind w:firstLine="411" w:firstLineChars="196"/>
        <w:rPr>
          <w:rFonts w:hint="eastAsia" w:ascii="宋体" w:hAnsi="宋体" w:eastAsia="宋体" w:cs="宋体"/>
          <w:color w:val="auto"/>
          <w:sz w:val="21"/>
          <w:szCs w:val="21"/>
          <w:highlight w:val="none"/>
        </w:rPr>
      </w:pPr>
    </w:p>
    <w:p w14:paraId="1459B86B">
      <w:pPr>
        <w:ind w:firstLine="411" w:firstLineChars="196"/>
        <w:rPr>
          <w:rFonts w:hint="eastAsia" w:ascii="宋体" w:hAnsi="宋体" w:eastAsia="宋体" w:cs="宋体"/>
          <w:color w:val="auto"/>
          <w:sz w:val="21"/>
          <w:szCs w:val="21"/>
          <w:highlight w:val="none"/>
          <w:lang w:val="en-US" w:eastAsia="zh-CN"/>
        </w:rPr>
        <w:sectPr>
          <w:pgSz w:w="11906" w:h="16838"/>
          <w:pgMar w:top="1100" w:right="1488" w:bottom="919" w:left="1298" w:header="851" w:footer="851" w:gutter="0"/>
          <w:pgNumType w:fmt="decimal"/>
          <w:cols w:space="720" w:num="1"/>
          <w:docGrid w:linePitch="312" w:charSpace="0"/>
        </w:sectPr>
      </w:pPr>
    </w:p>
    <w:p w14:paraId="4F15642F">
      <w:pPr>
        <w:bidi w:val="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九、</w:t>
      </w:r>
      <w:r>
        <w:rPr>
          <w:rFonts w:hint="eastAsia" w:ascii="宋体" w:hAnsi="宋体" w:eastAsia="宋体" w:cs="宋体"/>
          <w:b/>
          <w:bCs/>
          <w:color w:val="auto"/>
          <w:sz w:val="32"/>
          <w:szCs w:val="32"/>
          <w:highlight w:val="none"/>
        </w:rPr>
        <w:t>第一节  通用合同条款</w:t>
      </w:r>
    </w:p>
    <w:p w14:paraId="6DD58020">
      <w:pPr>
        <w:tabs>
          <w:tab w:val="left" w:pos="1080"/>
        </w:tabs>
        <w:spacing w:line="40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Style w:val="48"/>
          <w:rFonts w:hint="eastAsia" w:ascii="宋体" w:hAnsi="宋体" w:eastAsia="宋体" w:cs="宋体"/>
          <w:color w:val="auto"/>
          <w:sz w:val="21"/>
          <w:szCs w:val="21"/>
          <w:highlight w:val="none"/>
        </w:rPr>
        <w:t>通用合同条款”采用中华人民共和国交通运输部《公路工程标准施工招标文件》（2018年版）的“通用合同条款”</w:t>
      </w:r>
    </w:p>
    <w:p w14:paraId="44E37EE1">
      <w:pPr>
        <w:bidi w:val="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第二节  专用合同条款</w:t>
      </w:r>
    </w:p>
    <w:p w14:paraId="4ACDAB42">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A.公路工程专用合同条款</w:t>
      </w:r>
    </w:p>
    <w:p w14:paraId="6F7E680C">
      <w:pPr>
        <w:tabs>
          <w:tab w:val="left" w:pos="108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sz w:val="21"/>
          <w:szCs w:val="21"/>
          <w:highlight w:val="none"/>
        </w:rPr>
        <w:t>“</w:t>
      </w:r>
      <w:r>
        <w:rPr>
          <w:rStyle w:val="48"/>
          <w:rFonts w:hint="eastAsia" w:ascii="宋体" w:hAnsi="宋体" w:eastAsia="宋体" w:cs="宋体"/>
          <w:color w:val="auto"/>
          <w:sz w:val="21"/>
          <w:szCs w:val="21"/>
          <w:highlight w:val="none"/>
        </w:rPr>
        <w:t>公路工程专用合同条款”采用交通运输部《公路工程标准施工招标文件》（2018年版）的“公路工程专用合同条款”</w:t>
      </w:r>
    </w:p>
    <w:p w14:paraId="2F805FCC">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B.项目专用合同条款</w:t>
      </w:r>
    </w:p>
    <w:p w14:paraId="0BA66419">
      <w:pPr>
        <w:tabs>
          <w:tab w:val="left" w:pos="1080"/>
        </w:tabs>
        <w:spacing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0E1381EC">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在根据《公路工程标准施工招标文件》编制项目谈判文件中的“项目专用合同条款”时，可根据招标项目的具体特点和实际需要，对“通用合同条款”及“公路工程专用合同条款”进行补充和细化，除“通用合同条款”明确“专用合同条款”可做出不同约定以及“公路工程专用合同条款”明确“项目专用合同条款” 可做出不同约定外，补充和细化的内容不得与“通用合同条款”及“公路工程专用合同条款”强制性规定相抵触。同时，补充、细化或约定的不同内容，不得违反法律、行政法规的强制性规定和平等、自愿、公平和诚实信用原则。</w:t>
      </w:r>
    </w:p>
    <w:p w14:paraId="15553928">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2.项目专用合同条款的编号应与通用合同条款和公路工程专用合同条款一致。</w:t>
      </w:r>
    </w:p>
    <w:p w14:paraId="5D0A8B88">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3.项目专用合同条款可对下列内容进行补充和细化：</w:t>
      </w:r>
    </w:p>
    <w:p w14:paraId="15E7D0BE">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1C04DAD3">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2D1E9D88">
      <w:pPr>
        <w:tabs>
          <w:tab w:val="left" w:pos="1080"/>
        </w:tabs>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(3)其他需要补充、细化的内容。</w:t>
      </w:r>
    </w:p>
    <w:p w14:paraId="54DC8FFE">
      <w:pPr>
        <w:bidi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项目专用合同条款数据表</w:t>
      </w:r>
    </w:p>
    <w:p w14:paraId="7FA312B6">
      <w:pPr>
        <w:tabs>
          <w:tab w:val="left" w:pos="1080"/>
        </w:tabs>
        <w:spacing w:line="400" w:lineRule="exact"/>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说明：</w:t>
      </w:r>
      <w:r>
        <w:rPr>
          <w:rFonts w:hint="eastAsia" w:ascii="宋体" w:hAnsi="宋体" w:eastAsia="宋体" w:cs="宋体"/>
          <w:color w:val="auto"/>
          <w:sz w:val="21"/>
          <w:szCs w:val="21"/>
          <w:highlight w:val="none"/>
        </w:rPr>
        <w:t>本数据表是项目专用合同条款中适用于本项目的信息和数据的归纳与提示，是项目专用合同条款的组成部分。第</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章“响应文件格式”的竞标函附录中的数据（</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确认）与本表所列有重复。编写采购文件的单位应仔细校核，不使数据出现差错或不一致。</w:t>
      </w:r>
    </w:p>
    <w:tbl>
      <w:tblPr>
        <w:tblStyle w:val="21"/>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2"/>
        <w:gridCol w:w="7205"/>
      </w:tblGrid>
      <w:tr w14:paraId="64D8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18" w:type="dxa"/>
            <w:noWrap w:val="0"/>
            <w:vAlign w:val="center"/>
          </w:tcPr>
          <w:p w14:paraId="7783212C">
            <w:pPr>
              <w:tabs>
                <w:tab w:val="left" w:pos="1080"/>
              </w:tabs>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72" w:type="dxa"/>
            <w:noWrap w:val="0"/>
            <w:vAlign w:val="center"/>
          </w:tcPr>
          <w:p w14:paraId="2433EE63">
            <w:pPr>
              <w:tabs>
                <w:tab w:val="left" w:pos="1080"/>
              </w:tabs>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条目号</w:t>
            </w:r>
          </w:p>
        </w:tc>
        <w:tc>
          <w:tcPr>
            <w:tcW w:w="7205" w:type="dxa"/>
            <w:noWrap w:val="0"/>
            <w:vAlign w:val="center"/>
          </w:tcPr>
          <w:p w14:paraId="6C36FD93">
            <w:pPr>
              <w:tabs>
                <w:tab w:val="left" w:pos="1080"/>
              </w:tabs>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 息 或 数 据</w:t>
            </w:r>
          </w:p>
        </w:tc>
      </w:tr>
      <w:tr w14:paraId="48FE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18" w:type="dxa"/>
            <w:noWrap w:val="0"/>
            <w:vAlign w:val="center"/>
          </w:tcPr>
          <w:p w14:paraId="6FB176EA">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2" w:type="dxa"/>
            <w:noWrap w:val="0"/>
            <w:vAlign w:val="center"/>
          </w:tcPr>
          <w:p w14:paraId="6D732F7D">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w:t>
            </w:r>
          </w:p>
        </w:tc>
        <w:tc>
          <w:tcPr>
            <w:tcW w:w="7205" w:type="dxa"/>
            <w:noWrap w:val="0"/>
            <w:vAlign w:val="center"/>
          </w:tcPr>
          <w:p w14:paraId="62B7FEC0">
            <w:pPr>
              <w:spacing w:line="3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lang w:eastAsia="zh-CN"/>
              </w:rPr>
              <w:t>天等县交通运输局</w:t>
            </w:r>
          </w:p>
          <w:p w14:paraId="3576094F">
            <w:pPr>
              <w:tabs>
                <w:tab w:val="left" w:pos="1080"/>
              </w:tabs>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天等县天等镇隆罕路6号6栋</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楼</w:t>
            </w:r>
            <w:r>
              <w:rPr>
                <w:rFonts w:hint="eastAsia" w:ascii="宋体" w:hAnsi="宋体" w:eastAsia="宋体" w:cs="宋体"/>
                <w:color w:val="auto"/>
                <w:sz w:val="21"/>
                <w:szCs w:val="21"/>
                <w:highlight w:val="none"/>
              </w:rPr>
              <w:t xml:space="preserve">      </w:t>
            </w:r>
          </w:p>
        </w:tc>
      </w:tr>
      <w:tr w14:paraId="3700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8" w:type="dxa"/>
            <w:noWrap w:val="0"/>
            <w:vAlign w:val="center"/>
          </w:tcPr>
          <w:p w14:paraId="4F42A6BC">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72" w:type="dxa"/>
            <w:noWrap w:val="0"/>
            <w:vAlign w:val="center"/>
          </w:tcPr>
          <w:p w14:paraId="52492CAC">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1.1.4.5</w:t>
            </w:r>
          </w:p>
        </w:tc>
        <w:tc>
          <w:tcPr>
            <w:tcW w:w="7205" w:type="dxa"/>
            <w:noWrap w:val="0"/>
            <w:vAlign w:val="center"/>
          </w:tcPr>
          <w:p w14:paraId="3A28CB0A">
            <w:pPr>
              <w:tabs>
                <w:tab w:val="left" w:pos="1080"/>
              </w:tabs>
              <w:spacing w:line="3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缺陷责任期：自实际交工</w:t>
            </w:r>
            <w:r>
              <w:rPr>
                <w:rFonts w:hint="eastAsia" w:ascii="宋体" w:hAnsi="宋体" w:eastAsia="宋体" w:cs="宋体"/>
                <w:color w:val="auto"/>
                <w:sz w:val="21"/>
                <w:szCs w:val="21"/>
                <w:highlight w:val="none"/>
                <w:lang w:val="en-US" w:eastAsia="zh-CN"/>
              </w:rPr>
              <w:t>验收合格</w:t>
            </w:r>
            <w:r>
              <w:rPr>
                <w:rFonts w:hint="eastAsia" w:ascii="宋体" w:hAnsi="宋体" w:eastAsia="宋体" w:cs="宋体"/>
                <w:color w:val="auto"/>
                <w:sz w:val="21"/>
                <w:szCs w:val="21"/>
                <w:highlight w:val="none"/>
              </w:rPr>
              <w:t>日期起计算</w:t>
            </w:r>
            <w:r>
              <w:rPr>
                <w:rStyle w:val="37"/>
                <w:rFonts w:hint="eastAsia" w:ascii="宋体" w:hAnsi="宋体" w:eastAsia="宋体" w:cs="宋体"/>
                <w:b/>
                <w:bCs/>
                <w:color w:val="auto"/>
                <w:sz w:val="21"/>
                <w:szCs w:val="21"/>
                <w:highlight w:val="none"/>
                <w:u w:val="single"/>
                <w:lang w:val="en-US"/>
              </w:rPr>
              <w:t>365</w:t>
            </w:r>
            <w:r>
              <w:rPr>
                <w:rStyle w:val="37"/>
                <w:rFonts w:hint="eastAsia" w:ascii="宋体" w:hAnsi="宋体" w:eastAsia="宋体" w:cs="宋体"/>
                <w:color w:val="auto"/>
                <w:sz w:val="21"/>
                <w:szCs w:val="21"/>
                <w:highlight w:val="none"/>
                <w:u w:val="single"/>
                <w:lang w:val="en-US"/>
              </w:rPr>
              <w:t>日历天</w:t>
            </w:r>
          </w:p>
        </w:tc>
      </w:tr>
      <w:tr w14:paraId="7EDC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18" w:type="dxa"/>
            <w:noWrap w:val="0"/>
            <w:vAlign w:val="center"/>
          </w:tcPr>
          <w:p w14:paraId="7AAA543D">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72" w:type="dxa"/>
            <w:noWrap w:val="0"/>
            <w:vAlign w:val="center"/>
          </w:tcPr>
          <w:p w14:paraId="563E5CD0">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7205" w:type="dxa"/>
            <w:noWrap w:val="0"/>
            <w:vAlign w:val="center"/>
          </w:tcPr>
          <w:p w14:paraId="7B5BABC1">
            <w:pPr>
              <w:tabs>
                <w:tab w:val="left" w:pos="1080"/>
              </w:tabs>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图纸需要修改和补充的，应取得发包人同意后，在该工程或工程相应部位施工前</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 xml:space="preserve">15 </w:t>
            </w:r>
            <w:r>
              <w:rPr>
                <w:rFonts w:hint="eastAsia" w:ascii="宋体" w:hAnsi="宋体" w:eastAsia="宋体" w:cs="宋体"/>
                <w:color w:val="auto"/>
                <w:sz w:val="21"/>
                <w:szCs w:val="21"/>
                <w:highlight w:val="none"/>
              </w:rPr>
              <w:t>天签发图纸修改图给承包人</w:t>
            </w:r>
          </w:p>
        </w:tc>
      </w:tr>
      <w:tr w14:paraId="22F1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18" w:type="dxa"/>
            <w:noWrap w:val="0"/>
            <w:vAlign w:val="center"/>
          </w:tcPr>
          <w:p w14:paraId="48D4514F">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72" w:type="dxa"/>
            <w:noWrap w:val="0"/>
            <w:vAlign w:val="center"/>
          </w:tcPr>
          <w:p w14:paraId="1AECF490">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w:t>
            </w:r>
          </w:p>
        </w:tc>
        <w:tc>
          <w:tcPr>
            <w:tcW w:w="7205" w:type="dxa"/>
            <w:noWrap w:val="0"/>
            <w:vAlign w:val="center"/>
          </w:tcPr>
          <w:p w14:paraId="74FD89F3">
            <w:pPr>
              <w:spacing w:line="3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发包人是否提供材料或施工设备：否</w:t>
            </w:r>
          </w:p>
        </w:tc>
      </w:tr>
      <w:tr w14:paraId="22F7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18" w:type="dxa"/>
            <w:noWrap w:val="0"/>
            <w:vAlign w:val="center"/>
          </w:tcPr>
          <w:p w14:paraId="169C2F2A">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72" w:type="dxa"/>
            <w:noWrap w:val="0"/>
            <w:vAlign w:val="center"/>
          </w:tcPr>
          <w:p w14:paraId="130E8E8F">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7205" w:type="dxa"/>
            <w:noWrap w:val="0"/>
            <w:vAlign w:val="center"/>
          </w:tcPr>
          <w:p w14:paraId="7CF8643F">
            <w:pPr>
              <w:tabs>
                <w:tab w:val="left" w:pos="1080"/>
              </w:tabs>
              <w:spacing w:line="3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发包人是否提供施工设备和临时设施：否</w:t>
            </w:r>
          </w:p>
        </w:tc>
      </w:tr>
      <w:tr w14:paraId="3570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8" w:type="dxa"/>
            <w:noWrap w:val="0"/>
            <w:vAlign w:val="center"/>
          </w:tcPr>
          <w:p w14:paraId="4CAEAD2F">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72" w:type="dxa"/>
            <w:noWrap w:val="0"/>
            <w:vAlign w:val="center"/>
          </w:tcPr>
          <w:p w14:paraId="746F8957">
            <w:pPr>
              <w:tabs>
                <w:tab w:val="left" w:pos="1080"/>
              </w:tabs>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8.1.1</w:t>
            </w:r>
          </w:p>
        </w:tc>
        <w:tc>
          <w:tcPr>
            <w:tcW w:w="7205" w:type="dxa"/>
            <w:noWrap w:val="0"/>
            <w:vAlign w:val="top"/>
          </w:tcPr>
          <w:p w14:paraId="1AAFBC2F">
            <w:pPr>
              <w:tabs>
                <w:tab w:val="left" w:pos="1080"/>
              </w:tabs>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发包人提供测量基准点、基准线和水准点及其书面资料的期限：</w:t>
            </w:r>
            <w:r>
              <w:rPr>
                <w:rFonts w:hint="eastAsia" w:ascii="宋体" w:hAnsi="宋体" w:eastAsia="宋体" w:cs="宋体"/>
                <w:b/>
                <w:color w:val="auto"/>
                <w:szCs w:val="21"/>
                <w:highlight w:val="none"/>
                <w:u w:val="single"/>
              </w:rPr>
              <w:t>承包人接到开工通知书后14天内。</w:t>
            </w:r>
            <w:r>
              <w:rPr>
                <w:rFonts w:hint="eastAsia" w:ascii="宋体" w:hAnsi="宋体" w:eastAsia="宋体" w:cs="宋体"/>
                <w:color w:val="auto"/>
                <w:szCs w:val="21"/>
                <w:highlight w:val="none"/>
              </w:rPr>
              <w:t xml:space="preserve"> 承包人将施工控制网资料报送监理人审批的期限：</w:t>
            </w:r>
            <w:r>
              <w:rPr>
                <w:rFonts w:hint="eastAsia" w:ascii="宋体" w:hAnsi="宋体" w:eastAsia="宋体" w:cs="宋体"/>
                <w:b/>
                <w:color w:val="auto"/>
                <w:szCs w:val="21"/>
                <w:highlight w:val="none"/>
                <w:u w:val="single"/>
              </w:rPr>
              <w:t>工程（单项工程）开工7天前</w:t>
            </w:r>
          </w:p>
        </w:tc>
      </w:tr>
      <w:tr w14:paraId="73C3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8" w:type="dxa"/>
            <w:noWrap w:val="0"/>
            <w:vAlign w:val="center"/>
          </w:tcPr>
          <w:p w14:paraId="2E80DD98">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72" w:type="dxa"/>
            <w:noWrap w:val="0"/>
            <w:vAlign w:val="center"/>
          </w:tcPr>
          <w:p w14:paraId="4BF73E06">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7205" w:type="dxa"/>
            <w:noWrap w:val="0"/>
            <w:vAlign w:val="center"/>
          </w:tcPr>
          <w:p w14:paraId="69F07ACD">
            <w:pPr>
              <w:tabs>
                <w:tab w:val="left" w:pos="1080"/>
              </w:tabs>
              <w:spacing w:line="300" w:lineRule="exact"/>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逾期交工违约金：</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元/天</w:t>
            </w:r>
          </w:p>
        </w:tc>
      </w:tr>
      <w:tr w14:paraId="1CA3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noWrap w:val="0"/>
            <w:vAlign w:val="center"/>
          </w:tcPr>
          <w:p w14:paraId="77244688">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72" w:type="dxa"/>
            <w:noWrap w:val="0"/>
            <w:vAlign w:val="center"/>
          </w:tcPr>
          <w:p w14:paraId="25082201">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7205" w:type="dxa"/>
            <w:noWrap w:val="0"/>
            <w:vAlign w:val="center"/>
          </w:tcPr>
          <w:p w14:paraId="3F0CAFE6">
            <w:pPr>
              <w:tabs>
                <w:tab w:val="left" w:pos="1080"/>
              </w:tabs>
              <w:spacing w:line="300" w:lineRule="exact"/>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逾期交工违约金限额：</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%签约合同价</w:t>
            </w:r>
          </w:p>
        </w:tc>
      </w:tr>
      <w:tr w14:paraId="387B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noWrap w:val="0"/>
            <w:vAlign w:val="center"/>
          </w:tcPr>
          <w:p w14:paraId="22AEBC1A">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72" w:type="dxa"/>
            <w:noWrap w:val="0"/>
            <w:vAlign w:val="center"/>
          </w:tcPr>
          <w:p w14:paraId="4335C4F2">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7205" w:type="dxa"/>
            <w:noWrap w:val="0"/>
            <w:vAlign w:val="center"/>
          </w:tcPr>
          <w:p w14:paraId="007B79FC">
            <w:pPr>
              <w:tabs>
                <w:tab w:val="left" w:pos="1080"/>
              </w:tabs>
              <w:spacing w:line="300" w:lineRule="exact"/>
              <w:ind w:firstLine="420" w:firstLineChars="0"/>
              <w:rPr>
                <w:rFonts w:hint="eastAsia" w:ascii="宋体" w:hAnsi="宋体" w:eastAsia="宋体" w:cs="宋体"/>
                <w:color w:val="auto"/>
                <w:sz w:val="21"/>
                <w:szCs w:val="21"/>
                <w:highlight w:val="none"/>
                <w:vertAlign w:val="superscript"/>
              </w:rPr>
            </w:pPr>
            <w:r>
              <w:rPr>
                <w:rFonts w:hint="eastAsia" w:ascii="宋体" w:hAnsi="宋体" w:eastAsia="宋体" w:cs="宋体"/>
                <w:color w:val="auto"/>
                <w:sz w:val="21"/>
                <w:szCs w:val="21"/>
                <w:highlight w:val="none"/>
              </w:rPr>
              <w:t>提前交工的奖金：</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元/天</w:t>
            </w:r>
          </w:p>
        </w:tc>
      </w:tr>
      <w:tr w14:paraId="3054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noWrap w:val="0"/>
            <w:vAlign w:val="center"/>
          </w:tcPr>
          <w:p w14:paraId="256AA12B">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72" w:type="dxa"/>
            <w:noWrap w:val="0"/>
            <w:vAlign w:val="center"/>
          </w:tcPr>
          <w:p w14:paraId="6AD3AA90">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7205" w:type="dxa"/>
            <w:noWrap w:val="0"/>
            <w:vAlign w:val="center"/>
          </w:tcPr>
          <w:p w14:paraId="19A8DCC5">
            <w:pPr>
              <w:tabs>
                <w:tab w:val="left" w:pos="1080"/>
              </w:tabs>
              <w:spacing w:line="300" w:lineRule="exact"/>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提前交工的奖金限额：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元/天</w:t>
            </w:r>
          </w:p>
        </w:tc>
      </w:tr>
      <w:tr w14:paraId="4EF9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18" w:type="dxa"/>
            <w:noWrap w:val="0"/>
            <w:vAlign w:val="center"/>
          </w:tcPr>
          <w:p w14:paraId="10A3F7F5">
            <w:pPr>
              <w:tabs>
                <w:tab w:val="left" w:pos="1080"/>
              </w:tabs>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1272" w:type="dxa"/>
            <w:noWrap w:val="0"/>
            <w:vAlign w:val="center"/>
          </w:tcPr>
          <w:p w14:paraId="2475AE0C">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7205" w:type="dxa"/>
            <w:noWrap w:val="0"/>
            <w:vAlign w:val="center"/>
          </w:tcPr>
          <w:p w14:paraId="7FE3A430">
            <w:pPr>
              <w:pStyle w:val="6"/>
              <w:spacing w:before="120" w:after="120" w:line="300" w:lineRule="auto"/>
              <w:ind w:left="0" w:firstLine="56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14:paraId="6AAEC366">
            <w:pPr>
              <w:pStyle w:val="6"/>
              <w:spacing w:before="120" w:after="120" w:line="300" w:lineRule="auto"/>
              <w:ind w:left="0" w:firstLine="56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本合同价款采用固定综合单价方式确定。</w:t>
            </w:r>
          </w:p>
          <w:p w14:paraId="67E91493">
            <w:pPr>
              <w:pStyle w:val="6"/>
              <w:spacing w:before="120" w:after="120" w:line="300" w:lineRule="auto"/>
              <w:ind w:left="0" w:firstLine="562"/>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rPr>
              <w:t>除工程变更、政策性调整、《承包人提供主要材料和设备一览表》约定的材料、设备价格变动风险以外因素</w:t>
            </w:r>
            <w:r>
              <w:rPr>
                <w:rFonts w:hint="eastAsia" w:ascii="宋体" w:hAnsi="宋体" w:eastAsia="宋体" w:cs="宋体"/>
                <w:color w:val="auto"/>
                <w:sz w:val="21"/>
                <w:szCs w:val="21"/>
                <w:highlight w:val="none"/>
                <w:u w:val="none"/>
                <w:lang w:eastAsia="zh-CN"/>
              </w:rPr>
              <w:t>。</w:t>
            </w:r>
          </w:p>
          <w:p w14:paraId="0F582F35">
            <w:pPr>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val="en-US" w:eastAsia="zh-CN" w:bidi="hi-IN"/>
              </w:rPr>
              <w:t>本合同除政策性调整外，合同单价不作调整。</w:t>
            </w:r>
          </w:p>
        </w:tc>
      </w:tr>
      <w:tr w14:paraId="7114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noWrap w:val="0"/>
            <w:vAlign w:val="center"/>
          </w:tcPr>
          <w:p w14:paraId="5A4C1789">
            <w:pPr>
              <w:tabs>
                <w:tab w:val="left" w:pos="1080"/>
              </w:tabs>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1272" w:type="dxa"/>
            <w:noWrap w:val="0"/>
            <w:vAlign w:val="center"/>
          </w:tcPr>
          <w:p w14:paraId="030BEE22">
            <w:pPr>
              <w:tabs>
                <w:tab w:val="left" w:pos="1080"/>
              </w:tabs>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17.2.1</w:t>
            </w:r>
          </w:p>
        </w:tc>
        <w:tc>
          <w:tcPr>
            <w:tcW w:w="7205" w:type="dxa"/>
            <w:noWrap w:val="0"/>
            <w:vAlign w:val="center"/>
          </w:tcPr>
          <w:p w14:paraId="6E85F79D">
            <w:pPr>
              <w:tabs>
                <w:tab w:val="left" w:pos="1080"/>
              </w:tabs>
              <w:spacing w:line="3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开工预付款金额：</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%签约合同价</w:t>
            </w:r>
          </w:p>
        </w:tc>
      </w:tr>
      <w:tr w14:paraId="518E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4189F9FC">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1272" w:type="dxa"/>
            <w:shd w:val="clear" w:color="auto" w:fill="auto"/>
            <w:noWrap w:val="0"/>
            <w:vAlign w:val="center"/>
          </w:tcPr>
          <w:p w14:paraId="796C1428">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17.2.1</w:t>
            </w:r>
          </w:p>
        </w:tc>
        <w:tc>
          <w:tcPr>
            <w:tcW w:w="7205" w:type="dxa"/>
            <w:shd w:val="clear" w:color="auto" w:fill="auto"/>
            <w:noWrap w:val="0"/>
            <w:vAlign w:val="center"/>
          </w:tcPr>
          <w:p w14:paraId="626040E4">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材料、设备预付款比例：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p>
        </w:tc>
      </w:tr>
      <w:tr w14:paraId="6691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517A2E62">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1272" w:type="dxa"/>
            <w:shd w:val="clear" w:color="auto" w:fill="auto"/>
            <w:noWrap w:val="0"/>
            <w:vAlign w:val="center"/>
          </w:tcPr>
          <w:p w14:paraId="1DEFF95D">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17.3.2</w:t>
            </w:r>
          </w:p>
        </w:tc>
        <w:tc>
          <w:tcPr>
            <w:tcW w:w="7205" w:type="dxa"/>
            <w:shd w:val="clear" w:color="auto" w:fill="auto"/>
            <w:noWrap w:val="0"/>
            <w:vAlign w:val="center"/>
          </w:tcPr>
          <w:p w14:paraId="00963C8D">
            <w:pPr>
              <w:tabs>
                <w:tab w:val="left" w:pos="1080"/>
              </w:tabs>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承包人在每个付款周期末向发包人提交进度付款申请单的份</w:t>
            </w:r>
          </w:p>
          <w:p w14:paraId="5C7AD4FD">
            <w:pPr>
              <w:tabs>
                <w:tab w:val="left" w:pos="1080"/>
              </w:tabs>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数：4份</w:t>
            </w:r>
          </w:p>
        </w:tc>
      </w:tr>
      <w:tr w14:paraId="4C28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125A91C5">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1272" w:type="dxa"/>
            <w:shd w:val="clear" w:color="auto" w:fill="auto"/>
            <w:noWrap w:val="0"/>
            <w:vAlign w:val="center"/>
          </w:tcPr>
          <w:p w14:paraId="3BCC3E8D">
            <w:pPr>
              <w:tabs>
                <w:tab w:val="left" w:pos="1080"/>
              </w:tabs>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17.3.3</w:t>
            </w:r>
          </w:p>
          <w:p w14:paraId="3C89D037">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7205" w:type="dxa"/>
            <w:shd w:val="clear" w:color="auto" w:fill="auto"/>
            <w:noWrap w:val="0"/>
            <w:vAlign w:val="center"/>
          </w:tcPr>
          <w:p w14:paraId="1428A18A">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进度付款证书最低限额：</w:t>
            </w:r>
            <w:r>
              <w:rPr>
                <w:rFonts w:hint="eastAsia" w:ascii="宋体" w:hAnsi="宋体" w:eastAsia="宋体" w:cs="宋体"/>
                <w:b/>
                <w:color w:val="auto"/>
                <w:sz w:val="21"/>
                <w:szCs w:val="21"/>
                <w:highlight w:val="none"/>
              </w:rPr>
              <w:t>5%</w:t>
            </w:r>
            <w:r>
              <w:rPr>
                <w:rFonts w:hint="eastAsia" w:ascii="宋体" w:hAnsi="宋体" w:eastAsia="宋体" w:cs="宋体"/>
                <w:color w:val="auto"/>
                <w:sz w:val="21"/>
                <w:szCs w:val="21"/>
                <w:highlight w:val="none"/>
              </w:rPr>
              <w:t>签约合同价</w:t>
            </w:r>
          </w:p>
        </w:tc>
      </w:tr>
      <w:tr w14:paraId="3379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116CFC25">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1272" w:type="dxa"/>
            <w:shd w:val="clear" w:color="auto" w:fill="auto"/>
            <w:noWrap w:val="0"/>
            <w:vAlign w:val="center"/>
          </w:tcPr>
          <w:p w14:paraId="2C3FEA64">
            <w:pPr>
              <w:tabs>
                <w:tab w:val="left" w:pos="1080"/>
              </w:tabs>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17.3.3</w:t>
            </w:r>
          </w:p>
          <w:p w14:paraId="3155D732">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7205" w:type="dxa"/>
            <w:shd w:val="clear" w:color="auto" w:fill="auto"/>
            <w:noWrap w:val="0"/>
            <w:vAlign w:val="center"/>
          </w:tcPr>
          <w:p w14:paraId="677AE93F">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逾期付款违约金的的利率：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‰/天</w:t>
            </w:r>
          </w:p>
        </w:tc>
      </w:tr>
      <w:tr w14:paraId="33F6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trPr>
        <w:tc>
          <w:tcPr>
            <w:tcW w:w="818" w:type="dxa"/>
            <w:shd w:val="clear" w:color="auto" w:fill="auto"/>
            <w:noWrap w:val="0"/>
            <w:vAlign w:val="center"/>
          </w:tcPr>
          <w:p w14:paraId="51C3F0DF">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p>
        </w:tc>
        <w:tc>
          <w:tcPr>
            <w:tcW w:w="1272" w:type="dxa"/>
            <w:shd w:val="clear" w:color="auto" w:fill="auto"/>
            <w:noWrap w:val="0"/>
            <w:vAlign w:val="center"/>
          </w:tcPr>
          <w:p w14:paraId="64986CA0">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17.4.1</w:t>
            </w:r>
          </w:p>
        </w:tc>
        <w:tc>
          <w:tcPr>
            <w:tcW w:w="7205" w:type="dxa"/>
            <w:shd w:val="clear" w:color="auto" w:fill="auto"/>
            <w:noWrap w:val="0"/>
            <w:vAlign w:val="center"/>
          </w:tcPr>
          <w:p w14:paraId="6749B75D">
            <w:pPr>
              <w:tabs>
                <w:tab w:val="left" w:pos="1080"/>
              </w:tabs>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质量保证金限额：3%</w:t>
            </w:r>
            <w:r>
              <w:rPr>
                <w:rFonts w:hint="eastAsia" w:ascii="宋体" w:hAnsi="宋体" w:eastAsia="宋体" w:cs="宋体"/>
                <w:color w:val="auto"/>
                <w:sz w:val="21"/>
                <w:szCs w:val="21"/>
                <w:highlight w:val="none"/>
                <w:lang w:val="en-US" w:eastAsia="zh-CN"/>
              </w:rPr>
              <w:t>按审计部门审定的结算造价金额</w:t>
            </w:r>
            <w:r>
              <w:rPr>
                <w:rFonts w:hint="eastAsia" w:ascii="宋体" w:hAnsi="宋体" w:eastAsia="宋体" w:cs="宋体"/>
                <w:color w:val="auto"/>
                <w:sz w:val="21"/>
                <w:szCs w:val="21"/>
                <w:highlight w:val="none"/>
              </w:rPr>
              <w:t>。</w:t>
            </w:r>
          </w:p>
          <w:p w14:paraId="563DCDF2">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rPr>
              <w:t>质量保证金的利息计算方式：</w:t>
            </w:r>
            <w:r>
              <w:rPr>
                <w:rFonts w:hint="eastAsia" w:ascii="宋体" w:hAnsi="宋体" w:eastAsia="宋体" w:cs="宋体"/>
                <w:color w:val="auto"/>
                <w:szCs w:val="21"/>
                <w:highlight w:val="none"/>
                <w:u w:val="single"/>
                <w:lang w:eastAsia="zh-CN"/>
              </w:rPr>
              <w:t>不计息</w:t>
            </w:r>
            <w:r>
              <w:rPr>
                <w:rFonts w:hint="eastAsia" w:ascii="宋体" w:hAnsi="宋体" w:eastAsia="宋体" w:cs="宋体"/>
                <w:color w:val="auto"/>
                <w:szCs w:val="21"/>
                <w:highlight w:val="none"/>
                <w:u w:val="single"/>
              </w:rPr>
              <w:t xml:space="preserve"> </w:t>
            </w:r>
          </w:p>
        </w:tc>
      </w:tr>
      <w:tr w14:paraId="43D2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46B1C7FD">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p>
        </w:tc>
        <w:tc>
          <w:tcPr>
            <w:tcW w:w="1272" w:type="dxa"/>
            <w:shd w:val="clear" w:color="auto" w:fill="auto"/>
            <w:noWrap w:val="0"/>
            <w:vAlign w:val="center"/>
          </w:tcPr>
          <w:p w14:paraId="32A0F903">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18.2</w:t>
            </w:r>
          </w:p>
        </w:tc>
        <w:tc>
          <w:tcPr>
            <w:tcW w:w="7205" w:type="dxa"/>
            <w:shd w:val="clear" w:color="auto" w:fill="auto"/>
            <w:noWrap w:val="0"/>
            <w:vAlign w:val="center"/>
          </w:tcPr>
          <w:p w14:paraId="31C0D40E">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竣工资料的份数：</w:t>
            </w:r>
            <w:r>
              <w:rPr>
                <w:rFonts w:hint="eastAsia" w:ascii="宋体" w:hAnsi="宋体" w:eastAsia="宋体" w:cs="宋体"/>
                <w:b/>
                <w:color w:val="auto"/>
                <w:sz w:val="21"/>
                <w:szCs w:val="21"/>
                <w:highlight w:val="none"/>
              </w:rPr>
              <w:t>3份</w:t>
            </w:r>
          </w:p>
        </w:tc>
      </w:tr>
      <w:tr w14:paraId="03B1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785C4595">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19</w:t>
            </w:r>
          </w:p>
        </w:tc>
        <w:tc>
          <w:tcPr>
            <w:tcW w:w="1272" w:type="dxa"/>
            <w:shd w:val="clear" w:color="auto" w:fill="auto"/>
            <w:noWrap w:val="0"/>
            <w:vAlign w:val="center"/>
          </w:tcPr>
          <w:p w14:paraId="6E445FB5">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18.5.1</w:t>
            </w:r>
          </w:p>
        </w:tc>
        <w:tc>
          <w:tcPr>
            <w:tcW w:w="7205" w:type="dxa"/>
            <w:shd w:val="clear" w:color="auto" w:fill="auto"/>
            <w:noWrap w:val="0"/>
            <w:vAlign w:val="center"/>
          </w:tcPr>
          <w:p w14:paraId="07DF572D">
            <w:pPr>
              <w:tabs>
                <w:tab w:val="left" w:pos="1080"/>
              </w:tabs>
              <w:spacing w:line="44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单位工程或工程设备是否需投入施工期运行：是</w:t>
            </w:r>
          </w:p>
          <w:p w14:paraId="76F35EAD">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本项目属于旧路改建，需要在施工期间维持交通畅通。</w:t>
            </w:r>
          </w:p>
        </w:tc>
      </w:tr>
      <w:tr w14:paraId="0C9E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5786A0E5">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w:t>
            </w:r>
          </w:p>
        </w:tc>
        <w:tc>
          <w:tcPr>
            <w:tcW w:w="1272" w:type="dxa"/>
            <w:shd w:val="clear" w:color="auto" w:fill="auto"/>
            <w:noWrap w:val="0"/>
            <w:vAlign w:val="center"/>
          </w:tcPr>
          <w:p w14:paraId="6588FBFD">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18.6.1</w:t>
            </w:r>
          </w:p>
        </w:tc>
        <w:tc>
          <w:tcPr>
            <w:tcW w:w="7205" w:type="dxa"/>
            <w:shd w:val="clear" w:color="auto" w:fill="auto"/>
            <w:noWrap w:val="0"/>
            <w:vAlign w:val="center"/>
          </w:tcPr>
          <w:p w14:paraId="2AD26A73">
            <w:pPr>
              <w:tabs>
                <w:tab w:val="left" w:pos="1080"/>
              </w:tabs>
              <w:spacing w:line="440" w:lineRule="exact"/>
              <w:ind w:firstLine="420" w:firstLineChars="0"/>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sz w:val="21"/>
                <w:szCs w:val="21"/>
                <w:highlight w:val="none"/>
              </w:rPr>
              <w:t>本工程及工程设备是否进行试运行：否</w:t>
            </w:r>
          </w:p>
        </w:tc>
      </w:tr>
      <w:tr w14:paraId="1218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04169D72">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p>
        </w:tc>
        <w:tc>
          <w:tcPr>
            <w:tcW w:w="1272" w:type="dxa"/>
            <w:shd w:val="clear" w:color="auto" w:fill="auto"/>
            <w:noWrap w:val="0"/>
            <w:vAlign w:val="center"/>
          </w:tcPr>
          <w:p w14:paraId="524284B7">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19.7</w:t>
            </w:r>
          </w:p>
        </w:tc>
        <w:tc>
          <w:tcPr>
            <w:tcW w:w="7205" w:type="dxa"/>
            <w:shd w:val="clear" w:color="auto" w:fill="auto"/>
            <w:noWrap w:val="0"/>
            <w:vAlign w:val="center"/>
          </w:tcPr>
          <w:p w14:paraId="1BA08ED0">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保修期：自实际交工</w:t>
            </w:r>
            <w:r>
              <w:rPr>
                <w:rFonts w:hint="eastAsia" w:ascii="宋体" w:hAnsi="宋体" w:eastAsia="宋体" w:cs="宋体"/>
                <w:color w:val="auto"/>
                <w:sz w:val="21"/>
                <w:szCs w:val="21"/>
                <w:highlight w:val="none"/>
                <w:lang w:val="en-US" w:eastAsia="zh-CN"/>
              </w:rPr>
              <w:t>验收合格</w:t>
            </w:r>
            <w:r>
              <w:rPr>
                <w:rFonts w:hint="eastAsia" w:ascii="宋体" w:hAnsi="宋体" w:eastAsia="宋体" w:cs="宋体"/>
                <w:color w:val="auto"/>
                <w:sz w:val="21"/>
                <w:szCs w:val="21"/>
                <w:highlight w:val="none"/>
              </w:rPr>
              <w:t>日期起计算</w:t>
            </w:r>
            <w:r>
              <w:rPr>
                <w:rStyle w:val="37"/>
                <w:rFonts w:hint="eastAsia" w:ascii="宋体" w:hAnsi="宋体" w:eastAsia="宋体" w:cs="宋体"/>
                <w:b/>
                <w:bCs/>
                <w:color w:val="auto"/>
                <w:sz w:val="21"/>
                <w:szCs w:val="21"/>
                <w:highlight w:val="none"/>
                <w:u w:val="single"/>
                <w:lang w:val="en-US"/>
              </w:rPr>
              <w:t>365</w:t>
            </w:r>
            <w:r>
              <w:rPr>
                <w:rStyle w:val="37"/>
                <w:rFonts w:hint="eastAsia" w:ascii="宋体" w:hAnsi="宋体" w:eastAsia="宋体" w:cs="宋体"/>
                <w:color w:val="auto"/>
                <w:sz w:val="21"/>
                <w:szCs w:val="21"/>
                <w:highlight w:val="none"/>
                <w:u w:val="single"/>
                <w:lang w:val="en-US"/>
              </w:rPr>
              <w:t>日历天</w:t>
            </w:r>
          </w:p>
        </w:tc>
      </w:tr>
      <w:tr w14:paraId="5606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4BFFC7C0">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p>
        </w:tc>
        <w:tc>
          <w:tcPr>
            <w:tcW w:w="1272" w:type="dxa"/>
            <w:shd w:val="clear" w:color="auto" w:fill="auto"/>
            <w:noWrap w:val="0"/>
            <w:vAlign w:val="center"/>
          </w:tcPr>
          <w:p w14:paraId="1DBDD432">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20.1</w:t>
            </w:r>
          </w:p>
        </w:tc>
        <w:tc>
          <w:tcPr>
            <w:tcW w:w="7205" w:type="dxa"/>
            <w:shd w:val="clear" w:color="auto" w:fill="auto"/>
            <w:noWrap w:val="0"/>
            <w:vAlign w:val="center"/>
          </w:tcPr>
          <w:p w14:paraId="4878B04D">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建筑工程一切险的投保内容：为本合同工程的永久工程、临时工程和设备及已运至施工工地用于永久工程的材料和设备所投的保险。</w:t>
            </w:r>
          </w:p>
        </w:tc>
      </w:tr>
      <w:tr w14:paraId="2ED2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6DE4132F">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p>
        </w:tc>
        <w:tc>
          <w:tcPr>
            <w:tcW w:w="1272" w:type="dxa"/>
            <w:shd w:val="clear" w:color="auto" w:fill="auto"/>
            <w:noWrap w:val="0"/>
            <w:vAlign w:val="center"/>
          </w:tcPr>
          <w:p w14:paraId="6D4835BA">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20.4.2</w:t>
            </w:r>
          </w:p>
        </w:tc>
        <w:tc>
          <w:tcPr>
            <w:tcW w:w="7205" w:type="dxa"/>
            <w:shd w:val="clear" w:color="auto" w:fill="auto"/>
            <w:noWrap w:val="0"/>
            <w:vAlign w:val="center"/>
          </w:tcPr>
          <w:p w14:paraId="2E3D82FC">
            <w:pPr>
              <w:tabs>
                <w:tab w:val="left" w:pos="1080"/>
              </w:tabs>
              <w:spacing w:line="440" w:lineRule="exact"/>
              <w:ind w:firstLine="42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第三者责任险由承包人以承包人与项目法人的名义联名投保，保险费由承包人承担并支付</w:t>
            </w:r>
            <w:r>
              <w:rPr>
                <w:rFonts w:hint="eastAsia" w:ascii="宋体" w:hAnsi="宋体" w:eastAsia="宋体" w:cs="宋体"/>
                <w:color w:val="auto"/>
                <w:sz w:val="21"/>
                <w:szCs w:val="21"/>
                <w:highlight w:val="none"/>
                <w:lang w:eastAsia="zh-CN"/>
              </w:rPr>
              <w:t>。</w:t>
            </w:r>
          </w:p>
        </w:tc>
      </w:tr>
      <w:tr w14:paraId="76CB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8" w:type="dxa"/>
            <w:shd w:val="clear" w:color="auto" w:fill="auto"/>
            <w:noWrap w:val="0"/>
            <w:vAlign w:val="center"/>
          </w:tcPr>
          <w:p w14:paraId="7837D90E">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p>
        </w:tc>
        <w:tc>
          <w:tcPr>
            <w:tcW w:w="1272" w:type="dxa"/>
            <w:shd w:val="clear" w:color="auto" w:fill="auto"/>
            <w:noWrap w:val="0"/>
            <w:vAlign w:val="center"/>
          </w:tcPr>
          <w:p w14:paraId="760E60C4">
            <w:pPr>
              <w:tabs>
                <w:tab w:val="left" w:pos="1080"/>
              </w:tabs>
              <w:spacing w:line="2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24.1</w:t>
            </w:r>
          </w:p>
        </w:tc>
        <w:tc>
          <w:tcPr>
            <w:tcW w:w="7205" w:type="dxa"/>
            <w:shd w:val="clear" w:color="auto" w:fill="auto"/>
            <w:noWrap w:val="0"/>
            <w:vAlign w:val="center"/>
          </w:tcPr>
          <w:p w14:paraId="1DEEB9CF">
            <w:pPr>
              <w:tabs>
                <w:tab w:val="left" w:pos="1080"/>
              </w:tabs>
              <w:spacing w:line="440" w:lineRule="exact"/>
              <w:ind w:firstLine="420" w:firstLineChars="0"/>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spacing w:val="8"/>
                <w:sz w:val="21"/>
                <w:szCs w:val="21"/>
                <w:highlight w:val="none"/>
              </w:rPr>
              <w:t>争议的最终解决方式</w:t>
            </w:r>
            <w:r>
              <w:rPr>
                <w:rFonts w:hint="eastAsia" w:ascii="宋体" w:hAnsi="宋体" w:eastAsia="宋体" w:cs="宋体"/>
                <w:color w:val="auto"/>
                <w:sz w:val="21"/>
                <w:szCs w:val="21"/>
                <w:highlight w:val="none"/>
              </w:rPr>
              <w:t>：向工程所在地人民法院起诉。</w:t>
            </w:r>
          </w:p>
        </w:tc>
      </w:tr>
    </w:tbl>
    <w:p w14:paraId="65B7281E">
      <w:pPr>
        <w:tabs>
          <w:tab w:val="left" w:pos="1080"/>
        </w:tabs>
        <w:spacing w:line="100" w:lineRule="exact"/>
        <w:ind w:firstLine="360"/>
        <w:jc w:val="center"/>
        <w:rPr>
          <w:rFonts w:hint="eastAsia" w:ascii="宋体" w:hAnsi="宋体" w:eastAsia="宋体" w:cs="宋体"/>
          <w:color w:val="auto"/>
          <w:sz w:val="21"/>
          <w:szCs w:val="21"/>
          <w:highlight w:val="none"/>
        </w:rPr>
      </w:pPr>
    </w:p>
    <w:p w14:paraId="318F6B8B">
      <w:pPr>
        <w:tabs>
          <w:tab w:val="left" w:pos="1080"/>
        </w:tabs>
        <w:spacing w:line="280" w:lineRule="exact"/>
        <w:ind w:firstLine="420"/>
        <w:rPr>
          <w:rFonts w:hint="eastAsia" w:ascii="宋体" w:hAnsi="宋体" w:eastAsia="宋体" w:cs="宋体"/>
          <w:color w:val="auto"/>
          <w:szCs w:val="21"/>
          <w:highlight w:val="none"/>
        </w:rPr>
      </w:pPr>
    </w:p>
    <w:p w14:paraId="6743666E">
      <w:pPr>
        <w:bidi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项目专用合同条款</w:t>
      </w:r>
    </w:p>
    <w:p w14:paraId="6326240E">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承包人的一般义务</w:t>
      </w:r>
    </w:p>
    <w:p w14:paraId="6A7B557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4.1.10  其他义务</w:t>
      </w:r>
    </w:p>
    <w:p w14:paraId="3E853851">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修改为：承包人应承担并支付为获得合同工程所需的石料、砂、砾石等其他当地材料所发生的料场使用费、资源费（税）及其他开支或补偿费。发包人应尽可能协助该项目部办理料场租用手续及解决使用过程中的有关问题。发包人协助办理的成功与否，不免除根据合同文件规定的承包人的一切责任。</w:t>
      </w:r>
    </w:p>
    <w:p w14:paraId="41542441">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（3）（增加）承包人还应执行广西壮族自治区人力资源和社会保障厅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广西壮族白治区住房和城乡建设厅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广西壮族白治区交通运输了广西壮族自治区水利厅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中国银行保险监督管理委员会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广西监管局关于印发广西壮族自治区工程建设领域农民工工资保证金规定实施办法的通知(桂人社规〔2021〕16号)要求。各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必须对农民工工资保障金的问题作出以下承诺，文件格式“农民工工资保证金承诺书”。</w:t>
      </w:r>
    </w:p>
    <w:p w14:paraId="2BF5EBAE">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（4）（增加）承包人应履行的其他义务：</w:t>
      </w:r>
    </w:p>
    <w:p w14:paraId="469E6696">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a.与本工程项目相关的审计和稽查、检查、视察等活动，承包人应高度重视并有义务委派专人积极予以配合。</w:t>
      </w:r>
    </w:p>
    <w:p w14:paraId="4C53FAEF">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b.发包人有权监督检查承包人的供货合同。</w:t>
      </w:r>
    </w:p>
    <w:p w14:paraId="3F677808">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c.对项目使用的原有道路的维护和管理，以确保正常通行。</w:t>
      </w:r>
    </w:p>
    <w:p w14:paraId="7D58BE12">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d.维护社会稳定，避免发生因承包人原因引起施工队伍或施工引起周边群众等群体性上访事件</w:t>
      </w:r>
    </w:p>
    <w:p w14:paraId="24C6D4C0">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e.承包人应自觉接受交通主管部门、质量监督单位、公路管理机构的监督，对指出的问题进行认真的整改，及时报告处理结果。</w:t>
      </w:r>
    </w:p>
    <w:p w14:paraId="47F72546">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实施时承包人应投入足够的技术和管理人员以满足工程施工需要，发包人要求承包人应投入本合同的最低人员要求见合同附件四（含相应要求的备选人员），在不少于合同附件四要求前提下，为确保工程进度，发包人有权要求承包人增加相应技术和管理人员以满足施工需要。</w:t>
      </w:r>
    </w:p>
    <w:p w14:paraId="7E84EEEE">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4.1.11(增加) 承包人响应“美丽广西·清洁乡村”行动</w:t>
      </w:r>
    </w:p>
    <w:p w14:paraId="3156F214">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应根据《中共广西壮族自治区交通厅党组关于印发自治区交通运输系统“美丽广西·清洁乡村”交通行动实施方案的通知》（桂交党宣[2013]15号）精神，响应号召，以清洁公路、清洁水路、清洁运输为目标，大力实施交通运输尤其是农村交通运输环境的净化、绿化、美化，为群众创造畅通、高效、平安、绿色的交通运输环境及服务，以实现“生态环境美、文明风尚美、平安和谐美”的“三美交通”。</w:t>
      </w:r>
    </w:p>
    <w:p w14:paraId="483D7872">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体要求：在建公路项目要文明施工，强化施工路段的环境整治，施工车辆要避免扬尘洒漏，避免对原有公路的破坏，做好水土保持、环境保护工作；旧路改建项目要保证施工期间维持良好通车秩序；承包人应高度重视，有义务积极配合并委派专人参加“美丽广西·清洁乡村”的相关活动。</w:t>
      </w:r>
    </w:p>
    <w:p w14:paraId="7A78F4F5">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 承包人人员的管理</w:t>
      </w:r>
    </w:p>
    <w:p w14:paraId="41B72436">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（增加）4.6.5 项目经理、总工及主要管理人员每月驻工地现场时间不应少于22天，项目经理、总工及主要管理人员，技术骨干离开工地必须向招标人书面请假，并经项目建设管理机构相关负责人书面同意方能离开，否则视为违约并按22.1款执行。</w:t>
      </w:r>
    </w:p>
    <w:p w14:paraId="57221057">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4.9工程价款应专款专用</w:t>
      </w:r>
    </w:p>
    <w:p w14:paraId="37BECE0B">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在原条款末增加：项目法人向承包人支付的预付款、工程进度款等为本工程的专款专用资金，承包人违反下述规定的，项目法人将中止其任何款项的支付。</w:t>
      </w:r>
    </w:p>
    <w:p w14:paraId="42D64E12">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（1）凡不在项目法人指定银行开户的承包人，项目法人将不对其支付任何款项。</w:t>
      </w:r>
    </w:p>
    <w:p w14:paraId="1F42065C">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中国人民银行有关规定，每个承包人只能在一个银行开立一个结算账户，不允许多头开户。项目法人按合同条款规定对承包人支付的款项，只对合同规定的法人或者法人代表的授权代理人支付，不对其内部独立核算单位或经批准的分包人直接支付（合同有专项规定者除外）。</w:t>
      </w:r>
    </w:p>
    <w:p w14:paraId="68EE002F">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执行期间，项目法人或项目法人委托的公路审计部门有权不定期检查或审计承包人项目经理部的财务收支情况，承包人必须严格财经纪律，确保项目经理部的财务收支能客观、真实的反映工程实际成本，承包人及项目经理部必须接受项目法人或项目法人委托部门的监督和检查。</w:t>
      </w:r>
    </w:p>
    <w:p w14:paraId="437A073C">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执行期间，为确保工程建设资金专款专用，承包人在收到项目法人支付的款项后，须向项目法人提供资金使用计划，详细说明资金使用流向，经项目法人批准并在项目法人的监督下使用，必须优先支付工人特别是农民工的工资，其次是材料价款以及工程建设直接的成本。</w:t>
      </w:r>
    </w:p>
    <w:p w14:paraId="5D8039CD">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资保证金对应的工程项目完工，施工总承包单位作出书面承诺该工程项目不存在未解决的拖欠农民工工资问题，并在施工现场维权信息告示牌及属地人力资源社会保障行政部门门户网站公示满30日，属地人力资源社会保障行政部门在8个工作日内出具《保证金账户解除通知书》,按规定解除监管工资保证金专用账户或返还银行保函正本。</w:t>
      </w:r>
    </w:p>
    <w:p w14:paraId="17D3BC6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地人力资源社会保障行政部门在公示过程中发现工资保证金对应工程项目存在未解决的拖欠农民工工资问题，应在发现之日起3个工作日内书面告知施工总承包单位，施工总承包单位依法履行清偿(先行清偿)责任后，按前款规定解除监管工资保证金专用账户或返还银行保函正本。</w:t>
      </w:r>
    </w:p>
    <w:p w14:paraId="0B939762">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 不利物质条件</w:t>
      </w:r>
    </w:p>
    <w:p w14:paraId="31756258">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4.11.1 不利物质条件的范围：  / </w:t>
      </w:r>
    </w:p>
    <w:p w14:paraId="15F381CB">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场外交通</w:t>
      </w:r>
    </w:p>
    <w:p w14:paraId="609BC048">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（增加）7.3.3为保证道路交通安全及运输畅通，承包人应采取以下措施：</w:t>
      </w:r>
    </w:p>
    <w:p w14:paraId="5F9BF61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施工期间，因施工原因造成原有道路暂时堵塞时，承包人必须与交通和公安部门协商，采取足够的措施引导、疏通交通。但不管何种原因，因其交通堵塞时间均不能超过30分钟。若堵塞交通超过上述规定的时间，将视为承包人违约按22.1款等相关条款处理，同时发包人可指令采取任何措施疏通，一切费用由承包人承担。</w:t>
      </w:r>
    </w:p>
    <w:p w14:paraId="3B7446FE">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7.3.4 承包人应加强文明施工，保障道路通畅的管理</w:t>
      </w:r>
    </w:p>
    <w:p w14:paraId="76C29A9B">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（1）承包人在施工期内应按国家、交通主管部门与公路管理机构有关文明施工，保障畅通的规定组织施工，对出现的交通堵塞无条件地采取措施进行疏通。</w:t>
      </w:r>
    </w:p>
    <w:p w14:paraId="3EDE0CB4">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旧路改建工程项目：破坏旧路必须作出交通维持与恢复路面通行条件方案并必须取得项目建设办公室的书面批准，未经批准进行旧路开挖与填筑的，项目建设办公室有权责令停工，并由承包人恢复原良好的通车条件，并需承担一切费用；不得在道路上堆放材料或占道施工影响交通；路基、路面施工应避免出现晴天扬尘，雨天打滑影响安全与交通和影响群众生活、生产的现象；维持交通的路基施工应保证表面平整，行车通畅。</w:t>
      </w:r>
    </w:p>
    <w:p w14:paraId="6A64D8D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承包人的施工安全责任</w:t>
      </w:r>
    </w:p>
    <w:p w14:paraId="41286F8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9.2.5 条款末增加： 如项目法人在日常检查中发现承包人用于危险路段、有安全隐患路段施工安全防护的设施和用具（含交通标志牌、安全危险告知牌、安全隐患告知牌等）不齐全或缺乏，并且承包人没有按规定及时添置安放的情况，则项目法人应按照合同有关规定指令承包人纠正和整改，承包人拒不整改或整改不彻底的，项目法人有权进行直接购置施工安全施工安全防护设施和用具（含交通标志牌、安全危险告知牌、安全隐患告知牌等）并安排专人进行设置管理等安全管理工作，所发生的费用由承包人负责，并由项目法人在承包人合同价中计量扣除。</w:t>
      </w:r>
    </w:p>
    <w:p w14:paraId="5E54004B">
      <w:pPr>
        <w:tabs>
          <w:tab w:val="left" w:pos="1080"/>
        </w:tabs>
        <w:spacing w:line="30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9.6运营中的公路道路施工安全（增加）</w:t>
      </w:r>
    </w:p>
    <w:p w14:paraId="11359CF2">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9.6.1承包人进场施工前需到路政部门和安监部门办理上路施工许可证和安全监督等手续，签订路上施工安全协议书，并接受监督。</w:t>
      </w:r>
    </w:p>
    <w:p w14:paraId="399FC25F">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9.6.2 在运营公路上进行施工，必须严格执行国家颁布的《公路法》、《安全生产法》、《道路交通标志和标线》（GB5768-1999）、《公路工程施工安全技术规程》（JTJ076）、《公路养护安全作业规程》（JTG H30-2015）要求等国家及交通部门颁发的有关安全生产的法律法规、标准及制度，并按照有关规定设置施工标志、标牌、水马等安全设施)，施工过程中承包人必须派专人维护各施工标志牌正常使用。路上作业施工人员应统一着桔红色反光标志服，招标文件要求的主要施工管理人员在现场时应挂戴统一制作的上岗牌做标识，每个施工点的现场应摆放由业主规定统一格式的施工公示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报价时要充分考虑上述设施所需费用，以及施工、生活用水用电的费用，所需费用由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考虑在有关报价中，业主不单独进行计量支付。施工标志牌的制作应符合国家有关标准的规定，标志牌版面的反光膜应不低于国标GB5768-1999《道路交通标志和标线》的三级标准。</w:t>
      </w:r>
    </w:p>
    <w:p w14:paraId="5560B2DC">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9.6.3工程使用的水泥、碎石、砂等材料不得堆放在公路上，工棚搭设应设置在公路行车看不到的位置，如确需搭棚看守机械设备的，应按业主规定的式样搭设；机械设备摆放不得有碍路容路貌和行车安全。</w:t>
      </w:r>
    </w:p>
    <w:p w14:paraId="41C299C4">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9.6.6破除的公路废弃材料应集中废弃到弃土场。</w:t>
      </w:r>
    </w:p>
    <w:p w14:paraId="04707733">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9.6.7大修工程施工时，应设置相应防护措施确保公路行人及车流的安全畅通。安全生产发生的一切费用由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考虑在有关报价中，业主不单独进行计量支付。由于未采用防护措施或防护措施不力而造成公路</w:t>
      </w:r>
      <w:r>
        <w:rPr>
          <w:rFonts w:hint="eastAsia" w:ascii="宋体" w:hAnsi="宋体" w:eastAsia="宋体" w:cs="宋体"/>
          <w:color w:val="auto"/>
          <w:sz w:val="21"/>
          <w:szCs w:val="21"/>
          <w:highlight w:val="none"/>
          <w:lang w:val="en-US" w:eastAsia="zh-CN"/>
        </w:rPr>
        <w:t>上</w:t>
      </w:r>
      <w:r>
        <w:rPr>
          <w:rFonts w:hint="eastAsia" w:ascii="宋体" w:hAnsi="宋体" w:eastAsia="宋体" w:cs="宋体"/>
          <w:color w:val="auto"/>
          <w:sz w:val="21"/>
          <w:szCs w:val="21"/>
          <w:highlight w:val="none"/>
        </w:rPr>
        <w:t>行人、车流受影响的，由承包人承担其责任。</w:t>
      </w:r>
    </w:p>
    <w:p w14:paraId="4B46E3BF">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9.6.8承包人不得在公路路面上拌和公路材料。</w:t>
      </w:r>
    </w:p>
    <w:p w14:paraId="4260C8C7">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9.6.9承包人须将拟施工点报发包人审批后，方可进行施工。</w:t>
      </w:r>
    </w:p>
    <w:p w14:paraId="78EE120D">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合同进度计划</w:t>
      </w:r>
    </w:p>
    <w:p w14:paraId="5A9610B6">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编制施工方案的内容：承包人应在签订合同协议书后7天内，向发包人提交2份其格式和内容符合发包人规定的工程进度计划，以及为完成该计划而建议采用的实施性的施工安排和施工方案的说明。发包人应在收到该计划后7天内审查同意或提出修改意见，否则该进度计划视为已得到批准。经发包人批准的施工进度计划称为合同进度计划，是控制合同工程进度的依据。工程进度计划应按照关键线路网络图和主要工作横道图两种形式分别绘制，并应包括每月预计完成的工作量和形象进度。</w:t>
      </w:r>
    </w:p>
    <w:p w14:paraId="527505E8">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异常恶劣的气候条件</w:t>
      </w:r>
    </w:p>
    <w:p w14:paraId="5462F365">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异常恶劣的气候条件的范围：对本项目而言，指发生烈度7度（含7度）以上地震、龙卷风、施工场地受淹超过项目法人提供的设计图纸指明的设计洪水水位引起的延误的情况。</w:t>
      </w:r>
    </w:p>
    <w:p w14:paraId="7EC77DC7">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增加：异常恶劣的气候条件，政府及有关部门预先有预报的，由于承包人没有应急措施或没有采取应急措施的，造成的损失和工期延误，由承包人负责。</w:t>
      </w:r>
    </w:p>
    <w:p w14:paraId="3C87B543">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（增加）11.8 其它进度要求</w:t>
      </w:r>
    </w:p>
    <w:p w14:paraId="16FDEA9F">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（1）承包人应加强工程进度计划管理，努力实现均衡组织施工的目标。</w:t>
      </w:r>
    </w:p>
    <w:p w14:paraId="057C4D09">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w:t>
      </w:r>
    </w:p>
    <w:p w14:paraId="7A17248E">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  路面碎石材料的采备应与路基施工进度同步，以保证路面施工进度。</w:t>
      </w:r>
    </w:p>
    <w:p w14:paraId="4E07F711">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  桥梁、主要涵洞、高大支挡结构、旧路改建（破坏旧路路面）的路面等关键工程及分项应有独立详细的施工组织设计，并采取措施确保落实。</w:t>
      </w:r>
    </w:p>
    <w:p w14:paraId="5409866A">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12．暂停施工</w:t>
      </w:r>
    </w:p>
    <w:p w14:paraId="53E22060">
      <w:pPr>
        <w:spacing w:line="300" w:lineRule="auto"/>
        <w:ind w:firstLine="277" w:firstLineChars="1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1承包人暂停施工的责任</w:t>
      </w:r>
    </w:p>
    <w:p w14:paraId="70B858A0">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公路工程专用合同条款12.1.(6）项约定:</w:t>
      </w:r>
    </w:p>
    <w:p w14:paraId="160F3F8E">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(6）由承包人承担的其他暂停施工：</w:t>
      </w:r>
      <w:r>
        <w:rPr>
          <w:rFonts w:hint="eastAsia" w:ascii="宋体" w:hAnsi="宋体" w:eastAsia="宋体" w:cs="宋体"/>
          <w:color w:val="auto"/>
          <w:sz w:val="21"/>
          <w:szCs w:val="21"/>
          <w:highlight w:val="none"/>
          <w:u w:val="single"/>
        </w:rPr>
        <w:t xml:space="preserve">   ／  </w:t>
      </w:r>
    </w:p>
    <w:p w14:paraId="2916CB71">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13.3承包人的质量检查</w:t>
      </w:r>
    </w:p>
    <w:p w14:paraId="792272BC">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增加内容：（1）落实质量责任制和质量保证体系</w:t>
      </w:r>
    </w:p>
    <w:p w14:paraId="6CE82765">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分项工程施工现场应实行质量责任牌管理，写明作业内容、项目质量管理责任人（施工单位、建设管理机构）和质量管理举报电话； </w:t>
      </w:r>
    </w:p>
    <w:p w14:paraId="608616BC">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（2）认真执行质量检查制度：</w:t>
      </w:r>
    </w:p>
    <w:p w14:paraId="6FDC01C6">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施工作业管理的专业工程师在测量、试验工程师配合下完成施工自检并作施工记录（工艺及原材料使用等）；</w:t>
      </w:r>
    </w:p>
    <w:p w14:paraId="0F29EFE2">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质检工程师在测量、试验工程师配合下加强中间质量检测，严格控制工序质量，及时完成工序、分项完工检验并提交质量检验记录，收集工序、分项资料与检验申请经项目总工签认后报送发包人。</w:t>
      </w:r>
    </w:p>
    <w:p w14:paraId="544350B5">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试验、测量工程师根据施工质检需要完成试验与测量作业并及时交检验结果报告专业工程师、质检工程师。</w:t>
      </w:r>
    </w:p>
    <w:p w14:paraId="0386573F">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保证质量责任制的落实，必须做到“三个到位”、“三个同时”，即：质量管理人员到位，检测工具到位，记录表格到位；施工作业与专业工程师质量检查、检验同时，承包人质量检验工程师、发包人的检验与施工作业同时，检查、检验与记录同时。</w:t>
      </w:r>
    </w:p>
    <w:p w14:paraId="376155A5">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(3)质量管理记录的原始记录包括作业记录、测量记录、试验记录、检验记录及验收记录，地基、基础、填挖交界碾压，墙台背回填等隐蔽工程应摄象或照相作为现场记录保存。</w:t>
      </w:r>
    </w:p>
    <w:p w14:paraId="7E8F38B9">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承包人应加强文明施工，保障道路通畅的管理</w:t>
      </w:r>
    </w:p>
    <w:p w14:paraId="44ECABA0">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  承包人在施工期内应按国家、交通主管部门与公路管理机构文明施工，保障畅通的有关规定组织施工，对出现的交通堵塞无条件地采取措施进行疏通。</w:t>
      </w:r>
    </w:p>
    <w:p w14:paraId="740E39C4">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 旧路改建工程项目</w:t>
      </w:r>
    </w:p>
    <w:p w14:paraId="2E72C1EE">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(i)破坏旧路必须作出交通维持与恢复路面通行条件方案并必须取得业主的批准，未经批准进行旧路开挖与填筑的，业主有权责令停工，并由承包人恢复原良好的通车条件，并需承担一切费用。</w:t>
      </w:r>
    </w:p>
    <w:p w14:paraId="684D3A6E">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(ii)不得在道路上堆放材料或占道施工影响交通。</w:t>
      </w:r>
    </w:p>
    <w:p w14:paraId="06B73041">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路基、路面施工应避免出现晴天扬尘，雨天打滑影响安全与交通和影响群众生活、生产的现象。</w:t>
      </w:r>
    </w:p>
    <w:p w14:paraId="6C87BCF9">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维持交通的路基施工应保证表面平整，保证通畅。</w:t>
      </w:r>
    </w:p>
    <w:p w14:paraId="1CD1A966">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(5) 承包人应自觉接受交通主管部门、质量监督单位、公路管理机构的监督，对指出的问题进行认真的整改，及时报告处理结果。</w:t>
      </w:r>
    </w:p>
    <w:p w14:paraId="5221867E">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在整个施工过程中，业主对承包人履行责任有权进行监督，并向承包人提出整改要求。承包人应认真履行责任，执行业主的指令，否则将按第22.1款视为承包人违约。</w:t>
      </w:r>
    </w:p>
    <w:p w14:paraId="51A3D726">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13.5工程隐蔽部位覆盖前的检查</w:t>
      </w:r>
    </w:p>
    <w:p w14:paraId="6D7CAC08">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13.5.1项补充：</w:t>
      </w:r>
    </w:p>
    <w:p w14:paraId="2F3E9D61">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隐蔽部位覆盖前应经发包人检查确认,分阶段(工序)进行拍摄或照相,并向发包人提供相关影像相片等书面资料作为计量支付的依据，否则不应给予计量.</w:t>
      </w:r>
    </w:p>
    <w:p w14:paraId="5A7C7874">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 变更</w:t>
      </w:r>
    </w:p>
    <w:p w14:paraId="5944F726">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15.1.1项补充： 设计变更除遵守交通运输部、交通运输厅的现行设计变更管理办法外，还应执行广西壮族自治区公路管理局现行《广西壮族自治区普通公路养护工程管理实施细则》、《广西公路管理局关于进一步加强和完善公路养护大中修工程设计变更管理的通知》、《天等县人民政府办公室关于印发天等县政府性投资基本建设项目管理办法的通知》天政办发〔2024】10号文件中有关变更的规定。</w:t>
      </w:r>
    </w:p>
    <w:p w14:paraId="36232B64">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15.2 变更的范围</w:t>
      </w:r>
    </w:p>
    <w:p w14:paraId="4EA5F63E">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于变更的范围的约定:增加合同外项目、设计方案有变动或图纸内有但清单漏项的，需报设计变更审批程序。合同清单的工程量增加，且增加费用不超过批复概算总投资10%的，由参建各方现场确定，施工单位拟通过报告单等方式，请示设计、监理单位核定，主管部门审批;如超过概算总投资10%的，需申请设计变更并报原审批部门(天等县交通运输局)审批:同时所有变更程序以崇左市天等县人民政府办公室《关于印发天等县政府性投资基本建设项目管理办法的通知》天政办发〔2024】10号文件执行。</w:t>
      </w:r>
    </w:p>
    <w:p w14:paraId="7286B374">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 变更程序</w:t>
      </w:r>
    </w:p>
    <w:p w14:paraId="0C2ED053">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15.3.1 政府及国有投资项目:</w:t>
      </w:r>
    </w:p>
    <w:p w14:paraId="4079DBCC">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计变更和工程签证，按各市政府或相关部门的规定办理。属不可抗力(自然灾害、突发事件等)造成变更的，按特事特办原则予以办理。(2)当合同规定的合同价款调整情况发生后，承包人未在规定时间内通知发包人，或者未在规定时间内提出调整报告，发包人可以根据有关资料，决定是否调整和调整的金额，并书面通知承包人。</w:t>
      </w:r>
    </w:p>
    <w:p w14:paraId="4508F66A">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15.3.2 非国有投资项目:</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w:t>
      </w:r>
    </w:p>
    <w:p w14:paraId="05A6FEF8">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15.4 变更估价</w:t>
      </w:r>
    </w:p>
    <w:p w14:paraId="1326BBE1">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15.4.1 变更估价原则关于变更估价的约定:因分部分项工程量清单漏项、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使用或类似清单项目的价格计算方法:有定额的套定额(土石方工程除外)计算，其中材料价格按施工期间的《崇左市建设工程造价信息》相应价格信息进行计算:《崇左市建设工程造价信息》没有相应价格信息的按发包人审定的市场价计算，并乘以下浮后系数(中标价/工程招标控制价):无定额可套的，双方根据市场价格协商确定综合价格，并乘以下浮后系数(中标价/工程招标控制价)计算。新增项目的综合单价必须经发包人审计部门审定。</w:t>
      </w:r>
    </w:p>
    <w:p w14:paraId="08F95060">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15.5 承包人的合理化建议</w:t>
      </w:r>
    </w:p>
    <w:p w14:paraId="4B3B6428">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监理人审查承包人合理化建议的期限: 监理人应在收到承包人提交的合理化建议后7天内审查完毕并报送发包人。</w:t>
      </w:r>
    </w:p>
    <w:p w14:paraId="33ABBFF2">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发包人审批承包人合理化建议的期限: 发包人应在收到监理人报送的合理化建议后7天内审批完毕。</w:t>
      </w:r>
    </w:p>
    <w:p w14:paraId="529401B4">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承包人提出的合理化建议降低了合同价格或者提高了工程经济效益的奖励的方法和金额为:在保证工程质量和进度的前提下，发包人鼓励承包人提出合理合法建议，但本工程不设实现合理化建议奖金。</w:t>
      </w:r>
    </w:p>
    <w:p w14:paraId="762A8C70">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15.6 暂估价</w:t>
      </w:r>
    </w:p>
    <w:p w14:paraId="15614365">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暂估价材料和工程设备的明细详见已标价工程量清单《材料(工程设备)暂估价格及调整表和《专业工程暂估价表》。</w:t>
      </w:r>
    </w:p>
    <w:p w14:paraId="39124E1D">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15.6.1 依法必须招标的暂估价项目</w:t>
      </w:r>
    </w:p>
    <w:p w14:paraId="4030C92A">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对于依法必须招标的暂估价项目的确认和批准采取第1种方式确定。</w:t>
      </w:r>
    </w:p>
    <w:p w14:paraId="0C1549E9">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15.6.2 不属于依法必须招标的暂估价项目</w:t>
      </w:r>
    </w:p>
    <w:p w14:paraId="5FDD7E03">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对于不属于依法必须招标的暂估价项目的确认和批准采取第3种方式确定。</w:t>
      </w:r>
    </w:p>
    <w:p w14:paraId="213C5BF7">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第3种方式:承包人直接实施的暂估价项目</w:t>
      </w:r>
    </w:p>
    <w:p w14:paraId="02F4EEDA">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承包人直接实施的暂估价项目的约定:/。</w:t>
      </w:r>
    </w:p>
    <w:p w14:paraId="664CD5C7">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15.7 暂列金额</w:t>
      </w:r>
    </w:p>
    <w:p w14:paraId="7256C06C">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 价格调整</w:t>
      </w:r>
    </w:p>
    <w:p w14:paraId="14138B29">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(1)单价合同。</w:t>
      </w:r>
    </w:p>
    <w:p w14:paraId="25E675C3">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本合同价款采用固定综合单价方式确定。</w:t>
      </w:r>
    </w:p>
    <w:p w14:paraId="610658EE">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综合单价包含的风险范围:除工程变更、政策性调整、《承包人提供主要材料和设备一览表》约定的材料、设备价格变动风险以外因素。</w:t>
      </w:r>
    </w:p>
    <w:p w14:paraId="6FC6F172">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本合同除政策性调整外，合同单价不作调整。</w:t>
      </w:r>
    </w:p>
    <w:p w14:paraId="24432299">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17.2预付款</w:t>
      </w:r>
    </w:p>
    <w:p w14:paraId="4992FE5D">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自双方签订合同后，发包人在承包人开具</w:t>
      </w:r>
      <w:r>
        <w:rPr>
          <w:rFonts w:hint="eastAsia" w:ascii="宋体" w:hAnsi="宋体" w:eastAsia="宋体" w:cs="宋体"/>
          <w:color w:val="auto"/>
          <w:sz w:val="21"/>
          <w:szCs w:val="21"/>
          <w:highlight w:val="none"/>
          <w:lang w:eastAsia="zh-CN"/>
        </w:rPr>
        <w:t>等额</w:t>
      </w:r>
      <w:r>
        <w:rPr>
          <w:rFonts w:hint="eastAsia" w:ascii="宋体" w:hAnsi="宋体" w:eastAsia="宋体" w:cs="宋体"/>
          <w:color w:val="auto"/>
          <w:sz w:val="21"/>
          <w:szCs w:val="21"/>
          <w:highlight w:val="none"/>
        </w:rPr>
        <w:t>发票后支付合同价款的30%作为预付款，开工预付款的扣回：开工预付款在进度付款证书的累计金额未达到签约合同价的30%之前不予扣回，在达到签约合同价30%之后，开始按工程进度以固定比例（即在完成30%后每超1%，扣回开工预付款总额的2%）分期从进度付</w:t>
      </w:r>
      <w:r>
        <w:rPr>
          <w:rFonts w:hint="eastAsia" w:ascii="宋体" w:hAnsi="宋体" w:eastAsia="宋体" w:cs="宋体"/>
          <w:color w:val="auto"/>
          <w:sz w:val="21"/>
          <w:szCs w:val="21"/>
          <w:highlight w:val="none"/>
        </w:rPr>
        <w:t>款证书中扣回，全部金额在进度付款证书的累计金额达到签约合同价的80%时扣完，如无期中计量的，则在结算时予以一次性扣回全部开工预付款。</w:t>
      </w:r>
    </w:p>
    <w:p w14:paraId="755786EF">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17.3工程进度付款</w:t>
      </w:r>
    </w:p>
    <w:p w14:paraId="3E8A80FF">
      <w:pPr>
        <w:spacing w:line="30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进度付款和付款时间：在项目竣工结算前，合同内工程进度款按经审核认定的已完成工程量的80%计量支付;合同外工程进度款按经审核认定的已完成工程量的70%计量支付；工程完工验收合格，并经相关机构结算审定后支付工程价款结算总额的97%，按审计部门审定的结算造价金额预留3%作为工程质保金后一次性结清工程款（扣除预付款项和进度</w:t>
      </w:r>
      <w:r>
        <w:rPr>
          <w:rFonts w:hint="eastAsia" w:ascii="宋体" w:hAnsi="宋体" w:eastAsia="宋体" w:cs="宋体"/>
          <w:color w:val="auto"/>
          <w:sz w:val="21"/>
          <w:szCs w:val="21"/>
          <w:highlight w:val="none"/>
          <w:lang w:val="en-US" w:eastAsia="zh-CN"/>
        </w:rPr>
        <w:t>款项）。</w:t>
      </w:r>
    </w:p>
    <w:p w14:paraId="1A7E281C">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18.9 竣工文件</w:t>
      </w:r>
    </w:p>
    <w:p w14:paraId="1C60F41B">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工程竣工文件的立卷归档按交通部《公路工程竣工文件材料立卷归档管理办法》（交办发[2010]382号）和广西壮族自治区公路管理局《广西公路网建设工程档案验收办法》执行。</w:t>
      </w:r>
    </w:p>
    <w:p w14:paraId="3920EE67">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 工程保险</w:t>
      </w:r>
    </w:p>
    <w:p w14:paraId="6E52C03A">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建筑工程一切险的投保内容：为本合同工程的永久工程、临时工程和设备及已运至施工工地用于永久工程的材料和设备所投的保险。 </w:t>
      </w:r>
    </w:p>
    <w:p w14:paraId="04316A67">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保险期限：开工日起直至本合同工程签发缺陷责任期终止证书止（即合同工期＋缺陷责任期）。 </w:t>
      </w:r>
    </w:p>
    <w:p w14:paraId="71E7EC3D">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承包人应以发包人和承包人的共同名义投保建筑工程一切险。</w:t>
      </w:r>
    </w:p>
    <w:p w14:paraId="6A643DDE">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 人员工伤事故的保险</w:t>
      </w:r>
    </w:p>
    <w:p w14:paraId="6EC4FA56">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20.2.1 承包人员工伤事故的保险</w:t>
      </w:r>
    </w:p>
    <w:p w14:paraId="01D79FEE">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增加内容：</w:t>
      </w:r>
    </w:p>
    <w:p w14:paraId="5C00AC13">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办理保险的一切费用均由承包人承担，并包括在工程量清单的单价及总额价中，发包人不单独支付。</w:t>
      </w:r>
    </w:p>
    <w:p w14:paraId="01FD6209">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人身意外伤害险</w:t>
      </w:r>
    </w:p>
    <w:p w14:paraId="4F74B972">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20.3.2 承包人应在整个施工期间为其现场机构雇用的全部人员，投保人身意外伤害险，缴纳保险费，并要求其分包人也进行此项保险。办理保险的一切费用均由承包人承担，并包括在工程量清单的单价及总额价中，发包人不单独支付。</w:t>
      </w:r>
    </w:p>
    <w:p w14:paraId="0F34A84F">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其中：人身意外伤害险每位被保险人的最低保险金额为</w:t>
      </w:r>
      <w:r>
        <w:rPr>
          <w:rFonts w:hint="eastAsia" w:ascii="宋体" w:hAnsi="宋体" w:eastAsia="宋体" w:cs="宋体"/>
          <w:b/>
          <w:color w:val="auto"/>
          <w:sz w:val="21"/>
          <w:szCs w:val="21"/>
          <w:highlight w:val="none"/>
        </w:rPr>
        <w:t>50万元</w:t>
      </w:r>
      <w:r>
        <w:rPr>
          <w:rFonts w:hint="eastAsia" w:ascii="宋体" w:hAnsi="宋体" w:eastAsia="宋体" w:cs="宋体"/>
          <w:color w:val="auto"/>
          <w:sz w:val="21"/>
          <w:szCs w:val="21"/>
          <w:highlight w:val="none"/>
        </w:rPr>
        <w:t>人民币，附加意外伤害险医疗险的保险金额为</w:t>
      </w:r>
      <w:r>
        <w:rPr>
          <w:rFonts w:hint="eastAsia" w:ascii="宋体" w:hAnsi="宋体" w:eastAsia="宋体" w:cs="宋体"/>
          <w:b/>
          <w:color w:val="auto"/>
          <w:sz w:val="21"/>
          <w:szCs w:val="21"/>
          <w:highlight w:val="none"/>
        </w:rPr>
        <w:t>5万元</w:t>
      </w:r>
      <w:r>
        <w:rPr>
          <w:rFonts w:hint="eastAsia" w:ascii="宋体" w:hAnsi="宋体" w:eastAsia="宋体" w:cs="宋体"/>
          <w:color w:val="auto"/>
          <w:sz w:val="21"/>
          <w:szCs w:val="21"/>
          <w:highlight w:val="none"/>
        </w:rPr>
        <w:t>人民币。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w:t>
      </w:r>
    </w:p>
    <w:p w14:paraId="1B3807F4">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施工合同签订后工程开工前</w:t>
      </w:r>
      <w:r>
        <w:rPr>
          <w:rFonts w:hint="eastAsia" w:ascii="宋体" w:hAnsi="宋体" w:eastAsia="宋体" w:cs="宋体"/>
          <w:b/>
          <w:color w:val="auto"/>
          <w:sz w:val="21"/>
          <w:szCs w:val="21"/>
          <w:highlight w:val="none"/>
        </w:rPr>
        <w:t>15</w:t>
      </w:r>
      <w:r>
        <w:rPr>
          <w:rFonts w:hint="eastAsia" w:ascii="宋体" w:hAnsi="宋体" w:eastAsia="宋体" w:cs="宋体"/>
          <w:color w:val="auto"/>
          <w:sz w:val="21"/>
          <w:szCs w:val="21"/>
          <w:highlight w:val="none"/>
        </w:rPr>
        <w:t>日，承包人必须按有关规定与保险公司签订人身意外伤害险和附加意外伤害医疗险以及其他需要投保的保险的保险合同。</w:t>
      </w:r>
    </w:p>
    <w:p w14:paraId="307F25F7">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  第三者责任险</w:t>
      </w:r>
    </w:p>
    <w:p w14:paraId="5D6DAD75">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修改20.4.2款为：第三者责任险由承包人以承包人与项目法人的名义联名投保，保险费由承包人承担并支付，</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应在所报的单价或总额价中对该保险费予以考虑，发包人不单独进行计量与支付。</w:t>
      </w:r>
    </w:p>
    <w:p w14:paraId="0EE9D321">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21.1不可抗力的确认</w:t>
      </w:r>
    </w:p>
    <w:p w14:paraId="108E5E11">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公路工程专用合同条款21. 1款</w:t>
      </w:r>
    </w:p>
    <w:p w14:paraId="71F4E5C7">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  (6）项目专用合同条款约定的其他情形：</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rPr>
        <w:t xml:space="preserve"> </w:t>
      </w:r>
    </w:p>
    <w:p w14:paraId="44D5987F">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承包人违约</w:t>
      </w:r>
    </w:p>
    <w:p w14:paraId="59C2B69C">
      <w:pPr>
        <w:spacing w:line="300" w:lineRule="auto"/>
        <w:ind w:firstLine="278" w:firstLineChars="13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22.1.1承包人违约的情形</w:t>
      </w:r>
    </w:p>
    <w:p w14:paraId="1B718672">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(1)承包人违反第1.8款或第4.3款的约定，私自将合同的全部或部分权利转让给其他人，或私自将合同的全部或部分义务转移给其他人；</w:t>
      </w:r>
    </w:p>
    <w:p w14:paraId="7D6C3E0A">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(2)承包人违反第5.3款或第6.4款的约定，未经发包人批准，私自将已按合同约定进入施工场地的施工设备、临时设施、材料或工程设备撤离施工场地；</w:t>
      </w:r>
    </w:p>
    <w:p w14:paraId="3B807D33">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(3)承包人违反第5.4款的约定使用了不合格材料或工程设备，工程质量达不到标准要求，又拒绝清理不合格工程；</w:t>
      </w:r>
    </w:p>
    <w:p w14:paraId="3A90ABFA">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(4)承包人未能按合同进度计划及时完成合同约定的工作，己造成或预期造成工期延误；</w:t>
      </w:r>
    </w:p>
    <w:p w14:paraId="4285F77C">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(5)承包人在缺陷责任期内，未能对工程接受证书所列的缺陷清单的内容或缺陷责任期内发生的缺陷进行修复，而又拒绝按发包人指示再进行修补；</w:t>
      </w:r>
    </w:p>
    <w:p w14:paraId="2D5463C1">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(6）承包人无法继续履行或明确表示不履行或实质上己停止履行合同；</w:t>
      </w:r>
    </w:p>
    <w:p w14:paraId="4C974313">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(7)承包人未能按期开工；</w:t>
      </w:r>
    </w:p>
    <w:p w14:paraId="5C18C366">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(8)承包人违反第4.6款或第6.3款的规定，未按承诺或未按发包人的要求及时配备称职的主要管理人员、技术骨干或关键施工设备；</w:t>
      </w:r>
    </w:p>
    <w:p w14:paraId="2F974E5A">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(9)经发包人检查，发现承包人有安全问题或有违反安全管理规章制度的情况；</w:t>
      </w:r>
    </w:p>
    <w:p w14:paraId="743A305C">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(10）承包人不按合同约定履行义务的其他情况。</w:t>
      </w:r>
    </w:p>
    <w:p w14:paraId="5F6345A1">
      <w:pPr>
        <w:spacing w:line="300" w:lineRule="auto"/>
        <w:ind w:firstLine="278" w:firstLineChars="13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22.1.2  对承包人违约的处理</w:t>
      </w:r>
    </w:p>
    <w:p w14:paraId="5071F30F">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（1）承包人发生第22.1.1⑹目约定的违约情形时，发包人可通知承包人立即解除合同，并按有关法律处理。</w:t>
      </w:r>
    </w:p>
    <w:p w14:paraId="41D4D36E">
      <w:pPr>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（2）承包人发生第22.1.1⑹目约定以外的违约情形时，发包人可向承包人发出整改通知，要求其在指定的期限内改正。承包人应承担其违约所引起的费用增加和（或）工期延误。</w:t>
      </w:r>
    </w:p>
    <w:p w14:paraId="355EA4F1">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（3）经检查证明承包人已采取了有效措施纠正违约行为，具备复工条件的可由发包人签发复工通知进行复工。</w:t>
      </w:r>
    </w:p>
    <w:p w14:paraId="1EF43266">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发生第22.1.1项约定的违约情况时，无论发包人是否解除合同，发包人均有权向承包人课以违约金，并由发包人将其违约行为上报省级交通主管部门，作为不良记录纳人公路建设市场信用信息管理系统。</w:t>
      </w:r>
    </w:p>
    <w:p w14:paraId="5C7D0B0D">
      <w:pPr>
        <w:tabs>
          <w:tab w:val="left" w:pos="1080"/>
        </w:tabs>
        <w:spacing w:line="300" w:lineRule="auto"/>
        <w:ind w:firstLine="56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增加</w:t>
      </w:r>
    </w:p>
    <w:p w14:paraId="5F803209">
      <w:pPr>
        <w:tabs>
          <w:tab w:val="left" w:pos="1080"/>
        </w:tabs>
        <w:spacing w:line="300" w:lineRule="auto"/>
        <w:ind w:firstLine="56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（5）承包人发生第22.1.1项（5）目情形，按第19.2.4款规定处理；</w:t>
      </w:r>
    </w:p>
    <w:p w14:paraId="1A70911D">
      <w:pPr>
        <w:tabs>
          <w:tab w:val="left" w:pos="1080"/>
        </w:tabs>
        <w:spacing w:line="300" w:lineRule="auto"/>
        <w:ind w:firstLine="56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（6）有22.1.1.（8）款行为或以下行为的，视为承包人违约，可对承包人处以以下的违约金：</w:t>
      </w:r>
    </w:p>
    <w:p w14:paraId="0A00955C">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承包人更换主要人员的（不管是否经项目法人同意），项目经理处10万元/人次，总工（或技术负责人）处5万元/人次，其他主要人员（指结构专业工程师、路基路面专业工程师、测量工程师、计量工程师和试验工程师）处2万元/人次；</w:t>
      </w:r>
    </w:p>
    <w:p w14:paraId="3C6F6DC5">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b．项目经理或项目技术负责人未经发包人同意擅自离开工地，每天</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以违约金500元／人；若虽经批准离开工地但每月在工地天数不足22天（特殊情况经发包人批准报发包人同意例外）的，每不足一天</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以违约金500元／人。其它主要技术骨干人员每月在工地天数不足22天（特殊情况经发包人批准同意例外）的,每不足一天</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以违约金300元／人；</w:t>
      </w:r>
    </w:p>
    <w:p w14:paraId="6F36AB4D">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C．主要设备没有按进度和合同规定承诺进场的处500元/日台。</w:t>
      </w:r>
    </w:p>
    <w:p w14:paraId="63419CF7">
      <w:pPr>
        <w:tabs>
          <w:tab w:val="left" w:pos="1080"/>
        </w:tabs>
        <w:spacing w:line="300" w:lineRule="auto"/>
        <w:ind w:firstLine="56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（7）承包人存在以下情形的，可对承包人处以以下违约金：</w:t>
      </w:r>
    </w:p>
    <w:p w14:paraId="164D2078">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a.发生质量事故，未按有关规定和时间向有关部门报告的,处2000元/次；</w:t>
      </w:r>
    </w:p>
    <w:p w14:paraId="4C719A18">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b.出现二、三级一般质量事故，且承包人负有直接责任，或不能证明其履行其职责的,可处5000元/次；</w:t>
      </w:r>
    </w:p>
    <w:p w14:paraId="6FBCD61D">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c.发生一级一般质量事故或重大质量事故，且承包人负有直接责任，或不能证明其履行其职责的,可处10000元/次；</w:t>
      </w:r>
    </w:p>
    <w:p w14:paraId="7CBCAE8D">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d.因质量问题被地市级及以上交通主管部门、质量监督单位、公路管理机构通报（批评）的，可对承包人处以20000元违约金/次，红牌警告10000元/次，黄牌警告5000元/次。</w:t>
      </w:r>
    </w:p>
    <w:p w14:paraId="3A04974F">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e．出现一般安全生事故负有责任的或发生重大安全事故不按规定报告的,可处1000元/处·次。</w:t>
      </w:r>
    </w:p>
    <w:p w14:paraId="6C79FFAD">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f.出现重大安全生产事故负有责任的，可处10000元/处·次。</w:t>
      </w:r>
    </w:p>
    <w:p w14:paraId="37DA305F">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g．由于施工原因造成污染、破坏被群众向政府、主管单位投诉或被环保、水利部门责令整改的，处1000元/次。</w:t>
      </w:r>
    </w:p>
    <w:p w14:paraId="65DDAD9C">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由于承包人原因违反7.3等条款造成交通堵塞，堵车30分钟至60分钟的处3000元/次，堵车60分钟至二小时的处5000元/次，堵车二小时至三小时的处1万元/次，堵车三小时以上的处每小时（不满1小时按1小时计）1万元，严重的建议上级主管单位进行通报。</w:t>
      </w:r>
    </w:p>
    <w:p w14:paraId="29748E94">
      <w:pPr>
        <w:tabs>
          <w:tab w:val="left" w:pos="1080"/>
        </w:tabs>
        <w:spacing w:line="30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j．劳务人员未按规定签订聘用合同并向项目法人报备的,处500元/人次。</w:t>
      </w:r>
    </w:p>
    <w:p w14:paraId="6635ED47">
      <w:pPr>
        <w:pStyle w:val="42"/>
        <w:shd w:val="clear" w:color="auto" w:fill="auto"/>
        <w:spacing w:after="251" w:line="300" w:lineRule="auto"/>
        <w:rPr>
          <w:rFonts w:hint="eastAsia" w:ascii="宋体" w:hAnsi="宋体" w:eastAsia="宋体" w:cs="宋体"/>
          <w:b w:val="0"/>
          <w:color w:val="auto"/>
          <w:spacing w:val="0"/>
          <w:sz w:val="21"/>
          <w:szCs w:val="21"/>
          <w:highlight w:val="none"/>
        </w:rPr>
      </w:pPr>
      <w:r>
        <w:rPr>
          <w:rFonts w:hint="eastAsia" w:ascii="宋体" w:hAnsi="宋体" w:eastAsia="宋体" w:cs="宋体"/>
          <w:b w:val="0"/>
          <w:color w:val="auto"/>
          <w:spacing w:val="0"/>
          <w:sz w:val="21"/>
          <w:szCs w:val="21"/>
          <w:highlight w:val="none"/>
        </w:rPr>
        <w:t xml:space="preserve">22.2  </w:t>
      </w:r>
      <w:r>
        <w:rPr>
          <w:rStyle w:val="41"/>
          <w:rFonts w:hint="eastAsia" w:ascii="宋体" w:hAnsi="宋体" w:eastAsia="宋体" w:cs="宋体"/>
          <w:b/>
          <w:bCs w:val="0"/>
          <w:color w:val="auto"/>
          <w:sz w:val="21"/>
          <w:szCs w:val="21"/>
          <w:highlight w:val="none"/>
        </w:rPr>
        <w:t>发包人违约</w:t>
      </w:r>
    </w:p>
    <w:p w14:paraId="411E63D8">
      <w:pPr>
        <w:pStyle w:val="36"/>
        <w:shd w:val="clear" w:color="auto" w:fill="auto"/>
        <w:tabs>
          <w:tab w:val="left" w:leader="underscore" w:pos="6502"/>
          <w:tab w:val="left" w:leader="underscore" w:pos="7348"/>
          <w:tab w:val="left" w:leader="underscore" w:pos="8182"/>
        </w:tabs>
        <w:spacing w:before="0" w:after="1283" w:line="398" w:lineRule="exact"/>
        <w:ind w:firstLine="420"/>
        <w:jc w:val="both"/>
        <w:rPr>
          <w:rFonts w:hint="eastAsia" w:ascii="宋体" w:hAnsi="宋体" w:eastAsia="宋体" w:cs="宋体"/>
          <w:color w:val="auto"/>
          <w:highlight w:val="none"/>
        </w:rPr>
      </w:pPr>
      <w:r>
        <w:rPr>
          <w:rStyle w:val="49"/>
          <w:rFonts w:hint="eastAsia" w:ascii="宋体" w:hAnsi="宋体" w:eastAsia="宋体" w:cs="宋体"/>
          <w:color w:val="auto"/>
          <w:sz w:val="21"/>
          <w:szCs w:val="21"/>
          <w:highlight w:val="none"/>
          <w:lang w:bidi="en-US"/>
        </w:rPr>
        <w:t>22.2.2</w:t>
      </w:r>
      <w:r>
        <w:rPr>
          <w:rStyle w:val="49"/>
          <w:rFonts w:hint="eastAsia" w:ascii="宋体" w:hAnsi="宋体" w:eastAsia="宋体" w:cs="宋体"/>
          <w:color w:val="auto"/>
          <w:sz w:val="21"/>
          <w:szCs w:val="21"/>
          <w:highlight w:val="none"/>
        </w:rPr>
        <w:t>发包人无正当理由不按时返还履约保证金、质量保证金或农民工资保证金的，发包人应向承包人支付的违约金如下：</w:t>
      </w:r>
      <w:r>
        <w:rPr>
          <w:rStyle w:val="49"/>
          <w:rFonts w:hint="eastAsia" w:ascii="宋体" w:hAnsi="宋体" w:eastAsia="宋体" w:cs="宋体"/>
          <w:color w:val="auto"/>
          <w:sz w:val="21"/>
          <w:szCs w:val="21"/>
          <w:highlight w:val="none"/>
          <w:u w:val="single"/>
        </w:rPr>
        <w:t xml:space="preserve">   /   </w:t>
      </w:r>
    </w:p>
    <w:p w14:paraId="2F39AE50">
      <w:pPr>
        <w:bidi w:val="0"/>
        <w:rPr>
          <w:rFonts w:hint="eastAsia" w:ascii="宋体" w:hAnsi="宋体" w:eastAsia="宋体" w:cs="宋体"/>
          <w:color w:val="auto"/>
          <w:highlight w:val="none"/>
        </w:rPr>
      </w:pPr>
    </w:p>
    <w:p w14:paraId="12ADA318">
      <w:pPr>
        <w:ind w:right="69" w:rightChars="33"/>
        <w:jc w:val="left"/>
        <w:rPr>
          <w:rFonts w:hint="eastAsia" w:ascii="宋体" w:hAnsi="宋体" w:eastAsia="宋体" w:cs="宋体"/>
          <w:color w:val="auto"/>
          <w:sz w:val="21"/>
          <w:szCs w:val="21"/>
          <w:highlight w:val="none"/>
        </w:rPr>
        <w:sectPr>
          <w:headerReference r:id="rId14" w:type="default"/>
          <w:footerReference r:id="rId15" w:type="default"/>
          <w:endnotePr>
            <w:numFmt w:val="decimal"/>
          </w:endnotePr>
          <w:pgSz w:w="11906" w:h="16838"/>
          <w:pgMar w:top="1134" w:right="1418" w:bottom="1134" w:left="1418" w:header="567" w:footer="680" w:gutter="0"/>
          <w:pgNumType w:fmt="decimal"/>
          <w:cols w:space="720" w:num="1"/>
          <w:docGrid w:type="lines" w:linePitch="312" w:charSpace="0"/>
        </w:sectPr>
      </w:pPr>
      <w:bookmarkStart w:id="139" w:name="_Toc511595199"/>
      <w:bookmarkStart w:id="140" w:name="_Toc25700"/>
      <w:bookmarkStart w:id="141" w:name="_Toc394929422"/>
      <w:bookmarkStart w:id="142" w:name="_Toc508779715"/>
      <w:r>
        <w:rPr>
          <w:rFonts w:hint="eastAsia" w:ascii="宋体" w:hAnsi="宋体" w:eastAsia="宋体" w:cs="宋体"/>
          <w:color w:val="auto"/>
          <w:sz w:val="21"/>
          <w:szCs w:val="21"/>
          <w:highlight w:val="none"/>
        </w:rPr>
        <w:br w:type="page"/>
      </w:r>
      <w:bookmarkEnd w:id="139"/>
      <w:bookmarkEnd w:id="140"/>
      <w:bookmarkEnd w:id="141"/>
      <w:bookmarkEnd w:id="142"/>
    </w:p>
    <w:bookmarkEnd w:id="93"/>
    <w:bookmarkEnd w:id="94"/>
    <w:p w14:paraId="090AF8EE">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lang w:eastAsia="zh-CN"/>
        </w:rPr>
      </w:pPr>
      <w:bookmarkStart w:id="143" w:name="_Toc13340"/>
      <w:bookmarkStart w:id="144" w:name="_Toc8625"/>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eastAsia="zh-CN"/>
        </w:rPr>
        <w:t>评分办法和标准</w:t>
      </w:r>
      <w:bookmarkEnd w:id="143"/>
      <w:bookmarkEnd w:id="144"/>
    </w:p>
    <w:p w14:paraId="7421B27A">
      <w:pPr>
        <w:pStyle w:val="25"/>
        <w:spacing w:line="5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一、评标原则</w:t>
      </w:r>
    </w:p>
    <w:p w14:paraId="64A31F78">
      <w:pPr>
        <w:pStyle w:val="14"/>
        <w:spacing w:line="520" w:lineRule="exact"/>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一）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5D17897">
      <w:pPr>
        <w:pStyle w:val="14"/>
        <w:spacing w:line="520" w:lineRule="exac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（二）评标依据：磋商小组将以磋商文件、磋商响应文件为评标依据，对响应供应商的报价、技术</w:t>
      </w:r>
      <w:r>
        <w:rPr>
          <w:rFonts w:hint="eastAsia" w:ascii="宋体" w:hAnsi="宋体" w:eastAsia="宋体" w:cs="宋体"/>
          <w:bCs/>
          <w:color w:val="auto"/>
          <w:sz w:val="21"/>
          <w:szCs w:val="21"/>
          <w:highlight w:val="none"/>
          <w:lang w:eastAsia="zh-CN"/>
        </w:rPr>
        <w:t>标、</w:t>
      </w:r>
      <w:r>
        <w:rPr>
          <w:rFonts w:hint="eastAsia" w:ascii="宋体" w:hAnsi="宋体" w:eastAsia="宋体" w:cs="宋体"/>
          <w:bCs/>
          <w:color w:val="auto"/>
          <w:sz w:val="21"/>
          <w:szCs w:val="21"/>
          <w:highlight w:val="none"/>
        </w:rPr>
        <w:t>企业信誉等方面内容</w:t>
      </w:r>
      <w:r>
        <w:rPr>
          <w:rFonts w:hint="eastAsia" w:ascii="宋体" w:hAnsi="宋体" w:eastAsia="宋体" w:cs="宋体"/>
          <w:bCs/>
          <w:color w:val="auto"/>
          <w:sz w:val="21"/>
          <w:szCs w:val="21"/>
          <w:highlight w:val="none"/>
          <w:lang w:eastAsia="zh-CN"/>
        </w:rPr>
        <w:t>进行</w:t>
      </w:r>
      <w:r>
        <w:rPr>
          <w:rFonts w:hint="eastAsia" w:ascii="宋体" w:hAnsi="宋体" w:eastAsia="宋体" w:cs="宋体"/>
          <w:bCs/>
          <w:color w:val="auto"/>
          <w:sz w:val="21"/>
          <w:szCs w:val="21"/>
          <w:highlight w:val="none"/>
        </w:rPr>
        <w:t>打分</w:t>
      </w:r>
      <w:r>
        <w:rPr>
          <w:rFonts w:hint="eastAsia" w:ascii="宋体" w:hAnsi="宋体" w:eastAsia="宋体" w:cs="宋体"/>
          <w:bCs/>
          <w:color w:val="auto"/>
          <w:sz w:val="21"/>
          <w:szCs w:val="21"/>
          <w:highlight w:val="none"/>
          <w:lang w:eastAsia="zh-CN"/>
        </w:rPr>
        <w:t>。</w:t>
      </w:r>
    </w:p>
    <w:p w14:paraId="4A43CC6F">
      <w:pPr>
        <w:pStyle w:val="14"/>
        <w:spacing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（三）评标方式：以封闭方式进行。</w:t>
      </w:r>
    </w:p>
    <w:p w14:paraId="53BB95D2">
      <w:pPr>
        <w:pStyle w:val="14"/>
        <w:spacing w:line="520" w:lineRule="exact"/>
        <w:contextualSpacing/>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二、评分标准</w:t>
      </w:r>
    </w:p>
    <w:p w14:paraId="3546016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（一）磋商小组对供应商资格审查、</w:t>
      </w:r>
      <w:r>
        <w:rPr>
          <w:rFonts w:hint="eastAsia" w:ascii="宋体" w:hAnsi="宋体" w:eastAsia="宋体" w:cs="宋体"/>
          <w:bCs/>
          <w:color w:val="auto"/>
          <w:sz w:val="21"/>
          <w:szCs w:val="21"/>
          <w:highlight w:val="none"/>
          <w:lang w:val="en-US" w:eastAsia="zh-CN"/>
        </w:rPr>
        <w:t>符合</w:t>
      </w:r>
      <w:r>
        <w:rPr>
          <w:rFonts w:hint="eastAsia" w:ascii="宋体" w:hAnsi="宋体" w:eastAsia="宋体" w:cs="宋体"/>
          <w:bCs/>
          <w:color w:val="auto"/>
          <w:sz w:val="21"/>
          <w:szCs w:val="21"/>
          <w:highlight w:val="none"/>
        </w:rPr>
        <w:t>性进行评审。资格审查指依据法律、法规和竞争性磋商文件的规定，对竞争性磋商响应文件中的资格证明</w:t>
      </w:r>
      <w:r>
        <w:rPr>
          <w:rFonts w:hint="eastAsia" w:ascii="宋体" w:hAnsi="宋体" w:eastAsia="宋体" w:cs="宋体"/>
          <w:bCs/>
          <w:color w:val="auto"/>
          <w:sz w:val="21"/>
          <w:szCs w:val="21"/>
          <w:highlight w:val="none"/>
          <w:lang w:eastAsia="zh-CN"/>
        </w:rPr>
        <w:t>资料</w:t>
      </w:r>
      <w:r>
        <w:rPr>
          <w:rFonts w:hint="eastAsia" w:ascii="宋体" w:hAnsi="宋体" w:eastAsia="宋体" w:cs="宋体"/>
          <w:bCs/>
          <w:color w:val="auto"/>
          <w:sz w:val="21"/>
          <w:szCs w:val="21"/>
          <w:highlight w:val="none"/>
        </w:rPr>
        <w:t>进行审查，如果供应商出现没有按照要求提交全部资格证明文件或资格证明无效；未按</w:t>
      </w:r>
      <w:r>
        <w:rPr>
          <w:rFonts w:hint="eastAsia" w:ascii="宋体" w:hAnsi="宋体" w:eastAsia="宋体" w:cs="宋体"/>
          <w:bCs/>
          <w:color w:val="auto"/>
          <w:sz w:val="21"/>
          <w:szCs w:val="21"/>
          <w:highlight w:val="none"/>
          <w:lang w:eastAsia="zh-CN"/>
        </w:rPr>
        <w:t>采购文件</w:t>
      </w:r>
      <w:r>
        <w:rPr>
          <w:rFonts w:hint="eastAsia" w:ascii="宋体" w:hAnsi="宋体" w:eastAsia="宋体" w:cs="宋体"/>
          <w:bCs/>
          <w:color w:val="auto"/>
          <w:sz w:val="21"/>
          <w:szCs w:val="21"/>
          <w:highlight w:val="none"/>
        </w:rPr>
        <w:t>要求</w:t>
      </w:r>
      <w:r>
        <w:rPr>
          <w:rFonts w:hint="eastAsia" w:ascii="宋体" w:hAnsi="宋体" w:eastAsia="宋体" w:cs="宋体"/>
          <w:bCs/>
          <w:color w:val="auto"/>
          <w:sz w:val="21"/>
          <w:szCs w:val="21"/>
          <w:highlight w:val="none"/>
          <w:lang w:eastAsia="zh-CN"/>
        </w:rPr>
        <w:t>签字盖章、提</w:t>
      </w:r>
      <w:r>
        <w:rPr>
          <w:rFonts w:hint="eastAsia" w:ascii="宋体" w:hAnsi="宋体" w:eastAsia="宋体" w:cs="宋体"/>
          <w:bCs/>
          <w:color w:val="auto"/>
          <w:sz w:val="21"/>
          <w:szCs w:val="21"/>
          <w:highlight w:val="none"/>
        </w:rPr>
        <w:t>交磋商保证金</w:t>
      </w:r>
      <w:r>
        <w:rPr>
          <w:rFonts w:hint="eastAsia" w:ascii="宋体" w:hAnsi="宋体" w:eastAsia="宋体" w:cs="宋体"/>
          <w:bCs/>
          <w:color w:val="auto"/>
          <w:sz w:val="21"/>
          <w:szCs w:val="21"/>
          <w:highlight w:val="none"/>
          <w:lang w:eastAsia="zh-CN"/>
        </w:rPr>
        <w:t>、有效报价</w:t>
      </w:r>
      <w:r>
        <w:rPr>
          <w:rFonts w:hint="eastAsia" w:ascii="宋体" w:hAnsi="宋体" w:eastAsia="宋体" w:cs="宋体"/>
          <w:bCs/>
          <w:color w:val="auto"/>
          <w:sz w:val="21"/>
          <w:szCs w:val="21"/>
          <w:highlight w:val="none"/>
        </w:rPr>
        <w:t>等则视为该供应商</w:t>
      </w:r>
      <w:r>
        <w:rPr>
          <w:rFonts w:hint="eastAsia" w:ascii="宋体" w:hAnsi="宋体" w:eastAsia="宋体" w:cs="宋体"/>
          <w:bCs/>
          <w:color w:val="auto"/>
          <w:sz w:val="21"/>
          <w:szCs w:val="21"/>
          <w:highlight w:val="none"/>
          <w:lang w:val="en-US" w:eastAsia="zh-CN"/>
        </w:rPr>
        <w:t>符合</w:t>
      </w:r>
      <w:r>
        <w:rPr>
          <w:rFonts w:hint="eastAsia" w:ascii="宋体" w:hAnsi="宋体" w:eastAsia="宋体" w:cs="宋体"/>
          <w:bCs/>
          <w:color w:val="auto"/>
          <w:sz w:val="21"/>
          <w:szCs w:val="21"/>
          <w:highlight w:val="none"/>
          <w:lang w:eastAsia="zh-CN"/>
        </w:rPr>
        <w:t>性</w:t>
      </w:r>
      <w:r>
        <w:rPr>
          <w:rFonts w:hint="eastAsia" w:ascii="宋体" w:hAnsi="宋体" w:eastAsia="宋体" w:cs="宋体"/>
          <w:bCs/>
          <w:color w:val="auto"/>
          <w:sz w:val="21"/>
          <w:szCs w:val="21"/>
          <w:highlight w:val="none"/>
        </w:rPr>
        <w:t>不合格</w:t>
      </w:r>
      <w:r>
        <w:rPr>
          <w:rFonts w:hint="eastAsia" w:ascii="宋体" w:hAnsi="宋体" w:eastAsia="宋体" w:cs="宋体"/>
          <w:bCs/>
          <w:color w:val="auto"/>
          <w:sz w:val="21"/>
          <w:szCs w:val="21"/>
          <w:highlight w:val="none"/>
          <w:lang w:eastAsia="zh-CN"/>
        </w:rPr>
        <w:t>，未按采购文件响应工期、质量，内容等则</w:t>
      </w:r>
      <w:r>
        <w:rPr>
          <w:rFonts w:hint="eastAsia" w:ascii="宋体" w:hAnsi="宋体" w:eastAsia="宋体" w:cs="宋体"/>
          <w:bCs/>
          <w:color w:val="auto"/>
          <w:sz w:val="21"/>
          <w:szCs w:val="21"/>
          <w:highlight w:val="none"/>
        </w:rPr>
        <w:t>视为该供应商</w:t>
      </w:r>
      <w:r>
        <w:rPr>
          <w:rFonts w:hint="eastAsia" w:ascii="宋体" w:hAnsi="宋体" w:eastAsia="宋体" w:cs="宋体"/>
          <w:bCs/>
          <w:color w:val="auto"/>
          <w:sz w:val="21"/>
          <w:szCs w:val="21"/>
          <w:highlight w:val="none"/>
          <w:lang w:eastAsia="zh-CN"/>
        </w:rPr>
        <w:t>响应性</w:t>
      </w:r>
      <w:r>
        <w:rPr>
          <w:rFonts w:hint="eastAsia" w:ascii="宋体" w:hAnsi="宋体" w:eastAsia="宋体" w:cs="宋体"/>
          <w:bCs/>
          <w:color w:val="auto"/>
          <w:sz w:val="21"/>
          <w:szCs w:val="21"/>
          <w:highlight w:val="none"/>
        </w:rPr>
        <w:t>不合格。</w:t>
      </w:r>
    </w:p>
    <w:p w14:paraId="44AB4025">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（二）磋商小组根据磋商文件中确定的评分办法综合评定各供应商提交的</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rPr>
        <w:t>文件，按照评标得分由高到低推荐成交候选人</w:t>
      </w:r>
      <w:r>
        <w:rPr>
          <w:rFonts w:hint="eastAsia" w:ascii="宋体" w:hAnsi="宋体" w:eastAsia="宋体" w:cs="宋体"/>
          <w:bCs/>
          <w:color w:val="auto"/>
          <w:sz w:val="21"/>
          <w:szCs w:val="21"/>
          <w:highlight w:val="none"/>
          <w:lang w:eastAsia="zh-CN"/>
        </w:rPr>
        <w:t>。</w:t>
      </w:r>
    </w:p>
    <w:p w14:paraId="468C41C6">
      <w:pPr>
        <w:pStyle w:val="25"/>
        <w:spacing w:line="520" w:lineRule="exact"/>
        <w:jc w:val="left"/>
        <w:rPr>
          <w:rFonts w:hint="eastAsia" w:ascii="宋体" w:hAnsi="宋体" w:eastAsia="宋体" w:cs="宋体"/>
          <w:b/>
          <w:color w:val="auto"/>
          <w:sz w:val="21"/>
          <w:szCs w:val="21"/>
          <w:highlight w:val="none"/>
        </w:rPr>
      </w:pPr>
      <w:bookmarkStart w:id="145" w:name="_Toc419886414"/>
      <w:r>
        <w:rPr>
          <w:rFonts w:hint="eastAsia" w:ascii="宋体" w:hAnsi="宋体" w:eastAsia="宋体" w:cs="宋体"/>
          <w:b/>
          <w:color w:val="auto"/>
          <w:sz w:val="21"/>
          <w:szCs w:val="21"/>
          <w:highlight w:val="none"/>
        </w:rPr>
        <w:t>三、评定方法</w:t>
      </w:r>
      <w:bookmarkEnd w:id="145"/>
    </w:p>
    <w:tbl>
      <w:tblPr>
        <w:tblStyle w:val="21"/>
        <w:tblW w:w="49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213"/>
        <w:gridCol w:w="7610"/>
      </w:tblGrid>
      <w:tr w14:paraId="6D5C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top"/>
          </w:tcPr>
          <w:p w14:paraId="48A16C1A">
            <w:pPr>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序号</w:t>
            </w:r>
          </w:p>
        </w:tc>
        <w:tc>
          <w:tcPr>
            <w:tcW w:w="628" w:type="pct"/>
            <w:noWrap w:val="0"/>
            <w:vAlign w:val="top"/>
          </w:tcPr>
          <w:p w14:paraId="3066DDF4">
            <w:pPr>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评分类型</w:t>
            </w:r>
          </w:p>
        </w:tc>
        <w:tc>
          <w:tcPr>
            <w:tcW w:w="3937" w:type="pct"/>
            <w:noWrap w:val="0"/>
            <w:vAlign w:val="top"/>
          </w:tcPr>
          <w:p w14:paraId="4AF7F6EE">
            <w:pPr>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评分标准</w:t>
            </w:r>
          </w:p>
        </w:tc>
      </w:tr>
      <w:tr w14:paraId="2AD9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6A38988B">
            <w:pPr>
              <w:pStyle w:val="14"/>
              <w:spacing w:after="120" w:line="40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628" w:type="pct"/>
            <w:noWrap w:val="0"/>
            <w:vAlign w:val="center"/>
          </w:tcPr>
          <w:p w14:paraId="62EB87C2">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rPr>
              <w:t>分）</w:t>
            </w:r>
          </w:p>
        </w:tc>
        <w:tc>
          <w:tcPr>
            <w:tcW w:w="3937" w:type="pct"/>
            <w:noWrap w:val="0"/>
            <w:vAlign w:val="center"/>
          </w:tcPr>
          <w:p w14:paraId="2D630F3A">
            <w:pPr>
              <w:keepNext w:val="0"/>
              <w:keepLines w:val="0"/>
              <w:pageBreakBefore w:val="0"/>
              <w:kinsoku/>
              <w:wordWrap/>
              <w:overflowPunct/>
              <w:topLinePunct w:val="0"/>
              <w:autoSpaceDE/>
              <w:autoSpaceDN/>
              <w:bidi w:val="0"/>
              <w:adjustRightInd/>
              <w:snapToGrid w:val="0"/>
              <w:spacing w:line="360" w:lineRule="exact"/>
              <w:ind w:firstLine="365" w:firstLineChars="173"/>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一、政府采购政策扣除</w:t>
            </w:r>
          </w:p>
          <w:p w14:paraId="11CB7E3F">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1、本项目为专门面向中小企业采购项目，不执行价格扣除优惠政策，评审报价＝最后报价。</w:t>
            </w:r>
          </w:p>
          <w:p w14:paraId="2B8D6C59">
            <w:pPr>
              <w:keepNext w:val="0"/>
              <w:keepLines w:val="0"/>
              <w:pageBreakBefore w:val="0"/>
              <w:kinsoku/>
              <w:wordWrap/>
              <w:overflowPunct/>
              <w:topLinePunct w:val="0"/>
              <w:autoSpaceDE/>
              <w:autoSpaceDN/>
              <w:bidi w:val="0"/>
              <w:adjustRightInd/>
              <w:snapToGrid w:val="0"/>
              <w:spacing w:line="360" w:lineRule="exact"/>
              <w:ind w:firstLine="365" w:firstLineChars="173"/>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二、报价分（满分30分）</w:t>
            </w:r>
          </w:p>
          <w:p w14:paraId="1D137055">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1、报价分采用低价优先法计算，满足竞争性磋商文件要求的有效供应商最低的的最后报价为评标基准价，其报价分为满分。</w:t>
            </w:r>
          </w:p>
          <w:p w14:paraId="7AA94AA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2、其他供应商的价格分统一按照下列公式计算：</w:t>
            </w:r>
          </w:p>
          <w:p w14:paraId="48F16EC4">
            <w:pPr>
              <w:spacing w:line="360" w:lineRule="auto"/>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kern w:val="2"/>
                <w:sz w:val="21"/>
                <w:highlight w:val="none"/>
              </w:rPr>
              <w:t>某有效</w:t>
            </w:r>
            <w:r>
              <w:rPr>
                <w:rFonts w:hint="eastAsia" w:ascii="宋体" w:hAnsi="宋体" w:eastAsia="宋体" w:cs="宋体"/>
                <w:bCs/>
                <w:color w:val="auto"/>
                <w:kern w:val="2"/>
                <w:sz w:val="21"/>
                <w:highlight w:val="none"/>
                <w:lang w:eastAsia="zh-CN"/>
              </w:rPr>
              <w:t>供应商</w:t>
            </w:r>
            <w:r>
              <w:rPr>
                <w:rFonts w:hint="eastAsia" w:ascii="宋体" w:hAnsi="宋体" w:eastAsia="宋体" w:cs="宋体"/>
                <w:bCs/>
                <w:color w:val="auto"/>
                <w:kern w:val="2"/>
                <w:sz w:val="21"/>
                <w:highlight w:val="none"/>
              </w:rPr>
              <w:t>的报价分=（评标基准价／某有效</w:t>
            </w:r>
            <w:r>
              <w:rPr>
                <w:rFonts w:hint="eastAsia" w:ascii="宋体" w:hAnsi="宋体" w:eastAsia="宋体" w:cs="宋体"/>
                <w:bCs/>
                <w:color w:val="auto"/>
                <w:kern w:val="2"/>
                <w:sz w:val="21"/>
                <w:highlight w:val="none"/>
                <w:lang w:eastAsia="zh-CN"/>
              </w:rPr>
              <w:t>供应商最后报价</w:t>
            </w:r>
            <w:r>
              <w:rPr>
                <w:rFonts w:hint="eastAsia" w:ascii="宋体" w:hAnsi="宋体" w:eastAsia="宋体" w:cs="宋体"/>
                <w:bCs/>
                <w:color w:val="auto"/>
                <w:kern w:val="2"/>
                <w:sz w:val="21"/>
                <w:highlight w:val="none"/>
              </w:rPr>
              <w:t>）×</w:t>
            </w:r>
            <w:r>
              <w:rPr>
                <w:rFonts w:hint="eastAsia" w:hAnsi="宋体" w:eastAsia="宋体" w:cs="宋体"/>
                <w:bCs/>
                <w:color w:val="auto"/>
                <w:kern w:val="2"/>
                <w:sz w:val="21"/>
                <w:highlight w:val="none"/>
                <w:lang w:val="en-US" w:eastAsia="zh-CN"/>
              </w:rPr>
              <w:t>3</w:t>
            </w:r>
            <w:r>
              <w:rPr>
                <w:rFonts w:hint="eastAsia" w:ascii="宋体" w:hAnsi="宋体" w:eastAsia="宋体" w:cs="宋体"/>
                <w:bCs/>
                <w:color w:val="auto"/>
                <w:kern w:val="2"/>
                <w:sz w:val="21"/>
                <w:highlight w:val="none"/>
              </w:rPr>
              <w:t>0分</w:t>
            </w:r>
          </w:p>
        </w:tc>
      </w:tr>
      <w:tr w14:paraId="3E34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062E5CB5">
            <w:pPr>
              <w:pStyle w:val="14"/>
              <w:spacing w:after="120" w:line="40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2</w:t>
            </w:r>
          </w:p>
        </w:tc>
        <w:tc>
          <w:tcPr>
            <w:tcW w:w="628" w:type="pct"/>
            <w:noWrap w:val="0"/>
            <w:vAlign w:val="top"/>
          </w:tcPr>
          <w:p w14:paraId="7FE2B609">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w:t>
            </w:r>
          </w:p>
        </w:tc>
        <w:tc>
          <w:tcPr>
            <w:tcW w:w="3937" w:type="pct"/>
            <w:noWrap w:val="0"/>
            <w:vAlign w:val="top"/>
          </w:tcPr>
          <w:p w14:paraId="07D8FE84">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技术分</w:t>
            </w:r>
            <w:r>
              <w:rPr>
                <w:rFonts w:hint="eastAsia" w:ascii="宋体" w:hAnsi="宋体" w:eastAsia="宋体" w:cs="宋体"/>
                <w:b/>
                <w:color w:val="auto"/>
                <w:szCs w:val="21"/>
                <w:highlight w:val="none"/>
                <w:lang w:val="en-US" w:eastAsia="zh-CN"/>
              </w:rPr>
              <w:t>65</w:t>
            </w:r>
            <w:r>
              <w:rPr>
                <w:rFonts w:hint="eastAsia" w:ascii="宋体" w:hAnsi="宋体" w:eastAsia="宋体" w:cs="宋体"/>
                <w:b/>
                <w:color w:val="auto"/>
                <w:szCs w:val="21"/>
                <w:highlight w:val="none"/>
              </w:rPr>
              <w:t>分</w:t>
            </w:r>
          </w:p>
        </w:tc>
      </w:tr>
      <w:tr w14:paraId="3FEB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45DE050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628" w:type="pct"/>
            <w:shd w:val="clear" w:color="auto" w:fill="auto"/>
            <w:noWrap w:val="0"/>
            <w:vAlign w:val="center"/>
          </w:tcPr>
          <w:p w14:paraId="1390188C">
            <w:pPr>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主要施工方法（</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分）</w:t>
            </w:r>
          </w:p>
        </w:tc>
        <w:tc>
          <w:tcPr>
            <w:tcW w:w="3937" w:type="pct"/>
            <w:shd w:val="clear" w:color="auto" w:fill="auto"/>
            <w:noWrap w:val="0"/>
            <w:vAlign w:val="center"/>
          </w:tcPr>
          <w:p w14:paraId="0680959F">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对主要施工方法、技术实施方案、施工工艺是否有针对性、齐全、合理进行独立打分，达不到一档要求或不提供的不得分。</w:t>
            </w:r>
          </w:p>
          <w:p w14:paraId="474CA8AF">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分）：拟对施工现场进行踏勘，能有效掌握地形地理因素，对各主要分部施工方法针对性强，施工技术方案详尽周密，工艺先进、方法科学、可行，能很好的指导具体施工合确保安全。</w:t>
            </w:r>
          </w:p>
          <w:p w14:paraId="5A662A0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分）：拟对施工现场进行踏勘，能了解实施地点的基本情况，各主要分部施工方法符合项目实际，施工技术方案齐全，工艺成熟、方法合理、可行，能指导具体施工并确保安全。</w:t>
            </w:r>
          </w:p>
          <w:p w14:paraId="5679AA17">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（4分）：拟对施工现场进行踏勘，能掌握实施地点的基本情况，各主要分部施工方法基本符合项目实际，施工技术方案基本齐全，方法基本合理、基本可行，基本能指导具体施 工并确保安全。 </w:t>
            </w:r>
          </w:p>
          <w:p w14:paraId="40D67B4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分）：拟对施工现场进行踏勘，能简单了解实施地点的基本情况，各主要分部施工方法针对性差，施工技术方案差， 工艺落后、方法不合理， 不能指导具体施工和确保安全。</w:t>
            </w:r>
          </w:p>
        </w:tc>
      </w:tr>
      <w:tr w14:paraId="11AE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5C398682">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w:t>
            </w:r>
          </w:p>
        </w:tc>
        <w:tc>
          <w:tcPr>
            <w:tcW w:w="628" w:type="pct"/>
            <w:shd w:val="clear" w:color="auto" w:fill="auto"/>
            <w:noWrap w:val="0"/>
            <w:vAlign w:val="center"/>
          </w:tcPr>
          <w:p w14:paraId="7DAE017D">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拟投入的主要物资计划（</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分）</w:t>
            </w:r>
          </w:p>
        </w:tc>
        <w:tc>
          <w:tcPr>
            <w:tcW w:w="3937" w:type="pct"/>
            <w:shd w:val="clear" w:color="auto" w:fill="auto"/>
            <w:noWrap w:val="0"/>
            <w:vAlign w:val="center"/>
          </w:tcPr>
          <w:p w14:paraId="065AB3B7">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对物资投入计划是否周密、准确、完整性等各方面进行独立打分，达不到一档要求或不提供的不得分。</w:t>
            </w:r>
          </w:p>
          <w:p w14:paraId="137011A9">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（8分）：投入的施工材料有详细的组织计划且计划周密，投入计划与进度计划完全呼应，完全满足施工需要，调配投入计划合理、准确、完整。</w:t>
            </w:r>
          </w:p>
          <w:p w14:paraId="3CF9C5A8">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 xml:space="preserve">分）：投入的施工材料有详细的组织计划，投入计划与进度计划同步，可以满足施工需要，调配投入计划基本合理、准确。 </w:t>
            </w:r>
          </w:p>
          <w:p w14:paraId="690AF072">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（4分）：投入的施工材料有完整的组织计划，投入计划与进度计划基本同步，基本满足施工需要，调配投入计划基本合理。 </w:t>
            </w:r>
          </w:p>
          <w:p w14:paraId="16BD32D7">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分）：投入的施工材料的组织计划差，投入计划与进度计划不呼应，勉强满足施工需要。</w:t>
            </w:r>
          </w:p>
        </w:tc>
      </w:tr>
      <w:tr w14:paraId="164C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433E0081">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w:t>
            </w:r>
          </w:p>
        </w:tc>
        <w:tc>
          <w:tcPr>
            <w:tcW w:w="628" w:type="pct"/>
            <w:shd w:val="clear" w:color="auto" w:fill="auto"/>
            <w:noWrap w:val="0"/>
            <w:vAlign w:val="center"/>
          </w:tcPr>
          <w:p w14:paraId="5E2F80B3">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拟投入的主要施工机械、设备计划（</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分）</w:t>
            </w:r>
          </w:p>
        </w:tc>
        <w:tc>
          <w:tcPr>
            <w:tcW w:w="3937" w:type="pct"/>
            <w:shd w:val="clear" w:color="auto" w:fill="auto"/>
            <w:noWrap w:val="0"/>
            <w:vAlign w:val="center"/>
          </w:tcPr>
          <w:p w14:paraId="2AE41F88">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对主要施工机械、设备计划、设备数量，型号配置等是否完整、齐全，满足施工进度需要等各方面进行独立打分，达不到一档要求或不提供的不得分。</w:t>
            </w:r>
          </w:p>
          <w:p w14:paraId="71014F0B">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 xml:space="preserve">分）：对本项目的建设进行详细分析，对拟投入的施工机械、设备、机具有详细的组织计划且计划周密，设备数量、选型配置、进场退场时间安排合理，完全满足施工需要。 </w:t>
            </w:r>
          </w:p>
          <w:p w14:paraId="7CA56A92">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 xml:space="preserve">分）：对本项目的建设进行合理分析，对拟投入的施工机械、设备、 机具有详细的组织计划，设备数量、选型配置、进场投入计划与进度计划呼应，满足施工需要。 </w:t>
            </w:r>
          </w:p>
          <w:p w14:paraId="71ACE612">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（4分）：对本项目的建设分析到位，对拟投入的施工机械、设备、机具有组织计划，设备数量、选型配置、进场投入计划与进度计划基本呼应，能满足施工需要。 </w:t>
            </w:r>
          </w:p>
          <w:p w14:paraId="0DAF8CAD">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分）：对本项目的建设进行简单分析，对拟投入的施工机械、设备、机具组织计划差，投入计划与进度计划难以呼应，勉强满足施工需要。</w:t>
            </w:r>
          </w:p>
        </w:tc>
      </w:tr>
      <w:tr w14:paraId="5D57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42BED094">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w:t>
            </w:r>
          </w:p>
        </w:tc>
        <w:tc>
          <w:tcPr>
            <w:tcW w:w="628" w:type="pct"/>
            <w:shd w:val="clear" w:color="auto" w:fill="auto"/>
            <w:noWrap w:val="0"/>
            <w:vAlign w:val="center"/>
          </w:tcPr>
          <w:p w14:paraId="54398953">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确保工程质量的技术组织措施（</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分）</w:t>
            </w:r>
          </w:p>
        </w:tc>
        <w:tc>
          <w:tcPr>
            <w:tcW w:w="3937" w:type="pct"/>
            <w:shd w:val="clear" w:color="auto" w:fill="auto"/>
            <w:noWrap w:val="0"/>
            <w:vAlign w:val="center"/>
          </w:tcPr>
          <w:p w14:paraId="1BA9B17C">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对质量技术管理班子和制度是否完整、齐全，满足施工进度需要等各方面进行独立打分，达不到一档要求或不提供的不得分。</w:t>
            </w:r>
          </w:p>
          <w:p w14:paraId="332E03A8">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分）：有健全有效的质量技术管理班子和制度且各质量管理人员配备合理。主要工序有先进、可行、具体的质量技术保证措施和手段，自控体系完善，能完全达到采购文件的质量要求及国家的施工验收规范要求。</w:t>
            </w:r>
          </w:p>
          <w:p w14:paraId="221AB9E4">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分）：有完善的质量技术管理班子和制度，且质量管理人员配备合理。主要工序有质量技术保证措施和手段，自控体系完整，能有效保证技术质量。</w:t>
            </w:r>
          </w:p>
          <w:p w14:paraId="557C960A">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 xml:space="preserve"> </w:t>
            </w: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（4分）：质量技术管理班子人员配备基本合理，制度基本健全。主要工序有质量技术保证措施和手段，能有效保证技术质量，满足招标文件的质量要求。 </w:t>
            </w:r>
          </w:p>
          <w:p w14:paraId="36F2FC68">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分）：质量技术管理班子人员配备不合理，制度不健全。质量技术保证措施和手段不可行，没有质量违约责任诺。</w:t>
            </w:r>
          </w:p>
        </w:tc>
      </w:tr>
      <w:tr w14:paraId="73B2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415E6541">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628" w:type="pct"/>
            <w:shd w:val="clear" w:color="auto" w:fill="auto"/>
            <w:noWrap w:val="0"/>
            <w:vAlign w:val="center"/>
          </w:tcPr>
          <w:p w14:paraId="24796C64">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确保安全生产的技术组织措施（</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分）</w:t>
            </w:r>
          </w:p>
        </w:tc>
        <w:tc>
          <w:tcPr>
            <w:tcW w:w="3937" w:type="pct"/>
            <w:shd w:val="clear" w:color="auto" w:fill="auto"/>
            <w:noWrap w:val="0"/>
            <w:vAlign w:val="center"/>
          </w:tcPr>
          <w:p w14:paraId="4BA36864">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 xml:space="preserve">对安全生产的技术组织措施、安全人员投入、安全制度管理、安全技术标准要求、现场安全防护是否合理、健全、可行性等各方面进行独立打分，达不到一档要求或不提供的不得分。 </w:t>
            </w:r>
          </w:p>
          <w:p w14:paraId="7AAE157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分）：有配备经验丰富的专职安全员，各管理人员配备完善合理。有健全的安全管理制度，各道工序安全技术措施针对性强，符合实际且高于国家有关安全技术标准要求。现场防火、应急救援、社会治安安全措施得力，能全面保障施工期内安全生产。</w:t>
            </w:r>
          </w:p>
          <w:p w14:paraId="4BFA722C">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分）：有配备满足项目要求的专职安全员，各管理人员配备合理，有完整的安全管理制度，各道工序安全技术措施符合实际有关安全技术标准要求。现场防火、应急救援、社会治安安全措施合理，在施工期内进行安全生产工作。</w:t>
            </w:r>
          </w:p>
          <w:p w14:paraId="7A6E518C">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 xml:space="preserve"> </w:t>
            </w: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4分）：有配备满足项目要求的专职安全员，各管理人员配备基本合理，安全管理制度基本健全，各道工序安全技术措施基本符合实际，基本满足有关安全技术标准要求。现场防火、应急救援、社会治安安全措施基本合理。</w:t>
            </w:r>
          </w:p>
          <w:p w14:paraId="68E0264C">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分）：有配备满足项目要求的专职安全员，各管理人员配备基本合理，安全管理制度不完整，各道工序安全技术措施基本符合实际，不能满足有关安全技术标准要求。现场防火、应急 救援、社会治安安全措施不合理。</w:t>
            </w:r>
          </w:p>
        </w:tc>
      </w:tr>
      <w:tr w14:paraId="6362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3C19BDC5">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w:t>
            </w:r>
          </w:p>
        </w:tc>
        <w:tc>
          <w:tcPr>
            <w:tcW w:w="628" w:type="pct"/>
            <w:shd w:val="clear" w:color="auto" w:fill="auto"/>
            <w:noWrap w:val="0"/>
            <w:vAlign w:val="center"/>
          </w:tcPr>
          <w:p w14:paraId="284E537A">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劳动力安排计划（</w:t>
            </w:r>
            <w:r>
              <w:rPr>
                <w:rFonts w:hint="eastAsia" w:ascii="宋体" w:hAnsi="宋体" w:eastAsia="宋体" w:cs="宋体"/>
                <w:b/>
                <w:bCs/>
                <w:color w:val="auto"/>
                <w:kern w:val="0"/>
                <w:sz w:val="21"/>
                <w:szCs w:val="21"/>
                <w:highlight w:val="none"/>
                <w:lang w:eastAsia="zh-CN"/>
              </w:rPr>
              <w:t>满分5分</w:t>
            </w:r>
            <w:r>
              <w:rPr>
                <w:rFonts w:hint="eastAsia" w:ascii="宋体" w:hAnsi="宋体" w:eastAsia="宋体" w:cs="宋体"/>
                <w:b/>
                <w:bCs/>
                <w:color w:val="auto"/>
                <w:kern w:val="0"/>
                <w:sz w:val="21"/>
                <w:szCs w:val="21"/>
                <w:highlight w:val="none"/>
              </w:rPr>
              <w:t>）</w:t>
            </w:r>
          </w:p>
        </w:tc>
        <w:tc>
          <w:tcPr>
            <w:tcW w:w="3937" w:type="pct"/>
            <w:shd w:val="clear" w:color="auto" w:fill="auto"/>
            <w:noWrap w:val="0"/>
            <w:vAlign w:val="center"/>
          </w:tcPr>
          <w:p w14:paraId="721C549E">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对工种劳动力安排计划、劳动力投入与进度计划是否合理、健全、可行性等各方面进行独立打分，达不到一档要求或不提供的不得分。</w:t>
            </w:r>
          </w:p>
          <w:p w14:paraId="3EC11F6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 xml:space="preserve">（5分）：各主要施工工序有详细周密的劳动力安排计划，各工种劳动力安排计划齐全，拟投入的劳动力与进度计划呼应合理且丰富，能完全满足施工需要，能有效保证施工计划顺利运行。 </w:t>
            </w:r>
          </w:p>
          <w:p w14:paraId="17D1DD15">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 xml:space="preserve">分）：各主要施工工序有完整的劳动力安排计划，各工种劳动力安排计划投入合理，能满足施工内容的要求，保证施工计划正常运行。 </w:t>
            </w:r>
          </w:p>
          <w:p w14:paraId="720097B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（2分）： 各主要施工工序应有劳动力安排计划，有各工种劳动力安排计划，劳动力投入基本合理，基本满足施工需要。</w:t>
            </w:r>
          </w:p>
          <w:p w14:paraId="2C94EF0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（1分）：各主要施工工序劳动力安排计划不全，无各工种劳动力安排计划或计划不全，劳动力投入不合理，不能满足施工需求。</w:t>
            </w:r>
          </w:p>
        </w:tc>
      </w:tr>
      <w:tr w14:paraId="46FE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5504E653">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w:t>
            </w:r>
          </w:p>
        </w:tc>
        <w:tc>
          <w:tcPr>
            <w:tcW w:w="628" w:type="pct"/>
            <w:shd w:val="clear" w:color="auto" w:fill="auto"/>
            <w:noWrap w:val="0"/>
            <w:vAlign w:val="center"/>
          </w:tcPr>
          <w:p w14:paraId="1719342D">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确保工期的技术组织措施（</w:t>
            </w:r>
            <w:r>
              <w:rPr>
                <w:rFonts w:hint="eastAsia" w:ascii="宋体" w:hAnsi="宋体" w:eastAsia="宋体" w:cs="宋体"/>
                <w:b/>
                <w:bCs/>
                <w:color w:val="auto"/>
                <w:kern w:val="0"/>
                <w:sz w:val="21"/>
                <w:szCs w:val="21"/>
                <w:highlight w:val="none"/>
                <w:lang w:eastAsia="zh-CN"/>
              </w:rPr>
              <w:t>满分5分</w:t>
            </w:r>
            <w:r>
              <w:rPr>
                <w:rFonts w:hint="eastAsia" w:ascii="宋体" w:hAnsi="宋体" w:eastAsia="宋体" w:cs="宋体"/>
                <w:b/>
                <w:bCs/>
                <w:color w:val="auto"/>
                <w:kern w:val="0"/>
                <w:sz w:val="21"/>
                <w:szCs w:val="21"/>
                <w:highlight w:val="none"/>
              </w:rPr>
              <w:t>）</w:t>
            </w:r>
          </w:p>
        </w:tc>
        <w:tc>
          <w:tcPr>
            <w:tcW w:w="3937" w:type="pct"/>
            <w:shd w:val="clear" w:color="auto" w:fill="auto"/>
            <w:noWrap w:val="0"/>
            <w:vAlign w:val="center"/>
          </w:tcPr>
          <w:p w14:paraId="4EC53DEB">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对工期的技术组织措施、工期计划图表是否严谨、合理、可行性等各方面进行独立打分，达不到一档要求或不提供的不得分。</w:t>
            </w:r>
          </w:p>
          <w:p w14:paraId="04E3DA9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 xml:space="preserve">（5分）：有保证工期的具体措施且措施得力。各项计划图表编制详尽周密，安排科学合理，能完全符合本项目施工实际要求，对项目施工进度有良好的推动作用。 </w:t>
            </w:r>
          </w:p>
          <w:p w14:paraId="33A03BA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分）：有保证工期的具体措施且措施得当。各项计划图表编制完善，安排合理，能符合本项目施工实际要求，能保证施工工期顺利进行。</w:t>
            </w:r>
          </w:p>
          <w:p w14:paraId="60C6E68B">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 xml:space="preserve"> </w:t>
            </w: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（2分）：保证工期措施基本得当。各项计划图表编制基本齐全，安排基本合理，能在保证要求的工期内符合施工要求。 </w:t>
            </w:r>
          </w:p>
          <w:p w14:paraId="22B44B78">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（1分）：有简单的保证工期措施。各项计划图表编制简单，安排不合理，勉强能满足本项目施工基本要求。</w:t>
            </w:r>
          </w:p>
        </w:tc>
      </w:tr>
      <w:tr w14:paraId="6ACF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6D0B8D77">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w:t>
            </w:r>
          </w:p>
        </w:tc>
        <w:tc>
          <w:tcPr>
            <w:tcW w:w="628" w:type="pct"/>
            <w:shd w:val="clear" w:color="auto" w:fill="auto"/>
            <w:noWrap w:val="0"/>
            <w:vAlign w:val="center"/>
          </w:tcPr>
          <w:p w14:paraId="2EC94E64">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确保文明施工的技术组织措施（</w:t>
            </w:r>
            <w:r>
              <w:rPr>
                <w:rFonts w:hint="eastAsia" w:ascii="宋体" w:hAnsi="宋体" w:eastAsia="宋体" w:cs="宋体"/>
                <w:b/>
                <w:bCs/>
                <w:color w:val="auto"/>
                <w:kern w:val="0"/>
                <w:sz w:val="21"/>
                <w:szCs w:val="21"/>
                <w:highlight w:val="none"/>
                <w:lang w:eastAsia="zh-CN"/>
              </w:rPr>
              <w:t>满分5分</w:t>
            </w:r>
            <w:r>
              <w:rPr>
                <w:rFonts w:hint="eastAsia" w:ascii="宋体" w:hAnsi="宋体" w:eastAsia="宋体" w:cs="宋体"/>
                <w:b/>
                <w:bCs/>
                <w:color w:val="auto"/>
                <w:kern w:val="0"/>
                <w:sz w:val="21"/>
                <w:szCs w:val="21"/>
                <w:highlight w:val="none"/>
              </w:rPr>
              <w:t>）</w:t>
            </w:r>
          </w:p>
        </w:tc>
        <w:tc>
          <w:tcPr>
            <w:tcW w:w="3937" w:type="pct"/>
            <w:shd w:val="clear" w:color="auto" w:fill="auto"/>
            <w:noWrap w:val="0"/>
            <w:vAlign w:val="center"/>
          </w:tcPr>
          <w:p w14:paraId="2A2F98DF">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 xml:space="preserve">对文明施工的技术组织措施、现场施工文明管理是否符合要求、健全、合理有效等各方面进行独立打分，达不到一档要求或不提供的不得分。 </w:t>
            </w:r>
          </w:p>
          <w:p w14:paraId="5FA499B9">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 xml:space="preserve">（5分）：现场文明施工、环境保护措施和内容周全、具体、有效的，能全面达到相关施工安全生产标准或文明施工等要求。 </w:t>
            </w:r>
          </w:p>
          <w:p w14:paraId="272AAA9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 xml:space="preserve">分）：现场文明施工、环境保护措施和内容具体，可以达到相关施工安全生产标准或文明施工要求的。 </w:t>
            </w:r>
          </w:p>
          <w:p w14:paraId="7222CF8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（2分）：现场文明施工、环境保护措施和内容基本达到相关施工安全生产标准或文明施工要求的；有具体实现现场文明施工目标的承诺。</w:t>
            </w:r>
          </w:p>
          <w:p w14:paraId="26D90D50">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（1分） ：现场文明施工、环境保护措施和内容与相关施工安全生产标准或文明施工要求的的要求偏差大，有监督的现场文明施工目标的承诺。</w:t>
            </w:r>
          </w:p>
        </w:tc>
      </w:tr>
      <w:tr w14:paraId="03EF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427DA424">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w:t>
            </w:r>
          </w:p>
        </w:tc>
        <w:tc>
          <w:tcPr>
            <w:tcW w:w="628" w:type="pct"/>
            <w:shd w:val="clear" w:color="auto" w:fill="auto"/>
            <w:noWrap w:val="0"/>
            <w:vAlign w:val="center"/>
          </w:tcPr>
          <w:p w14:paraId="269D2910">
            <w:pPr>
              <w:widowControl/>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工程施工的重点和难点及保证措施（</w:t>
            </w:r>
            <w:r>
              <w:rPr>
                <w:rFonts w:hint="eastAsia" w:ascii="宋体" w:hAnsi="宋体" w:eastAsia="宋体" w:cs="宋体"/>
                <w:b/>
                <w:bCs/>
                <w:color w:val="auto"/>
                <w:kern w:val="0"/>
                <w:sz w:val="21"/>
                <w:szCs w:val="21"/>
                <w:highlight w:val="none"/>
                <w:lang w:eastAsia="zh-CN"/>
              </w:rPr>
              <w:t>满分5分</w:t>
            </w:r>
            <w:r>
              <w:rPr>
                <w:rFonts w:hint="eastAsia" w:ascii="宋体" w:hAnsi="宋体" w:eastAsia="宋体" w:cs="宋体"/>
                <w:b/>
                <w:bCs/>
                <w:color w:val="auto"/>
                <w:kern w:val="0"/>
                <w:sz w:val="21"/>
                <w:szCs w:val="21"/>
                <w:highlight w:val="none"/>
              </w:rPr>
              <w:t>）</w:t>
            </w:r>
          </w:p>
        </w:tc>
        <w:tc>
          <w:tcPr>
            <w:tcW w:w="3937" w:type="pct"/>
            <w:shd w:val="clear" w:color="auto" w:fill="auto"/>
            <w:noWrap w:val="0"/>
            <w:vAlign w:val="center"/>
          </w:tcPr>
          <w:p w14:paraId="35B6D7A1">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 xml:space="preserve">对重点和难点、现场保证措施、施工衔接是否分析到位、合理有效等各方面进行独立打分，达不到一档要求或不提供的不得分。 </w:t>
            </w:r>
          </w:p>
          <w:p w14:paraId="081F7FC6">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 xml:space="preserve">（5分）：针对该项目的难点、重点进行深入详细分析，提出有效合理的措施，对重点考虑各部分施工如何相互交叉和衔接，以保证施工质量效果和设计效果的完美统一。 </w:t>
            </w:r>
          </w:p>
          <w:p w14:paraId="5F69F655">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分）：针对该项目的难点、重点分析到位，提出合理的措施，未重点考虑各部分施工如何相互交叉和衔接，施工质量效果基本达到设计效果。</w:t>
            </w:r>
          </w:p>
          <w:p w14:paraId="7C601D6C">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 xml:space="preserve">（2分）：针对该项目的难点、重点分析不具体，各部分施工如何相互交叉和衔接不合理， 施工质量效果和设计效果有较大差距。 </w:t>
            </w:r>
          </w:p>
          <w:p w14:paraId="1E507A62">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（1分）：未针对该项目的难点、重点进行分析，未考虑各部分施工如何相互交叉和衔接，施工质量效果和设计效果的无法统一。</w:t>
            </w:r>
          </w:p>
        </w:tc>
      </w:tr>
      <w:tr w14:paraId="7EAE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2EC53336">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2.10</w:t>
            </w:r>
          </w:p>
        </w:tc>
        <w:tc>
          <w:tcPr>
            <w:tcW w:w="628" w:type="pct"/>
            <w:shd w:val="clear" w:color="auto" w:fill="auto"/>
            <w:noWrap w:val="0"/>
            <w:vAlign w:val="center"/>
          </w:tcPr>
          <w:p w14:paraId="4C4A609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rPr>
              <w:t>施工总平面布置图（</w:t>
            </w:r>
            <w:r>
              <w:rPr>
                <w:rFonts w:hint="eastAsia" w:ascii="宋体" w:hAnsi="宋体" w:eastAsia="宋体" w:cs="宋体"/>
                <w:b/>
                <w:bCs/>
                <w:color w:val="auto"/>
                <w:kern w:val="0"/>
                <w:sz w:val="21"/>
                <w:szCs w:val="21"/>
                <w:highlight w:val="none"/>
                <w:lang w:eastAsia="zh-CN"/>
              </w:rPr>
              <w:t>满分5分</w:t>
            </w:r>
            <w:r>
              <w:rPr>
                <w:rFonts w:hint="eastAsia" w:ascii="宋体" w:hAnsi="宋体" w:eastAsia="宋体" w:cs="宋体"/>
                <w:b/>
                <w:bCs/>
                <w:color w:val="auto"/>
                <w:kern w:val="0"/>
                <w:sz w:val="21"/>
                <w:szCs w:val="21"/>
                <w:highlight w:val="none"/>
              </w:rPr>
              <w:t>）</w:t>
            </w:r>
          </w:p>
        </w:tc>
        <w:tc>
          <w:tcPr>
            <w:tcW w:w="3937" w:type="pct"/>
            <w:shd w:val="clear" w:color="auto" w:fill="auto"/>
            <w:noWrap w:val="0"/>
            <w:vAlign w:val="center"/>
          </w:tcPr>
          <w:p w14:paraId="6498A976">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由磋商小组成员自行</w:t>
            </w:r>
            <w:r>
              <w:rPr>
                <w:rFonts w:hint="eastAsia" w:ascii="宋体" w:hAnsi="宋体" w:eastAsia="宋体" w:cs="宋体"/>
                <w:bCs/>
                <w:color w:val="auto"/>
                <w:sz w:val="21"/>
                <w:szCs w:val="21"/>
                <w:highlight w:val="none"/>
                <w:lang w:eastAsia="zh-CN"/>
              </w:rPr>
              <w:t xml:space="preserve">对施工总平面图是否有针对性、满足施工要求、完整合理性等各方面进行独立打分，达不到一档要求或不提供的不得分。 </w:t>
            </w:r>
          </w:p>
          <w:p w14:paraId="79EEA50B">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四档</w:t>
            </w:r>
            <w:r>
              <w:rPr>
                <w:rFonts w:hint="eastAsia" w:ascii="宋体" w:hAnsi="宋体" w:eastAsia="宋体" w:cs="宋体"/>
                <w:bCs/>
                <w:color w:val="auto"/>
                <w:sz w:val="21"/>
                <w:szCs w:val="21"/>
                <w:highlight w:val="none"/>
                <w:lang w:eastAsia="zh-CN"/>
              </w:rPr>
              <w:t xml:space="preserve">（5分）：施工总平面图总体布置有针对性，对施工期内工作、休息、生活、仓储、检测等各区域进行科学、合理分配，完全有效能进行安全施工，文明生产等要求。 </w:t>
            </w:r>
          </w:p>
          <w:p w14:paraId="6F18143D">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三档</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分）：施工总平面图总体布置完整，能满足施工需要， 对施工期内工作、休息、生活、仓储、检测等各区域合理分配，可以符合安全、文明生产要求。</w:t>
            </w:r>
          </w:p>
          <w:p w14:paraId="226ABA0E">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二档</w:t>
            </w:r>
            <w:r>
              <w:rPr>
                <w:rFonts w:hint="eastAsia" w:ascii="宋体" w:hAnsi="宋体" w:eastAsia="宋体" w:cs="宋体"/>
                <w:bCs/>
                <w:color w:val="auto"/>
                <w:sz w:val="21"/>
                <w:szCs w:val="21"/>
                <w:highlight w:val="none"/>
                <w:lang w:eastAsia="zh-CN"/>
              </w:rPr>
              <w:t>（2分）：总体布置基本合理，对施工期内工作、休息、生活、仓储、检测等各区域进行分配基本合理，基本满足施工需要。</w:t>
            </w:r>
          </w:p>
          <w:p w14:paraId="786A95D4">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档</w:t>
            </w:r>
            <w:r>
              <w:rPr>
                <w:rFonts w:hint="eastAsia" w:ascii="宋体" w:hAnsi="宋体" w:eastAsia="宋体" w:cs="宋体"/>
                <w:bCs/>
                <w:color w:val="auto"/>
                <w:sz w:val="21"/>
                <w:szCs w:val="21"/>
                <w:highlight w:val="none"/>
                <w:lang w:eastAsia="zh-CN"/>
              </w:rPr>
              <w:t>（1分）：总体布置不合理，不符合安全、文明生产要求。</w:t>
            </w:r>
          </w:p>
        </w:tc>
      </w:tr>
      <w:tr w14:paraId="3EB6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6DB11524">
            <w:pPr>
              <w:pStyle w:val="14"/>
              <w:spacing w:after="120" w:line="40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3</w:t>
            </w:r>
          </w:p>
        </w:tc>
        <w:tc>
          <w:tcPr>
            <w:tcW w:w="628" w:type="pct"/>
            <w:noWrap w:val="0"/>
            <w:vAlign w:val="top"/>
          </w:tcPr>
          <w:p w14:paraId="45CCD90F">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业绩</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满分5</w:t>
            </w:r>
            <w:r>
              <w:rPr>
                <w:rFonts w:hint="eastAsia" w:ascii="宋体" w:hAnsi="宋体" w:eastAsia="宋体" w:cs="宋体"/>
                <w:b/>
                <w:color w:val="auto"/>
                <w:szCs w:val="21"/>
                <w:highlight w:val="none"/>
              </w:rPr>
              <w:t>分）</w:t>
            </w:r>
          </w:p>
        </w:tc>
        <w:tc>
          <w:tcPr>
            <w:tcW w:w="3937" w:type="pct"/>
            <w:noWrap w:val="0"/>
            <w:vAlign w:val="center"/>
          </w:tcPr>
          <w:p w14:paraId="7EA0E3FD">
            <w:pPr>
              <w:keepNext w:val="0"/>
              <w:keepLines w:val="0"/>
              <w:pageBreakBefore w:val="0"/>
              <w:kinsoku/>
              <w:wordWrap/>
              <w:overflowPunct/>
              <w:topLinePunct w:val="0"/>
              <w:autoSpaceDE/>
              <w:autoSpaceDN/>
              <w:bidi w:val="0"/>
              <w:adjustRightInd/>
              <w:snapToGrid w:val="0"/>
              <w:spacing w:line="360" w:lineRule="exact"/>
              <w:ind w:firstLine="363" w:firstLineChars="173"/>
              <w:textAlignment w:val="auto"/>
              <w:rPr>
                <w:rFonts w:hint="eastAsia" w:ascii="宋体" w:hAnsi="宋体" w:eastAsia="宋体" w:cs="宋体"/>
                <w:b/>
                <w:color w:val="auto"/>
                <w:szCs w:val="21"/>
                <w:highlight w:val="none"/>
              </w:rPr>
            </w:pPr>
            <w:r>
              <w:rPr>
                <w:rFonts w:hint="eastAsia" w:ascii="宋体" w:hAnsi="宋体" w:eastAsia="宋体" w:cs="宋体"/>
                <w:bCs/>
                <w:color w:val="auto"/>
                <w:sz w:val="21"/>
                <w:szCs w:val="21"/>
                <w:highlight w:val="none"/>
                <w:lang w:val="en-US" w:eastAsia="zh-CN"/>
              </w:rPr>
              <w:t>供应商自2022年以来承接过类似项目的，每个业绩得1分，满分5分。（必须提供有效中标通知书或施工合同复印件，否则不予计分）</w:t>
            </w:r>
          </w:p>
        </w:tc>
      </w:tr>
      <w:tr w14:paraId="1A71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center"/>
          </w:tcPr>
          <w:p w14:paraId="219E3E39">
            <w:pPr>
              <w:keepNext w:val="0"/>
              <w:keepLines w:val="0"/>
              <w:pageBreakBefore w:val="0"/>
              <w:kinsoku/>
              <w:wordWrap/>
              <w:overflowPunct/>
              <w:topLinePunct w:val="0"/>
              <w:autoSpaceDE/>
              <w:autoSpaceDN/>
              <w:bidi w:val="0"/>
              <w:adjustRightInd/>
              <w:snapToGrid w:val="0"/>
              <w:spacing w:line="360" w:lineRule="exact"/>
              <w:ind w:firstLine="365" w:firstLineChars="173"/>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color w:val="auto"/>
                <w:szCs w:val="21"/>
                <w:highlight w:val="none"/>
                <w:lang w:bidi="ar"/>
              </w:rPr>
              <w:t>总得分＝1＋2</w:t>
            </w:r>
            <w:r>
              <w:rPr>
                <w:rFonts w:hint="eastAsia" w:ascii="宋体" w:hAnsi="宋体" w:eastAsia="宋体" w:cs="宋体"/>
                <w:b/>
                <w:color w:val="auto"/>
                <w:szCs w:val="21"/>
                <w:highlight w:val="none"/>
                <w:lang w:val="en-US" w:eastAsia="zh-CN" w:bidi="ar"/>
              </w:rPr>
              <w:t>+3</w:t>
            </w:r>
          </w:p>
        </w:tc>
      </w:tr>
    </w:tbl>
    <w:p w14:paraId="731D52B1">
      <w:pPr>
        <w:pStyle w:val="25"/>
        <w:rPr>
          <w:rFonts w:hint="eastAsia" w:ascii="宋体" w:hAnsi="宋体" w:eastAsia="宋体" w:cs="宋体"/>
          <w:color w:val="auto"/>
          <w:highlight w:val="none"/>
        </w:rPr>
      </w:pPr>
    </w:p>
    <w:p w14:paraId="6DBBF0FD">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br w:type="page"/>
      </w:r>
    </w:p>
    <w:p w14:paraId="79149516">
      <w:pPr>
        <w:numPr>
          <w:ilvl w:val="0"/>
          <w:numId w:val="0"/>
        </w:numPr>
        <w:spacing w:line="360" w:lineRule="auto"/>
        <w:ind w:left="-73" w:leftChars="0" w:firstLine="482" w:firstLineChars="0"/>
        <w:rPr>
          <w:rFonts w:hint="eastAsia" w:ascii="宋体" w:hAnsi="宋体" w:eastAsia="宋体" w:cs="宋体"/>
          <w:b/>
          <w:bCs/>
          <w:color w:val="auto"/>
          <w:sz w:val="24"/>
          <w:highlight w:val="none"/>
          <w:lang w:eastAsia="zh-CN"/>
        </w:rPr>
      </w:pP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sz w:val="24"/>
          <w:highlight w:val="none"/>
          <w:lang w:eastAsia="zh-CN"/>
        </w:rPr>
        <w:t>评标报告</w:t>
      </w:r>
    </w:p>
    <w:p w14:paraId="6D687279">
      <w:pPr>
        <w:numPr>
          <w:ilvl w:val="0"/>
          <w:numId w:val="0"/>
        </w:num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1.成交标准</w:t>
      </w:r>
    </w:p>
    <w:p w14:paraId="6783F625">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磋商小组根据综合评分情况，按照评审得分由高到低顺序推荐3名以上成交候选供应商,并在线编写电子评审报告。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0FCF5BC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2.评标争议事项处理</w:t>
      </w:r>
    </w:p>
    <w:p w14:paraId="78C0F693">
      <w:pPr>
        <w:pStyle w:val="50"/>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EECA93E">
      <w:pPr>
        <w:numPr>
          <w:ilvl w:val="0"/>
          <w:numId w:val="0"/>
        </w:numPr>
        <w:spacing w:line="360" w:lineRule="auto"/>
        <w:ind w:left="-73" w:leftChars="0" w:firstLine="482" w:firstLineChars="0"/>
        <w:rPr>
          <w:rFonts w:hint="eastAsia" w:ascii="宋体" w:hAnsi="宋体" w:eastAsia="宋体" w:cs="宋体"/>
          <w:b/>
          <w:bCs/>
          <w:color w:val="auto"/>
          <w:sz w:val="24"/>
          <w:highlight w:val="none"/>
          <w:lang w:val="en-US" w:eastAsia="zh-CN"/>
        </w:rPr>
      </w:pPr>
      <w:bookmarkStart w:id="146" w:name="_Toc10071"/>
      <w:bookmarkStart w:id="147" w:name="_Toc80886940"/>
      <w:bookmarkStart w:id="148" w:name="_Toc80205936"/>
      <w:r>
        <w:rPr>
          <w:rFonts w:hint="eastAsia" w:ascii="宋体" w:hAnsi="宋体" w:eastAsia="宋体" w:cs="宋体"/>
          <w:b/>
          <w:bCs/>
          <w:color w:val="auto"/>
          <w:sz w:val="24"/>
          <w:highlight w:val="none"/>
          <w:lang w:val="en-US" w:eastAsia="zh-CN"/>
        </w:rPr>
        <w:t>五、 评审过程的保密与录像</w:t>
      </w:r>
      <w:bookmarkEnd w:id="146"/>
      <w:bookmarkEnd w:id="147"/>
      <w:bookmarkEnd w:id="148"/>
    </w:p>
    <w:p w14:paraId="6B01707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1.保密。</w:t>
      </w:r>
    </w:p>
    <w:p w14:paraId="57EC62C5">
      <w:pPr>
        <w:widowControl/>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3DFB5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2.录音录像。</w:t>
      </w:r>
    </w:p>
    <w:p w14:paraId="49A65183">
      <w:pPr>
        <w:widowControl/>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采购代理机构对评审工作现场及操作屏幕进行全过程录音录像，录音录像资料作为采购项目文件随其他文件一并存档。</w:t>
      </w:r>
    </w:p>
    <w:p w14:paraId="1A5A8002">
      <w:pPr>
        <w:pStyle w:val="26"/>
        <w:rPr>
          <w:rFonts w:hint="eastAsia" w:ascii="宋体" w:hAnsi="宋体" w:eastAsia="宋体" w:cs="宋体"/>
          <w:bCs/>
          <w:color w:val="auto"/>
          <w:sz w:val="21"/>
          <w:szCs w:val="21"/>
          <w:highlight w:val="none"/>
        </w:rPr>
      </w:pPr>
    </w:p>
    <w:p w14:paraId="6262B38E">
      <w:pPr>
        <w:spacing w:line="360" w:lineRule="auto"/>
        <w:ind w:firstLine="632" w:firstLineChars="3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附件：评分细则</w:t>
      </w:r>
    </w:p>
    <w:p w14:paraId="54D3E8BA">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1.初步评审</w:t>
      </w:r>
    </w:p>
    <w:p w14:paraId="1AF67409">
      <w:pPr>
        <w:spacing w:line="360" w:lineRule="auto"/>
        <w:ind w:firstLine="525" w:firstLine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磋商小组对供应商资格审查、</w:t>
      </w:r>
      <w:r>
        <w:rPr>
          <w:rFonts w:hint="eastAsia" w:ascii="宋体" w:hAnsi="宋体" w:eastAsia="宋体" w:cs="宋体"/>
          <w:bCs/>
          <w:color w:val="auto"/>
          <w:sz w:val="21"/>
          <w:szCs w:val="21"/>
          <w:highlight w:val="none"/>
          <w:lang w:val="en-US" w:eastAsia="zh-CN"/>
        </w:rPr>
        <w:t>符合</w:t>
      </w:r>
      <w:r>
        <w:rPr>
          <w:rFonts w:hint="eastAsia" w:ascii="宋体" w:hAnsi="宋体" w:eastAsia="宋体" w:cs="宋体"/>
          <w:bCs/>
          <w:color w:val="auto"/>
          <w:sz w:val="21"/>
          <w:szCs w:val="21"/>
          <w:highlight w:val="none"/>
        </w:rPr>
        <w:t>性进行评审。资格审查指依据法律、法规和竞争性磋商文件的规定，对竞争性磋商响应文件中的资格证明</w:t>
      </w:r>
      <w:r>
        <w:rPr>
          <w:rFonts w:hint="eastAsia" w:ascii="宋体" w:hAnsi="宋体" w:eastAsia="宋体" w:cs="宋体"/>
          <w:bCs/>
          <w:color w:val="auto"/>
          <w:sz w:val="21"/>
          <w:szCs w:val="21"/>
          <w:highlight w:val="none"/>
          <w:lang w:eastAsia="zh-CN"/>
        </w:rPr>
        <w:t>资料</w:t>
      </w:r>
      <w:r>
        <w:rPr>
          <w:rFonts w:hint="eastAsia" w:ascii="宋体" w:hAnsi="宋体" w:eastAsia="宋体" w:cs="宋体"/>
          <w:bCs/>
          <w:color w:val="auto"/>
          <w:sz w:val="21"/>
          <w:szCs w:val="21"/>
          <w:highlight w:val="none"/>
        </w:rPr>
        <w:t>进行审查，如果供应商出现没有按照要求提交全部资格证明文件或资格证明无效；未按</w:t>
      </w:r>
      <w:r>
        <w:rPr>
          <w:rFonts w:hint="eastAsia" w:ascii="宋体" w:hAnsi="宋体" w:eastAsia="宋体" w:cs="宋体"/>
          <w:bCs/>
          <w:color w:val="auto"/>
          <w:sz w:val="21"/>
          <w:szCs w:val="21"/>
          <w:highlight w:val="none"/>
          <w:lang w:eastAsia="zh-CN"/>
        </w:rPr>
        <w:t>采购文件</w:t>
      </w:r>
      <w:r>
        <w:rPr>
          <w:rFonts w:hint="eastAsia" w:ascii="宋体" w:hAnsi="宋体" w:eastAsia="宋体" w:cs="宋体"/>
          <w:bCs/>
          <w:color w:val="auto"/>
          <w:sz w:val="21"/>
          <w:szCs w:val="21"/>
          <w:highlight w:val="none"/>
        </w:rPr>
        <w:t>要求</w:t>
      </w:r>
      <w:r>
        <w:rPr>
          <w:rFonts w:hint="eastAsia" w:ascii="宋体" w:hAnsi="宋体" w:eastAsia="宋体" w:cs="宋体"/>
          <w:bCs/>
          <w:color w:val="auto"/>
          <w:sz w:val="21"/>
          <w:szCs w:val="21"/>
          <w:highlight w:val="none"/>
          <w:lang w:eastAsia="zh-CN"/>
        </w:rPr>
        <w:t>签字盖章、提</w:t>
      </w:r>
      <w:r>
        <w:rPr>
          <w:rFonts w:hint="eastAsia" w:ascii="宋体" w:hAnsi="宋体" w:eastAsia="宋体" w:cs="宋体"/>
          <w:bCs/>
          <w:color w:val="auto"/>
          <w:sz w:val="21"/>
          <w:szCs w:val="21"/>
          <w:highlight w:val="none"/>
        </w:rPr>
        <w:t>交磋商保证金</w:t>
      </w:r>
      <w:r>
        <w:rPr>
          <w:rFonts w:hint="eastAsia" w:ascii="宋体" w:hAnsi="宋体" w:eastAsia="宋体" w:cs="宋体"/>
          <w:bCs/>
          <w:color w:val="auto"/>
          <w:sz w:val="21"/>
          <w:szCs w:val="21"/>
          <w:highlight w:val="none"/>
          <w:lang w:eastAsia="zh-CN"/>
        </w:rPr>
        <w:t>、有效报价</w:t>
      </w:r>
      <w:r>
        <w:rPr>
          <w:rFonts w:hint="eastAsia" w:ascii="宋体" w:hAnsi="宋体" w:eastAsia="宋体" w:cs="宋体"/>
          <w:bCs/>
          <w:color w:val="auto"/>
          <w:sz w:val="21"/>
          <w:szCs w:val="21"/>
          <w:highlight w:val="none"/>
        </w:rPr>
        <w:t>等则视为该供应商</w:t>
      </w:r>
      <w:r>
        <w:rPr>
          <w:rFonts w:hint="eastAsia" w:ascii="宋体" w:hAnsi="宋体" w:eastAsia="宋体" w:cs="宋体"/>
          <w:bCs/>
          <w:color w:val="auto"/>
          <w:sz w:val="21"/>
          <w:szCs w:val="21"/>
          <w:highlight w:val="none"/>
          <w:lang w:val="en-US" w:eastAsia="zh-CN"/>
        </w:rPr>
        <w:t>符合</w:t>
      </w:r>
      <w:r>
        <w:rPr>
          <w:rFonts w:hint="eastAsia" w:ascii="宋体" w:hAnsi="宋体" w:eastAsia="宋体" w:cs="宋体"/>
          <w:bCs/>
          <w:color w:val="auto"/>
          <w:sz w:val="21"/>
          <w:szCs w:val="21"/>
          <w:highlight w:val="none"/>
          <w:lang w:eastAsia="zh-CN"/>
        </w:rPr>
        <w:t>性</w:t>
      </w:r>
      <w:r>
        <w:rPr>
          <w:rFonts w:hint="eastAsia" w:ascii="宋体" w:hAnsi="宋体" w:eastAsia="宋体" w:cs="宋体"/>
          <w:bCs/>
          <w:color w:val="auto"/>
          <w:sz w:val="21"/>
          <w:szCs w:val="21"/>
          <w:highlight w:val="none"/>
        </w:rPr>
        <w:t>不合格</w:t>
      </w:r>
      <w:r>
        <w:rPr>
          <w:rFonts w:hint="eastAsia" w:ascii="宋体" w:hAnsi="宋体" w:eastAsia="宋体" w:cs="宋体"/>
          <w:bCs/>
          <w:color w:val="auto"/>
          <w:sz w:val="21"/>
          <w:szCs w:val="21"/>
          <w:highlight w:val="none"/>
          <w:lang w:eastAsia="zh-CN"/>
        </w:rPr>
        <w:t>，未按采购文件响应工期、质量，内容等则</w:t>
      </w:r>
      <w:r>
        <w:rPr>
          <w:rFonts w:hint="eastAsia" w:ascii="宋体" w:hAnsi="宋体" w:eastAsia="宋体" w:cs="宋体"/>
          <w:bCs/>
          <w:color w:val="auto"/>
          <w:sz w:val="21"/>
          <w:szCs w:val="21"/>
          <w:highlight w:val="none"/>
        </w:rPr>
        <w:t>视为该供应商</w:t>
      </w:r>
      <w:r>
        <w:rPr>
          <w:rFonts w:hint="eastAsia" w:ascii="宋体" w:hAnsi="宋体" w:eastAsia="宋体" w:cs="宋体"/>
          <w:bCs/>
          <w:color w:val="auto"/>
          <w:sz w:val="21"/>
          <w:szCs w:val="21"/>
          <w:highlight w:val="none"/>
          <w:lang w:eastAsia="zh-CN"/>
        </w:rPr>
        <w:t>响应性</w:t>
      </w:r>
      <w:r>
        <w:rPr>
          <w:rFonts w:hint="eastAsia" w:ascii="宋体" w:hAnsi="宋体" w:eastAsia="宋体" w:cs="宋体"/>
          <w:bCs/>
          <w:color w:val="auto"/>
          <w:sz w:val="21"/>
          <w:szCs w:val="21"/>
          <w:highlight w:val="none"/>
        </w:rPr>
        <w:t>不合格。</w:t>
      </w:r>
    </w:p>
    <w:p w14:paraId="630CD234">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2.磋商</w:t>
      </w:r>
    </w:p>
    <w:p w14:paraId="284BFE85">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磋商小组将与通过</w:t>
      </w:r>
      <w:r>
        <w:rPr>
          <w:rFonts w:hint="eastAsia" w:ascii="宋体" w:hAnsi="宋体" w:eastAsia="宋体" w:cs="宋体"/>
          <w:bCs/>
          <w:color w:val="auto"/>
          <w:sz w:val="21"/>
          <w:szCs w:val="21"/>
          <w:highlight w:val="none"/>
          <w:lang w:eastAsia="zh-CN"/>
        </w:rPr>
        <w:t>初步审查</w:t>
      </w:r>
      <w:r>
        <w:rPr>
          <w:rFonts w:hint="eastAsia" w:ascii="宋体" w:hAnsi="宋体" w:eastAsia="宋体" w:cs="宋体"/>
          <w:bCs/>
          <w:color w:val="auto"/>
          <w:sz w:val="21"/>
          <w:szCs w:val="21"/>
          <w:highlight w:val="none"/>
        </w:rPr>
        <w:t>的供应商分别进行磋商。在磋商中，磋商的任何一方不得透露与磋商有关的其他供应商的技术资料、价格和其他信息。竞争性磋商文件有实质性变动的，磋商小组将以书面形式通知所有参加磋商的供应商。</w:t>
      </w:r>
    </w:p>
    <w:p w14:paraId="654FCA70">
      <w:pPr>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（1）供应商在磋商小组规定的时间内按要求再次以书面形式报价，并由法定代表人或授权代理人签字确认。</w:t>
      </w:r>
    </w:p>
    <w:p w14:paraId="314D679D">
      <w:pPr>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（2）最终报价后，重大偏离不允许被修正，但磋商小组将允许修正报价中不构成重大偏离的地方，这些修正不会对其他实质上响应竞争性磋商文件要求的供应商的竞争地位产生不公正的影响。</w:t>
      </w:r>
    </w:p>
    <w:p w14:paraId="42AB9291">
      <w:pPr>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（3）如出现供应商达不到法定数量，供应商最终报价均超出采购预算，磋商小组有权否决所有报价，采购人报请监督管理机构批准后另行采购。</w:t>
      </w:r>
    </w:p>
    <w:p w14:paraId="49C60589">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3、确定成交供应商</w:t>
      </w:r>
    </w:p>
    <w:p w14:paraId="079B429B">
      <w:pPr>
        <w:spacing w:line="360" w:lineRule="auto"/>
        <w:ind w:firstLine="525" w:firstLine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竞争性磋商小组根据磋商文件中确定的评分办法综合评定各供应商提交的竞标文件，按照评标得分由高到低推荐成交候选人。</w:t>
      </w:r>
    </w:p>
    <w:p w14:paraId="4B7B3DAA">
      <w:pPr>
        <w:spacing w:line="360" w:lineRule="auto"/>
        <w:rPr>
          <w:rFonts w:hint="eastAsia" w:ascii="宋体" w:hAnsi="宋体" w:eastAsia="宋体" w:cs="宋体"/>
          <w:bCs/>
          <w:color w:val="auto"/>
          <w:sz w:val="21"/>
          <w:szCs w:val="21"/>
          <w:highlight w:val="none"/>
        </w:rPr>
      </w:pPr>
      <w:bookmarkStart w:id="149" w:name="_Toc31815"/>
      <w:r>
        <w:rPr>
          <w:rFonts w:hint="eastAsia" w:ascii="宋体" w:hAnsi="宋体" w:eastAsia="宋体" w:cs="宋体"/>
          <w:bCs/>
          <w:color w:val="auto"/>
          <w:sz w:val="21"/>
          <w:szCs w:val="21"/>
          <w:highlight w:val="none"/>
        </w:rPr>
        <w:t>4、磋商纪律</w:t>
      </w:r>
      <w:bookmarkEnd w:id="149"/>
    </w:p>
    <w:p w14:paraId="590AD22A">
      <w:pPr>
        <w:spacing w:line="36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（1）磋商小组内部讨论的情况和意见必须保密，任何人不得以任何形式透露给供应商或与供应商有关的单位或个人。</w:t>
      </w:r>
    </w:p>
    <w:p w14:paraId="198597C0">
      <w:pPr>
        <w:spacing w:line="36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（2）磋商小组成员在磋商期间不得与供应商进行私下接触，不得私自离开磋商现场，如确需离开现场须在监督员监督下进行，并按时返回。</w:t>
      </w:r>
    </w:p>
    <w:p w14:paraId="0DD76746">
      <w:pPr>
        <w:spacing w:line="36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（3）在磋商过程中，供应商不得以任何形式对磋商小组成员进行旨在影响磋商及结果的任何行为，否则取消其磋商资格。</w:t>
      </w:r>
    </w:p>
    <w:p w14:paraId="154D4D86">
      <w:pPr>
        <w:spacing w:line="36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（4）在磋商过程中，供应商对竞争性磋商响应文件的内容在符合竞争性磋商文件的前提下可进行修改，但最终报价必须以书面形式确认。</w:t>
      </w:r>
    </w:p>
    <w:p w14:paraId="3DF0DBAA">
      <w:pPr>
        <w:spacing w:line="360" w:lineRule="auto"/>
        <w:ind w:firstLine="315" w:firstLineChars="150"/>
        <w:rPr>
          <w:rFonts w:hint="eastAsia" w:ascii="宋体" w:hAnsi="宋体" w:eastAsia="宋体" w:cs="宋体"/>
          <w:b/>
          <w:color w:val="auto"/>
          <w:sz w:val="32"/>
          <w:szCs w:val="32"/>
          <w:highlight w:val="none"/>
        </w:rPr>
      </w:pPr>
      <w:r>
        <w:rPr>
          <w:rFonts w:hint="eastAsia" w:ascii="宋体" w:hAnsi="宋体" w:eastAsia="宋体" w:cs="宋体"/>
          <w:bCs/>
          <w:color w:val="auto"/>
          <w:sz w:val="21"/>
          <w:szCs w:val="21"/>
          <w:highlight w:val="none"/>
          <w:lang w:val="en-US" w:eastAsia="zh-CN"/>
        </w:rPr>
        <w:t>5、以上评审方法按照竞争性磋商采购文件要求和相关法律法规进行。</w:t>
      </w:r>
    </w:p>
    <w:p w14:paraId="1F0D22D1">
      <w:pPr>
        <w:bidi w:val="0"/>
        <w:rPr>
          <w:rFonts w:hint="eastAsia" w:ascii="宋体" w:hAnsi="宋体" w:eastAsia="宋体" w:cs="宋体"/>
          <w:color w:val="auto"/>
          <w:highlight w:val="none"/>
        </w:rPr>
      </w:pPr>
    </w:p>
    <w:p w14:paraId="3C627363">
      <w:pPr>
        <w:pStyle w:val="25"/>
        <w:rPr>
          <w:rFonts w:hint="eastAsia" w:ascii="宋体" w:hAnsi="宋体" w:eastAsia="宋体" w:cs="宋体"/>
          <w:b/>
          <w:color w:val="auto"/>
          <w:sz w:val="32"/>
          <w:szCs w:val="32"/>
          <w:highlight w:val="none"/>
        </w:rPr>
      </w:pPr>
    </w:p>
    <w:p w14:paraId="142F02C6">
      <w:pPr>
        <w:rPr>
          <w:rFonts w:hint="eastAsia" w:ascii="宋体" w:hAnsi="宋体" w:eastAsia="宋体" w:cs="宋体"/>
          <w:color w:val="auto"/>
          <w:sz w:val="32"/>
          <w:szCs w:val="32"/>
          <w:highlight w:val="none"/>
        </w:rPr>
      </w:pPr>
      <w:bookmarkStart w:id="150" w:name="_Toc21498"/>
      <w:bookmarkStart w:id="151" w:name="_Toc16395"/>
      <w:r>
        <w:rPr>
          <w:rFonts w:hint="eastAsia" w:ascii="宋体" w:hAnsi="宋体" w:eastAsia="宋体" w:cs="宋体"/>
          <w:color w:val="auto"/>
          <w:sz w:val="32"/>
          <w:szCs w:val="32"/>
          <w:highlight w:val="none"/>
        </w:rPr>
        <w:br w:type="page"/>
      </w:r>
    </w:p>
    <w:p w14:paraId="31BF9770">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第七章  技术规范</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施工图纸及工程量清单</w:t>
      </w:r>
      <w:bookmarkEnd w:id="150"/>
      <w:bookmarkEnd w:id="151"/>
    </w:p>
    <w:p w14:paraId="0E417EC7">
      <w:pPr>
        <w:pStyle w:val="26"/>
        <w:keepNext w:val="0"/>
        <w:keepLines w:val="0"/>
        <w:pageBreakBefore w:val="0"/>
        <w:widowControl w:val="0"/>
        <w:kinsoku/>
        <w:wordWrap/>
        <w:overflowPunct/>
        <w:topLinePunct w:val="0"/>
        <w:autoSpaceDE/>
        <w:autoSpaceDN/>
        <w:bidi w:val="0"/>
        <w:adjustRightInd/>
        <w:snapToGrid/>
        <w:spacing w:line="360" w:lineRule="auto"/>
        <w:ind w:firstLine="530" w:firstLineChars="200"/>
        <w:jc w:val="left"/>
        <w:textAlignment w:val="auto"/>
        <w:rPr>
          <w:rFonts w:hint="eastAsia" w:ascii="宋体" w:hAnsi="宋体" w:eastAsia="宋体" w:cs="宋体"/>
          <w:color w:val="auto"/>
          <w:sz w:val="28"/>
          <w:szCs w:val="28"/>
          <w:highlight w:val="none"/>
        </w:rPr>
      </w:pPr>
    </w:p>
    <w:p w14:paraId="0327D056">
      <w:pPr>
        <w:pStyle w:val="26"/>
        <w:keepNext w:val="0"/>
        <w:keepLines w:val="0"/>
        <w:pageBreakBefore w:val="0"/>
        <w:widowControl w:val="0"/>
        <w:kinsoku/>
        <w:wordWrap/>
        <w:overflowPunct/>
        <w:topLinePunct w:val="0"/>
        <w:autoSpaceDE/>
        <w:autoSpaceDN/>
        <w:bidi w:val="0"/>
        <w:adjustRightInd/>
        <w:snapToGrid/>
        <w:spacing w:line="360" w:lineRule="auto"/>
        <w:ind w:firstLine="53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本工程执行国家现行的有关的工程建设标准、技术规范及强制性标准条文、以及施工图纸载明的其他有关规范标准。</w:t>
      </w:r>
    </w:p>
    <w:p w14:paraId="4FD2D5EE">
      <w:pPr>
        <w:pStyle w:val="26"/>
        <w:keepNext w:val="0"/>
        <w:keepLines w:val="0"/>
        <w:pageBreakBefore w:val="0"/>
        <w:widowControl w:val="0"/>
        <w:kinsoku/>
        <w:wordWrap/>
        <w:overflowPunct/>
        <w:topLinePunct w:val="0"/>
        <w:autoSpaceDE/>
        <w:autoSpaceDN/>
        <w:bidi w:val="0"/>
        <w:adjustRightInd/>
        <w:snapToGrid/>
        <w:spacing w:line="360" w:lineRule="auto"/>
        <w:ind w:firstLine="53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施工图纸及</w:t>
      </w:r>
      <w:r>
        <w:rPr>
          <w:rFonts w:hint="eastAsia" w:ascii="宋体" w:hAnsi="宋体" w:eastAsia="宋体" w:cs="宋体"/>
          <w:color w:val="auto"/>
          <w:sz w:val="28"/>
          <w:szCs w:val="28"/>
          <w:highlight w:val="none"/>
          <w:lang w:val="en-US" w:eastAsia="zh-CN"/>
        </w:rPr>
        <w:t>招标控制价</w:t>
      </w:r>
      <w:r>
        <w:rPr>
          <w:rFonts w:hint="eastAsia" w:ascii="宋体" w:hAnsi="宋体" w:eastAsia="宋体" w:cs="宋体"/>
          <w:color w:val="auto"/>
          <w:sz w:val="28"/>
          <w:szCs w:val="28"/>
          <w:highlight w:val="none"/>
        </w:rPr>
        <w:t>另册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zh-CN" w:eastAsia="zh-CN"/>
        </w:rPr>
        <w:t>在“广西政府采购</w:t>
      </w:r>
      <w:r>
        <w:rPr>
          <w:rFonts w:hint="eastAsia" w:ascii="宋体" w:hAnsi="宋体" w:eastAsia="宋体" w:cs="宋体"/>
          <w:color w:val="auto"/>
          <w:sz w:val="28"/>
          <w:szCs w:val="28"/>
          <w:highlight w:val="none"/>
          <w:lang w:val="en-US" w:eastAsia="zh-CN"/>
        </w:rPr>
        <w:t>网</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eastAsia="zh-CN"/>
        </w:rPr>
        <w:t>本项目公告处附件</w:t>
      </w:r>
      <w:r>
        <w:rPr>
          <w:rFonts w:hint="eastAsia" w:ascii="宋体" w:hAnsi="宋体" w:eastAsia="宋体" w:cs="宋体"/>
          <w:color w:val="auto"/>
          <w:sz w:val="28"/>
          <w:szCs w:val="28"/>
          <w:highlight w:val="none"/>
          <w:lang w:val="zh-CN" w:eastAsia="zh-CN"/>
        </w:rPr>
        <w:t>下载。</w:t>
      </w:r>
    </w:p>
    <w:p w14:paraId="527A3FE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8A32ACB">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pPr>
      <w:bookmarkStart w:id="152" w:name="_Toc17419"/>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八</w:t>
      </w:r>
      <w:r>
        <w:rPr>
          <w:rFonts w:hint="eastAsia" w:ascii="宋体" w:hAnsi="宋体" w:eastAsia="宋体" w:cs="宋体"/>
          <w:color w:val="auto"/>
          <w:sz w:val="32"/>
          <w:szCs w:val="32"/>
          <w:highlight w:val="none"/>
        </w:rPr>
        <w:t>章  其他文书、文件格式</w:t>
      </w:r>
      <w:bookmarkEnd w:id="152"/>
    </w:p>
    <w:p w14:paraId="0006C942">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szCs w:val="44"/>
          <w:highlight w:val="none"/>
        </w:rPr>
        <w:t>质疑函</w:t>
      </w:r>
      <w:r>
        <w:rPr>
          <w:rFonts w:hint="eastAsia" w:ascii="宋体" w:hAnsi="宋体" w:eastAsia="宋体" w:cs="宋体"/>
          <w:color w:val="auto"/>
          <w:sz w:val="28"/>
          <w:szCs w:val="28"/>
          <w:highlight w:val="none"/>
        </w:rPr>
        <w:t>（格式）</w:t>
      </w:r>
    </w:p>
    <w:p w14:paraId="1FF78F91">
      <w:pPr>
        <w:pStyle w:val="14"/>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5ECE376A">
      <w:pPr>
        <w:pStyle w:val="14"/>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443C283">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E846E52">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86F617D">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5E4F51DF">
      <w:pPr>
        <w:pStyle w:val="14"/>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4888532">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DA232AB">
      <w:pPr>
        <w:pStyle w:val="14"/>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06ED6266">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CF5FD62">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48A9BDD3">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67AB5AA">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47C88818">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7CA4A87">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058913E9">
      <w:pPr>
        <w:pStyle w:val="14"/>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17653EA9">
      <w:pPr>
        <w:pStyle w:val="14"/>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2983F7F3">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7F3E1D8E">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082731D6">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516301B">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46AD9F34">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E59F433">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31E76E2C">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F436465">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p>
    <w:p w14:paraId="1F874EE8">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B355359">
      <w:pPr>
        <w:pStyle w:val="14"/>
        <w:spacing w:line="360" w:lineRule="auto"/>
        <w:ind w:firstLine="480" w:firstLineChars="200"/>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p>
    <w:p w14:paraId="6458BBA5">
      <w:pPr>
        <w:pStyle w:val="14"/>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084EF72">
      <w:pPr>
        <w:pStyle w:val="14"/>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0948A6AE">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EB6F963">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7828BCE2">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14D53A6">
      <w:pPr>
        <w:pStyle w:val="14"/>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74A5BB43">
      <w:pPr>
        <w:pStyle w:val="14"/>
        <w:snapToGrid w:val="0"/>
        <w:rPr>
          <w:rFonts w:hint="eastAsia" w:ascii="宋体" w:hAnsi="宋体" w:eastAsia="宋体" w:cs="宋体"/>
          <w:b/>
          <w:color w:val="auto"/>
          <w:sz w:val="24"/>
          <w:szCs w:val="24"/>
          <w:highlight w:val="none"/>
        </w:rPr>
      </w:pPr>
    </w:p>
    <w:p w14:paraId="486D11FA">
      <w:pPr>
        <w:rPr>
          <w:rFonts w:hint="eastAsia" w:ascii="宋体" w:hAnsi="宋体" w:eastAsia="宋体" w:cs="宋体"/>
          <w:color w:val="auto"/>
          <w:sz w:val="32"/>
          <w:szCs w:val="40"/>
          <w:highlight w:val="none"/>
        </w:rPr>
      </w:pPr>
    </w:p>
    <w:p w14:paraId="7F8837C4">
      <w:pPr>
        <w:rPr>
          <w:rFonts w:hint="eastAsia" w:ascii="宋体" w:hAnsi="宋体" w:eastAsia="宋体" w:cs="宋体"/>
          <w:color w:val="auto"/>
          <w:sz w:val="32"/>
          <w:szCs w:val="40"/>
          <w:highlight w:val="none"/>
        </w:rPr>
      </w:pPr>
    </w:p>
    <w:p w14:paraId="6B706EB1">
      <w:pPr>
        <w:rPr>
          <w:rFonts w:hint="eastAsia" w:ascii="宋体" w:hAnsi="宋体" w:eastAsia="宋体" w:cs="宋体"/>
          <w:color w:val="auto"/>
          <w:sz w:val="32"/>
          <w:szCs w:val="40"/>
          <w:highlight w:val="none"/>
        </w:rPr>
      </w:pPr>
    </w:p>
    <w:p w14:paraId="072701DD">
      <w:pPr>
        <w:rPr>
          <w:rFonts w:hint="eastAsia" w:ascii="宋体" w:hAnsi="宋体" w:eastAsia="宋体" w:cs="宋体"/>
          <w:color w:val="auto"/>
          <w:sz w:val="32"/>
          <w:szCs w:val="40"/>
          <w:highlight w:val="none"/>
        </w:rPr>
      </w:pPr>
    </w:p>
    <w:p w14:paraId="606330FF">
      <w:pPr>
        <w:rPr>
          <w:rFonts w:hint="eastAsia" w:ascii="宋体" w:hAnsi="宋体" w:eastAsia="宋体" w:cs="宋体"/>
          <w:color w:val="auto"/>
          <w:sz w:val="32"/>
          <w:szCs w:val="40"/>
          <w:highlight w:val="none"/>
        </w:rPr>
      </w:pPr>
    </w:p>
    <w:p w14:paraId="2215F1CD">
      <w:pPr>
        <w:rPr>
          <w:rFonts w:hint="eastAsia" w:ascii="宋体" w:hAnsi="宋体" w:eastAsia="宋体" w:cs="宋体"/>
          <w:color w:val="auto"/>
          <w:sz w:val="32"/>
          <w:szCs w:val="40"/>
          <w:highlight w:val="none"/>
        </w:rPr>
      </w:pPr>
    </w:p>
    <w:p w14:paraId="783D14A4">
      <w:pPr>
        <w:rPr>
          <w:rFonts w:hint="eastAsia" w:ascii="宋体" w:hAnsi="宋体" w:eastAsia="宋体" w:cs="宋体"/>
          <w:color w:val="auto"/>
          <w:sz w:val="32"/>
          <w:szCs w:val="40"/>
          <w:highlight w:val="none"/>
        </w:rPr>
      </w:pPr>
    </w:p>
    <w:p w14:paraId="09461B95">
      <w:pPr>
        <w:rPr>
          <w:rFonts w:hint="eastAsia" w:ascii="宋体" w:hAnsi="宋体" w:eastAsia="宋体" w:cs="宋体"/>
          <w:color w:val="auto"/>
          <w:sz w:val="32"/>
          <w:szCs w:val="40"/>
          <w:highlight w:val="none"/>
        </w:rPr>
      </w:pPr>
    </w:p>
    <w:p w14:paraId="672EB149">
      <w:pPr>
        <w:rPr>
          <w:rFonts w:hint="eastAsia" w:ascii="宋体" w:hAnsi="宋体" w:eastAsia="宋体" w:cs="宋体"/>
          <w:color w:val="auto"/>
          <w:sz w:val="32"/>
          <w:szCs w:val="40"/>
          <w:highlight w:val="none"/>
        </w:rPr>
      </w:pPr>
    </w:p>
    <w:p w14:paraId="59B7FE3F">
      <w:pPr>
        <w:rPr>
          <w:rFonts w:hint="eastAsia" w:ascii="宋体" w:hAnsi="宋体" w:eastAsia="宋体" w:cs="宋体"/>
          <w:color w:val="auto"/>
          <w:sz w:val="32"/>
          <w:szCs w:val="40"/>
          <w:highlight w:val="none"/>
        </w:rPr>
      </w:pPr>
    </w:p>
    <w:p w14:paraId="01DB1687">
      <w:pPr>
        <w:rPr>
          <w:rFonts w:hint="eastAsia" w:ascii="宋体" w:hAnsi="宋体" w:eastAsia="宋体" w:cs="宋体"/>
          <w:color w:val="auto"/>
          <w:sz w:val="32"/>
          <w:szCs w:val="40"/>
          <w:highlight w:val="none"/>
        </w:rPr>
      </w:pPr>
    </w:p>
    <w:p w14:paraId="06BBE15D">
      <w:pPr>
        <w:rPr>
          <w:rFonts w:hint="eastAsia" w:ascii="宋体" w:hAnsi="宋体" w:eastAsia="宋体" w:cs="宋体"/>
          <w:color w:val="auto"/>
          <w:sz w:val="32"/>
          <w:szCs w:val="40"/>
          <w:highlight w:val="none"/>
        </w:rPr>
      </w:pPr>
    </w:p>
    <w:p w14:paraId="4526091F">
      <w:pPr>
        <w:rPr>
          <w:rFonts w:hint="eastAsia" w:ascii="宋体" w:hAnsi="宋体" w:eastAsia="宋体" w:cs="宋体"/>
          <w:color w:val="auto"/>
          <w:sz w:val="32"/>
          <w:szCs w:val="40"/>
          <w:highlight w:val="none"/>
        </w:rPr>
      </w:pPr>
    </w:p>
    <w:p w14:paraId="39BB7026">
      <w:pPr>
        <w:rPr>
          <w:rFonts w:hint="eastAsia" w:ascii="宋体" w:hAnsi="宋体" w:eastAsia="宋体" w:cs="宋体"/>
          <w:color w:val="auto"/>
          <w:sz w:val="32"/>
          <w:szCs w:val="40"/>
          <w:highlight w:val="none"/>
        </w:rPr>
      </w:pPr>
    </w:p>
    <w:p w14:paraId="3A4125A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投诉书</w:t>
      </w:r>
      <w:r>
        <w:rPr>
          <w:rFonts w:hint="eastAsia" w:ascii="宋体" w:hAnsi="宋体" w:eastAsia="宋体" w:cs="宋体"/>
          <w:color w:val="auto"/>
          <w:sz w:val="28"/>
          <w:szCs w:val="28"/>
          <w:highlight w:val="none"/>
        </w:rPr>
        <w:t>（格式）</w:t>
      </w:r>
    </w:p>
    <w:p w14:paraId="19C7F07B">
      <w:pPr>
        <w:pStyle w:val="14"/>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0223A5F3">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D06B23E">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6C8D28E">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DE644AB">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59A0723">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42B0889">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FAE9829">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6F735CA">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2236F13E">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7FCA73AD">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0231EF1">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9B6ADBF">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08F7018">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0DE1A0B5">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05EE96">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798F04A">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B9A8DB9">
      <w:pPr>
        <w:pStyle w:val="14"/>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71794D18">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0E46D31">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65E8A95">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0F666898">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4EEBA70">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竞争性磋商文件公告：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7E70D76">
      <w:pPr>
        <w:pStyle w:val="14"/>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0F80AE4">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24BA544">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D4E3E23">
      <w:pPr>
        <w:pStyle w:val="14"/>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D773EE8">
      <w:pPr>
        <w:pStyle w:val="14"/>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83FCA2">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1A291F2">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66B7C43D">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CE6B706">
      <w:pPr>
        <w:pStyle w:val="14"/>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E1B1666">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3E41CE34">
      <w:pPr>
        <w:pStyle w:val="14"/>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BAFA236">
      <w:pPr>
        <w:pStyle w:val="14"/>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B900703">
      <w:pPr>
        <w:pStyle w:val="14"/>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579A14EF">
      <w:pPr>
        <w:pStyle w:val="14"/>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06A911F9">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179BBEBD">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236AC2D2">
      <w:pPr>
        <w:pStyle w:val="14"/>
        <w:spacing w:line="360" w:lineRule="auto"/>
        <w:ind w:left="25" w:leftChars="12" w:firstLine="352" w:firstLineChars="147"/>
        <w:rPr>
          <w:rFonts w:hint="eastAsia" w:ascii="宋体" w:hAnsi="宋体" w:eastAsia="宋体" w:cs="宋体"/>
          <w:color w:val="auto"/>
          <w:sz w:val="24"/>
          <w:szCs w:val="24"/>
          <w:highlight w:val="none"/>
        </w:rPr>
      </w:pPr>
    </w:p>
    <w:p w14:paraId="525F10CA">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483CDA1C">
      <w:pPr>
        <w:pStyle w:val="14"/>
        <w:spacing w:line="360" w:lineRule="auto"/>
        <w:ind w:left="25" w:leftChars="12" w:firstLine="352" w:firstLineChars="147"/>
        <w:rPr>
          <w:rFonts w:hint="eastAsia" w:ascii="宋体" w:hAnsi="宋体" w:eastAsia="宋体" w:cs="宋体"/>
          <w:color w:val="auto"/>
          <w:sz w:val="24"/>
          <w:szCs w:val="24"/>
          <w:highlight w:val="none"/>
        </w:rPr>
      </w:pPr>
    </w:p>
    <w:p w14:paraId="0DA4A289">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9203295">
      <w:pPr>
        <w:pStyle w:val="14"/>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 xml:space="preserve">                                                                                 </w:t>
      </w:r>
    </w:p>
    <w:p w14:paraId="114EA50F">
      <w:pPr>
        <w:pStyle w:val="14"/>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02B6E94">
      <w:pPr>
        <w:pStyle w:val="14"/>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7203D6E3">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2658E01">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6141EB20">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50228D33">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76DFF4E3">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A277A26">
      <w:pPr>
        <w:bidi w:val="0"/>
        <w:rPr>
          <w:rFonts w:hint="eastAsia" w:ascii="宋体" w:hAnsi="宋体" w:eastAsia="宋体" w:cs="宋体"/>
          <w:color w:val="auto"/>
          <w:highlight w:val="none"/>
        </w:rPr>
      </w:pPr>
    </w:p>
    <w:bookmarkEnd w:id="153"/>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黑体"/>
    <w:panose1 w:val="00000000000000000000"/>
    <w:charset w:val="86"/>
    <w:family w:val="roman"/>
    <w:pitch w:val="default"/>
    <w:sig w:usb0="00000000" w:usb1="00000000" w:usb2="00000000" w:usb3="00000000" w:csb0="00040001"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CA571">
    <w:pPr>
      <w:pStyle w:val="15"/>
      <w:framePr w:wrap="around" w:vAnchor="text" w:hAnchor="margin" w:xAlign="center" w:y="1"/>
      <w:rPr>
        <w:rStyle w:val="24"/>
      </w:rPr>
    </w:pPr>
    <w:r>
      <w:fldChar w:fldCharType="begin"/>
    </w:r>
    <w:r>
      <w:rPr>
        <w:rStyle w:val="24"/>
      </w:rPr>
      <w:instrText xml:space="preserve">PAGE  </w:instrText>
    </w:r>
    <w:r>
      <w:fldChar w:fldCharType="end"/>
    </w:r>
  </w:p>
  <w:p w14:paraId="06A26F2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118EB">
    <w:pPr>
      <w:pStyle w:val="15"/>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CA19F">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D2EDB">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9CD2EDB">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CD209">
    <w:pPr>
      <w:pStyle w:val="15"/>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F4ADC">
                          <w:pPr>
                            <w:pStyle w:val="1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BDF4ADC">
                    <w:pPr>
                      <w:pStyle w:val="1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B31A4">
    <w:pPr>
      <w:pStyle w:val="15"/>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CFB97">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88CFB97">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CACB">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A71222">
                          <w:pPr>
                            <w:pStyle w:val="15"/>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35A71222">
                    <w:pPr>
                      <w:pStyle w:val="15"/>
                    </w:pPr>
                    <w:r>
                      <w:fldChar w:fldCharType="begin"/>
                    </w:r>
                    <w:r>
                      <w:instrText xml:space="preserve"> PAGE  \* MERGEFORMAT </w:instrText>
                    </w:r>
                    <w:r>
                      <w:fldChar w:fldCharType="separate"/>
                    </w:r>
                    <w:r>
                      <w:t>一</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1E83AD">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C1E83AD">
                    <w:pPr>
                      <w:pStyle w:val="1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30E6A">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8603F">
                          <w:pPr>
                            <w:pStyle w:val="15"/>
                          </w:pPr>
                          <w:r>
                            <w:fldChar w:fldCharType="begin"/>
                          </w:r>
                          <w:r>
                            <w:instrText xml:space="preserve"> PAGE  \* MERGEFORMAT </w:instrText>
                          </w:r>
                          <w:r>
                            <w:fldChar w:fldCharType="separate"/>
                          </w:r>
                          <w:r>
                            <w:t>一</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4B8603F">
                    <w:pPr>
                      <w:pStyle w:val="15"/>
                    </w:pPr>
                    <w:r>
                      <w:fldChar w:fldCharType="begin"/>
                    </w:r>
                    <w:r>
                      <w:instrText xml:space="preserve"> PAGE  \* MERGEFORMAT </w:instrText>
                    </w:r>
                    <w:r>
                      <w:fldChar w:fldCharType="separate"/>
                    </w:r>
                    <w:r>
                      <w:t>一</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BCD61">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8BCD61">
                    <w:pPr>
                      <w:pStyle w:val="15"/>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A7E">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F31A4">
                          <w:pPr>
                            <w:pStyle w:val="15"/>
                          </w:pPr>
                          <w:r>
                            <w:fldChar w:fldCharType="begin"/>
                          </w:r>
                          <w:r>
                            <w:instrText xml:space="preserve"> PAGE  \* MERGEFORMAT </w:instrText>
                          </w:r>
                          <w:r>
                            <w:fldChar w:fldCharType="separate"/>
                          </w:r>
                          <w:r>
                            <w:t>六十五</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C9F31A4">
                    <w:pPr>
                      <w:pStyle w:val="15"/>
                    </w:pPr>
                    <w:r>
                      <w:fldChar w:fldCharType="begin"/>
                    </w:r>
                    <w:r>
                      <w:instrText xml:space="preserve"> PAGE  \* MERGEFORMAT </w:instrText>
                    </w:r>
                    <w:r>
                      <w:fldChar w:fldCharType="separate"/>
                    </w:r>
                    <w:r>
                      <w:t>六十五</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1B1F0">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B8939">
                          <w:pPr>
                            <w:pStyle w:val="15"/>
                          </w:pPr>
                          <w:r>
                            <w:fldChar w:fldCharType="begin"/>
                          </w:r>
                          <w:r>
                            <w:instrText xml:space="preserve"> PAGE  \* MERGEFORMAT </w:instrText>
                          </w:r>
                          <w:r>
                            <w:fldChar w:fldCharType="separate"/>
                          </w:r>
                          <w:r>
                            <w:t>六十七</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2DB8939">
                    <w:pPr>
                      <w:pStyle w:val="15"/>
                    </w:pPr>
                    <w:r>
                      <w:fldChar w:fldCharType="begin"/>
                    </w:r>
                    <w:r>
                      <w:instrText xml:space="preserve"> PAGE  \* MERGEFORMAT </w:instrText>
                    </w:r>
                    <w:r>
                      <w:fldChar w:fldCharType="separate"/>
                    </w:r>
                    <w:r>
                      <w:t>六十七</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DA775">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1B2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7E22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036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0BEB38"/>
    <w:multiLevelType w:val="singleLevel"/>
    <w:tmpl w:val="EF0BEB38"/>
    <w:lvl w:ilvl="0" w:tentative="0">
      <w:start w:val="2"/>
      <w:numFmt w:val="decimal"/>
      <w:lvlText w:val="%1."/>
      <w:lvlJc w:val="left"/>
      <w:pPr>
        <w:tabs>
          <w:tab w:val="left" w:pos="312"/>
        </w:tabs>
      </w:pPr>
    </w:lvl>
  </w:abstractNum>
  <w:abstractNum w:abstractNumId="1">
    <w:nsid w:val="011F406B"/>
    <w:multiLevelType w:val="multilevel"/>
    <w:tmpl w:val="011F406B"/>
    <w:lvl w:ilvl="0" w:tentative="0">
      <w:start w:val="1"/>
      <w:numFmt w:val="chineseCountingThousand"/>
      <w:suff w:val="nothing"/>
      <w:lvlText w:val="第%1章"/>
      <w:lvlJc w:val="left"/>
      <w:pPr>
        <w:ind w:left="1620" w:firstLine="0"/>
      </w:pPr>
      <w:rPr>
        <w:rFonts w:hint="eastAsia"/>
        <w:sz w:val="36"/>
        <w:szCs w:val="36"/>
        <w:lang w:val="en-US"/>
      </w:rPr>
    </w:lvl>
    <w:lvl w:ilvl="1" w:tentative="0">
      <w:start w:val="1"/>
      <w:numFmt w:val="decimal"/>
      <w:suff w:val="nothing"/>
      <w:lvlText w:val="第%2节"/>
      <w:lvlJc w:val="left"/>
      <w:pPr>
        <w:ind w:left="108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33EA6"/>
    <w:rsid w:val="00DF5700"/>
    <w:rsid w:val="00FD6BBB"/>
    <w:rsid w:val="01770A47"/>
    <w:rsid w:val="0261030A"/>
    <w:rsid w:val="03442DF8"/>
    <w:rsid w:val="04515361"/>
    <w:rsid w:val="048E2C65"/>
    <w:rsid w:val="06DE4469"/>
    <w:rsid w:val="087E41BB"/>
    <w:rsid w:val="08DA60EF"/>
    <w:rsid w:val="0A401777"/>
    <w:rsid w:val="0ABC67A3"/>
    <w:rsid w:val="0B167C32"/>
    <w:rsid w:val="0E1C2A59"/>
    <w:rsid w:val="0EF80318"/>
    <w:rsid w:val="0F7C0DC2"/>
    <w:rsid w:val="0F8E47FD"/>
    <w:rsid w:val="0FE935E8"/>
    <w:rsid w:val="11C10B3A"/>
    <w:rsid w:val="14B45424"/>
    <w:rsid w:val="14FE0DF7"/>
    <w:rsid w:val="1553544B"/>
    <w:rsid w:val="171730DD"/>
    <w:rsid w:val="176D5AED"/>
    <w:rsid w:val="177E2113"/>
    <w:rsid w:val="18255A8C"/>
    <w:rsid w:val="19924E66"/>
    <w:rsid w:val="19F9396A"/>
    <w:rsid w:val="1A1A10D2"/>
    <w:rsid w:val="1AE7004D"/>
    <w:rsid w:val="1AEB2ADF"/>
    <w:rsid w:val="1BF23484"/>
    <w:rsid w:val="1D76328B"/>
    <w:rsid w:val="1DC17709"/>
    <w:rsid w:val="1DF954B0"/>
    <w:rsid w:val="1E3379DD"/>
    <w:rsid w:val="1E7A2AF8"/>
    <w:rsid w:val="1E8C45D9"/>
    <w:rsid w:val="1F883423"/>
    <w:rsid w:val="1FA220D2"/>
    <w:rsid w:val="20EF5828"/>
    <w:rsid w:val="220F4647"/>
    <w:rsid w:val="23137077"/>
    <w:rsid w:val="23D015D2"/>
    <w:rsid w:val="240149F1"/>
    <w:rsid w:val="265E3C10"/>
    <w:rsid w:val="26E77323"/>
    <w:rsid w:val="27B55209"/>
    <w:rsid w:val="27C675B3"/>
    <w:rsid w:val="28273955"/>
    <w:rsid w:val="292F2731"/>
    <w:rsid w:val="29407343"/>
    <w:rsid w:val="29A547A1"/>
    <w:rsid w:val="29CE3CF8"/>
    <w:rsid w:val="2A1B4AE6"/>
    <w:rsid w:val="2ACE7513"/>
    <w:rsid w:val="2BE433FF"/>
    <w:rsid w:val="2CF95873"/>
    <w:rsid w:val="2E0F1975"/>
    <w:rsid w:val="2E667FA4"/>
    <w:rsid w:val="2F381D4A"/>
    <w:rsid w:val="2FE05928"/>
    <w:rsid w:val="30136908"/>
    <w:rsid w:val="31DD626C"/>
    <w:rsid w:val="32947A36"/>
    <w:rsid w:val="338D4C23"/>
    <w:rsid w:val="33A84BAD"/>
    <w:rsid w:val="34134735"/>
    <w:rsid w:val="34657CEE"/>
    <w:rsid w:val="34FC25A0"/>
    <w:rsid w:val="35E30B2B"/>
    <w:rsid w:val="35E64989"/>
    <w:rsid w:val="37C50212"/>
    <w:rsid w:val="385B52F0"/>
    <w:rsid w:val="38602906"/>
    <w:rsid w:val="3939074D"/>
    <w:rsid w:val="3AAE2CA3"/>
    <w:rsid w:val="3B070E17"/>
    <w:rsid w:val="3B3616FD"/>
    <w:rsid w:val="3BD72697"/>
    <w:rsid w:val="3BE610FE"/>
    <w:rsid w:val="3C0A0ADE"/>
    <w:rsid w:val="3D192B38"/>
    <w:rsid w:val="3D8825E6"/>
    <w:rsid w:val="3E23065E"/>
    <w:rsid w:val="3E862BA0"/>
    <w:rsid w:val="3EAF7471"/>
    <w:rsid w:val="3F5D7688"/>
    <w:rsid w:val="3F8C2233"/>
    <w:rsid w:val="40347B91"/>
    <w:rsid w:val="415452D5"/>
    <w:rsid w:val="417F3FDF"/>
    <w:rsid w:val="41937F20"/>
    <w:rsid w:val="41AE16D9"/>
    <w:rsid w:val="42DF6BAF"/>
    <w:rsid w:val="43B25889"/>
    <w:rsid w:val="45647AFF"/>
    <w:rsid w:val="470B38B4"/>
    <w:rsid w:val="4794500D"/>
    <w:rsid w:val="47CC0264"/>
    <w:rsid w:val="481F4A85"/>
    <w:rsid w:val="48971558"/>
    <w:rsid w:val="4921192E"/>
    <w:rsid w:val="49A213C6"/>
    <w:rsid w:val="49B83560"/>
    <w:rsid w:val="4A8A3813"/>
    <w:rsid w:val="4B787719"/>
    <w:rsid w:val="4BAB57EF"/>
    <w:rsid w:val="4BB70638"/>
    <w:rsid w:val="4E732405"/>
    <w:rsid w:val="50E87A37"/>
    <w:rsid w:val="51823496"/>
    <w:rsid w:val="51D1030F"/>
    <w:rsid w:val="52214A5D"/>
    <w:rsid w:val="5339476F"/>
    <w:rsid w:val="536D7537"/>
    <w:rsid w:val="53A07C03"/>
    <w:rsid w:val="53DF56E0"/>
    <w:rsid w:val="53F3316F"/>
    <w:rsid w:val="54497E15"/>
    <w:rsid w:val="54751090"/>
    <w:rsid w:val="547A0358"/>
    <w:rsid w:val="55650713"/>
    <w:rsid w:val="561A1EEF"/>
    <w:rsid w:val="56992263"/>
    <w:rsid w:val="56B713E3"/>
    <w:rsid w:val="58313520"/>
    <w:rsid w:val="593B28DD"/>
    <w:rsid w:val="5A3645E7"/>
    <w:rsid w:val="5B5465E5"/>
    <w:rsid w:val="5B987EC3"/>
    <w:rsid w:val="5BBE639B"/>
    <w:rsid w:val="5C4855CB"/>
    <w:rsid w:val="5CF938D1"/>
    <w:rsid w:val="5D5C2DAE"/>
    <w:rsid w:val="5D5E2D63"/>
    <w:rsid w:val="5DDF7A64"/>
    <w:rsid w:val="5EF05EE3"/>
    <w:rsid w:val="601F5414"/>
    <w:rsid w:val="605F10A5"/>
    <w:rsid w:val="606026C9"/>
    <w:rsid w:val="613852B2"/>
    <w:rsid w:val="614D0C8C"/>
    <w:rsid w:val="63FE54F9"/>
    <w:rsid w:val="640B32AC"/>
    <w:rsid w:val="64606EBA"/>
    <w:rsid w:val="64B55FA4"/>
    <w:rsid w:val="650A3CA3"/>
    <w:rsid w:val="65200C05"/>
    <w:rsid w:val="65281EF5"/>
    <w:rsid w:val="654D289F"/>
    <w:rsid w:val="660C55B0"/>
    <w:rsid w:val="66ED4AB6"/>
    <w:rsid w:val="6710456D"/>
    <w:rsid w:val="671958AB"/>
    <w:rsid w:val="673C6C54"/>
    <w:rsid w:val="6AD53EE5"/>
    <w:rsid w:val="6B1975B6"/>
    <w:rsid w:val="6BCA046F"/>
    <w:rsid w:val="6C1C260E"/>
    <w:rsid w:val="6C225202"/>
    <w:rsid w:val="6C692D01"/>
    <w:rsid w:val="6D0D63F9"/>
    <w:rsid w:val="6D412C30"/>
    <w:rsid w:val="6ED749C9"/>
    <w:rsid w:val="729B306F"/>
    <w:rsid w:val="72C76B03"/>
    <w:rsid w:val="734D342D"/>
    <w:rsid w:val="74967EBD"/>
    <w:rsid w:val="750A3A3A"/>
    <w:rsid w:val="75DE663D"/>
    <w:rsid w:val="76425521"/>
    <w:rsid w:val="774374FF"/>
    <w:rsid w:val="777D7019"/>
    <w:rsid w:val="77A96839"/>
    <w:rsid w:val="78954BEC"/>
    <w:rsid w:val="78B31A8A"/>
    <w:rsid w:val="791F31F5"/>
    <w:rsid w:val="7925786C"/>
    <w:rsid w:val="794E50FC"/>
    <w:rsid w:val="7AB91427"/>
    <w:rsid w:val="7CA12173"/>
    <w:rsid w:val="7CA33B3A"/>
    <w:rsid w:val="7CD74780"/>
    <w:rsid w:val="7DB54CF6"/>
    <w:rsid w:val="7E6B6EDC"/>
    <w:rsid w:val="7EF53D9D"/>
    <w:rsid w:val="7F2D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1"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line="400" w:lineRule="exact"/>
      <w:outlineLvl w:val="0"/>
    </w:pPr>
    <w:rPr>
      <w:b/>
      <w:kern w:val="0"/>
      <w:sz w:val="44"/>
    </w:rPr>
  </w:style>
  <w:style w:type="paragraph" w:styleId="3">
    <w:name w:val="heading 2"/>
    <w:basedOn w:val="1"/>
    <w:next w:val="1"/>
    <w:qFormat/>
    <w:uiPriority w:val="0"/>
    <w:pPr>
      <w:keepNext/>
      <w:keepLines/>
      <w:adjustRightInd w:val="0"/>
      <w:spacing w:before="260" w:after="260" w:line="416" w:lineRule="atLeast"/>
      <w:textAlignment w:val="baseline"/>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6" w:lineRule="auto"/>
      <w:jc w:val="both"/>
      <w:outlineLvl w:val="2"/>
    </w:pPr>
    <w:rPr>
      <w:b/>
      <w:bCs/>
      <w:kern w:val="2"/>
      <w:sz w:val="32"/>
      <w:szCs w:val="32"/>
    </w:rPr>
  </w:style>
  <w:style w:type="paragraph" w:styleId="5">
    <w:name w:val="heading 4"/>
    <w:basedOn w:val="1"/>
    <w:next w:val="1"/>
    <w:unhideWhenUsed/>
    <w:qFormat/>
    <w:uiPriority w:val="9"/>
    <w:pPr>
      <w:keepNext/>
      <w:keepLines/>
      <w:spacing w:before="280" w:beforeLines="0" w:after="290" w:afterLines="0" w:line="372" w:lineRule="auto"/>
      <w:outlineLvl w:val="3"/>
    </w:pPr>
    <w:rPr>
      <w:rFonts w:ascii="Arial" w:hAnsi="Arial" w:eastAsia="黑体" w:cs="Arial"/>
      <w:b/>
      <w:bCs/>
      <w:sz w:val="28"/>
      <w:szCs w:val="28"/>
    </w:rPr>
  </w:style>
  <w:style w:type="paragraph" w:styleId="6">
    <w:name w:val="heading 5"/>
    <w:basedOn w:val="1"/>
    <w:next w:val="1"/>
    <w:qFormat/>
    <w:uiPriority w:val="1"/>
    <w:pPr>
      <w:spacing w:beforeLines="0" w:afterLines="0"/>
      <w:ind w:left="107"/>
      <w:outlineLvl w:val="4"/>
    </w:pPr>
    <w:rPr>
      <w:rFonts w:hint="eastAsia" w:ascii="黑体" w:eastAsia="黑体"/>
      <w:sz w:val="30"/>
    </w:rPr>
  </w:style>
  <w:style w:type="paragraph" w:styleId="7">
    <w:name w:val="heading 6"/>
    <w:basedOn w:val="1"/>
    <w:next w:val="1"/>
    <w:qFormat/>
    <w:uiPriority w:val="0"/>
    <w:pPr>
      <w:numPr>
        <w:ilvl w:val="5"/>
        <w:numId w:val="1"/>
      </w:numPr>
      <w:tabs>
        <w:tab w:val="left" w:pos="3260"/>
      </w:tabs>
      <w:kinsoku w:val="0"/>
      <w:wordWrap w:val="0"/>
      <w:overflowPunct w:val="0"/>
      <w:topLinePunct/>
      <w:autoSpaceDE w:val="0"/>
      <w:autoSpaceDN w:val="0"/>
      <w:spacing w:before="100" w:beforeAutospacing="1" w:after="100" w:afterAutospacing="1" w:line="240" w:lineRule="auto"/>
      <w:ind w:left="100" w:leftChars="100" w:right="102" w:rightChars="102" w:firstLine="420"/>
      <w:jc w:val="left"/>
      <w:outlineLvl w:val="5"/>
    </w:pPr>
    <w:rPr>
      <w:rFonts w:ascii="Arial" w:hAnsi="Arial"/>
      <w:bCs/>
      <w:sz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next w:val="1"/>
    <w:semiHidden/>
    <w:qFormat/>
    <w:uiPriority w:val="0"/>
    <w:pPr>
      <w:spacing w:after="120"/>
    </w:pPr>
  </w:style>
  <w:style w:type="paragraph" w:styleId="11">
    <w:name w:val="Body Text Indent"/>
    <w:basedOn w:val="1"/>
    <w:next w:val="12"/>
    <w:qFormat/>
    <w:uiPriority w:val="0"/>
    <w:pPr>
      <w:spacing w:line="200" w:lineRule="exact"/>
      <w:ind w:firstLine="301"/>
    </w:pPr>
    <w:rPr>
      <w:rFonts w:ascii="宋体" w:hAnsi="Courier New"/>
      <w:spacing w:val="-4"/>
      <w:sz w:val="18"/>
    </w:rPr>
  </w:style>
  <w:style w:type="paragraph" w:customStyle="1" w:styleId="12">
    <w:name w:val="Default"/>
    <w:next w:val="13"/>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4">
    <w:name w:val="Plain Text"/>
    <w:basedOn w:val="1"/>
    <w:next w:val="1"/>
    <w:qFormat/>
    <w:uiPriority w:val="0"/>
    <w:rPr>
      <w:rFonts w:ascii="宋体" w:hAnsi="Courier New"/>
      <w:kern w:val="0"/>
      <w:sz w:val="20"/>
      <w:szCs w:val="21"/>
    </w:r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header"/>
    <w:basedOn w:val="1"/>
    <w:next w:val="15"/>
    <w:unhideWhenUsed/>
    <w:qFormat/>
    <w:uiPriority w:val="99"/>
    <w:pPr>
      <w:pBdr>
        <w:bottom w:val="single" w:color="auto" w:sz="6" w:space="1"/>
      </w:pBdr>
      <w:tabs>
        <w:tab w:val="center" w:pos="0"/>
        <w:tab w:val="left" w:pos="8306"/>
      </w:tabs>
      <w:snapToGrid w:val="0"/>
      <w:jc w:val="center"/>
    </w:pPr>
    <w:rPr>
      <w:sz w:val="18"/>
      <w:szCs w:val="18"/>
    </w:rPr>
  </w:style>
  <w:style w:type="paragraph" w:styleId="17">
    <w:name w:val="toc 1"/>
    <w:basedOn w:val="1"/>
    <w:next w:val="1"/>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index 1"/>
    <w:basedOn w:val="1"/>
    <w:next w:val="1"/>
    <w:qFormat/>
    <w:uiPriority w:val="99"/>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paragraph" w:customStyle="1" w:styleId="25">
    <w:name w:val="正文1"/>
    <w:next w:val="2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文本1"/>
    <w:basedOn w:val="25"/>
    <w:next w:val="25"/>
    <w:autoRedefine/>
    <w:qFormat/>
    <w:uiPriority w:val="0"/>
    <w:rPr>
      <w:rFonts w:ascii="金山简黑体" w:hAnsi="金山简黑体" w:eastAsia="金山简黑体"/>
      <w:b/>
      <w:spacing w:val="-8"/>
      <w:sz w:val="44"/>
      <w:szCs w:val="20"/>
    </w:rPr>
  </w:style>
  <w:style w:type="paragraph" w:customStyle="1" w:styleId="27">
    <w:name w:val="表格文字"/>
    <w:basedOn w:val="11"/>
    <w:next w:val="10"/>
    <w:autoRedefine/>
    <w:qFormat/>
    <w:uiPriority w:val="0"/>
    <w:pPr>
      <w:jc w:val="left"/>
    </w:pPr>
    <w:rPr>
      <w:bCs/>
      <w:spacing w:val="10"/>
      <w:sz w:val="24"/>
    </w:rPr>
  </w:style>
  <w:style w:type="paragraph" w:customStyle="1" w:styleId="28">
    <w:name w:val="Table Paragraph"/>
    <w:basedOn w:val="25"/>
    <w:autoRedefine/>
    <w:qFormat/>
    <w:uiPriority w:val="1"/>
    <w:rPr>
      <w:rFonts w:ascii="宋体" w:hAnsi="宋体" w:eastAsia="宋体" w:cs="宋体"/>
      <w:lang w:val="zh-CN" w:eastAsia="zh-CN" w:bidi="zh-CN"/>
    </w:rPr>
  </w:style>
  <w:style w:type="paragraph" w:customStyle="1" w:styleId="29">
    <w:name w:val="目录 21"/>
    <w:basedOn w:val="25"/>
    <w:next w:val="25"/>
    <w:qFormat/>
    <w:uiPriority w:val="0"/>
    <w:pPr>
      <w:ind w:left="420"/>
    </w:pPr>
  </w:style>
  <w:style w:type="paragraph" w:customStyle="1" w:styleId="30">
    <w:name w:val="正文缩进1"/>
    <w:basedOn w:val="25"/>
    <w:autoRedefine/>
    <w:qFormat/>
    <w:uiPriority w:val="0"/>
    <w:pPr>
      <w:spacing w:line="200" w:lineRule="exact"/>
      <w:ind w:firstLine="301"/>
    </w:pPr>
    <w:rPr>
      <w:rFonts w:ascii="宋体" w:hAnsi="宋体"/>
      <w:spacing w:val="-4"/>
      <w:sz w:val="18"/>
      <w:szCs w:val="20"/>
    </w:rPr>
  </w:style>
  <w:style w:type="paragraph" w:customStyle="1" w:styleId="31">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2">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
    <w:name w:val="标题 31"/>
    <w:basedOn w:val="25"/>
    <w:next w:val="25"/>
    <w:autoRedefine/>
    <w:qFormat/>
    <w:uiPriority w:val="0"/>
    <w:pPr>
      <w:keepNext/>
      <w:keepLines/>
      <w:spacing w:before="260" w:after="260" w:line="415" w:lineRule="auto"/>
      <w:outlineLvl w:val="2"/>
    </w:pPr>
    <w:rPr>
      <w:b/>
      <w:bCs/>
      <w:sz w:val="32"/>
      <w:szCs w:val="32"/>
    </w:rPr>
  </w:style>
  <w:style w:type="paragraph" w:customStyle="1" w:styleId="34">
    <w:name w:val="标题 #7 (4)"/>
    <w:basedOn w:val="1"/>
    <w:autoRedefine/>
    <w:qFormat/>
    <w:uiPriority w:val="0"/>
    <w:pPr>
      <w:shd w:val="clear" w:color="auto" w:fill="FFFFFF"/>
      <w:autoSpaceDE/>
      <w:autoSpaceDN/>
      <w:adjustRightInd/>
      <w:spacing w:after="1020" w:line="240" w:lineRule="atLeast"/>
      <w:outlineLvl w:val="6"/>
    </w:pPr>
    <w:rPr>
      <w:rFonts w:hint="default" w:ascii="MingLiU" w:hAnsi="MingLiU" w:eastAsia="MingLiU"/>
      <w:sz w:val="26"/>
      <w:szCs w:val="26"/>
    </w:rPr>
  </w:style>
  <w:style w:type="character" w:customStyle="1" w:styleId="35">
    <w:name w:val="标题 #7 (4) + 间距 7 pt"/>
    <w:autoRedefine/>
    <w:qFormat/>
    <w:uiPriority w:val="0"/>
    <w:rPr>
      <w:rFonts w:ascii="MingLiU" w:hAnsi="MingLiU" w:eastAsia="MingLiU"/>
      <w:color w:val="000000"/>
      <w:spacing w:val="140"/>
      <w:w w:val="100"/>
      <w:position w:val="0"/>
      <w:sz w:val="26"/>
      <w:szCs w:val="26"/>
      <w:lang w:val="zh-CN" w:eastAsia="zh-CN" w:bidi="ar-SA"/>
    </w:rPr>
  </w:style>
  <w:style w:type="paragraph" w:customStyle="1" w:styleId="36">
    <w:name w:val="正文文本 (2)4"/>
    <w:basedOn w:val="1"/>
    <w:autoRedefine/>
    <w:qFormat/>
    <w:uiPriority w:val="0"/>
    <w:pPr>
      <w:shd w:val="clear" w:color="auto" w:fill="FFFFFF"/>
      <w:autoSpaceDE/>
      <w:autoSpaceDN/>
      <w:adjustRightInd/>
      <w:spacing w:before="300" w:line="439" w:lineRule="exact"/>
      <w:jc w:val="distribute"/>
    </w:pPr>
    <w:rPr>
      <w:rFonts w:hint="default" w:ascii="MingLiU" w:hAnsi="MingLiU" w:eastAsia="MingLiU"/>
      <w:spacing w:val="20"/>
      <w:sz w:val="22"/>
      <w:szCs w:val="22"/>
      <w:shd w:val="clear" w:color="auto" w:fill="FFFFFF"/>
    </w:rPr>
  </w:style>
  <w:style w:type="character" w:customStyle="1" w:styleId="37">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38">
    <w:name w:val="正文文本 (2) + 5.5 pt"/>
    <w:autoRedefine/>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paragraph" w:customStyle="1" w:styleId="39">
    <w:name w:val="标题 #8"/>
    <w:basedOn w:val="1"/>
    <w:autoRedefine/>
    <w:qFormat/>
    <w:uiPriority w:val="0"/>
    <w:pPr>
      <w:shd w:val="clear" w:color="auto" w:fill="FFFFFF"/>
      <w:autoSpaceDE/>
      <w:autoSpaceDN/>
      <w:adjustRightInd/>
      <w:spacing w:before="120" w:after="420" w:line="0" w:lineRule="atLeast"/>
      <w:outlineLvl w:val="7"/>
    </w:pPr>
    <w:rPr>
      <w:rFonts w:hint="default" w:ascii="MingLiU" w:hAnsi="MingLiU" w:eastAsia="MingLiU"/>
      <w:b/>
      <w:bCs/>
      <w:spacing w:val="10"/>
      <w:sz w:val="22"/>
      <w:szCs w:val="22"/>
      <w:shd w:val="clear" w:color="auto" w:fill="FFFFFF"/>
    </w:rPr>
  </w:style>
  <w:style w:type="character" w:customStyle="1" w:styleId="40">
    <w:name w:val="标题 #8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41">
    <w:name w:val="正文文本 (19)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paragraph" w:customStyle="1" w:styleId="42">
    <w:name w:val="正文文本 (19)"/>
    <w:basedOn w:val="1"/>
    <w:autoRedefine/>
    <w:qFormat/>
    <w:uiPriority w:val="0"/>
    <w:pPr>
      <w:shd w:val="clear" w:color="auto" w:fill="FFFFFF"/>
      <w:autoSpaceDE/>
      <w:autoSpaceDN/>
      <w:adjustRightInd/>
      <w:spacing w:line="559" w:lineRule="exact"/>
    </w:pPr>
    <w:rPr>
      <w:rFonts w:hint="default" w:ascii="MingLiU" w:hAnsi="MingLiU" w:eastAsia="MingLiU"/>
      <w:b/>
      <w:bCs/>
      <w:spacing w:val="10"/>
      <w:sz w:val="22"/>
      <w:szCs w:val="22"/>
      <w:shd w:val="clear" w:color="auto" w:fill="FFFFFF"/>
    </w:rPr>
  </w:style>
  <w:style w:type="character" w:customStyle="1" w:styleId="43">
    <w:name w:val="正文文本 (2) + 5.5 pt1"/>
    <w:autoRedefine/>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44">
    <w:name w:val="正文文本 (2) + 间距 0 pt Exact1"/>
    <w:autoRedefine/>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paragraph" w:customStyle="1" w:styleId="45">
    <w:name w:val="标题 #7"/>
    <w:basedOn w:val="1"/>
    <w:autoRedefine/>
    <w:qFormat/>
    <w:uiPriority w:val="0"/>
    <w:pPr>
      <w:shd w:val="clear" w:color="auto" w:fill="FFFFFF"/>
      <w:autoSpaceDE/>
      <w:autoSpaceDN/>
      <w:adjustRightInd/>
      <w:spacing w:before="540" w:after="540" w:line="240" w:lineRule="atLeast"/>
      <w:jc w:val="center"/>
      <w:outlineLvl w:val="6"/>
    </w:pPr>
    <w:rPr>
      <w:rFonts w:hint="default" w:ascii="MingLiU" w:hAnsi="MingLiU" w:eastAsia="MingLiU"/>
      <w:spacing w:val="30"/>
      <w:sz w:val="26"/>
      <w:szCs w:val="26"/>
      <w:shd w:val="clear" w:color="auto" w:fill="FFFFFF"/>
    </w:rPr>
  </w:style>
  <w:style w:type="character" w:customStyle="1" w:styleId="46">
    <w:name w:val="标题 #7 + 间距 0 pt1"/>
    <w:autoRedefine/>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47">
    <w:name w:val="正文文本 (2) + 间距 0 pt6"/>
    <w:autoRedefine/>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48">
    <w:name w:val="样式 宋体 小四 加粗 黑色"/>
    <w:autoRedefine/>
    <w:qFormat/>
    <w:uiPriority w:val="0"/>
    <w:rPr>
      <w:rFonts w:ascii="宋体" w:hAnsi="宋体"/>
      <w:b/>
      <w:bCs/>
      <w:color w:val="000000"/>
      <w:sz w:val="24"/>
    </w:rPr>
  </w:style>
  <w:style w:type="character" w:customStyle="1" w:styleId="49">
    <w:name w:val="正文文本 (2) + 间距 0 pt"/>
    <w:autoRedefine/>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paragraph" w:customStyle="1" w:styleId="50">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51">
    <w:name w:val="段"/>
    <w:next w:val="1"/>
    <w:qFormat/>
    <w:uiPriority w:val="0"/>
    <w:pPr>
      <w:autoSpaceDE w:val="0"/>
      <w:autoSpaceDN w:val="0"/>
      <w:ind w:firstLine="200" w:firstLineChars="200"/>
      <w:jc w:val="both"/>
    </w:pPr>
    <w:rPr>
      <w:rFonts w:ascii="宋体" w:hAnsi="Times New Roman" w:eastAsia="宋体" w:cs="Times New Roman"/>
      <w:sz w:val="21"/>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6956</Words>
  <Characters>8781</Characters>
  <Lines>0</Lines>
  <Paragraphs>0</Paragraphs>
  <TotalTime>13</TotalTime>
  <ScaleCrop>false</ScaleCrop>
  <LinksUpToDate>false</LinksUpToDate>
  <CharactersWithSpaces>8985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2025-04-14T00:59:00Z</dcterms:created>
  <dc:creator>Administrator</dc:creator>
  <cp:lastModifiedBy>微信用户</cp:lastModifiedBy>
  <dcterms:modified xsi:type="dcterms:W3CDTF">2025-10-30T12:41:17Z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eyJoZGlkIjoiZjU4YjJiOWNlZjRmN2MwYWFjMjY4N2NhMTA2NWRiM2IiLCJ1c2VySWQiOiIxMjU5MTAwMDUyIn0=</vt:lpwstr>
  </property>
  <property fmtid="{D5CDD505-2E9C-101B-9397-08002B2CF9AE}" pid="4" name="ICV">
    <vt:lpwstr>DC26A4806B1044D98FAF8EA311E177F8_13</vt:lpwstr>
  </property>
</Properties>
</file>